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7612" w:rsidRPr="00027612" w:rsidRDefault="00027612" w:rsidP="00027612">
      <w:pPr>
        <w:pStyle w:val="Default"/>
        <w:jc w:val="both"/>
        <w:rPr>
          <w:sz w:val="22"/>
          <w:szCs w:val="22"/>
        </w:rPr>
      </w:pPr>
    </w:p>
    <w:p w:rsidR="00027612" w:rsidRPr="00027612" w:rsidRDefault="00027612" w:rsidP="00027612">
      <w:pPr>
        <w:pStyle w:val="Default"/>
        <w:jc w:val="both"/>
        <w:rPr>
          <w:sz w:val="22"/>
          <w:szCs w:val="22"/>
        </w:rPr>
      </w:pPr>
      <w:r w:rsidRPr="00027612">
        <w:rPr>
          <w:sz w:val="22"/>
          <w:szCs w:val="22"/>
        </w:rPr>
        <w:t xml:space="preserve">NOME: Mariana Ferreira Filipe Tavares </w:t>
      </w:r>
    </w:p>
    <w:p w:rsidR="00027612" w:rsidRPr="00027612" w:rsidRDefault="00027612" w:rsidP="00027612">
      <w:pPr>
        <w:pStyle w:val="Default"/>
        <w:jc w:val="both"/>
        <w:rPr>
          <w:sz w:val="22"/>
          <w:szCs w:val="22"/>
        </w:rPr>
      </w:pPr>
      <w:r w:rsidRPr="00027612">
        <w:rPr>
          <w:sz w:val="22"/>
          <w:szCs w:val="22"/>
        </w:rPr>
        <w:t xml:space="preserve">DEPARTAMENTO: Departamento de Ciências e Engenharia de Biossistemas (DCEB) </w:t>
      </w:r>
    </w:p>
    <w:p w:rsidR="00027612" w:rsidRPr="00027612" w:rsidRDefault="00027612" w:rsidP="00027612">
      <w:pPr>
        <w:pStyle w:val="Default"/>
        <w:jc w:val="both"/>
        <w:rPr>
          <w:sz w:val="22"/>
          <w:szCs w:val="22"/>
        </w:rPr>
      </w:pPr>
      <w:r w:rsidRPr="00027612">
        <w:rPr>
          <w:sz w:val="22"/>
          <w:szCs w:val="22"/>
        </w:rPr>
        <w:t xml:space="preserve">MESTRADO </w:t>
      </w:r>
      <w:proofErr w:type="gramStart"/>
      <w:r w:rsidRPr="00027612">
        <w:rPr>
          <w:sz w:val="22"/>
          <w:szCs w:val="22"/>
        </w:rPr>
        <w:t>EM</w:t>
      </w:r>
      <w:proofErr w:type="gramEnd"/>
      <w:r w:rsidRPr="00027612">
        <w:rPr>
          <w:sz w:val="22"/>
          <w:szCs w:val="22"/>
        </w:rPr>
        <w:t xml:space="preserve">: Viticultura e Enologia </w:t>
      </w:r>
    </w:p>
    <w:p w:rsidR="00027612" w:rsidRPr="00027612" w:rsidRDefault="00027612" w:rsidP="00027612">
      <w:pPr>
        <w:pStyle w:val="Default"/>
        <w:jc w:val="both"/>
        <w:rPr>
          <w:sz w:val="22"/>
          <w:szCs w:val="22"/>
        </w:rPr>
      </w:pPr>
      <w:r w:rsidRPr="00027612">
        <w:rPr>
          <w:sz w:val="22"/>
          <w:szCs w:val="22"/>
        </w:rPr>
        <w:t xml:space="preserve">ORIENTADOR: Jorge M. Ricardo da Silva </w:t>
      </w:r>
    </w:p>
    <w:p w:rsidR="00027612" w:rsidRPr="00027612" w:rsidRDefault="00027612" w:rsidP="00027612">
      <w:pPr>
        <w:pStyle w:val="Default"/>
        <w:jc w:val="both"/>
        <w:rPr>
          <w:sz w:val="22"/>
          <w:szCs w:val="22"/>
        </w:rPr>
      </w:pPr>
      <w:r w:rsidRPr="00027612">
        <w:rPr>
          <w:sz w:val="22"/>
          <w:szCs w:val="22"/>
        </w:rPr>
        <w:t xml:space="preserve">COORIENTADOR: António M. Santos Tomás Jordão </w:t>
      </w:r>
    </w:p>
    <w:p w:rsidR="00027612" w:rsidRPr="00027612" w:rsidRDefault="00027612" w:rsidP="00027612">
      <w:pPr>
        <w:pStyle w:val="Default"/>
        <w:jc w:val="both"/>
        <w:rPr>
          <w:sz w:val="22"/>
          <w:szCs w:val="22"/>
        </w:rPr>
      </w:pPr>
      <w:r w:rsidRPr="00027612">
        <w:rPr>
          <w:sz w:val="22"/>
          <w:szCs w:val="22"/>
        </w:rPr>
        <w:t xml:space="preserve">DATA: 19 de Outubro de 2015 </w:t>
      </w:r>
    </w:p>
    <w:p w:rsidR="00027612" w:rsidRPr="00027612" w:rsidRDefault="00027612" w:rsidP="00027612">
      <w:pPr>
        <w:pStyle w:val="Default"/>
        <w:jc w:val="both"/>
        <w:rPr>
          <w:sz w:val="22"/>
          <w:szCs w:val="22"/>
        </w:rPr>
      </w:pPr>
      <w:r w:rsidRPr="00027612">
        <w:rPr>
          <w:sz w:val="22"/>
          <w:szCs w:val="22"/>
        </w:rPr>
        <w:t xml:space="preserve">TÍTULO DA DISSERTAÇÃO: Impacto da utilização de produtos alternativos de madeira de espécies menos convencionais (cerejeira e acácia), na evolução da composição fenólica e perfil sensorial de um vinho tinto </w:t>
      </w:r>
    </w:p>
    <w:p w:rsidR="00027612" w:rsidRDefault="00027612" w:rsidP="00027612">
      <w:pPr>
        <w:pStyle w:val="Default"/>
        <w:jc w:val="both"/>
        <w:rPr>
          <w:sz w:val="22"/>
          <w:szCs w:val="22"/>
        </w:rPr>
      </w:pPr>
    </w:p>
    <w:p w:rsidR="00027612" w:rsidRPr="00027612" w:rsidRDefault="00027612" w:rsidP="00027612">
      <w:pPr>
        <w:pStyle w:val="Default"/>
        <w:jc w:val="both"/>
        <w:rPr>
          <w:sz w:val="22"/>
          <w:szCs w:val="22"/>
        </w:rPr>
      </w:pPr>
      <w:r w:rsidRPr="00027612">
        <w:rPr>
          <w:sz w:val="22"/>
          <w:szCs w:val="22"/>
        </w:rPr>
        <w:t xml:space="preserve">RESUMO </w:t>
      </w:r>
    </w:p>
    <w:p w:rsidR="00027612" w:rsidRPr="00027612" w:rsidRDefault="00027612" w:rsidP="00027612">
      <w:pPr>
        <w:pStyle w:val="Default"/>
        <w:jc w:val="both"/>
        <w:rPr>
          <w:sz w:val="22"/>
          <w:szCs w:val="22"/>
        </w:rPr>
      </w:pPr>
    </w:p>
    <w:p w:rsidR="00027612" w:rsidRPr="00027612" w:rsidRDefault="00027612" w:rsidP="00027612">
      <w:pPr>
        <w:pStyle w:val="Default"/>
        <w:jc w:val="both"/>
        <w:rPr>
          <w:sz w:val="22"/>
          <w:szCs w:val="22"/>
        </w:rPr>
      </w:pPr>
      <w:r w:rsidRPr="00027612">
        <w:rPr>
          <w:sz w:val="22"/>
          <w:szCs w:val="22"/>
        </w:rPr>
        <w:t xml:space="preserve"> O presente trabalho pretende avaliar as alterações ao longo de 90 dias na composição fenólica e volátil e nas propriedades sensoriais de um vinho tinto envelhecido em contato com aparas de madeira de carvalho português (</w:t>
      </w:r>
      <w:r w:rsidRPr="00027612">
        <w:rPr>
          <w:i/>
          <w:iCs/>
          <w:sz w:val="22"/>
          <w:szCs w:val="22"/>
        </w:rPr>
        <w:t xml:space="preserve">Quercus </w:t>
      </w:r>
      <w:proofErr w:type="spellStart"/>
      <w:r w:rsidRPr="00027612">
        <w:rPr>
          <w:i/>
          <w:iCs/>
          <w:sz w:val="22"/>
          <w:szCs w:val="22"/>
        </w:rPr>
        <w:t>pyrenaica</w:t>
      </w:r>
      <w:proofErr w:type="spellEnd"/>
      <w:r w:rsidRPr="00027612">
        <w:rPr>
          <w:i/>
          <w:iCs/>
          <w:sz w:val="22"/>
          <w:szCs w:val="22"/>
        </w:rPr>
        <w:t xml:space="preserve"> </w:t>
      </w:r>
      <w:proofErr w:type="spellStart"/>
      <w:r w:rsidRPr="00027612">
        <w:rPr>
          <w:sz w:val="22"/>
          <w:szCs w:val="22"/>
        </w:rPr>
        <w:t>Willd</w:t>
      </w:r>
      <w:proofErr w:type="spellEnd"/>
      <w:r w:rsidRPr="00027612">
        <w:rPr>
          <w:sz w:val="22"/>
          <w:szCs w:val="22"/>
        </w:rPr>
        <w:t>.), carvalho francês (</w:t>
      </w:r>
      <w:r w:rsidRPr="00027612">
        <w:rPr>
          <w:i/>
          <w:iCs/>
          <w:sz w:val="22"/>
          <w:szCs w:val="22"/>
        </w:rPr>
        <w:t xml:space="preserve">Quercus </w:t>
      </w:r>
      <w:proofErr w:type="spellStart"/>
      <w:r w:rsidRPr="00027612">
        <w:rPr>
          <w:i/>
          <w:iCs/>
          <w:sz w:val="22"/>
          <w:szCs w:val="22"/>
        </w:rPr>
        <w:t>petraea</w:t>
      </w:r>
      <w:proofErr w:type="spellEnd"/>
      <w:r w:rsidRPr="00027612">
        <w:rPr>
          <w:i/>
          <w:iCs/>
          <w:sz w:val="22"/>
          <w:szCs w:val="22"/>
        </w:rPr>
        <w:t xml:space="preserve"> </w:t>
      </w:r>
      <w:r w:rsidRPr="00027612">
        <w:rPr>
          <w:sz w:val="22"/>
          <w:szCs w:val="22"/>
        </w:rPr>
        <w:t>L.), acácia (</w:t>
      </w:r>
      <w:proofErr w:type="spellStart"/>
      <w:r w:rsidRPr="00027612">
        <w:rPr>
          <w:i/>
          <w:iCs/>
          <w:sz w:val="22"/>
          <w:szCs w:val="22"/>
        </w:rPr>
        <w:t>Robina</w:t>
      </w:r>
      <w:proofErr w:type="spellEnd"/>
      <w:r w:rsidRPr="00027612">
        <w:rPr>
          <w:i/>
          <w:iCs/>
          <w:sz w:val="22"/>
          <w:szCs w:val="22"/>
        </w:rPr>
        <w:t xml:space="preserve"> </w:t>
      </w:r>
      <w:proofErr w:type="spellStart"/>
      <w:r w:rsidRPr="00027612">
        <w:rPr>
          <w:i/>
          <w:iCs/>
          <w:sz w:val="22"/>
          <w:szCs w:val="22"/>
        </w:rPr>
        <w:t>pseudoacacia</w:t>
      </w:r>
      <w:proofErr w:type="spellEnd"/>
      <w:r w:rsidRPr="00027612">
        <w:rPr>
          <w:i/>
          <w:iCs/>
          <w:sz w:val="22"/>
          <w:szCs w:val="22"/>
        </w:rPr>
        <w:t xml:space="preserve">) </w:t>
      </w:r>
      <w:r w:rsidRPr="00027612">
        <w:rPr>
          <w:sz w:val="22"/>
          <w:szCs w:val="22"/>
        </w:rPr>
        <w:t xml:space="preserve">e cerejeira </w:t>
      </w:r>
      <w:r w:rsidRPr="00027612">
        <w:rPr>
          <w:i/>
          <w:iCs/>
          <w:sz w:val="22"/>
          <w:szCs w:val="22"/>
        </w:rPr>
        <w:t>(</w:t>
      </w:r>
      <w:proofErr w:type="spellStart"/>
      <w:r w:rsidRPr="00027612">
        <w:rPr>
          <w:i/>
          <w:iCs/>
          <w:sz w:val="22"/>
          <w:szCs w:val="22"/>
        </w:rPr>
        <w:t>Prunus</w:t>
      </w:r>
      <w:proofErr w:type="spellEnd"/>
      <w:r w:rsidRPr="00027612">
        <w:rPr>
          <w:i/>
          <w:iCs/>
          <w:sz w:val="22"/>
          <w:szCs w:val="22"/>
        </w:rPr>
        <w:t xml:space="preserve"> </w:t>
      </w:r>
      <w:proofErr w:type="spellStart"/>
      <w:r w:rsidRPr="00027612">
        <w:rPr>
          <w:i/>
          <w:iCs/>
          <w:sz w:val="22"/>
          <w:szCs w:val="22"/>
        </w:rPr>
        <w:t>Avium</w:t>
      </w:r>
      <w:proofErr w:type="spellEnd"/>
      <w:r w:rsidRPr="00027612">
        <w:rPr>
          <w:i/>
          <w:iCs/>
          <w:sz w:val="22"/>
          <w:szCs w:val="22"/>
        </w:rPr>
        <w:t xml:space="preserve">) </w:t>
      </w:r>
      <w:r w:rsidRPr="00027612">
        <w:rPr>
          <w:sz w:val="22"/>
          <w:szCs w:val="22"/>
        </w:rPr>
        <w:t xml:space="preserve">e pó de cerejeira </w:t>
      </w:r>
      <w:r w:rsidRPr="00027612">
        <w:rPr>
          <w:i/>
          <w:iCs/>
          <w:sz w:val="22"/>
          <w:szCs w:val="22"/>
        </w:rPr>
        <w:t>(</w:t>
      </w:r>
      <w:proofErr w:type="spellStart"/>
      <w:r w:rsidRPr="00027612">
        <w:rPr>
          <w:i/>
          <w:iCs/>
          <w:sz w:val="22"/>
          <w:szCs w:val="22"/>
        </w:rPr>
        <w:t>Prunus</w:t>
      </w:r>
      <w:proofErr w:type="spellEnd"/>
      <w:r w:rsidRPr="00027612">
        <w:rPr>
          <w:i/>
          <w:iCs/>
          <w:sz w:val="22"/>
          <w:szCs w:val="22"/>
        </w:rPr>
        <w:t xml:space="preserve"> </w:t>
      </w:r>
      <w:proofErr w:type="spellStart"/>
      <w:r w:rsidRPr="00027612">
        <w:rPr>
          <w:i/>
          <w:iCs/>
          <w:sz w:val="22"/>
          <w:szCs w:val="22"/>
        </w:rPr>
        <w:t>Avium</w:t>
      </w:r>
      <w:proofErr w:type="spellEnd"/>
      <w:r w:rsidRPr="00027612">
        <w:rPr>
          <w:i/>
          <w:iCs/>
          <w:sz w:val="22"/>
          <w:szCs w:val="22"/>
        </w:rPr>
        <w:t xml:space="preserve">). </w:t>
      </w:r>
    </w:p>
    <w:p w:rsidR="00027612" w:rsidRPr="00027612" w:rsidRDefault="00027612" w:rsidP="00027612">
      <w:pPr>
        <w:pStyle w:val="Default"/>
        <w:jc w:val="both"/>
        <w:rPr>
          <w:sz w:val="22"/>
          <w:szCs w:val="22"/>
        </w:rPr>
      </w:pPr>
      <w:r w:rsidRPr="00027612">
        <w:rPr>
          <w:sz w:val="22"/>
          <w:szCs w:val="22"/>
        </w:rPr>
        <w:t xml:space="preserve">Procedeu-se à avaliação da composição química (determinação da intensidade da cor, tonalidade, antocianinas coradas e totais, grau de ionização das antocianinas, fenóis totais, não </w:t>
      </w:r>
      <w:proofErr w:type="spellStart"/>
      <w:r w:rsidRPr="00027612">
        <w:rPr>
          <w:sz w:val="22"/>
          <w:szCs w:val="22"/>
        </w:rPr>
        <w:t>flavonóides</w:t>
      </w:r>
      <w:proofErr w:type="spellEnd"/>
      <w:r w:rsidRPr="00027612">
        <w:rPr>
          <w:sz w:val="22"/>
          <w:szCs w:val="22"/>
        </w:rPr>
        <w:t xml:space="preserve"> e </w:t>
      </w:r>
      <w:proofErr w:type="spellStart"/>
      <w:r w:rsidRPr="00027612">
        <w:rPr>
          <w:sz w:val="22"/>
          <w:szCs w:val="22"/>
        </w:rPr>
        <w:t>flavonóides</w:t>
      </w:r>
      <w:proofErr w:type="spellEnd"/>
      <w:r w:rsidRPr="00027612">
        <w:rPr>
          <w:sz w:val="22"/>
          <w:szCs w:val="22"/>
        </w:rPr>
        <w:t xml:space="preserve">, pigmentos </w:t>
      </w:r>
      <w:proofErr w:type="spellStart"/>
      <w:r w:rsidRPr="00027612">
        <w:rPr>
          <w:sz w:val="22"/>
          <w:szCs w:val="22"/>
        </w:rPr>
        <w:t>poliméricos</w:t>
      </w:r>
      <w:proofErr w:type="spellEnd"/>
      <w:r w:rsidRPr="00027612">
        <w:rPr>
          <w:sz w:val="22"/>
          <w:szCs w:val="22"/>
        </w:rPr>
        <w:t xml:space="preserve"> e totais, grau de polimerização dos pigmentos e poder </w:t>
      </w:r>
      <w:proofErr w:type="spellStart"/>
      <w:r w:rsidRPr="00027612">
        <w:rPr>
          <w:sz w:val="22"/>
          <w:szCs w:val="22"/>
        </w:rPr>
        <w:t>tanante</w:t>
      </w:r>
      <w:proofErr w:type="spellEnd"/>
      <w:r w:rsidRPr="00027612">
        <w:rPr>
          <w:sz w:val="22"/>
          <w:szCs w:val="22"/>
        </w:rPr>
        <w:t xml:space="preserve">). Realizou-se ainda uma análise sensorial dos vinhos. </w:t>
      </w:r>
    </w:p>
    <w:p w:rsidR="00027612" w:rsidRPr="00027612" w:rsidRDefault="00027612" w:rsidP="00027612">
      <w:pPr>
        <w:pStyle w:val="Default"/>
        <w:jc w:val="both"/>
        <w:rPr>
          <w:sz w:val="22"/>
          <w:szCs w:val="22"/>
        </w:rPr>
      </w:pPr>
      <w:r w:rsidRPr="00027612">
        <w:rPr>
          <w:sz w:val="22"/>
          <w:szCs w:val="22"/>
        </w:rPr>
        <w:t xml:space="preserve">Constata-se a inexistência de diferenças significativas nos parâmetros antocianinas totais, fenóis totais e não </w:t>
      </w:r>
      <w:proofErr w:type="spellStart"/>
      <w:r w:rsidRPr="00027612">
        <w:rPr>
          <w:sz w:val="22"/>
          <w:szCs w:val="22"/>
        </w:rPr>
        <w:t>flavonóides</w:t>
      </w:r>
      <w:proofErr w:type="spellEnd"/>
      <w:r w:rsidRPr="00027612">
        <w:rPr>
          <w:sz w:val="22"/>
          <w:szCs w:val="22"/>
        </w:rPr>
        <w:t xml:space="preserve">, tonalidade, grau de ionização das antocianinas e pigmentos totais, entre todos os vinhos sujeitos ao envelhecimento com diferentes espécies de madeira. Houve diferenças significativas entre os vinhos no final dos 90 dias e entre estes e o vinho inicial (t0) nos parâmetros intensidade da cor, antocianinas coradas, fenóis </w:t>
      </w:r>
      <w:proofErr w:type="spellStart"/>
      <w:r w:rsidRPr="00027612">
        <w:rPr>
          <w:sz w:val="22"/>
          <w:szCs w:val="22"/>
        </w:rPr>
        <w:t>flavonóides</w:t>
      </w:r>
      <w:proofErr w:type="spellEnd"/>
      <w:r w:rsidRPr="00027612">
        <w:rPr>
          <w:sz w:val="22"/>
          <w:szCs w:val="22"/>
        </w:rPr>
        <w:t xml:space="preserve">, pigmentos </w:t>
      </w:r>
      <w:proofErr w:type="spellStart"/>
      <w:r w:rsidRPr="00027612">
        <w:rPr>
          <w:sz w:val="22"/>
          <w:szCs w:val="22"/>
        </w:rPr>
        <w:t>poliméricos</w:t>
      </w:r>
      <w:proofErr w:type="spellEnd"/>
      <w:r w:rsidRPr="00027612">
        <w:rPr>
          <w:sz w:val="22"/>
          <w:szCs w:val="22"/>
        </w:rPr>
        <w:t xml:space="preserve">, grau de polimerização dos pigmentos e poder </w:t>
      </w:r>
      <w:proofErr w:type="spellStart"/>
      <w:r w:rsidRPr="00027612">
        <w:rPr>
          <w:sz w:val="22"/>
          <w:szCs w:val="22"/>
        </w:rPr>
        <w:t>tanante</w:t>
      </w:r>
      <w:proofErr w:type="spellEnd"/>
      <w:r w:rsidRPr="00027612">
        <w:rPr>
          <w:sz w:val="22"/>
          <w:szCs w:val="22"/>
        </w:rPr>
        <w:t xml:space="preserve">. </w:t>
      </w:r>
    </w:p>
    <w:p w:rsidR="007A15CD" w:rsidRPr="00027612" w:rsidRDefault="00027612" w:rsidP="00027612">
      <w:pPr>
        <w:spacing w:line="240" w:lineRule="auto"/>
        <w:jc w:val="both"/>
        <w:rPr>
          <w:rFonts w:ascii="Arial" w:hAnsi="Arial" w:cs="Arial"/>
        </w:rPr>
      </w:pPr>
      <w:r w:rsidRPr="00027612">
        <w:rPr>
          <w:rFonts w:ascii="Arial" w:hAnsi="Arial" w:cs="Arial"/>
        </w:rPr>
        <w:t>Quanto à análise sensorial, os resultados mostraram que o uso de carvalho francês, a acácia e a cerejeira em pó foram as amostras com maior pontuação na apreciação global.</w:t>
      </w:r>
    </w:p>
    <w:p w:rsidR="00027612" w:rsidRPr="00027612" w:rsidRDefault="00027612" w:rsidP="00027612">
      <w:pPr>
        <w:pStyle w:val="Default"/>
        <w:jc w:val="both"/>
        <w:rPr>
          <w:sz w:val="22"/>
          <w:szCs w:val="22"/>
        </w:rPr>
      </w:pPr>
    </w:p>
    <w:p w:rsidR="00027612" w:rsidRPr="00027612" w:rsidRDefault="00027612" w:rsidP="00027612">
      <w:pPr>
        <w:spacing w:line="240" w:lineRule="auto"/>
        <w:jc w:val="both"/>
        <w:rPr>
          <w:rFonts w:ascii="Arial" w:hAnsi="Arial" w:cs="Arial"/>
        </w:rPr>
      </w:pPr>
      <w:r w:rsidRPr="00027612">
        <w:rPr>
          <w:rFonts w:ascii="Arial" w:hAnsi="Arial" w:cs="Arial"/>
          <w:bCs/>
        </w:rPr>
        <w:t xml:space="preserve">Palavras-chave: </w:t>
      </w:r>
      <w:r w:rsidRPr="00027612">
        <w:rPr>
          <w:rFonts w:ascii="Arial" w:hAnsi="Arial" w:cs="Arial"/>
        </w:rPr>
        <w:t>envelhecimento; alternativos de madeira; acácia; cerejeira; análise sensorial; composição química.</w:t>
      </w:r>
    </w:p>
    <w:sectPr w:rsidR="00027612" w:rsidRPr="00027612" w:rsidSect="007A15C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27612"/>
    <w:rsid w:val="00027612"/>
    <w:rsid w:val="004B1803"/>
    <w:rsid w:val="005D7827"/>
    <w:rsid w:val="00660E75"/>
    <w:rsid w:val="007A15CD"/>
    <w:rsid w:val="007C5B14"/>
    <w:rsid w:val="00847043"/>
    <w:rsid w:val="00983CAA"/>
    <w:rsid w:val="00A168A0"/>
    <w:rsid w:val="00AC34E9"/>
    <w:rsid w:val="00AD5A03"/>
    <w:rsid w:val="00D4427D"/>
    <w:rsid w:val="00E74B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15CD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02761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317</Words>
  <Characters>1718</Characters>
  <Application>Microsoft Office Word</Application>
  <DocSecurity>0</DocSecurity>
  <Lines>14</Lines>
  <Paragraphs>4</Paragraphs>
  <ScaleCrop>false</ScaleCrop>
  <Company/>
  <LinksUpToDate>false</LinksUpToDate>
  <CharactersWithSpaces>2031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</dc:creator>
  <cp:lastModifiedBy>Mariana</cp:lastModifiedBy>
  <cp:revision>1</cp:revision>
  <dcterms:created xsi:type="dcterms:W3CDTF">2015-10-20T12:45:00Z</dcterms:created>
  <dcterms:modified xsi:type="dcterms:W3CDTF">2015-10-20T12:46:00Z</dcterms:modified>
</cp:coreProperties>
</file>