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D914F7" w14:textId="40F5786B" w:rsidR="00BA1341" w:rsidRDefault="00BA1341" w:rsidP="004A456D">
      <w:pPr>
        <w:jc w:val="center"/>
        <w:rPr>
          <w:rFonts w:ascii="Times New Roman" w:eastAsia="OpenSans-Bold" w:hAnsi="Times New Roman" w:cs="Times New Roman"/>
          <w:b/>
          <w:bCs/>
          <w:sz w:val="24"/>
          <w:szCs w:val="24"/>
          <w:lang w:val="en-US"/>
        </w:rPr>
      </w:pPr>
      <w:bookmarkStart w:id="0" w:name="_Hlk74470559"/>
      <w:bookmarkStart w:id="1" w:name="_Hlk73802053"/>
      <w:bookmarkStart w:id="2" w:name="_GoBack"/>
      <w:bookmarkEnd w:id="2"/>
      <w:r>
        <w:rPr>
          <w:rFonts w:ascii="Times New Roman" w:eastAsia="OpenSans-Bold" w:hAnsi="Times New Roman" w:cs="Times New Roman"/>
          <w:b/>
          <w:bCs/>
          <w:sz w:val="24"/>
          <w:szCs w:val="24"/>
          <w:lang w:val="en-US"/>
        </w:rPr>
        <w:t xml:space="preserve">The effect of copper and </w:t>
      </w:r>
      <w:r w:rsidRPr="00BB1088">
        <w:rPr>
          <w:rFonts w:ascii="Times New Roman" w:eastAsia="OpenSans-Bold" w:hAnsi="Times New Roman" w:cs="Times New Roman"/>
          <w:b/>
          <w:bCs/>
          <w:sz w:val="24"/>
          <w:szCs w:val="24"/>
          <w:lang w:val="en-US"/>
        </w:rPr>
        <w:t>FeNaEDTA application</w:t>
      </w:r>
      <w:r>
        <w:rPr>
          <w:rFonts w:ascii="Times New Roman" w:eastAsia="OpenSans-Bold" w:hAnsi="Times New Roman" w:cs="Times New Roman"/>
          <w:b/>
          <w:bCs/>
          <w:sz w:val="24"/>
          <w:szCs w:val="24"/>
          <w:lang w:val="en-US"/>
        </w:rPr>
        <w:t xml:space="preserve"> in young mycorrhizal grapevines</w:t>
      </w:r>
    </w:p>
    <w:p w14:paraId="4678D071" w14:textId="77777777" w:rsidR="00395316" w:rsidRPr="0038058A" w:rsidRDefault="00395316" w:rsidP="00395316">
      <w:pPr>
        <w:autoSpaceDE w:val="0"/>
        <w:autoSpaceDN w:val="0"/>
        <w:adjustRightInd w:val="0"/>
        <w:spacing w:after="0" w:line="480" w:lineRule="auto"/>
        <w:jc w:val="center"/>
        <w:rPr>
          <w:rFonts w:ascii="Times New Roman" w:eastAsia="OpenSans-Bold" w:hAnsi="Times New Roman" w:cs="Times New Roman"/>
          <w:b/>
          <w:bCs/>
          <w:sz w:val="20"/>
          <w:szCs w:val="20"/>
          <w:lang w:val="pt-PT"/>
        </w:rPr>
      </w:pPr>
      <w:r w:rsidRPr="0038058A">
        <w:rPr>
          <w:rFonts w:ascii="Times New Roman" w:eastAsia="OpenSans" w:hAnsi="Times New Roman" w:cs="Times New Roman"/>
          <w:sz w:val="20"/>
          <w:szCs w:val="20"/>
          <w:lang w:val="pt-PT"/>
        </w:rPr>
        <w:t>Gonçalo Victorino</w:t>
      </w:r>
      <w:r w:rsidRPr="0038058A">
        <w:rPr>
          <w:rFonts w:ascii="Times New Roman" w:eastAsia="OpenSans" w:hAnsi="Times New Roman" w:cs="Times New Roman"/>
          <w:sz w:val="20"/>
          <w:szCs w:val="20"/>
          <w:vertAlign w:val="superscript"/>
          <w:lang w:val="pt-PT"/>
        </w:rPr>
        <w:t>1</w:t>
      </w:r>
      <w:r w:rsidRPr="0038058A">
        <w:rPr>
          <w:rFonts w:ascii="Times New Roman" w:eastAsia="OpenSans" w:hAnsi="Times New Roman" w:cs="Times New Roman"/>
          <w:sz w:val="20"/>
          <w:szCs w:val="20"/>
          <w:lang w:val="pt-PT"/>
        </w:rPr>
        <w:t>,</w:t>
      </w:r>
      <w:r w:rsidRPr="0038058A">
        <w:rPr>
          <w:rFonts w:ascii="Times New Roman" w:eastAsia="OpenSans-Bold" w:hAnsi="Times New Roman" w:cs="Times New Roman"/>
          <w:b/>
          <w:bCs/>
          <w:sz w:val="20"/>
          <w:szCs w:val="20"/>
          <w:lang w:val="pt-PT"/>
        </w:rPr>
        <w:t xml:space="preserve"> </w:t>
      </w:r>
      <w:r w:rsidRPr="0038058A">
        <w:rPr>
          <w:rFonts w:ascii="Times New Roman" w:eastAsia="OpenSans" w:hAnsi="Times New Roman" w:cs="Times New Roman"/>
          <w:sz w:val="20"/>
          <w:szCs w:val="20"/>
          <w:lang w:val="pt-PT"/>
        </w:rPr>
        <w:t>Erika S. Santos</w:t>
      </w:r>
      <w:r w:rsidRPr="0038058A">
        <w:rPr>
          <w:rFonts w:ascii="Times New Roman" w:eastAsia="OpenSans" w:hAnsi="Times New Roman" w:cs="Times New Roman"/>
          <w:sz w:val="20"/>
          <w:szCs w:val="20"/>
          <w:vertAlign w:val="superscript"/>
          <w:lang w:val="pt-PT"/>
        </w:rPr>
        <w:t>1</w:t>
      </w:r>
      <w:r w:rsidRPr="0038058A">
        <w:rPr>
          <w:rFonts w:ascii="Times New Roman" w:eastAsia="OpenSans" w:hAnsi="Times New Roman" w:cs="Times New Roman"/>
          <w:sz w:val="20"/>
          <w:szCs w:val="20"/>
          <w:lang w:val="pt-PT"/>
        </w:rPr>
        <w:t>, Maria Manuela Abreu</w:t>
      </w:r>
      <w:r w:rsidRPr="0038058A">
        <w:rPr>
          <w:rFonts w:ascii="Times New Roman" w:eastAsia="OpenSans" w:hAnsi="Times New Roman" w:cs="Times New Roman"/>
          <w:sz w:val="20"/>
          <w:szCs w:val="20"/>
          <w:vertAlign w:val="superscript"/>
          <w:lang w:val="pt-PT"/>
        </w:rPr>
        <w:t>1</w:t>
      </w:r>
      <w:r w:rsidRPr="0038058A">
        <w:rPr>
          <w:rFonts w:ascii="Times New Roman" w:eastAsia="OpenSans" w:hAnsi="Times New Roman" w:cs="Times New Roman"/>
          <w:sz w:val="20"/>
          <w:szCs w:val="20"/>
          <w:lang w:val="pt-PT"/>
        </w:rPr>
        <w:t>, Wanda Viegas</w:t>
      </w:r>
      <w:r w:rsidRPr="0038058A">
        <w:rPr>
          <w:rFonts w:ascii="Times New Roman" w:eastAsia="OpenSans" w:hAnsi="Times New Roman" w:cs="Times New Roman"/>
          <w:sz w:val="20"/>
          <w:szCs w:val="20"/>
          <w:vertAlign w:val="superscript"/>
          <w:lang w:val="pt-PT"/>
        </w:rPr>
        <w:t>1</w:t>
      </w:r>
      <w:r w:rsidRPr="0038058A">
        <w:rPr>
          <w:rFonts w:ascii="Times New Roman" w:eastAsia="OpenSans" w:hAnsi="Times New Roman" w:cs="Times New Roman"/>
          <w:sz w:val="20"/>
          <w:szCs w:val="20"/>
          <w:lang w:val="pt-PT"/>
        </w:rPr>
        <w:t xml:space="preserve">, </w:t>
      </w:r>
      <w:r w:rsidRPr="0038058A">
        <w:rPr>
          <w:rFonts w:ascii="Times New Roman" w:eastAsia="OpenSans-Bold" w:hAnsi="Times New Roman" w:cs="Times New Roman"/>
          <w:sz w:val="20"/>
          <w:szCs w:val="20"/>
          <w:lang w:val="pt-PT"/>
        </w:rPr>
        <w:t>Amaia Nogales</w:t>
      </w:r>
      <w:r w:rsidRPr="0002206B">
        <w:rPr>
          <w:rFonts w:ascii="Times New Roman" w:eastAsia="OpenSans-Bold" w:hAnsi="Times New Roman" w:cs="Times New Roman"/>
          <w:sz w:val="20"/>
          <w:szCs w:val="20"/>
          <w:vertAlign w:val="superscript"/>
          <w:lang w:val="pt-PT"/>
        </w:rPr>
        <w:t>1</w:t>
      </w:r>
      <w:r w:rsidRPr="0038058A">
        <w:rPr>
          <w:rFonts w:ascii="Times New Roman" w:eastAsia="OpenSans-Bold" w:hAnsi="Times New Roman" w:cs="Times New Roman"/>
          <w:b/>
          <w:bCs/>
          <w:sz w:val="20"/>
          <w:szCs w:val="20"/>
          <w:lang w:val="pt-PT"/>
        </w:rPr>
        <w:t>*</w:t>
      </w:r>
    </w:p>
    <w:p w14:paraId="23E15179" w14:textId="77777777" w:rsidR="00395316" w:rsidRPr="00BB1088" w:rsidRDefault="00395316" w:rsidP="00395316">
      <w:pPr>
        <w:autoSpaceDE w:val="0"/>
        <w:autoSpaceDN w:val="0"/>
        <w:adjustRightInd w:val="0"/>
        <w:spacing w:after="0" w:line="480" w:lineRule="auto"/>
        <w:rPr>
          <w:rFonts w:ascii="Times New Roman" w:eastAsia="OpenSans-Bold" w:hAnsi="Times New Roman" w:cs="Times New Roman"/>
          <w:b/>
          <w:bCs/>
          <w:sz w:val="20"/>
          <w:szCs w:val="20"/>
          <w:lang w:val="pt-PT"/>
        </w:rPr>
      </w:pPr>
    </w:p>
    <w:p w14:paraId="15FF614E" w14:textId="17ABAB5A" w:rsidR="00395316" w:rsidRPr="00BB1088" w:rsidRDefault="00395316" w:rsidP="00395316">
      <w:pPr>
        <w:autoSpaceDE w:val="0"/>
        <w:autoSpaceDN w:val="0"/>
        <w:adjustRightInd w:val="0"/>
        <w:spacing w:after="0" w:line="480" w:lineRule="auto"/>
        <w:rPr>
          <w:rFonts w:ascii="Times New Roman" w:eastAsia="OpenSans-Bold" w:hAnsi="Times New Roman" w:cs="Times New Roman"/>
          <w:sz w:val="20"/>
          <w:szCs w:val="20"/>
          <w:lang w:val="pt-PT"/>
        </w:rPr>
      </w:pPr>
      <w:r w:rsidRPr="00BB1088">
        <w:rPr>
          <w:rFonts w:ascii="Times New Roman" w:eastAsia="OpenSans-Bold" w:hAnsi="Times New Roman" w:cs="Times New Roman"/>
          <w:b/>
          <w:bCs/>
          <w:sz w:val="20"/>
          <w:szCs w:val="20"/>
          <w:vertAlign w:val="superscript"/>
          <w:lang w:val="en-US"/>
        </w:rPr>
        <w:t>1</w:t>
      </w:r>
      <w:r w:rsidRPr="00BB1088">
        <w:rPr>
          <w:rFonts w:ascii="Times New Roman" w:eastAsia="OpenSans-Bold" w:hAnsi="Times New Roman" w:cs="Times New Roman"/>
          <w:b/>
          <w:bCs/>
          <w:sz w:val="20"/>
          <w:szCs w:val="20"/>
          <w:lang w:val="en-US"/>
        </w:rPr>
        <w:t xml:space="preserve"> </w:t>
      </w:r>
      <w:r w:rsidRPr="00BB1088">
        <w:rPr>
          <w:rFonts w:ascii="Times New Roman" w:eastAsia="OpenSans-Bold" w:hAnsi="Times New Roman" w:cs="Times New Roman"/>
          <w:sz w:val="20"/>
          <w:szCs w:val="20"/>
          <w:lang w:val="en-US"/>
        </w:rPr>
        <w:t>Linking Landscape, Environment, Agriculture and Food (LEAF)</w:t>
      </w:r>
      <w:r>
        <w:rPr>
          <w:rFonts w:ascii="Times New Roman" w:eastAsia="OpenSans-Bold" w:hAnsi="Times New Roman" w:cs="Times New Roman"/>
          <w:sz w:val="20"/>
          <w:szCs w:val="20"/>
          <w:lang w:val="en-US"/>
        </w:rPr>
        <w:t xml:space="preserve"> Research Center</w:t>
      </w:r>
      <w:r w:rsidRPr="00BB1088">
        <w:rPr>
          <w:rFonts w:ascii="Times New Roman" w:eastAsia="OpenSans-Bold" w:hAnsi="Times New Roman" w:cs="Times New Roman"/>
          <w:sz w:val="20"/>
          <w:szCs w:val="20"/>
          <w:lang w:val="en-US"/>
        </w:rPr>
        <w:t xml:space="preserve">. </w:t>
      </w:r>
      <w:r w:rsidRPr="00BB1088">
        <w:rPr>
          <w:rFonts w:ascii="Times New Roman" w:eastAsia="OpenSans-Bold" w:hAnsi="Times New Roman" w:cs="Times New Roman"/>
          <w:sz w:val="20"/>
          <w:szCs w:val="20"/>
          <w:lang w:val="pt-PT"/>
        </w:rPr>
        <w:t>Instituto Superior de Agronomia (ISA), Universidade de Lisboa. Tapada da Ajuda</w:t>
      </w:r>
      <w:r>
        <w:rPr>
          <w:rFonts w:ascii="Times New Roman" w:eastAsia="OpenSans-Bold" w:hAnsi="Times New Roman" w:cs="Times New Roman"/>
          <w:sz w:val="20"/>
          <w:szCs w:val="20"/>
          <w:lang w:val="pt-PT"/>
        </w:rPr>
        <w:t xml:space="preserve"> </w:t>
      </w:r>
      <w:r w:rsidRPr="00BB1088">
        <w:rPr>
          <w:rFonts w:ascii="Times New Roman" w:eastAsia="OpenSans-Bold" w:hAnsi="Times New Roman" w:cs="Times New Roman"/>
          <w:sz w:val="20"/>
          <w:szCs w:val="20"/>
          <w:lang w:val="pt-PT"/>
        </w:rPr>
        <w:t>1349-017 Lisboa (Portugal)</w:t>
      </w:r>
      <w:r>
        <w:rPr>
          <w:rFonts w:ascii="Times New Roman" w:eastAsia="OpenSans-Bold" w:hAnsi="Times New Roman" w:cs="Times New Roman"/>
          <w:sz w:val="20"/>
          <w:szCs w:val="20"/>
          <w:lang w:val="pt-PT"/>
        </w:rPr>
        <w:t>.</w:t>
      </w:r>
    </w:p>
    <w:p w14:paraId="0144B8B8" w14:textId="77777777" w:rsidR="00395316" w:rsidRPr="00BB1088" w:rsidRDefault="00395316" w:rsidP="00395316">
      <w:pPr>
        <w:autoSpaceDE w:val="0"/>
        <w:autoSpaceDN w:val="0"/>
        <w:adjustRightInd w:val="0"/>
        <w:spacing w:after="0" w:line="480" w:lineRule="auto"/>
        <w:rPr>
          <w:rFonts w:ascii="Times New Roman" w:eastAsia="OpenSans-Bold" w:hAnsi="Times New Roman" w:cs="Times New Roman"/>
          <w:sz w:val="20"/>
          <w:szCs w:val="20"/>
          <w:lang w:val="pt-PT"/>
        </w:rPr>
      </w:pPr>
    </w:p>
    <w:p w14:paraId="446F13FB" w14:textId="77777777" w:rsidR="00395316" w:rsidRPr="00395316" w:rsidRDefault="00395316" w:rsidP="00395316">
      <w:pPr>
        <w:autoSpaceDE w:val="0"/>
        <w:autoSpaceDN w:val="0"/>
        <w:adjustRightInd w:val="0"/>
        <w:spacing w:after="0" w:line="480" w:lineRule="auto"/>
        <w:rPr>
          <w:rFonts w:ascii="Times New Roman" w:eastAsia="OpenSans-Bold" w:hAnsi="Times New Roman" w:cs="Times New Roman"/>
          <w:sz w:val="20"/>
          <w:szCs w:val="20"/>
          <w:lang w:val="pt-PT"/>
        </w:rPr>
      </w:pPr>
      <w:r w:rsidRPr="00395316">
        <w:rPr>
          <w:rFonts w:ascii="Times New Roman" w:eastAsia="OpenSans-Bold" w:hAnsi="Times New Roman" w:cs="Times New Roman"/>
          <w:sz w:val="20"/>
          <w:szCs w:val="20"/>
          <w:lang w:val="pt-PT"/>
        </w:rPr>
        <w:t xml:space="preserve">*Corresponding author: </w:t>
      </w:r>
      <w:hyperlink r:id="rId8" w:history="1">
        <w:r w:rsidRPr="00395316">
          <w:rPr>
            <w:rStyle w:val="Hiperligao"/>
            <w:rFonts w:ascii="Times New Roman" w:eastAsia="OpenSans-Bold" w:hAnsi="Times New Roman" w:cs="Times New Roman"/>
            <w:sz w:val="20"/>
            <w:szCs w:val="20"/>
            <w:lang w:val="pt-PT"/>
          </w:rPr>
          <w:t>anogales@isa.ulisboa.pt</w:t>
        </w:r>
      </w:hyperlink>
      <w:r w:rsidRPr="00395316">
        <w:rPr>
          <w:rFonts w:ascii="Times New Roman" w:eastAsia="OpenSans-Bold" w:hAnsi="Times New Roman" w:cs="Times New Roman"/>
          <w:sz w:val="20"/>
          <w:szCs w:val="20"/>
          <w:lang w:val="pt-PT"/>
        </w:rPr>
        <w:t xml:space="preserve"> </w:t>
      </w:r>
    </w:p>
    <w:p w14:paraId="745E534E" w14:textId="77777777" w:rsidR="00395316" w:rsidRPr="00BB1088" w:rsidRDefault="00395316" w:rsidP="00395316">
      <w:pPr>
        <w:autoSpaceDE w:val="0"/>
        <w:autoSpaceDN w:val="0"/>
        <w:adjustRightInd w:val="0"/>
        <w:spacing w:after="0" w:line="480" w:lineRule="auto"/>
        <w:rPr>
          <w:rFonts w:ascii="Times New Roman" w:eastAsia="OpenSans-Bold" w:hAnsi="Times New Roman" w:cs="Times New Roman"/>
          <w:sz w:val="20"/>
          <w:szCs w:val="20"/>
          <w:lang w:val="en-US"/>
        </w:rPr>
      </w:pPr>
      <w:r w:rsidRPr="00BB1088">
        <w:rPr>
          <w:rFonts w:ascii="Times New Roman" w:eastAsia="OpenSans-Bold" w:hAnsi="Times New Roman" w:cs="Times New Roman"/>
          <w:sz w:val="20"/>
          <w:szCs w:val="20"/>
          <w:lang w:val="en-US"/>
        </w:rPr>
        <w:t>Linking Landscape, Environment, Agriculture and Food (LEAF)</w:t>
      </w:r>
    </w:p>
    <w:p w14:paraId="61AEDBCF" w14:textId="77777777" w:rsidR="00395316" w:rsidRPr="00BB1088" w:rsidRDefault="00395316" w:rsidP="00395316">
      <w:pPr>
        <w:autoSpaceDE w:val="0"/>
        <w:autoSpaceDN w:val="0"/>
        <w:adjustRightInd w:val="0"/>
        <w:spacing w:after="0" w:line="480" w:lineRule="auto"/>
        <w:rPr>
          <w:rFonts w:ascii="Times New Roman" w:eastAsia="OpenSans-Bold" w:hAnsi="Times New Roman" w:cs="Times New Roman"/>
          <w:sz w:val="20"/>
          <w:szCs w:val="20"/>
          <w:lang w:val="pt-PT"/>
        </w:rPr>
      </w:pPr>
      <w:r w:rsidRPr="00BB1088">
        <w:rPr>
          <w:rFonts w:ascii="Times New Roman" w:eastAsia="OpenSans-Bold" w:hAnsi="Times New Roman" w:cs="Times New Roman"/>
          <w:sz w:val="20"/>
          <w:szCs w:val="20"/>
          <w:lang w:val="pt-PT"/>
        </w:rPr>
        <w:t>Instituto Superior de Agronomia (ISA)-Universidade de Lisboa</w:t>
      </w:r>
    </w:p>
    <w:p w14:paraId="0C337370" w14:textId="77777777" w:rsidR="00395316" w:rsidRPr="00BB1088" w:rsidRDefault="00395316" w:rsidP="00395316">
      <w:pPr>
        <w:autoSpaceDE w:val="0"/>
        <w:autoSpaceDN w:val="0"/>
        <w:adjustRightInd w:val="0"/>
        <w:spacing w:after="0" w:line="480" w:lineRule="auto"/>
        <w:rPr>
          <w:rFonts w:ascii="Times New Roman" w:eastAsia="OpenSans-Bold" w:hAnsi="Times New Roman" w:cs="Times New Roman"/>
          <w:sz w:val="20"/>
          <w:szCs w:val="20"/>
          <w:lang w:val="pt-PT"/>
        </w:rPr>
      </w:pPr>
      <w:r w:rsidRPr="00BB1088">
        <w:rPr>
          <w:rFonts w:ascii="Times New Roman" w:eastAsia="OpenSans-Bold" w:hAnsi="Times New Roman" w:cs="Times New Roman"/>
          <w:sz w:val="20"/>
          <w:szCs w:val="20"/>
          <w:lang w:val="pt-PT"/>
        </w:rPr>
        <w:t>Tapada da Ajuda</w:t>
      </w:r>
      <w:r>
        <w:rPr>
          <w:rFonts w:ascii="Times New Roman" w:eastAsia="OpenSans-Bold" w:hAnsi="Times New Roman" w:cs="Times New Roman"/>
          <w:sz w:val="20"/>
          <w:szCs w:val="20"/>
          <w:lang w:val="pt-PT"/>
        </w:rPr>
        <w:t xml:space="preserve">. </w:t>
      </w:r>
      <w:r w:rsidRPr="00BB1088">
        <w:rPr>
          <w:rFonts w:ascii="Times New Roman" w:eastAsia="OpenSans-Bold" w:hAnsi="Times New Roman" w:cs="Times New Roman"/>
          <w:sz w:val="20"/>
          <w:szCs w:val="20"/>
          <w:lang w:val="pt-PT"/>
        </w:rPr>
        <w:t>1349-017 Lisboa (Portugal)</w:t>
      </w:r>
    </w:p>
    <w:p w14:paraId="2419868D" w14:textId="77777777" w:rsidR="00395316" w:rsidRPr="00395316" w:rsidRDefault="00395316" w:rsidP="004A456D">
      <w:pPr>
        <w:jc w:val="center"/>
        <w:rPr>
          <w:rFonts w:ascii="Times New Roman" w:eastAsia="OpenSans-Bold" w:hAnsi="Times New Roman" w:cs="Times New Roman"/>
          <w:b/>
          <w:bCs/>
          <w:sz w:val="24"/>
          <w:szCs w:val="24"/>
          <w:lang w:val="pt-PT"/>
        </w:rPr>
      </w:pPr>
    </w:p>
    <w:bookmarkEnd w:id="0"/>
    <w:p w14:paraId="31259024" w14:textId="77777777" w:rsidR="00833943" w:rsidRPr="00395316" w:rsidRDefault="00833943" w:rsidP="002E208C">
      <w:pPr>
        <w:autoSpaceDE w:val="0"/>
        <w:autoSpaceDN w:val="0"/>
        <w:adjustRightInd w:val="0"/>
        <w:spacing w:after="0" w:line="240" w:lineRule="auto"/>
        <w:rPr>
          <w:rFonts w:ascii="Times New Roman" w:eastAsia="OpenSans-Bold" w:hAnsi="Times New Roman" w:cs="Times New Roman"/>
          <w:sz w:val="20"/>
          <w:szCs w:val="20"/>
          <w:lang w:val="pt-PT"/>
        </w:rPr>
      </w:pPr>
    </w:p>
    <w:p w14:paraId="092C9F77" w14:textId="77777777" w:rsidR="0038058A" w:rsidRPr="00395316" w:rsidRDefault="0038058A" w:rsidP="007D314C">
      <w:pPr>
        <w:autoSpaceDE w:val="0"/>
        <w:autoSpaceDN w:val="0"/>
        <w:adjustRightInd w:val="0"/>
        <w:spacing w:after="0" w:line="240" w:lineRule="auto"/>
        <w:rPr>
          <w:rFonts w:ascii="Times New Roman" w:eastAsia="OpenSans-Bold" w:hAnsi="Times New Roman" w:cs="Times New Roman"/>
          <w:sz w:val="20"/>
          <w:szCs w:val="20"/>
          <w:lang w:val="pt-PT"/>
        </w:rPr>
      </w:pPr>
    </w:p>
    <w:p w14:paraId="428CC871" w14:textId="31DE61E4" w:rsidR="006D73C2" w:rsidRDefault="006F270C" w:rsidP="006F270C">
      <w:pPr>
        <w:autoSpaceDE w:val="0"/>
        <w:autoSpaceDN w:val="0"/>
        <w:adjustRightInd w:val="0"/>
        <w:spacing w:after="0" w:line="240" w:lineRule="auto"/>
        <w:rPr>
          <w:rFonts w:ascii="Times New Roman" w:eastAsia="OpenSans-Bold" w:hAnsi="Times New Roman" w:cs="Times New Roman"/>
          <w:b/>
          <w:bCs/>
          <w:sz w:val="20"/>
          <w:szCs w:val="20"/>
          <w:lang w:val="en-US"/>
        </w:rPr>
      </w:pPr>
      <w:r w:rsidRPr="0038058A">
        <w:rPr>
          <w:rFonts w:ascii="Times New Roman" w:eastAsia="OpenSans-Bold" w:hAnsi="Times New Roman" w:cs="Times New Roman"/>
          <w:b/>
          <w:bCs/>
          <w:sz w:val="20"/>
          <w:szCs w:val="20"/>
          <w:lang w:val="en-US"/>
        </w:rPr>
        <w:t>Abstract</w:t>
      </w:r>
      <w:r w:rsidR="00D677E5">
        <w:rPr>
          <w:rFonts w:ascii="Times New Roman" w:eastAsia="OpenSans-Bold" w:hAnsi="Times New Roman" w:cs="Times New Roman"/>
          <w:b/>
          <w:bCs/>
          <w:sz w:val="20"/>
          <w:szCs w:val="20"/>
          <w:lang w:val="en-US"/>
        </w:rPr>
        <w:t xml:space="preserve"> </w:t>
      </w:r>
    </w:p>
    <w:p w14:paraId="6590AB63" w14:textId="7A0BE37B" w:rsidR="003929D4" w:rsidRDefault="003929D4" w:rsidP="006F270C">
      <w:pPr>
        <w:autoSpaceDE w:val="0"/>
        <w:autoSpaceDN w:val="0"/>
        <w:adjustRightInd w:val="0"/>
        <w:spacing w:after="0" w:line="240" w:lineRule="auto"/>
        <w:rPr>
          <w:rFonts w:ascii="Times New Roman" w:eastAsia="OpenSans-Bold" w:hAnsi="Times New Roman" w:cs="Times New Roman"/>
          <w:b/>
          <w:bCs/>
          <w:sz w:val="20"/>
          <w:szCs w:val="20"/>
          <w:lang w:val="en-US"/>
        </w:rPr>
      </w:pPr>
    </w:p>
    <w:p w14:paraId="41D10D0C" w14:textId="6A02C6B3" w:rsidR="002161F3" w:rsidRPr="002161F3" w:rsidRDefault="00A961F9" w:rsidP="00315DB7">
      <w:pPr>
        <w:autoSpaceDE w:val="0"/>
        <w:autoSpaceDN w:val="0"/>
        <w:adjustRightInd w:val="0"/>
        <w:spacing w:after="0" w:line="480" w:lineRule="auto"/>
        <w:jc w:val="both"/>
        <w:rPr>
          <w:rFonts w:ascii="Times New Roman" w:hAnsi="Times New Roman" w:cs="Times New Roman"/>
          <w:bCs/>
          <w:color w:val="000000" w:themeColor="text1"/>
          <w:sz w:val="20"/>
          <w:szCs w:val="20"/>
          <w:lang w:val="en-US"/>
        </w:rPr>
      </w:pPr>
      <w:r w:rsidRPr="00EE29AC">
        <w:rPr>
          <w:rFonts w:ascii="Times New Roman" w:hAnsi="Times New Roman" w:cs="Times New Roman"/>
          <w:bCs/>
          <w:sz w:val="20"/>
          <w:szCs w:val="20"/>
          <w:lang w:val="en-US"/>
        </w:rPr>
        <w:t>Continuous application of Cu-based fungicides</w:t>
      </w:r>
      <w:r w:rsidR="002161F3" w:rsidRPr="00EE29AC">
        <w:rPr>
          <w:rFonts w:ascii="Times New Roman" w:hAnsi="Times New Roman" w:cs="Times New Roman"/>
          <w:bCs/>
          <w:sz w:val="20"/>
          <w:szCs w:val="20"/>
          <w:lang w:val="en-US"/>
        </w:rPr>
        <w:t xml:space="preserve"> </w:t>
      </w:r>
      <w:r w:rsidR="00BB1088" w:rsidRPr="00EE29AC">
        <w:rPr>
          <w:rFonts w:ascii="Times New Roman" w:hAnsi="Times New Roman" w:cs="Times New Roman"/>
          <w:bCs/>
          <w:sz w:val="20"/>
          <w:szCs w:val="20"/>
          <w:lang w:val="en-US"/>
        </w:rPr>
        <w:t xml:space="preserve">and molluscicides </w:t>
      </w:r>
      <w:r w:rsidR="002161F3" w:rsidRPr="00EE29AC">
        <w:rPr>
          <w:rFonts w:ascii="Times New Roman" w:hAnsi="Times New Roman" w:cs="Times New Roman"/>
          <w:bCs/>
          <w:sz w:val="20"/>
          <w:szCs w:val="20"/>
          <w:lang w:val="en-US"/>
        </w:rPr>
        <w:t>may lead to Cu accumulation in vineyard soils</w:t>
      </w:r>
      <w:r w:rsidR="00BB1088" w:rsidRPr="00EE29AC">
        <w:rPr>
          <w:rFonts w:ascii="Times New Roman" w:hAnsi="Times New Roman" w:cs="Times New Roman"/>
          <w:bCs/>
          <w:sz w:val="20"/>
          <w:szCs w:val="20"/>
          <w:lang w:val="en-US"/>
        </w:rPr>
        <w:t xml:space="preserve">. Grapevine inoculation with arbuscular mycorrhizal fungi </w:t>
      </w:r>
      <w:r w:rsidR="008B3AD4">
        <w:rPr>
          <w:rFonts w:ascii="Times New Roman" w:hAnsi="Times New Roman" w:cs="Times New Roman"/>
          <w:bCs/>
          <w:sz w:val="20"/>
          <w:szCs w:val="20"/>
          <w:lang w:val="en-US"/>
        </w:rPr>
        <w:t xml:space="preserve">(AMF) </w:t>
      </w:r>
      <w:r w:rsidR="00BB1088" w:rsidRPr="00EE29AC">
        <w:rPr>
          <w:rFonts w:ascii="Times New Roman" w:hAnsi="Times New Roman" w:cs="Times New Roman"/>
          <w:bCs/>
          <w:sz w:val="20"/>
          <w:szCs w:val="20"/>
          <w:lang w:val="en-US"/>
        </w:rPr>
        <w:t>can be a suitable strategy to increase plant tolerance to the excessive levels of this element in the soil</w:t>
      </w:r>
      <w:r w:rsidR="00717CC1">
        <w:rPr>
          <w:rFonts w:ascii="Times New Roman" w:hAnsi="Times New Roman" w:cs="Times New Roman"/>
          <w:bCs/>
          <w:sz w:val="20"/>
          <w:szCs w:val="20"/>
          <w:lang w:val="en-US"/>
        </w:rPr>
        <w:t>.</w:t>
      </w:r>
      <w:r w:rsidR="00BB1088" w:rsidRPr="00EE29AC">
        <w:rPr>
          <w:rFonts w:ascii="Times New Roman" w:hAnsi="Times New Roman" w:cs="Times New Roman"/>
          <w:bCs/>
          <w:sz w:val="20"/>
          <w:szCs w:val="20"/>
          <w:lang w:val="en-US"/>
        </w:rPr>
        <w:t xml:space="preserve"> </w:t>
      </w:r>
      <w:r w:rsidR="00717CC1">
        <w:rPr>
          <w:rFonts w:ascii="Times New Roman" w:hAnsi="Times New Roman" w:cs="Times New Roman"/>
          <w:bCs/>
          <w:sz w:val="20"/>
          <w:szCs w:val="20"/>
          <w:lang w:val="en-US"/>
        </w:rPr>
        <w:t>However,</w:t>
      </w:r>
      <w:r w:rsidR="00717CC1" w:rsidRPr="00EE29AC">
        <w:rPr>
          <w:rFonts w:ascii="Times New Roman" w:hAnsi="Times New Roman" w:cs="Times New Roman"/>
          <w:bCs/>
          <w:sz w:val="20"/>
          <w:szCs w:val="20"/>
          <w:lang w:val="en-US"/>
        </w:rPr>
        <w:t xml:space="preserve"> </w:t>
      </w:r>
      <w:r w:rsidR="00BB1088" w:rsidRPr="00EE29AC">
        <w:rPr>
          <w:rFonts w:ascii="Times New Roman" w:hAnsi="Times New Roman" w:cs="Times New Roman"/>
          <w:bCs/>
          <w:sz w:val="20"/>
          <w:szCs w:val="20"/>
          <w:lang w:val="en-US"/>
        </w:rPr>
        <w:t xml:space="preserve">the </w:t>
      </w:r>
      <w:r w:rsidR="008B3AD4">
        <w:rPr>
          <w:rFonts w:ascii="Times New Roman" w:hAnsi="Times New Roman" w:cs="Times New Roman"/>
          <w:bCs/>
          <w:sz w:val="20"/>
          <w:szCs w:val="20"/>
          <w:lang w:val="en-US"/>
        </w:rPr>
        <w:t>simultaneous</w:t>
      </w:r>
      <w:r w:rsidR="00BB1088" w:rsidRPr="00EE29AC">
        <w:rPr>
          <w:rFonts w:ascii="Times New Roman" w:hAnsi="Times New Roman" w:cs="Times New Roman"/>
          <w:bCs/>
          <w:sz w:val="20"/>
          <w:szCs w:val="20"/>
          <w:lang w:val="en-US"/>
        </w:rPr>
        <w:t xml:space="preserve"> use of EDTA-based fertilizers or phytosanitary products in </w:t>
      </w:r>
      <w:r w:rsidR="00CB6C2E">
        <w:rPr>
          <w:rFonts w:ascii="Times New Roman" w:hAnsi="Times New Roman" w:cs="Times New Roman"/>
          <w:bCs/>
          <w:sz w:val="20"/>
          <w:szCs w:val="20"/>
          <w:lang w:val="en-US"/>
        </w:rPr>
        <w:t xml:space="preserve">those </w:t>
      </w:r>
      <w:r w:rsidR="00BB1088" w:rsidRPr="00EE29AC">
        <w:rPr>
          <w:rFonts w:ascii="Times New Roman" w:hAnsi="Times New Roman" w:cs="Times New Roman"/>
          <w:bCs/>
          <w:sz w:val="20"/>
          <w:szCs w:val="20"/>
          <w:lang w:val="en-US"/>
        </w:rPr>
        <w:t>vineyards can affect metal mobility in the soil</w:t>
      </w:r>
      <w:r w:rsidR="008B3AD4">
        <w:rPr>
          <w:rFonts w:ascii="Times New Roman" w:hAnsi="Times New Roman" w:cs="Times New Roman"/>
          <w:bCs/>
          <w:sz w:val="20"/>
          <w:szCs w:val="20"/>
          <w:lang w:val="en-US"/>
        </w:rPr>
        <w:t>,</w:t>
      </w:r>
      <w:r w:rsidR="00BB1088" w:rsidRPr="00EE29AC">
        <w:rPr>
          <w:rFonts w:ascii="Times New Roman" w:hAnsi="Times New Roman" w:cs="Times New Roman"/>
          <w:bCs/>
          <w:sz w:val="20"/>
          <w:szCs w:val="20"/>
          <w:lang w:val="en-US"/>
        </w:rPr>
        <w:t xml:space="preserve"> </w:t>
      </w:r>
      <w:r w:rsidR="00EE29AC" w:rsidRPr="00EE29AC">
        <w:rPr>
          <w:rFonts w:ascii="Times New Roman" w:hAnsi="Times New Roman" w:cs="Times New Roman"/>
          <w:bCs/>
          <w:sz w:val="20"/>
          <w:szCs w:val="20"/>
          <w:lang w:val="en-US"/>
        </w:rPr>
        <w:t>with potential negative consequences for plants</w:t>
      </w:r>
      <w:r w:rsidR="00BB1088" w:rsidRPr="00EE29AC">
        <w:rPr>
          <w:rFonts w:ascii="Times New Roman" w:hAnsi="Times New Roman" w:cs="Times New Roman"/>
          <w:bCs/>
          <w:sz w:val="20"/>
          <w:szCs w:val="20"/>
          <w:lang w:val="en-US"/>
        </w:rPr>
        <w:t xml:space="preserve">. </w:t>
      </w:r>
      <w:r w:rsidR="00EE29AC" w:rsidRPr="00EE29AC">
        <w:rPr>
          <w:rFonts w:ascii="Times New Roman" w:hAnsi="Times New Roman" w:cs="Times New Roman"/>
          <w:bCs/>
          <w:sz w:val="20"/>
          <w:szCs w:val="20"/>
          <w:lang w:val="en-US"/>
        </w:rPr>
        <w:t>Therefore</w:t>
      </w:r>
      <w:r w:rsidR="00EE29AC">
        <w:rPr>
          <w:rFonts w:ascii="Times New Roman" w:hAnsi="Times New Roman" w:cs="Times New Roman"/>
          <w:bCs/>
          <w:lang w:val="en-US"/>
        </w:rPr>
        <w:t>, t</w:t>
      </w:r>
      <w:r w:rsidR="002161F3" w:rsidRPr="00064F90">
        <w:rPr>
          <w:rFonts w:ascii="Times New Roman" w:hAnsi="Times New Roman" w:cs="Times New Roman"/>
          <w:bCs/>
          <w:color w:val="000000" w:themeColor="text1"/>
          <w:sz w:val="20"/>
          <w:szCs w:val="20"/>
          <w:lang w:val="en-US"/>
        </w:rPr>
        <w:t>h</w:t>
      </w:r>
      <w:r w:rsidR="00EE29AC">
        <w:rPr>
          <w:rFonts w:ascii="Times New Roman" w:hAnsi="Times New Roman" w:cs="Times New Roman"/>
          <w:bCs/>
          <w:color w:val="000000" w:themeColor="text1"/>
          <w:sz w:val="20"/>
          <w:szCs w:val="20"/>
          <w:lang w:val="en-US"/>
        </w:rPr>
        <w:t>is</w:t>
      </w:r>
      <w:r w:rsidR="002161F3" w:rsidRPr="00064F90">
        <w:rPr>
          <w:rFonts w:ascii="Times New Roman" w:hAnsi="Times New Roman" w:cs="Times New Roman"/>
          <w:bCs/>
          <w:color w:val="000000" w:themeColor="text1"/>
          <w:sz w:val="20"/>
          <w:szCs w:val="20"/>
          <w:lang w:val="en-US"/>
        </w:rPr>
        <w:t xml:space="preserve"> study </w:t>
      </w:r>
      <w:r w:rsidR="006F12D2">
        <w:rPr>
          <w:rFonts w:ascii="Times New Roman" w:hAnsi="Times New Roman" w:cs="Times New Roman"/>
          <w:bCs/>
          <w:color w:val="000000" w:themeColor="text1"/>
          <w:sz w:val="20"/>
          <w:szCs w:val="20"/>
          <w:lang w:val="en-US"/>
        </w:rPr>
        <w:t>aimed</w:t>
      </w:r>
      <w:r w:rsidR="002161F3" w:rsidRPr="00064F90">
        <w:rPr>
          <w:rFonts w:ascii="Times New Roman" w:hAnsi="Times New Roman" w:cs="Times New Roman"/>
          <w:bCs/>
          <w:color w:val="000000" w:themeColor="text1"/>
          <w:sz w:val="20"/>
          <w:szCs w:val="20"/>
          <w:lang w:val="en-US"/>
        </w:rPr>
        <w:t xml:space="preserve"> to elucidate </w:t>
      </w:r>
      <w:r w:rsidR="002161F3" w:rsidRPr="00064F90">
        <w:rPr>
          <w:rStyle w:val="apple-converted-space"/>
          <w:rFonts w:ascii="Times New Roman" w:hAnsi="Times New Roman" w:cs="Times New Roman"/>
          <w:iCs/>
          <w:color w:val="000000" w:themeColor="text1"/>
          <w:sz w:val="20"/>
          <w:szCs w:val="20"/>
          <w:shd w:val="clear" w:color="auto" w:fill="FFFFFF"/>
          <w:lang w:val="en-US"/>
        </w:rPr>
        <w:t xml:space="preserve">the </w:t>
      </w:r>
      <w:r w:rsidR="008B3AD4">
        <w:rPr>
          <w:rStyle w:val="apple-converted-space"/>
          <w:rFonts w:ascii="Times New Roman" w:hAnsi="Times New Roman" w:cs="Times New Roman"/>
          <w:iCs/>
          <w:color w:val="000000" w:themeColor="text1"/>
          <w:sz w:val="20"/>
          <w:szCs w:val="20"/>
          <w:shd w:val="clear" w:color="auto" w:fill="FFFFFF"/>
          <w:lang w:val="en-US"/>
        </w:rPr>
        <w:t>effect</w:t>
      </w:r>
      <w:r w:rsidR="002161F3" w:rsidRPr="00064F90">
        <w:rPr>
          <w:rStyle w:val="apple-converted-space"/>
          <w:rFonts w:ascii="Times New Roman" w:hAnsi="Times New Roman" w:cs="Times New Roman"/>
          <w:iCs/>
          <w:color w:val="000000" w:themeColor="text1"/>
          <w:sz w:val="20"/>
          <w:szCs w:val="20"/>
          <w:shd w:val="clear" w:color="auto" w:fill="FFFFFF"/>
          <w:lang w:val="en-US"/>
        </w:rPr>
        <w:t xml:space="preserve"> of AMF inoculation </w:t>
      </w:r>
      <w:r w:rsidR="008B3AD4">
        <w:rPr>
          <w:rStyle w:val="apple-converted-space"/>
          <w:rFonts w:ascii="Times New Roman" w:hAnsi="Times New Roman" w:cs="Times New Roman"/>
          <w:iCs/>
          <w:color w:val="000000" w:themeColor="text1"/>
          <w:sz w:val="20"/>
          <w:szCs w:val="20"/>
          <w:shd w:val="clear" w:color="auto" w:fill="FFFFFF"/>
          <w:lang w:val="en-US"/>
        </w:rPr>
        <w:t>on</w:t>
      </w:r>
      <w:r w:rsidR="002161F3" w:rsidRPr="00064F90">
        <w:rPr>
          <w:rStyle w:val="apple-converted-space"/>
          <w:rFonts w:ascii="Times New Roman" w:hAnsi="Times New Roman" w:cs="Times New Roman"/>
          <w:iCs/>
          <w:color w:val="000000" w:themeColor="text1"/>
          <w:sz w:val="20"/>
          <w:szCs w:val="20"/>
          <w:shd w:val="clear" w:color="auto" w:fill="FFFFFF"/>
          <w:lang w:val="en-US"/>
        </w:rPr>
        <w:t xml:space="preserve"> </w:t>
      </w:r>
      <w:r w:rsidR="008B3AD4">
        <w:rPr>
          <w:rStyle w:val="apple-converted-space"/>
          <w:rFonts w:ascii="Times New Roman" w:hAnsi="Times New Roman" w:cs="Times New Roman"/>
          <w:iCs/>
          <w:color w:val="000000" w:themeColor="text1"/>
          <w:sz w:val="20"/>
          <w:szCs w:val="20"/>
          <w:shd w:val="clear" w:color="auto" w:fill="FFFFFF"/>
          <w:lang w:val="en-US"/>
        </w:rPr>
        <w:t>grapevine</w:t>
      </w:r>
      <w:r w:rsidR="002161F3" w:rsidRPr="00064F90">
        <w:rPr>
          <w:rStyle w:val="apple-converted-space"/>
          <w:rFonts w:ascii="Times New Roman" w:hAnsi="Times New Roman" w:cs="Times New Roman"/>
          <w:iCs/>
          <w:color w:val="000000" w:themeColor="text1"/>
          <w:sz w:val="20"/>
          <w:szCs w:val="20"/>
          <w:shd w:val="clear" w:color="auto" w:fill="FFFFFF"/>
          <w:lang w:val="en-US"/>
        </w:rPr>
        <w:t xml:space="preserve"> performance in Cu contaminated soils, in the presence or absence of EDTA chelates</w:t>
      </w:r>
      <w:r w:rsidR="006F12D2">
        <w:rPr>
          <w:rStyle w:val="apple-converted-space"/>
          <w:rFonts w:ascii="Times New Roman" w:hAnsi="Times New Roman" w:cs="Times New Roman"/>
          <w:iCs/>
          <w:color w:val="000000" w:themeColor="text1"/>
          <w:sz w:val="20"/>
          <w:szCs w:val="20"/>
          <w:shd w:val="clear" w:color="auto" w:fill="FFFFFF"/>
          <w:lang w:val="en-US"/>
        </w:rPr>
        <w:t>.</w:t>
      </w:r>
    </w:p>
    <w:p w14:paraId="7F40E003" w14:textId="4B79C44D" w:rsidR="008B3AD4" w:rsidRDefault="00A961F9" w:rsidP="00315DB7">
      <w:pPr>
        <w:autoSpaceDE w:val="0"/>
        <w:autoSpaceDN w:val="0"/>
        <w:adjustRightInd w:val="0"/>
        <w:spacing w:after="0" w:line="480" w:lineRule="auto"/>
        <w:jc w:val="both"/>
        <w:rPr>
          <w:rFonts w:ascii="Times New Roman" w:hAnsi="Times New Roman" w:cs="Times New Roman"/>
          <w:bCs/>
          <w:color w:val="000000" w:themeColor="text1"/>
          <w:sz w:val="20"/>
          <w:szCs w:val="20"/>
          <w:lang w:val="en-US"/>
        </w:rPr>
      </w:pPr>
      <w:r w:rsidRPr="00EE29AC">
        <w:rPr>
          <w:rFonts w:ascii="Times New Roman" w:hAnsi="Times New Roman" w:cs="Times New Roman"/>
          <w:bCs/>
          <w:color w:val="000000" w:themeColor="text1"/>
          <w:sz w:val="20"/>
          <w:szCs w:val="20"/>
          <w:lang w:val="en-US"/>
        </w:rPr>
        <w:t>Two-year-old plants</w:t>
      </w:r>
      <w:r w:rsidR="00315DB7">
        <w:rPr>
          <w:rFonts w:ascii="Times New Roman" w:hAnsi="Times New Roman" w:cs="Times New Roman"/>
          <w:bCs/>
          <w:color w:val="000000" w:themeColor="text1"/>
          <w:sz w:val="20"/>
          <w:szCs w:val="20"/>
          <w:lang w:val="en-US"/>
        </w:rPr>
        <w:t xml:space="preserve"> growing in pots filled with an Arenosol</w:t>
      </w:r>
      <w:r w:rsidRPr="00EE29AC">
        <w:rPr>
          <w:rFonts w:ascii="Times New Roman" w:hAnsi="Times New Roman" w:cs="Times New Roman"/>
          <w:bCs/>
          <w:color w:val="000000" w:themeColor="text1"/>
          <w:sz w:val="20"/>
          <w:szCs w:val="20"/>
          <w:lang w:val="en-US"/>
        </w:rPr>
        <w:t xml:space="preserve">, previously inoculated or not with two different </w:t>
      </w:r>
      <w:r w:rsidR="006F12D2" w:rsidRPr="00EE29AC">
        <w:rPr>
          <w:rFonts w:ascii="Times New Roman" w:hAnsi="Times New Roman" w:cs="Times New Roman"/>
          <w:bCs/>
          <w:color w:val="000000" w:themeColor="text1"/>
          <w:sz w:val="20"/>
          <w:szCs w:val="20"/>
          <w:lang w:val="en-US"/>
        </w:rPr>
        <w:t>AMF</w:t>
      </w:r>
      <w:r w:rsidR="00D677E5" w:rsidRPr="00EE29AC">
        <w:rPr>
          <w:rFonts w:ascii="Times New Roman" w:hAnsi="Times New Roman" w:cs="Times New Roman"/>
          <w:bCs/>
          <w:color w:val="000000" w:themeColor="text1"/>
          <w:sz w:val="20"/>
          <w:szCs w:val="20"/>
          <w:lang w:val="en-US"/>
        </w:rPr>
        <w:t>,</w:t>
      </w:r>
      <w:r w:rsidRPr="00EE29AC">
        <w:rPr>
          <w:rFonts w:ascii="Times New Roman" w:hAnsi="Times New Roman" w:cs="Times New Roman"/>
          <w:bCs/>
          <w:color w:val="000000" w:themeColor="text1"/>
          <w:sz w:val="20"/>
          <w:szCs w:val="20"/>
          <w:lang w:val="en-US"/>
        </w:rPr>
        <w:t xml:space="preserve"> were subjected to three soil treatments: </w:t>
      </w:r>
      <w:r w:rsidR="00D9072F">
        <w:rPr>
          <w:rFonts w:ascii="Times New Roman" w:hAnsi="Times New Roman" w:cs="Times New Roman"/>
          <w:bCs/>
          <w:color w:val="000000" w:themeColor="text1"/>
          <w:sz w:val="20"/>
          <w:szCs w:val="20"/>
          <w:lang w:val="en-US"/>
        </w:rPr>
        <w:t xml:space="preserve">control, </w:t>
      </w:r>
      <w:r w:rsidRPr="00EE29AC">
        <w:rPr>
          <w:rFonts w:ascii="Times New Roman" w:hAnsi="Times New Roman" w:cs="Times New Roman"/>
          <w:bCs/>
          <w:color w:val="000000" w:themeColor="text1"/>
          <w:sz w:val="20"/>
          <w:szCs w:val="20"/>
          <w:lang w:val="en-US"/>
        </w:rPr>
        <w:t>Cu</w:t>
      </w:r>
      <w:r w:rsidR="00315DB7">
        <w:rPr>
          <w:rFonts w:ascii="Times New Roman" w:hAnsi="Times New Roman" w:cs="Times New Roman"/>
          <w:bCs/>
          <w:color w:val="000000" w:themeColor="text1"/>
          <w:sz w:val="20"/>
          <w:szCs w:val="20"/>
          <w:lang w:val="en-US"/>
        </w:rPr>
        <w:t xml:space="preserve"> </w:t>
      </w:r>
      <w:r w:rsidR="00C44BC7">
        <w:rPr>
          <w:rFonts w:ascii="Times New Roman" w:hAnsi="Times New Roman" w:cs="Times New Roman"/>
          <w:bCs/>
          <w:color w:val="000000" w:themeColor="text1"/>
          <w:sz w:val="20"/>
          <w:szCs w:val="20"/>
          <w:lang w:val="en-US"/>
        </w:rPr>
        <w:t>addition</w:t>
      </w:r>
      <w:r w:rsidRPr="00EE29AC">
        <w:rPr>
          <w:rFonts w:ascii="Times New Roman" w:hAnsi="Times New Roman" w:cs="Times New Roman"/>
          <w:bCs/>
          <w:color w:val="000000" w:themeColor="text1"/>
          <w:sz w:val="20"/>
          <w:szCs w:val="20"/>
          <w:lang w:val="en-US"/>
        </w:rPr>
        <w:t xml:space="preserve">; </w:t>
      </w:r>
      <w:r w:rsidR="00315DB7" w:rsidRPr="00EE29AC">
        <w:rPr>
          <w:rFonts w:ascii="Times New Roman" w:hAnsi="Times New Roman" w:cs="Times New Roman"/>
          <w:bCs/>
          <w:color w:val="000000" w:themeColor="text1"/>
          <w:sz w:val="20"/>
          <w:szCs w:val="20"/>
          <w:lang w:val="en-US"/>
        </w:rPr>
        <w:t>Cu</w:t>
      </w:r>
      <w:r w:rsidR="00315DB7">
        <w:rPr>
          <w:rFonts w:ascii="Times New Roman" w:hAnsi="Times New Roman" w:cs="Times New Roman"/>
          <w:bCs/>
          <w:color w:val="000000" w:themeColor="text1"/>
          <w:sz w:val="20"/>
          <w:szCs w:val="20"/>
          <w:lang w:val="en-US"/>
        </w:rPr>
        <w:t xml:space="preserve"> </w:t>
      </w:r>
      <w:r w:rsidRPr="00EE29AC">
        <w:rPr>
          <w:rFonts w:ascii="Times New Roman" w:hAnsi="Times New Roman" w:cs="Times New Roman"/>
          <w:bCs/>
          <w:color w:val="000000" w:themeColor="text1"/>
          <w:sz w:val="20"/>
          <w:szCs w:val="20"/>
          <w:lang w:val="en-US"/>
        </w:rPr>
        <w:t xml:space="preserve">and </w:t>
      </w:r>
      <w:r w:rsidR="00211D49" w:rsidRPr="00EE29AC">
        <w:rPr>
          <w:rFonts w:ascii="Times New Roman" w:hAnsi="Times New Roman" w:cs="Times New Roman"/>
          <w:bCs/>
          <w:color w:val="000000" w:themeColor="text1"/>
          <w:sz w:val="20"/>
          <w:szCs w:val="20"/>
          <w:lang w:val="en-US"/>
        </w:rPr>
        <w:t xml:space="preserve">FeNaEDTA </w:t>
      </w:r>
      <w:r w:rsidR="00D9072F">
        <w:rPr>
          <w:rFonts w:ascii="Times New Roman" w:hAnsi="Times New Roman" w:cs="Times New Roman"/>
          <w:bCs/>
          <w:color w:val="000000" w:themeColor="text1"/>
          <w:sz w:val="20"/>
          <w:szCs w:val="20"/>
          <w:lang w:val="en-US"/>
        </w:rPr>
        <w:t>addition</w:t>
      </w:r>
      <w:r w:rsidRPr="00EE29AC">
        <w:rPr>
          <w:rFonts w:ascii="Times New Roman" w:hAnsi="Times New Roman" w:cs="Times New Roman"/>
          <w:bCs/>
          <w:color w:val="000000" w:themeColor="text1"/>
          <w:sz w:val="20"/>
          <w:szCs w:val="20"/>
          <w:lang w:val="en-US"/>
        </w:rPr>
        <w:t xml:space="preserve">. Four months later, </w:t>
      </w:r>
      <w:r w:rsidR="00315DB7">
        <w:rPr>
          <w:rFonts w:ascii="Times New Roman" w:hAnsi="Times New Roman" w:cs="Times New Roman"/>
          <w:bCs/>
          <w:color w:val="000000" w:themeColor="text1"/>
          <w:sz w:val="20"/>
          <w:szCs w:val="20"/>
          <w:lang w:val="en-US"/>
        </w:rPr>
        <w:t xml:space="preserve">at the end of the growing season, </w:t>
      </w:r>
      <w:r w:rsidRPr="00EE29AC">
        <w:rPr>
          <w:rFonts w:ascii="Times New Roman" w:hAnsi="Times New Roman" w:cs="Times New Roman"/>
          <w:bCs/>
          <w:color w:val="000000" w:themeColor="text1"/>
          <w:sz w:val="20"/>
          <w:szCs w:val="20"/>
          <w:lang w:val="en-US"/>
        </w:rPr>
        <w:t>plant vegetative growth</w:t>
      </w:r>
      <w:r w:rsidR="00315DB7">
        <w:rPr>
          <w:rFonts w:ascii="Times New Roman" w:hAnsi="Times New Roman" w:cs="Times New Roman"/>
          <w:bCs/>
          <w:color w:val="000000" w:themeColor="text1"/>
          <w:sz w:val="20"/>
          <w:szCs w:val="20"/>
          <w:lang w:val="en-US"/>
        </w:rPr>
        <w:t xml:space="preserve"> param</w:t>
      </w:r>
      <w:r w:rsidR="002A71FB">
        <w:rPr>
          <w:rFonts w:ascii="Times New Roman" w:hAnsi="Times New Roman" w:cs="Times New Roman"/>
          <w:bCs/>
          <w:color w:val="000000" w:themeColor="text1"/>
          <w:sz w:val="20"/>
          <w:szCs w:val="20"/>
          <w:lang w:val="en-US"/>
        </w:rPr>
        <w:t>e</w:t>
      </w:r>
      <w:r w:rsidR="00315DB7">
        <w:rPr>
          <w:rFonts w:ascii="Times New Roman" w:hAnsi="Times New Roman" w:cs="Times New Roman"/>
          <w:bCs/>
          <w:color w:val="000000" w:themeColor="text1"/>
          <w:sz w:val="20"/>
          <w:szCs w:val="20"/>
          <w:lang w:val="en-US"/>
        </w:rPr>
        <w:t>ters</w:t>
      </w:r>
      <w:r w:rsidR="00FF2A0B">
        <w:rPr>
          <w:rFonts w:ascii="Times New Roman" w:hAnsi="Times New Roman" w:cs="Times New Roman"/>
          <w:bCs/>
          <w:color w:val="000000" w:themeColor="text1"/>
          <w:sz w:val="20"/>
          <w:szCs w:val="20"/>
          <w:lang w:val="en-US"/>
        </w:rPr>
        <w:t>,</w:t>
      </w:r>
      <w:r w:rsidR="00315DB7">
        <w:rPr>
          <w:rFonts w:ascii="Times New Roman" w:hAnsi="Times New Roman" w:cs="Times New Roman"/>
          <w:bCs/>
          <w:color w:val="000000" w:themeColor="text1"/>
          <w:sz w:val="20"/>
          <w:szCs w:val="20"/>
          <w:lang w:val="en-US"/>
        </w:rPr>
        <w:t xml:space="preserve"> </w:t>
      </w:r>
      <w:r w:rsidR="00FF2A0B" w:rsidRPr="00EE29AC">
        <w:rPr>
          <w:rFonts w:ascii="Times New Roman" w:hAnsi="Times New Roman" w:cs="Times New Roman"/>
          <w:bCs/>
          <w:color w:val="000000" w:themeColor="text1"/>
          <w:sz w:val="20"/>
          <w:szCs w:val="20"/>
          <w:lang w:val="en-US"/>
        </w:rPr>
        <w:t xml:space="preserve">root colonization </w:t>
      </w:r>
      <w:r w:rsidR="00315DB7">
        <w:rPr>
          <w:rFonts w:ascii="Times New Roman" w:hAnsi="Times New Roman" w:cs="Times New Roman"/>
          <w:bCs/>
          <w:color w:val="000000" w:themeColor="text1"/>
          <w:sz w:val="20"/>
          <w:szCs w:val="20"/>
          <w:lang w:val="en-US"/>
        </w:rPr>
        <w:t>as well as</w:t>
      </w:r>
      <w:r w:rsidRPr="00EE29AC">
        <w:rPr>
          <w:rFonts w:ascii="Times New Roman" w:hAnsi="Times New Roman" w:cs="Times New Roman"/>
          <w:bCs/>
          <w:color w:val="000000" w:themeColor="text1"/>
          <w:sz w:val="20"/>
          <w:szCs w:val="20"/>
          <w:lang w:val="en-US"/>
        </w:rPr>
        <w:t xml:space="preserve"> soil, root </w:t>
      </w:r>
      <w:r w:rsidR="00FF2A0B" w:rsidRPr="00EE29AC">
        <w:rPr>
          <w:rFonts w:ascii="Times New Roman" w:hAnsi="Times New Roman" w:cs="Times New Roman"/>
          <w:bCs/>
          <w:color w:val="000000" w:themeColor="text1"/>
          <w:sz w:val="20"/>
          <w:szCs w:val="20"/>
          <w:lang w:val="en-US"/>
        </w:rPr>
        <w:t xml:space="preserve">and leaf </w:t>
      </w:r>
      <w:r w:rsidRPr="00EE29AC">
        <w:rPr>
          <w:rFonts w:ascii="Times New Roman" w:hAnsi="Times New Roman" w:cs="Times New Roman"/>
          <w:bCs/>
          <w:color w:val="000000" w:themeColor="text1"/>
          <w:sz w:val="20"/>
          <w:szCs w:val="20"/>
          <w:lang w:val="en-US"/>
        </w:rPr>
        <w:t>nutrient contents were analyzed.</w:t>
      </w:r>
      <w:r w:rsidR="00EE29AC">
        <w:rPr>
          <w:rFonts w:ascii="Times New Roman" w:hAnsi="Times New Roman" w:cs="Times New Roman"/>
          <w:bCs/>
          <w:color w:val="000000" w:themeColor="text1"/>
          <w:sz w:val="20"/>
          <w:szCs w:val="20"/>
          <w:lang w:val="en-US"/>
        </w:rPr>
        <w:t xml:space="preserve"> </w:t>
      </w:r>
    </w:p>
    <w:p w14:paraId="16FD10BF" w14:textId="60E6366F" w:rsidR="00A961F9" w:rsidRPr="00064F90" w:rsidRDefault="00EE29AC" w:rsidP="00315DB7">
      <w:pPr>
        <w:autoSpaceDE w:val="0"/>
        <w:autoSpaceDN w:val="0"/>
        <w:adjustRightInd w:val="0"/>
        <w:spacing w:after="0" w:line="480" w:lineRule="auto"/>
        <w:jc w:val="both"/>
        <w:rPr>
          <w:rFonts w:ascii="Times New Roman" w:eastAsia="Times New Roman" w:hAnsi="Times New Roman" w:cs="Times New Roman"/>
          <w:color w:val="000000" w:themeColor="text1"/>
          <w:sz w:val="20"/>
          <w:szCs w:val="20"/>
          <w:lang w:val="en-US" w:eastAsia="pt-PT"/>
        </w:rPr>
      </w:pPr>
      <w:r>
        <w:rPr>
          <w:rFonts w:ascii="Times New Roman" w:hAnsi="Times New Roman" w:cs="Times New Roman"/>
          <w:bCs/>
          <w:color w:val="000000" w:themeColor="text1"/>
          <w:sz w:val="20"/>
          <w:szCs w:val="20"/>
          <w:lang w:val="en-US"/>
        </w:rPr>
        <w:t>I</w:t>
      </w:r>
      <w:r w:rsidR="00A961F9" w:rsidRPr="00064F90">
        <w:rPr>
          <w:rFonts w:ascii="Times New Roman" w:hAnsi="Times New Roman" w:cs="Times New Roman"/>
          <w:bCs/>
          <w:color w:val="000000" w:themeColor="text1"/>
          <w:sz w:val="20"/>
          <w:szCs w:val="20"/>
          <w:lang w:val="en-US"/>
        </w:rPr>
        <w:t xml:space="preserve">n the </w:t>
      </w:r>
      <w:r w:rsidR="00281857">
        <w:rPr>
          <w:rFonts w:ascii="Times New Roman" w:hAnsi="Times New Roman" w:cs="Times New Roman"/>
          <w:bCs/>
          <w:color w:val="000000" w:themeColor="text1"/>
          <w:sz w:val="20"/>
          <w:szCs w:val="20"/>
          <w:lang w:val="en-US"/>
        </w:rPr>
        <w:t xml:space="preserve">soil where </w:t>
      </w:r>
      <w:r w:rsidR="00A961F9" w:rsidRPr="00064F90">
        <w:rPr>
          <w:rFonts w:ascii="Times New Roman" w:hAnsi="Times New Roman" w:cs="Times New Roman"/>
          <w:bCs/>
          <w:color w:val="000000" w:themeColor="text1"/>
          <w:sz w:val="20"/>
          <w:szCs w:val="20"/>
          <w:lang w:val="en-US"/>
        </w:rPr>
        <w:t>Cu</w:t>
      </w:r>
      <w:r w:rsidR="00281857">
        <w:rPr>
          <w:rFonts w:ascii="Times New Roman" w:hAnsi="Times New Roman" w:cs="Times New Roman"/>
          <w:bCs/>
          <w:color w:val="000000" w:themeColor="text1"/>
          <w:sz w:val="20"/>
          <w:szCs w:val="20"/>
          <w:lang w:val="en-US"/>
        </w:rPr>
        <w:t xml:space="preserve"> was applied</w:t>
      </w:r>
      <w:r w:rsidR="00A961F9" w:rsidRPr="00064F90">
        <w:rPr>
          <w:rFonts w:ascii="Times New Roman" w:hAnsi="Times New Roman" w:cs="Times New Roman"/>
          <w:bCs/>
          <w:color w:val="000000" w:themeColor="text1"/>
          <w:sz w:val="20"/>
          <w:szCs w:val="20"/>
          <w:lang w:val="en-US"/>
        </w:rPr>
        <w:t xml:space="preserve">, </w:t>
      </w:r>
      <w:r w:rsidR="00A961F9" w:rsidRPr="00064F90">
        <w:rPr>
          <w:rFonts w:ascii="Times New Roman" w:hAnsi="Times New Roman" w:cs="Times New Roman"/>
          <w:bCs/>
          <w:i/>
          <w:iCs/>
          <w:color w:val="000000" w:themeColor="text1"/>
          <w:sz w:val="20"/>
          <w:szCs w:val="20"/>
          <w:lang w:val="en-US"/>
        </w:rPr>
        <w:t>R</w:t>
      </w:r>
      <w:r w:rsidR="00B9766A">
        <w:rPr>
          <w:rFonts w:ascii="Times New Roman" w:hAnsi="Times New Roman" w:cs="Times New Roman"/>
          <w:bCs/>
          <w:i/>
          <w:iCs/>
          <w:color w:val="000000" w:themeColor="text1"/>
          <w:sz w:val="20"/>
          <w:szCs w:val="20"/>
          <w:lang w:val="en-US"/>
        </w:rPr>
        <w:t>hizoglomus</w:t>
      </w:r>
      <w:r w:rsidR="00A961F9" w:rsidRPr="00064F90">
        <w:rPr>
          <w:rFonts w:ascii="Times New Roman" w:hAnsi="Times New Roman" w:cs="Times New Roman"/>
          <w:bCs/>
          <w:i/>
          <w:iCs/>
          <w:color w:val="000000" w:themeColor="text1"/>
          <w:sz w:val="20"/>
          <w:szCs w:val="20"/>
          <w:lang w:val="en-US"/>
        </w:rPr>
        <w:t xml:space="preserve"> irregular</w:t>
      </w:r>
      <w:r w:rsidR="00B92074">
        <w:rPr>
          <w:rFonts w:ascii="Times New Roman" w:hAnsi="Times New Roman" w:cs="Times New Roman"/>
          <w:bCs/>
          <w:i/>
          <w:iCs/>
          <w:color w:val="000000" w:themeColor="text1"/>
          <w:sz w:val="20"/>
          <w:szCs w:val="20"/>
          <w:lang w:val="en-US"/>
        </w:rPr>
        <w:t>e</w:t>
      </w:r>
      <w:r w:rsidR="00A331BE">
        <w:rPr>
          <w:rFonts w:ascii="Times New Roman" w:hAnsi="Times New Roman" w:cs="Times New Roman"/>
          <w:bCs/>
          <w:i/>
          <w:iCs/>
          <w:color w:val="000000" w:themeColor="text1"/>
          <w:sz w:val="20"/>
          <w:szCs w:val="20"/>
          <w:lang w:val="en-US"/>
        </w:rPr>
        <w:t>-</w:t>
      </w:r>
      <w:r w:rsidR="00A961F9" w:rsidRPr="00064F90">
        <w:rPr>
          <w:rFonts w:ascii="Times New Roman" w:hAnsi="Times New Roman" w:cs="Times New Roman"/>
          <w:bCs/>
          <w:color w:val="000000" w:themeColor="text1"/>
          <w:sz w:val="20"/>
          <w:szCs w:val="20"/>
          <w:lang w:val="en-US"/>
        </w:rPr>
        <w:t xml:space="preserve"> and </w:t>
      </w:r>
      <w:r w:rsidR="00A961F9" w:rsidRPr="00B9766A">
        <w:rPr>
          <w:rFonts w:ascii="Times New Roman" w:hAnsi="Times New Roman" w:cs="Times New Roman"/>
          <w:bCs/>
          <w:i/>
          <w:iCs/>
          <w:color w:val="000000" w:themeColor="text1"/>
          <w:sz w:val="20"/>
          <w:szCs w:val="20"/>
          <w:lang w:val="en-US"/>
        </w:rPr>
        <w:t>F</w:t>
      </w:r>
      <w:r w:rsidR="00B9766A" w:rsidRPr="00B9766A">
        <w:rPr>
          <w:rFonts w:ascii="Times New Roman" w:hAnsi="Times New Roman" w:cs="Times New Roman"/>
          <w:bCs/>
          <w:i/>
          <w:iCs/>
          <w:color w:val="000000" w:themeColor="text1"/>
          <w:sz w:val="20"/>
          <w:szCs w:val="20"/>
          <w:lang w:val="en-US"/>
        </w:rPr>
        <w:t>unneliformis</w:t>
      </w:r>
      <w:r w:rsidR="00A961F9" w:rsidRPr="00064F90">
        <w:rPr>
          <w:rFonts w:ascii="Times New Roman" w:hAnsi="Times New Roman" w:cs="Times New Roman"/>
          <w:bCs/>
          <w:i/>
          <w:iCs/>
          <w:color w:val="000000" w:themeColor="text1"/>
          <w:sz w:val="20"/>
          <w:szCs w:val="20"/>
          <w:lang w:val="en-US"/>
        </w:rPr>
        <w:t xml:space="preserve"> mosseae</w:t>
      </w:r>
      <w:r w:rsidR="00A331BE">
        <w:rPr>
          <w:rFonts w:ascii="Times New Roman" w:hAnsi="Times New Roman" w:cs="Times New Roman"/>
          <w:bCs/>
          <w:i/>
          <w:iCs/>
          <w:color w:val="000000" w:themeColor="text1"/>
          <w:sz w:val="20"/>
          <w:szCs w:val="20"/>
          <w:lang w:val="en-US"/>
        </w:rPr>
        <w:t>-</w:t>
      </w:r>
      <w:r w:rsidR="00A331BE" w:rsidRPr="00A331BE">
        <w:rPr>
          <w:rFonts w:ascii="Times New Roman" w:hAnsi="Times New Roman" w:cs="Times New Roman"/>
          <w:bCs/>
          <w:color w:val="000000" w:themeColor="text1"/>
          <w:sz w:val="20"/>
          <w:szCs w:val="20"/>
          <w:lang w:val="en-US"/>
        </w:rPr>
        <w:t>inoculated plants</w:t>
      </w:r>
      <w:r w:rsidR="00A961F9" w:rsidRPr="00064F90">
        <w:rPr>
          <w:rFonts w:ascii="Times New Roman" w:hAnsi="Times New Roman" w:cs="Times New Roman"/>
          <w:bCs/>
          <w:i/>
          <w:iCs/>
          <w:color w:val="000000" w:themeColor="text1"/>
          <w:sz w:val="20"/>
          <w:szCs w:val="20"/>
          <w:lang w:val="en-US"/>
        </w:rPr>
        <w:t xml:space="preserve"> </w:t>
      </w:r>
      <w:r w:rsidR="00A961F9" w:rsidRPr="00064F90">
        <w:rPr>
          <w:rFonts w:ascii="Times New Roman" w:hAnsi="Times New Roman" w:cs="Times New Roman"/>
          <w:bCs/>
          <w:color w:val="000000" w:themeColor="text1"/>
          <w:sz w:val="20"/>
          <w:szCs w:val="20"/>
          <w:lang w:val="en-US"/>
        </w:rPr>
        <w:t xml:space="preserve">showed significantly higher root biomass than </w:t>
      </w:r>
      <w:r w:rsidR="00A331BE">
        <w:rPr>
          <w:rFonts w:ascii="Times New Roman" w:hAnsi="Times New Roman" w:cs="Times New Roman"/>
          <w:bCs/>
          <w:color w:val="000000" w:themeColor="text1"/>
          <w:sz w:val="20"/>
          <w:szCs w:val="20"/>
          <w:lang w:val="en-US"/>
        </w:rPr>
        <w:t xml:space="preserve">the </w:t>
      </w:r>
      <w:r w:rsidR="00A961F9" w:rsidRPr="00064F90">
        <w:rPr>
          <w:rFonts w:ascii="Times New Roman" w:hAnsi="Times New Roman" w:cs="Times New Roman"/>
          <w:bCs/>
          <w:color w:val="000000" w:themeColor="text1"/>
          <w:sz w:val="20"/>
          <w:szCs w:val="20"/>
          <w:lang w:val="en-US"/>
        </w:rPr>
        <w:t xml:space="preserve">non-inoculated </w:t>
      </w:r>
      <w:r w:rsidR="00A331BE">
        <w:rPr>
          <w:rFonts w:ascii="Times New Roman" w:hAnsi="Times New Roman" w:cs="Times New Roman"/>
          <w:bCs/>
          <w:color w:val="000000" w:themeColor="text1"/>
          <w:sz w:val="20"/>
          <w:szCs w:val="20"/>
          <w:lang w:val="en-US"/>
        </w:rPr>
        <w:t>one</w:t>
      </w:r>
      <w:r w:rsidR="00A961F9" w:rsidRPr="00064F90">
        <w:rPr>
          <w:rFonts w:ascii="Times New Roman" w:hAnsi="Times New Roman" w:cs="Times New Roman"/>
          <w:bCs/>
          <w:color w:val="000000" w:themeColor="text1"/>
          <w:sz w:val="20"/>
          <w:szCs w:val="20"/>
          <w:lang w:val="en-US"/>
        </w:rPr>
        <w:t xml:space="preserve">s, and </w:t>
      </w:r>
      <w:r w:rsidR="00A961F9" w:rsidRPr="00064F90">
        <w:rPr>
          <w:rFonts w:ascii="Times New Roman" w:hAnsi="Times New Roman" w:cs="Times New Roman"/>
          <w:bCs/>
          <w:i/>
          <w:iCs/>
          <w:color w:val="000000" w:themeColor="text1"/>
          <w:sz w:val="20"/>
          <w:szCs w:val="20"/>
          <w:lang w:val="en-US"/>
        </w:rPr>
        <w:t>R. irregular</w:t>
      </w:r>
      <w:r w:rsidR="00B92074">
        <w:rPr>
          <w:rFonts w:ascii="Times New Roman" w:hAnsi="Times New Roman" w:cs="Times New Roman"/>
          <w:bCs/>
          <w:i/>
          <w:iCs/>
          <w:color w:val="000000" w:themeColor="text1"/>
          <w:sz w:val="20"/>
          <w:szCs w:val="20"/>
          <w:lang w:val="en-US"/>
        </w:rPr>
        <w:t>e</w:t>
      </w:r>
      <w:r w:rsidR="00A961F9" w:rsidRPr="00064F90">
        <w:rPr>
          <w:rFonts w:ascii="Times New Roman" w:hAnsi="Times New Roman" w:cs="Times New Roman"/>
          <w:bCs/>
          <w:color w:val="000000" w:themeColor="text1"/>
          <w:sz w:val="20"/>
          <w:szCs w:val="20"/>
          <w:lang w:val="en-US"/>
        </w:rPr>
        <w:t xml:space="preserve">-inoculated plants </w:t>
      </w:r>
      <w:r w:rsidR="00A961F9" w:rsidRPr="00064F90">
        <w:rPr>
          <w:rFonts w:ascii="Times New Roman" w:hAnsi="Times New Roman" w:cs="Times New Roman"/>
          <w:color w:val="000000" w:themeColor="text1"/>
          <w:sz w:val="20"/>
          <w:szCs w:val="20"/>
          <w:lang w:val="en-US"/>
        </w:rPr>
        <w:t xml:space="preserve">were the ones with the highest root P and Fe concentrations. However, when </w:t>
      </w:r>
      <w:r w:rsidR="00A961F9" w:rsidRPr="00064F90">
        <w:rPr>
          <w:rFonts w:ascii="Times New Roman" w:hAnsi="Times New Roman" w:cs="Times New Roman"/>
          <w:bCs/>
          <w:color w:val="000000" w:themeColor="text1"/>
          <w:sz w:val="20"/>
          <w:szCs w:val="20"/>
          <w:lang w:val="en-US"/>
        </w:rPr>
        <w:t xml:space="preserve">Cu and FeNaEDTA were applied together to the soil, </w:t>
      </w:r>
      <w:r w:rsidR="00A961F9">
        <w:rPr>
          <w:rFonts w:ascii="Times New Roman" w:hAnsi="Times New Roman" w:cs="Times New Roman"/>
          <w:bCs/>
          <w:color w:val="000000" w:themeColor="text1"/>
          <w:sz w:val="20"/>
          <w:szCs w:val="20"/>
          <w:lang w:val="en-US"/>
        </w:rPr>
        <w:t>AMF</w:t>
      </w:r>
      <w:r w:rsidR="00A961F9" w:rsidRPr="00064F90">
        <w:rPr>
          <w:rFonts w:ascii="Times New Roman" w:eastAsia="MinionPro-Regular" w:hAnsi="Times New Roman" w:cs="Times New Roman"/>
          <w:color w:val="000000" w:themeColor="text1"/>
          <w:sz w:val="20"/>
          <w:szCs w:val="20"/>
          <w:lang w:val="en-US"/>
        </w:rPr>
        <w:t xml:space="preserve"> </w:t>
      </w:r>
      <w:r w:rsidR="00A961F9">
        <w:rPr>
          <w:rFonts w:ascii="Times New Roman" w:eastAsia="MinionPro-Regular" w:hAnsi="Times New Roman" w:cs="Times New Roman"/>
          <w:color w:val="000000" w:themeColor="text1"/>
          <w:sz w:val="20"/>
          <w:szCs w:val="20"/>
          <w:lang w:val="en-US"/>
        </w:rPr>
        <w:t xml:space="preserve">inoculation </w:t>
      </w:r>
      <w:r w:rsidR="008B3AD4">
        <w:rPr>
          <w:rFonts w:ascii="Times New Roman" w:eastAsia="MinionPro-Regular" w:hAnsi="Times New Roman" w:cs="Times New Roman"/>
          <w:color w:val="000000" w:themeColor="text1"/>
          <w:sz w:val="20"/>
          <w:szCs w:val="20"/>
          <w:lang w:val="en-US"/>
        </w:rPr>
        <w:t>was no longer an asset for grapevines</w:t>
      </w:r>
      <w:r w:rsidR="00A961F9">
        <w:rPr>
          <w:rFonts w:ascii="Times New Roman" w:eastAsia="MinionPro-Regular" w:hAnsi="Times New Roman" w:cs="Times New Roman"/>
          <w:color w:val="000000" w:themeColor="text1"/>
          <w:sz w:val="20"/>
          <w:szCs w:val="20"/>
          <w:lang w:val="en-US"/>
        </w:rPr>
        <w:t xml:space="preserve">, and overall, </w:t>
      </w:r>
      <w:r w:rsidR="00A961F9" w:rsidRPr="00064F90">
        <w:rPr>
          <w:rFonts w:ascii="Times New Roman" w:hAnsi="Times New Roman" w:cs="Times New Roman"/>
          <w:bCs/>
          <w:color w:val="000000" w:themeColor="text1"/>
          <w:sz w:val="20"/>
          <w:szCs w:val="20"/>
          <w:lang w:val="en-US"/>
        </w:rPr>
        <w:t xml:space="preserve">root biomass decreased, translocation of Cu to leaves was stimulated, and a significant decrease in leaf Mn concentrations was detected, below the </w:t>
      </w:r>
      <w:r>
        <w:rPr>
          <w:rFonts w:ascii="Times New Roman" w:hAnsi="Times New Roman" w:cs="Times New Roman"/>
          <w:bCs/>
          <w:color w:val="000000" w:themeColor="text1"/>
          <w:sz w:val="20"/>
          <w:szCs w:val="20"/>
          <w:lang w:val="en-US"/>
        </w:rPr>
        <w:t>levels</w:t>
      </w:r>
      <w:r w:rsidR="00A961F9" w:rsidRPr="00064F90">
        <w:rPr>
          <w:rFonts w:ascii="Times New Roman" w:hAnsi="Times New Roman" w:cs="Times New Roman"/>
          <w:bCs/>
          <w:color w:val="000000" w:themeColor="text1"/>
          <w:sz w:val="20"/>
          <w:szCs w:val="20"/>
          <w:lang w:val="en-US"/>
        </w:rPr>
        <w:t xml:space="preserve"> found in </w:t>
      </w:r>
      <w:r w:rsidR="00D9072F">
        <w:rPr>
          <w:rFonts w:ascii="Times New Roman" w:hAnsi="Times New Roman" w:cs="Times New Roman"/>
          <w:bCs/>
          <w:color w:val="000000" w:themeColor="text1"/>
          <w:sz w:val="20"/>
          <w:szCs w:val="20"/>
          <w:lang w:val="en-US"/>
        </w:rPr>
        <w:t>control</w:t>
      </w:r>
      <w:r w:rsidR="00A961F9" w:rsidRPr="00064F90">
        <w:rPr>
          <w:rFonts w:ascii="Times New Roman" w:hAnsi="Times New Roman" w:cs="Times New Roman"/>
          <w:bCs/>
          <w:color w:val="000000" w:themeColor="text1"/>
          <w:sz w:val="20"/>
          <w:szCs w:val="20"/>
          <w:lang w:val="en-US"/>
        </w:rPr>
        <w:t xml:space="preserve"> soils</w:t>
      </w:r>
      <w:r w:rsidR="00A961F9">
        <w:rPr>
          <w:rFonts w:ascii="Times New Roman" w:hAnsi="Times New Roman" w:cs="Times New Roman"/>
          <w:bCs/>
          <w:color w:val="000000" w:themeColor="text1"/>
          <w:sz w:val="20"/>
          <w:szCs w:val="20"/>
          <w:lang w:val="en-US"/>
        </w:rPr>
        <w:t xml:space="preserve">. </w:t>
      </w:r>
      <w:r>
        <w:rPr>
          <w:rFonts w:ascii="Times New Roman" w:hAnsi="Times New Roman" w:cs="Times New Roman"/>
          <w:bCs/>
          <w:color w:val="000000" w:themeColor="text1"/>
          <w:sz w:val="20"/>
          <w:szCs w:val="20"/>
          <w:lang w:val="en-US"/>
        </w:rPr>
        <w:t xml:space="preserve">For this reason, </w:t>
      </w:r>
      <w:r w:rsidRPr="00064F90">
        <w:rPr>
          <w:rFonts w:ascii="Times New Roman" w:eastAsia="Times New Roman" w:hAnsi="Times New Roman" w:cs="Times New Roman"/>
          <w:color w:val="000000" w:themeColor="text1"/>
          <w:sz w:val="20"/>
          <w:szCs w:val="20"/>
          <w:lang w:val="en-US" w:eastAsia="pt-PT"/>
        </w:rPr>
        <w:t xml:space="preserve">in </w:t>
      </w:r>
      <w:r w:rsidR="00D9072F">
        <w:rPr>
          <w:rFonts w:ascii="Times New Roman" w:eastAsia="Times New Roman" w:hAnsi="Times New Roman" w:cs="Times New Roman"/>
          <w:color w:val="000000" w:themeColor="text1"/>
          <w:sz w:val="20"/>
          <w:szCs w:val="20"/>
          <w:lang w:val="en-US" w:eastAsia="pt-PT"/>
        </w:rPr>
        <w:t xml:space="preserve">soils with high </w:t>
      </w:r>
      <w:r w:rsidRPr="00064F90">
        <w:rPr>
          <w:rFonts w:ascii="Times New Roman" w:eastAsia="Times New Roman" w:hAnsi="Times New Roman" w:cs="Times New Roman"/>
          <w:color w:val="000000" w:themeColor="text1"/>
          <w:sz w:val="20"/>
          <w:szCs w:val="20"/>
          <w:lang w:val="en-US" w:eastAsia="pt-PT"/>
        </w:rPr>
        <w:t>Cu-</w:t>
      </w:r>
      <w:r w:rsidR="00D9072F">
        <w:rPr>
          <w:rFonts w:ascii="Times New Roman" w:eastAsia="Times New Roman" w:hAnsi="Times New Roman" w:cs="Times New Roman"/>
          <w:color w:val="000000" w:themeColor="text1"/>
          <w:sz w:val="20"/>
          <w:szCs w:val="20"/>
          <w:lang w:val="en-US" w:eastAsia="pt-PT"/>
        </w:rPr>
        <w:t>concentrations</w:t>
      </w:r>
      <w:r w:rsidR="00315DB7">
        <w:rPr>
          <w:rFonts w:ascii="Times New Roman" w:eastAsia="Times New Roman" w:hAnsi="Times New Roman" w:cs="Times New Roman"/>
          <w:color w:val="000000" w:themeColor="text1"/>
          <w:sz w:val="20"/>
          <w:szCs w:val="20"/>
          <w:lang w:val="en-US" w:eastAsia="pt-PT"/>
        </w:rPr>
        <w:t>,</w:t>
      </w:r>
      <w:r>
        <w:rPr>
          <w:rFonts w:ascii="Times New Roman" w:eastAsia="Times New Roman" w:hAnsi="Times New Roman" w:cs="Times New Roman"/>
          <w:color w:val="000000" w:themeColor="text1"/>
          <w:sz w:val="20"/>
          <w:szCs w:val="20"/>
          <w:lang w:val="en-US" w:eastAsia="pt-PT"/>
        </w:rPr>
        <w:t xml:space="preserve"> </w:t>
      </w:r>
      <w:r>
        <w:rPr>
          <w:rFonts w:ascii="Times New Roman" w:hAnsi="Times New Roman" w:cs="Times New Roman"/>
          <w:bCs/>
          <w:color w:val="000000" w:themeColor="text1"/>
          <w:sz w:val="20"/>
          <w:szCs w:val="20"/>
          <w:lang w:val="en-US"/>
        </w:rPr>
        <w:t xml:space="preserve">although </w:t>
      </w:r>
      <w:r w:rsidR="00A961F9" w:rsidRPr="00064F90">
        <w:rPr>
          <w:rFonts w:ascii="Times New Roman" w:eastAsia="Times New Roman" w:hAnsi="Times New Roman" w:cs="Times New Roman"/>
          <w:color w:val="000000" w:themeColor="text1"/>
          <w:sz w:val="20"/>
          <w:szCs w:val="20"/>
          <w:lang w:val="en-US" w:eastAsia="pt-PT"/>
        </w:rPr>
        <w:t xml:space="preserve">mycorrhizal inoculation </w:t>
      </w:r>
      <w:r>
        <w:rPr>
          <w:rFonts w:ascii="Times New Roman" w:eastAsia="Times New Roman" w:hAnsi="Times New Roman" w:cs="Times New Roman"/>
          <w:color w:val="000000" w:themeColor="text1"/>
          <w:sz w:val="20"/>
          <w:szCs w:val="20"/>
          <w:lang w:val="en-US" w:eastAsia="pt-PT"/>
        </w:rPr>
        <w:t xml:space="preserve">can </w:t>
      </w:r>
      <w:r w:rsidR="00A961F9" w:rsidRPr="00064F90">
        <w:rPr>
          <w:rFonts w:ascii="Times New Roman" w:eastAsia="Times New Roman" w:hAnsi="Times New Roman" w:cs="Times New Roman"/>
          <w:color w:val="000000" w:themeColor="text1"/>
          <w:sz w:val="20"/>
          <w:szCs w:val="20"/>
          <w:lang w:val="en-US" w:eastAsia="pt-PT"/>
        </w:rPr>
        <w:lastRenderedPageBreak/>
        <w:t xml:space="preserve">be a suitable strategy to improve plant growth and nutrition, </w:t>
      </w:r>
      <w:r>
        <w:rPr>
          <w:rFonts w:ascii="Times New Roman" w:eastAsia="Times New Roman" w:hAnsi="Times New Roman" w:cs="Times New Roman"/>
          <w:color w:val="000000" w:themeColor="text1"/>
          <w:sz w:val="20"/>
          <w:szCs w:val="20"/>
          <w:lang w:val="en-US" w:eastAsia="pt-PT"/>
        </w:rPr>
        <w:t>the use</w:t>
      </w:r>
      <w:r w:rsidR="00A961F9" w:rsidRPr="00064F90">
        <w:rPr>
          <w:rFonts w:ascii="Times New Roman" w:eastAsia="Times New Roman" w:hAnsi="Times New Roman" w:cs="Times New Roman"/>
          <w:color w:val="000000" w:themeColor="text1"/>
          <w:sz w:val="20"/>
          <w:szCs w:val="20"/>
          <w:lang w:val="en-US" w:eastAsia="pt-PT"/>
        </w:rPr>
        <w:t xml:space="preserve"> </w:t>
      </w:r>
      <w:r w:rsidR="00834DB0">
        <w:rPr>
          <w:rFonts w:ascii="Times New Roman" w:eastAsia="Times New Roman" w:hAnsi="Times New Roman" w:cs="Times New Roman"/>
          <w:color w:val="000000" w:themeColor="text1"/>
          <w:sz w:val="20"/>
          <w:szCs w:val="20"/>
          <w:lang w:val="en-US" w:eastAsia="pt-PT"/>
        </w:rPr>
        <w:t xml:space="preserve">of </w:t>
      </w:r>
      <w:r w:rsidR="00A961F9" w:rsidRPr="00064F90">
        <w:rPr>
          <w:rFonts w:ascii="Times New Roman" w:eastAsia="Times New Roman" w:hAnsi="Times New Roman" w:cs="Times New Roman"/>
          <w:color w:val="000000" w:themeColor="text1"/>
          <w:sz w:val="20"/>
          <w:szCs w:val="20"/>
          <w:lang w:val="en-US" w:eastAsia="pt-PT"/>
        </w:rPr>
        <w:t>EDTA</w:t>
      </w:r>
      <w:r>
        <w:rPr>
          <w:rFonts w:ascii="Times New Roman" w:eastAsia="Times New Roman" w:hAnsi="Times New Roman" w:cs="Times New Roman"/>
          <w:color w:val="000000" w:themeColor="text1"/>
          <w:sz w:val="20"/>
          <w:szCs w:val="20"/>
          <w:lang w:val="en-US" w:eastAsia="pt-PT"/>
        </w:rPr>
        <w:t>-based</w:t>
      </w:r>
      <w:r w:rsidR="00A961F9" w:rsidRPr="00064F90">
        <w:rPr>
          <w:rFonts w:ascii="Times New Roman" w:eastAsia="Times New Roman" w:hAnsi="Times New Roman" w:cs="Times New Roman"/>
          <w:color w:val="000000" w:themeColor="text1"/>
          <w:sz w:val="20"/>
          <w:szCs w:val="20"/>
          <w:lang w:val="en-US" w:eastAsia="pt-PT"/>
        </w:rPr>
        <w:t xml:space="preserve"> </w:t>
      </w:r>
      <w:r>
        <w:rPr>
          <w:rFonts w:ascii="Times New Roman" w:eastAsia="Times New Roman" w:hAnsi="Times New Roman" w:cs="Times New Roman"/>
          <w:color w:val="000000" w:themeColor="text1"/>
          <w:sz w:val="20"/>
          <w:szCs w:val="20"/>
          <w:lang w:val="en-US" w:eastAsia="pt-PT"/>
        </w:rPr>
        <w:t>products should be avoided</w:t>
      </w:r>
      <w:r w:rsidR="00A961F9" w:rsidRPr="00064F90">
        <w:rPr>
          <w:rFonts w:ascii="Times New Roman" w:eastAsia="Times New Roman" w:hAnsi="Times New Roman" w:cs="Times New Roman"/>
          <w:color w:val="000000" w:themeColor="text1"/>
          <w:sz w:val="20"/>
          <w:szCs w:val="20"/>
          <w:lang w:val="en-US" w:eastAsia="pt-PT"/>
        </w:rPr>
        <w:t xml:space="preserve">, </w:t>
      </w:r>
      <w:r>
        <w:rPr>
          <w:rFonts w:ascii="Times New Roman" w:eastAsia="Times New Roman" w:hAnsi="Times New Roman" w:cs="Times New Roman"/>
          <w:color w:val="000000" w:themeColor="text1"/>
          <w:sz w:val="20"/>
          <w:szCs w:val="20"/>
          <w:lang w:val="en-US" w:eastAsia="pt-PT"/>
        </w:rPr>
        <w:t xml:space="preserve">as </w:t>
      </w:r>
      <w:r w:rsidR="00315DB7">
        <w:rPr>
          <w:rFonts w:ascii="Times New Roman" w:eastAsia="Times New Roman" w:hAnsi="Times New Roman" w:cs="Times New Roman"/>
          <w:color w:val="000000" w:themeColor="text1"/>
          <w:sz w:val="20"/>
          <w:szCs w:val="20"/>
          <w:lang w:val="en-US" w:eastAsia="pt-PT"/>
        </w:rPr>
        <w:t xml:space="preserve">it can lead to </w:t>
      </w:r>
      <w:r w:rsidR="00A961F9" w:rsidRPr="00064F90">
        <w:rPr>
          <w:rFonts w:ascii="Times New Roman" w:eastAsia="MinionPro-Regular" w:hAnsi="Times New Roman" w:cs="Times New Roman"/>
          <w:color w:val="000000" w:themeColor="text1"/>
          <w:sz w:val="20"/>
          <w:szCs w:val="20"/>
          <w:lang w:val="en-US"/>
        </w:rPr>
        <w:t xml:space="preserve">an amplification of </w:t>
      </w:r>
      <w:r>
        <w:rPr>
          <w:rFonts w:ascii="Times New Roman" w:eastAsia="MinionPro-Regular" w:hAnsi="Times New Roman" w:cs="Times New Roman"/>
          <w:color w:val="000000" w:themeColor="text1"/>
          <w:sz w:val="20"/>
          <w:szCs w:val="20"/>
          <w:lang w:val="en-US"/>
        </w:rPr>
        <w:t xml:space="preserve">the </w:t>
      </w:r>
      <w:r w:rsidR="003600B9">
        <w:rPr>
          <w:rFonts w:ascii="Times New Roman" w:eastAsia="MinionPro-Regular" w:hAnsi="Times New Roman" w:cs="Times New Roman"/>
          <w:color w:val="000000" w:themeColor="text1"/>
          <w:sz w:val="20"/>
          <w:szCs w:val="20"/>
          <w:lang w:val="en-US"/>
        </w:rPr>
        <w:t>toxic</w:t>
      </w:r>
      <w:r w:rsidR="003600B9" w:rsidRPr="00064F90">
        <w:rPr>
          <w:rFonts w:ascii="Times New Roman" w:eastAsia="MinionPro-Regular" w:hAnsi="Times New Roman" w:cs="Times New Roman"/>
          <w:color w:val="000000" w:themeColor="text1"/>
          <w:sz w:val="20"/>
          <w:szCs w:val="20"/>
          <w:lang w:val="en-US"/>
        </w:rPr>
        <w:t xml:space="preserve"> </w:t>
      </w:r>
      <w:r w:rsidR="00A961F9" w:rsidRPr="00064F90">
        <w:rPr>
          <w:rFonts w:ascii="Times New Roman" w:eastAsia="MinionPro-Regular" w:hAnsi="Times New Roman" w:cs="Times New Roman"/>
          <w:color w:val="000000" w:themeColor="text1"/>
          <w:sz w:val="20"/>
          <w:szCs w:val="20"/>
          <w:lang w:val="en-US"/>
        </w:rPr>
        <w:t xml:space="preserve">effects </w:t>
      </w:r>
      <w:r w:rsidR="006D577C">
        <w:rPr>
          <w:rFonts w:ascii="Times New Roman" w:eastAsia="MinionPro-Regular" w:hAnsi="Times New Roman" w:cs="Times New Roman"/>
          <w:color w:val="000000" w:themeColor="text1"/>
          <w:sz w:val="20"/>
          <w:szCs w:val="20"/>
          <w:lang w:val="en-US"/>
        </w:rPr>
        <w:t xml:space="preserve">commonly </w:t>
      </w:r>
      <w:r w:rsidR="00A961F9" w:rsidRPr="00064F90">
        <w:rPr>
          <w:rFonts w:ascii="Times New Roman" w:eastAsia="MinionPro-Regular" w:hAnsi="Times New Roman" w:cs="Times New Roman"/>
          <w:color w:val="000000" w:themeColor="text1"/>
          <w:sz w:val="20"/>
          <w:szCs w:val="20"/>
          <w:lang w:val="en-US"/>
        </w:rPr>
        <w:t xml:space="preserve">caused by </w:t>
      </w:r>
      <w:r w:rsidRPr="00EE29AC">
        <w:rPr>
          <w:rFonts w:ascii="Times New Roman" w:hAnsi="Times New Roman" w:cs="Times New Roman"/>
          <w:bCs/>
          <w:color w:val="000000" w:themeColor="text1"/>
          <w:sz w:val="20"/>
          <w:szCs w:val="20"/>
          <w:lang w:val="en-US"/>
        </w:rPr>
        <w:t>the excess of Cu in plants</w:t>
      </w:r>
      <w:r w:rsidR="00A961F9" w:rsidRPr="00064F90">
        <w:rPr>
          <w:rFonts w:ascii="Times New Roman" w:hAnsi="Times New Roman" w:cs="Times New Roman"/>
          <w:bCs/>
          <w:color w:val="000000" w:themeColor="text1"/>
          <w:sz w:val="20"/>
          <w:szCs w:val="20"/>
          <w:lang w:val="en-US"/>
        </w:rPr>
        <w:t>.</w:t>
      </w:r>
    </w:p>
    <w:p w14:paraId="5EB3340C" w14:textId="7752B805" w:rsidR="006F270C" w:rsidRPr="0038058A" w:rsidRDefault="006F270C" w:rsidP="006F270C">
      <w:pPr>
        <w:autoSpaceDE w:val="0"/>
        <w:autoSpaceDN w:val="0"/>
        <w:adjustRightInd w:val="0"/>
        <w:spacing w:after="0" w:line="240" w:lineRule="auto"/>
        <w:rPr>
          <w:rFonts w:ascii="Times New Roman" w:eastAsia="OpenSans-Bold" w:hAnsi="Times New Roman" w:cs="Times New Roman"/>
          <w:b/>
          <w:bCs/>
          <w:sz w:val="20"/>
          <w:szCs w:val="20"/>
          <w:lang w:val="en-US"/>
        </w:rPr>
      </w:pPr>
    </w:p>
    <w:p w14:paraId="713641BB" w14:textId="3A9C9C9B" w:rsidR="006F270C" w:rsidRPr="0038058A" w:rsidRDefault="006F270C" w:rsidP="00315DB7">
      <w:pPr>
        <w:autoSpaceDE w:val="0"/>
        <w:autoSpaceDN w:val="0"/>
        <w:adjustRightInd w:val="0"/>
        <w:spacing w:after="0" w:line="480" w:lineRule="auto"/>
        <w:jc w:val="both"/>
        <w:rPr>
          <w:rFonts w:ascii="Times New Roman" w:eastAsia="OpenSans-Bold" w:hAnsi="Times New Roman" w:cs="Times New Roman"/>
          <w:sz w:val="20"/>
          <w:szCs w:val="20"/>
          <w:lang w:val="en-US"/>
        </w:rPr>
      </w:pPr>
      <w:r w:rsidRPr="0038058A">
        <w:rPr>
          <w:rFonts w:ascii="Times New Roman" w:eastAsia="OpenSans-Bold" w:hAnsi="Times New Roman" w:cs="Times New Roman"/>
          <w:b/>
          <w:bCs/>
          <w:sz w:val="20"/>
          <w:szCs w:val="20"/>
          <w:lang w:val="en-US"/>
        </w:rPr>
        <w:t xml:space="preserve">Key words: </w:t>
      </w:r>
      <w:r w:rsidR="00315DB7">
        <w:rPr>
          <w:rFonts w:ascii="Times New Roman" w:eastAsia="OpenSans-Bold" w:hAnsi="Times New Roman" w:cs="Times New Roman"/>
          <w:sz w:val="20"/>
          <w:szCs w:val="20"/>
          <w:lang w:val="en-US"/>
        </w:rPr>
        <w:t>A</w:t>
      </w:r>
      <w:r w:rsidRPr="0038058A">
        <w:rPr>
          <w:rFonts w:ascii="Times New Roman" w:eastAsia="OpenSans-Bold" w:hAnsi="Times New Roman" w:cs="Times New Roman"/>
          <w:sz w:val="20"/>
          <w:szCs w:val="20"/>
          <w:lang w:val="en-US"/>
        </w:rPr>
        <w:t xml:space="preserve">rbuscular mycorrhizal fungi; </w:t>
      </w:r>
      <w:r w:rsidR="00834DB0">
        <w:rPr>
          <w:rFonts w:ascii="Times New Roman" w:eastAsia="OpenSans-Bold" w:hAnsi="Times New Roman" w:cs="Times New Roman"/>
          <w:sz w:val="20"/>
          <w:szCs w:val="20"/>
          <w:lang w:val="en-US"/>
        </w:rPr>
        <w:t>Copper</w:t>
      </w:r>
      <w:r w:rsidRPr="0038058A">
        <w:rPr>
          <w:rFonts w:ascii="Times New Roman" w:eastAsia="OpenSans-Bold" w:hAnsi="Times New Roman" w:cs="Times New Roman"/>
          <w:sz w:val="20"/>
          <w:szCs w:val="20"/>
          <w:lang w:val="en-US"/>
        </w:rPr>
        <w:t xml:space="preserve"> contamination; </w:t>
      </w:r>
      <w:r w:rsidR="00D677E5" w:rsidRPr="0038058A">
        <w:rPr>
          <w:rFonts w:ascii="Times New Roman" w:hAnsi="Times New Roman" w:cs="Times New Roman"/>
          <w:color w:val="000000" w:themeColor="text1"/>
          <w:sz w:val="20"/>
          <w:szCs w:val="20"/>
          <w:shd w:val="clear" w:color="auto" w:fill="FFFFFF"/>
          <w:lang w:val="en-US"/>
        </w:rPr>
        <w:t>ethylenediaminetetraacetic acid (EDTA)</w:t>
      </w:r>
      <w:r w:rsidR="00D677E5">
        <w:rPr>
          <w:rFonts w:ascii="Times New Roman" w:hAnsi="Times New Roman" w:cs="Times New Roman"/>
          <w:color w:val="000000" w:themeColor="text1"/>
          <w:sz w:val="20"/>
          <w:szCs w:val="20"/>
          <w:shd w:val="clear" w:color="auto" w:fill="FFFFFF"/>
          <w:lang w:val="en-US"/>
        </w:rPr>
        <w:t>;</w:t>
      </w:r>
      <w:r w:rsidR="00D677E5" w:rsidRPr="0038058A">
        <w:rPr>
          <w:rFonts w:ascii="Times New Roman" w:hAnsi="Times New Roman" w:cs="Times New Roman"/>
          <w:color w:val="000000" w:themeColor="text1"/>
          <w:sz w:val="20"/>
          <w:szCs w:val="20"/>
          <w:shd w:val="clear" w:color="auto" w:fill="FFFFFF"/>
          <w:lang w:val="en-US"/>
        </w:rPr>
        <w:t xml:space="preserve"> </w:t>
      </w:r>
      <w:r w:rsidRPr="0038058A">
        <w:rPr>
          <w:rFonts w:ascii="Times New Roman" w:eastAsia="OpenSans-Bold" w:hAnsi="Times New Roman" w:cs="Times New Roman"/>
          <w:sz w:val="20"/>
          <w:szCs w:val="20"/>
          <w:lang w:val="en-US"/>
        </w:rPr>
        <w:t xml:space="preserve">fungicides; nutrient </w:t>
      </w:r>
      <w:r w:rsidR="0067680B">
        <w:rPr>
          <w:rFonts w:ascii="Times New Roman" w:eastAsia="OpenSans-Bold" w:hAnsi="Times New Roman" w:cs="Times New Roman"/>
          <w:sz w:val="20"/>
          <w:szCs w:val="20"/>
          <w:lang w:val="en-US"/>
        </w:rPr>
        <w:t>im</w:t>
      </w:r>
      <w:r w:rsidR="0067680B" w:rsidRPr="0038058A">
        <w:rPr>
          <w:rFonts w:ascii="Times New Roman" w:eastAsia="OpenSans-Bold" w:hAnsi="Times New Roman" w:cs="Times New Roman"/>
          <w:sz w:val="20"/>
          <w:szCs w:val="20"/>
          <w:lang w:val="en-US"/>
        </w:rPr>
        <w:t>balance</w:t>
      </w:r>
      <w:r w:rsidR="008E61A8">
        <w:rPr>
          <w:rFonts w:ascii="Times New Roman" w:eastAsia="OpenSans-Bold" w:hAnsi="Times New Roman" w:cs="Times New Roman"/>
          <w:sz w:val="20"/>
          <w:szCs w:val="20"/>
          <w:lang w:val="en-US"/>
        </w:rPr>
        <w:t>.</w:t>
      </w:r>
      <w:r w:rsidR="00D677E5">
        <w:rPr>
          <w:rFonts w:ascii="Times New Roman" w:eastAsia="OpenSans-Bold" w:hAnsi="Times New Roman" w:cs="Times New Roman"/>
          <w:sz w:val="20"/>
          <w:szCs w:val="20"/>
          <w:lang w:val="en-US"/>
        </w:rPr>
        <w:t xml:space="preserve"> </w:t>
      </w:r>
    </w:p>
    <w:p w14:paraId="7AD99AE3" w14:textId="31F9135E" w:rsidR="00022E09" w:rsidRPr="0038058A" w:rsidRDefault="00022E09" w:rsidP="006D73C2">
      <w:pPr>
        <w:autoSpaceDE w:val="0"/>
        <w:autoSpaceDN w:val="0"/>
        <w:adjustRightInd w:val="0"/>
        <w:spacing w:after="0" w:line="240" w:lineRule="auto"/>
        <w:jc w:val="center"/>
        <w:rPr>
          <w:rFonts w:ascii="Times New Roman" w:eastAsia="OpenSans-Bold" w:hAnsi="Times New Roman" w:cs="Times New Roman"/>
          <w:sz w:val="20"/>
          <w:szCs w:val="20"/>
          <w:lang w:val="en-US"/>
        </w:rPr>
      </w:pPr>
    </w:p>
    <w:p w14:paraId="023EF0F1" w14:textId="77777777" w:rsidR="004A456D" w:rsidRDefault="004A456D" w:rsidP="002D4997">
      <w:pPr>
        <w:autoSpaceDE w:val="0"/>
        <w:autoSpaceDN w:val="0"/>
        <w:adjustRightInd w:val="0"/>
        <w:spacing w:after="0" w:line="360" w:lineRule="auto"/>
        <w:rPr>
          <w:rFonts w:ascii="Times New Roman" w:hAnsi="Times New Roman" w:cs="Times New Roman"/>
          <w:b/>
          <w:shd w:val="clear" w:color="auto" w:fill="FFFFFF"/>
          <w:lang w:val="en-US"/>
        </w:rPr>
      </w:pPr>
      <w:bookmarkStart w:id="3" w:name="_Hlk73604997"/>
    </w:p>
    <w:p w14:paraId="0178CF5C" w14:textId="3E8B54BF" w:rsidR="006D73C2" w:rsidRPr="0067680B" w:rsidRDefault="0037056F" w:rsidP="002D4997">
      <w:pPr>
        <w:autoSpaceDE w:val="0"/>
        <w:autoSpaceDN w:val="0"/>
        <w:adjustRightInd w:val="0"/>
        <w:spacing w:after="0" w:line="360" w:lineRule="auto"/>
        <w:rPr>
          <w:rFonts w:ascii="Times New Roman" w:hAnsi="Times New Roman" w:cs="Times New Roman"/>
          <w:b/>
          <w:shd w:val="clear" w:color="auto" w:fill="FFFFFF"/>
          <w:lang w:val="en-US"/>
        </w:rPr>
      </w:pPr>
      <w:r w:rsidRPr="0067680B">
        <w:rPr>
          <w:rFonts w:ascii="Times New Roman" w:hAnsi="Times New Roman" w:cs="Times New Roman"/>
          <w:b/>
          <w:shd w:val="clear" w:color="auto" w:fill="FFFFFF"/>
          <w:lang w:val="en-US"/>
        </w:rPr>
        <w:t>Introduction</w:t>
      </w:r>
    </w:p>
    <w:p w14:paraId="536DBE31" w14:textId="714A1947" w:rsidR="002B152E" w:rsidRPr="0067680B" w:rsidRDefault="00A573A1" w:rsidP="00315DB7">
      <w:pPr>
        <w:autoSpaceDE w:val="0"/>
        <w:autoSpaceDN w:val="0"/>
        <w:adjustRightInd w:val="0"/>
        <w:spacing w:after="0" w:line="480" w:lineRule="auto"/>
        <w:jc w:val="both"/>
        <w:rPr>
          <w:rFonts w:ascii="Times New Roman" w:hAnsi="Times New Roman" w:cs="Times New Roman"/>
          <w:color w:val="000000" w:themeColor="text1"/>
          <w:lang w:val="en-US"/>
        </w:rPr>
      </w:pPr>
      <w:r w:rsidRPr="0067680B">
        <w:rPr>
          <w:rFonts w:ascii="Times New Roman" w:hAnsi="Times New Roman" w:cs="Times New Roman"/>
          <w:color w:val="000000" w:themeColor="text1"/>
          <w:shd w:val="clear" w:color="auto" w:fill="FFFFFF"/>
          <w:lang w:val="en-US"/>
        </w:rPr>
        <w:t xml:space="preserve">Copper-based fungicides are commonly applied in vineyards to control fungal diseases </w:t>
      </w:r>
      <w:r w:rsidR="006500F3" w:rsidRPr="0067680B">
        <w:rPr>
          <w:rFonts w:ascii="Times New Roman" w:hAnsi="Times New Roman" w:cs="Times New Roman"/>
          <w:color w:val="000000" w:themeColor="text1"/>
          <w:shd w:val="clear" w:color="auto" w:fill="FFFFFF"/>
          <w:lang w:val="en-US"/>
        </w:rPr>
        <w:t xml:space="preserve">such as </w:t>
      </w:r>
      <w:r w:rsidR="00D63A64" w:rsidRPr="0067680B">
        <w:rPr>
          <w:rFonts w:ascii="Times New Roman" w:hAnsi="Times New Roman" w:cs="Times New Roman"/>
          <w:color w:val="000000" w:themeColor="text1"/>
          <w:lang w:val="en-US"/>
        </w:rPr>
        <w:t>downy mildew</w:t>
      </w:r>
      <w:r w:rsidR="002E5E17" w:rsidRPr="0067680B">
        <w:rPr>
          <w:rFonts w:ascii="Times New Roman" w:hAnsi="Times New Roman" w:cs="Times New Roman"/>
          <w:color w:val="000000" w:themeColor="text1"/>
          <w:lang w:val="en-US"/>
        </w:rPr>
        <w:t>,</w:t>
      </w:r>
      <w:r w:rsidR="006500F3" w:rsidRPr="0067680B">
        <w:rPr>
          <w:rFonts w:ascii="Times New Roman" w:hAnsi="Times New Roman" w:cs="Times New Roman"/>
          <w:color w:val="000000" w:themeColor="text1"/>
          <w:lang w:val="en-US"/>
        </w:rPr>
        <w:t xml:space="preserve"> </w:t>
      </w:r>
      <w:r w:rsidRPr="0067680B">
        <w:rPr>
          <w:rFonts w:ascii="Times New Roman" w:hAnsi="Times New Roman" w:cs="Times New Roman"/>
          <w:color w:val="000000" w:themeColor="text1"/>
          <w:shd w:val="clear" w:color="auto" w:fill="FFFFFF"/>
          <w:lang w:val="en-US"/>
        </w:rPr>
        <w:t>that can severely affect grapevine productivity</w:t>
      </w:r>
      <w:r w:rsidR="00992821" w:rsidRPr="0067680B">
        <w:rPr>
          <w:rFonts w:ascii="Times New Roman" w:hAnsi="Times New Roman" w:cs="Times New Roman"/>
          <w:color w:val="000000" w:themeColor="text1"/>
          <w:shd w:val="clear" w:color="auto" w:fill="FFFFFF"/>
          <w:lang w:val="en-US"/>
        </w:rPr>
        <w:t xml:space="preserve"> </w:t>
      </w:r>
      <w:r w:rsidR="002E5E17" w:rsidRPr="0067680B">
        <w:rPr>
          <w:rFonts w:ascii="Times New Roman" w:hAnsi="Times New Roman" w:cs="Times New Roman"/>
          <w:color w:val="000000" w:themeColor="text1"/>
          <w:shd w:val="clear" w:color="auto" w:fill="FFFFFF"/>
          <w:lang w:val="en-US"/>
        </w:rPr>
        <w:fldChar w:fldCharType="begin" w:fldLock="1"/>
      </w:r>
      <w:r w:rsidR="002C7ADD">
        <w:rPr>
          <w:rFonts w:ascii="Times New Roman" w:hAnsi="Times New Roman" w:cs="Times New Roman"/>
          <w:color w:val="000000" w:themeColor="text1"/>
          <w:shd w:val="clear" w:color="auto" w:fill="FFFFFF"/>
          <w:lang w:val="en-US"/>
        </w:rPr>
        <w:instrText>ADDIN CSL_CITATION {"citationItems":[{"id":"ITEM-1","itemData":{"DOI":"10.1007/BF00299485","author":[{"dropping-particle":"","family":"Magalhães","given":"M. J.","non-dropping-particle":"","parse-names":false,"suffix":""},{"dropping-particle":"","family":"Sequeira","given":"E. M.","non-dropping-particle":"","parse-names":false,"suffix":""},{"dropping-particle":"","family":"Lucas","given":"M. D.","non-dropping-particle":"","parse-names":false,"suffix":""}],"container-title":"Water, Air, and Soil Pollution","id":"ITEM-1","issue":"1","issued":{"date-parts":[["1985","9"]]},"page":"1-17","publisher":"Kluwer Academic Publishers","title":"Copper and zinc in vineyards of Central Portugal","type":"article-journal","volume":"26"},"uris":["http://www.mendeley.com/documents/?uuid=412679fe-6f71-3e4e-b36a-45b12829e969"]},{"id":"ITEM-2","itemData":{"DOI":"10.1016/S0269-7491(98)00120-1","ISSN":"0269-7491","abstract":"The repeated use of Cu fungicides to control vine downy mildew has been responsible for the heavy increase of total Cu content in vineyard soils. In a French Mediterranean region (Département de l'Hérault), the total Cu content observed in the upper layer of vineyard soils ranged from 31 to 250 mg kg−1, versus 14 to 29 mg kg−1 in woodland plots. Cu distribution with soil depth showed that Cu input from Cu treatment was essentially concentrated in the upper layers, except for two soil profiles which presented Cu enrichments in deep horizons. EDTA, DTPA and ammonium acetate-extractable Cu were highly correlated with soil total Cu, and were weakly correlated with Cu content in wild plants grown in the plots. These observations suggested that these extraction methods are of limited interest for predicting the availability of Cu to plants in Cu-contaminated soils. In comparison, CaCl2 extractable Cu was not correlated to total Cu and depended mainly on soil pH. When the soil pH increased the quantities of extractable Cu decreased. For soil with neutral to acid pH, CaCl2 extractable Cu was correlated with the contents observed in wild plants. It thus appeared as the best way of predicting plant-available Cu in vineyard soils.","author":[{"dropping-particle":"","family":"Brun","given":"L.A","non-dropping-particle":"","parse-names":false,"suffix":""},{"dropping-particle":"","family":"Maillet","given":"J","non-dropping-particle":"","parse-names":false,"suffix":""},{"dropping-particle":"","family":"Richarte","given":"J","non-dropping-particle":"","parse-names":false,"suffix":""},{"dropping-particle":"","family":"Herrmann","given":"P","non-dropping-particle":"","parse-names":false,"suffix":""},{"dropping-particle":"","family":"Remy","given":"J.C","non-dropping-particle":"","parse-names":false,"suffix":""}],"container-title":"Environmental Pollution","id":"ITEM-2","issue":"2-3","issued":{"date-parts":[["1998","8","1"]]},"page":"151-161","publisher":"Elsevier","title":"Relationships between extractable copper, soil properties and copper uptake by wild plants in vineyard soils","type":"article-journal","volume":"102"},"uris":["http://www.mendeley.com/documents/?uuid=8bc4aeb3-7f6a-3d61-879b-2df9f3c16bea"]},{"id":"ITEM-3","itemData":{"DOI":"10.1016/S0269-7491(00)00151-2","ISSN":"0269-7491","abstract":"The intensive use for over 100 years of copper sulfate (Bordeaux mixture) to fight against mildew in vineyard soils has led to an important, widespread accumulation of Cu (100 to 1500 mg Cu kg−1 soil). In Champagne vineyards, organic amendments are used currently to increase soil fertility and to limit soil erosion. Organic amendments may have a direct effect on the retention of Cu in the soil. To assess the influence of the organic management on the fate of Cu in calcareous Champagne vineyard soils, we studied Cu distribution (1) in the soil profile and (2) among primary soil particles, in vineyard parcels with different amendments. Amendments were oak-bark, vine-shoots and urban compost. The results were compared with the amount and the distribution of Cu in an unamended calcareous soil. Physical soil fractionations were carried out to separate soil primary particles according to their size and density. Cu has a heterogeneous distribution among soil particle fractions. Two fractions were mainly responsible for Cu retention in soils: the organic debris larger than 50 μm or coarse particulate organic matter (POM) issued from the organic amendments, and the clay-sized fraction &lt;2 μm. The POM contained up to 2000 mg Cu kg−1 fraction and the clay fraction contained up to 500 mg Cu kg−1 fraction. The clay-sized fraction was responsible for almost 40% of the total amount of Cu in the four parcels. POM was predominantly responsible for the differences in Cu contents between the unamended and the three amended parcels. Our results attested that methods of soil particle-size fractionation can be successfully used to assess the distribution of metal elements in soils.","author":[{"dropping-particle":"","family":"Besnard","given":"E","non-dropping-particle":"","parse-names":false,"suffix":""},{"dropping-particle":"","family":"Chenu","given":"C","non-dropping-particle":"","parse-names":false,"suffix":""},{"dropping-particle":"","family":"Robert","given":"M","non-dropping-particle":"","parse-names":false,"suffix":""}],"container-title":"Environmental Pollution","id":"ITEM-3","issue":"3","issued":{"date-parts":[["2001","5","1"]]},"page":"329-337","publisher":"Elsevier","title":"Influence of organic amendments on copper distribution among particle-size and density fractions in Champagne vineyard soils","type":"article-journal","volume":"112"},"uris":["http://www.mendeley.com/documents/?uuid=4279f5ce-69b2-35fa-a262-06233820a471"]},{"id":"ITEM-4","itemData":{"DOI":"10.1097/01.ss.0000148739.82992.59","author":[{"dropping-particle":"","family":"Arias","given":"M.","non-dropping-particle":"","parse-names":false,"suffix":""},{"dropping-particle":"","family":"Lopez","given":"E.","non-dropping-particle":"","parse-names":false,"suffix":""},{"dropping-particle":"","family":"Fernandez","given":"D.","non-dropping-particle":"","parse-names":false,"suffix":""},{"dropping-particle":"","family":"Soto","given":"B.","non-dropping-particle":"","parse-names":false,"suffix":""}],"container-title":"Soil Science","id":"ITEM-4","issue":"11","issued":{"date-parts":[["2004","11"]]},"page":"796-805","title":"Copper distribution and dynamics in acid vineyard soils treated with copper-based fungicides","type":"article-journal","volume":"169"},"uris":["http://www.mendeley.com/documents/?uuid=b6b6c8ca-463c-35c5-b2da-dc3007cbabd4"]},{"id":"ITEM-5","itemData":{"DOI":"10.1590/S0100-06832008000400012","ISSN":"0100-0683","abstract":"&lt;p&gt;As aplicações sucessivas de fungicidas cúpricos em videiras podem aumentar o teor de cobre total do solo e modificar a sua distribuição e dessorção no perfil do solo. O trabalho objetivou determinar as formas de cobre e a sua dessorção em solos cultivados com videira e submetidos a sucessivas aplicações de fungicidas cúpricos. Amostras de um solo Neossolo Litólico e Cambissolo Húmico foram coletadas em 2006, nas camadas de 0-20 e 20-40 cm, em um vinhedo com 40 anos, em Bento Gonçalves (RS). Amostras de um solo Neossolo Litólico foram coletadas nas mesmas profundidades, em área de mata natural próxima do vinhedo, e os resultados de análise foram usados como referência. Os solos coletados foram conduzidos ao Laboratório de Química e Fertilidade de Solo da Universidade Federal de Santa Maria, onde foram secos, moídos, passados em peneira de malha de 2 mm, e submetidos ao fracionamento químico do cobre pela metodologia de Tessier et al. (1979) e à cinética de dessorção de cobre com EDTA 0,05 mol L-1, em pH 6,0, conforme proposto por Fangueiro et al. (2005). Os resultados mostram que a aplicação de fungicidas cúpricos em videiras aumenta o teor total e das frações biodisponíveis de cobre do solo, inclusive na camada de 20-40 cm. A maior parte do cobre dos solos cultivados com a videira encontra-se retido na fração mineral, e do solo sob mata natural, na matéria orgânica principalmente. A maior quantidade do Cu, independentemente dos materiais adsorventes nos solos cultivados com videira, é facilmente dessorvível e pode ser considerada em equilíbrio rápido com o cobre da solução.&lt;/p&gt;","author":[{"dropping-particle":"","family":"Casali","given":"Carlos Alberto","non-dropping-particle":"","parse-names":false,"suffix":""},{"dropping-particle":"","family":"Moterle","given":"Diovane Freire","non-dropping-particle":"","parse-names":false,"suffix":""},{"dropping-particle":"","family":"Rheinheimer","given":"Danilo dos Santos","non-dropping-particle":"","parse-names":false,"suffix":""},{"dropping-particle":"","family":"Brunetto","given":"Gustavo","non-dropping-particle":"","parse-names":false,"suffix":""},{"dropping-particle":"","family":"Corcini","given":"Adão Leonel Mello","non-dropping-particle":"","parse-names":false,"suffix":""},{"dropping-particle":"","family":"Kaminski","given":"João","non-dropping-particle":"","parse-names":false,"suffix":""},{"dropping-particle":"de","family":"Melo","given":"George Wellington Bastos","non-dropping-particle":"","parse-names":false,"suffix":""}],"container-title":"Revista Brasileira de Ciência do Solo","id":"ITEM-5","issue":"4","issued":{"date-parts":[["2008","8"]]},"page":"1479-1487","publisher":"Sociedade Brasileira de Ciência do Solo","title":"Formas e dessorção de cobre em solos cultivados com videira na Serra Gaúcha do Rio Grande do Sul","type":"article-journal","volume":"32"},"uris":["http://www.mendeley.com/documents/?uuid=f44a1266-49bb-3590-96bd-e656cecba771"]},{"id":"ITEM-6","itemData":{"DOI":"10.1016/J.SOILBIO.2013.06.003","ISSN":"0038-0717","abstract":"Organic viticulturists utilize copper to prevent and reduce downy mildew (Plasmopara viticola) within the vineyard. Being a heavy metal, copper either builds up in the soil or is leached into the groundwater or taken up by living organisms. Therefore, its use impacts the environment. In organic farming there are currently no copper substitutes available and, therefore, it is necessary to understand the depth of damage that copper is inflicting on soil microbial communities over the long-term. Here a field-scale grid, 4 m by 5 m, was analyzed within a 17 year practicing organic vineyard in Southwestern Germany. Copper fractions, enzyme analyses (phosphatase, arylsulfatase, invertase, urease, xylanase), fungal analyses (ergosterol, fungal PLFA), bacterial analyses (bacterial PLFA), and microbial biomass were measured and spatial distribution maps were interpolated. Readily available and exchangeable copper fractions were higher within the vine rows and lower between them. Total copper ranged from 43 mg kg−1 to 142 mg kg−1, which is above prevention levels for Germany. In areas of high copper, a negative effect on total carbon, ergosterol, as well as phosphatase and invertase enzyme activities was observed. Tillage practices were found to be more important than copper for the distribution of carbon, nitrogen and xylanase ac</w:instrText>
      </w:r>
      <w:r w:rsidR="002C7ADD" w:rsidRPr="00314F0F">
        <w:rPr>
          <w:rFonts w:ascii="Times New Roman" w:hAnsi="Times New Roman" w:cs="Times New Roman"/>
          <w:color w:val="000000" w:themeColor="text1"/>
          <w:shd w:val="clear" w:color="auto" w:fill="FFFFFF"/>
          <w:lang w:val="fr-FR"/>
        </w:rPr>
        <w:instrText>tivity within the vineyard.","author":[{"dropping-particle":"","family":"Mackie","given":"K.A.","non-dropping-particle":"","parse-names":false,"suffix":""},{"dropping-particle":"","family":"Müller","given":"T.","non-dropping-particle":"","parse-names":false,"suffix":""},{"dropping-particle":"","family":"Zikeli","given":"S.","non-dropping-particle":"","parse-names":false,"suffix":""},{"dropping-particle":"","family":"Kandeler","given":"E.","non-dropping-particle":"","parse-names":false,"suffix":""}],"container-title":"Soil Biology and Biochemistry","id":"ITEM-6","issued":{"date-parts":[["2013","10","1"]]},"page":"245-253","publisher":"Pergamon","title":"Long-term copper application in an organic vineyard modifies spatial distribution of soil micro-organisms","type":"article-journal","volume":"65"},"uris":["http://www.mendeley.com/documents/?uuid=09a0c5de-8ca4-32ce-a758-3b908dcfc7b5"]}],"mendeley":{"formattedCitation":"(Arias et al., 2004; Besnard et al., 2001; Brun et al., 1998; Casali et al., 2008; Mackie et al., 2013; Magalhães et al., 1985)","plainTextFormattedCitation":"(Arias et al., 2004; Besnard et al., 2001; Brun et al., 1998; Casali et al., 2008; Mackie et al., 2013; Magalhães et al., 1985)","previouslyFormattedCitation":"(Arias et al., 2004; Besnard et al., 2001; Brun et al., 1998; Casali et al., 2008; Mackie et al., 2013; Magalhães et al., 1985)"},"properties":{"noteIndex":0},"schema":"https://github.com/citation-style-language/schema/raw/master/csl-citation.json"}</w:instrText>
      </w:r>
      <w:r w:rsidR="002E5E17" w:rsidRPr="0067680B">
        <w:rPr>
          <w:rFonts w:ascii="Times New Roman" w:hAnsi="Times New Roman" w:cs="Times New Roman"/>
          <w:color w:val="000000" w:themeColor="text1"/>
          <w:shd w:val="clear" w:color="auto" w:fill="FFFFFF"/>
          <w:lang w:val="en-US"/>
        </w:rPr>
        <w:fldChar w:fldCharType="separate"/>
      </w:r>
      <w:r w:rsidR="000E79E6" w:rsidRPr="0067680B">
        <w:rPr>
          <w:rFonts w:ascii="Times New Roman" w:hAnsi="Times New Roman" w:cs="Times New Roman"/>
          <w:noProof/>
          <w:color w:val="000000" w:themeColor="text1"/>
          <w:shd w:val="clear" w:color="auto" w:fill="FFFFFF"/>
          <w:lang w:val="fr-FR"/>
        </w:rPr>
        <w:t>(Arias et al., 2004; Besnard et al., 2001; Brun et al., 1998; Casali et al., 2008; Mackie et al., 2013; Magalhães et al., 1985)</w:t>
      </w:r>
      <w:r w:rsidR="002E5E17" w:rsidRPr="0067680B">
        <w:rPr>
          <w:rFonts w:ascii="Times New Roman" w:hAnsi="Times New Roman" w:cs="Times New Roman"/>
          <w:color w:val="000000" w:themeColor="text1"/>
          <w:shd w:val="clear" w:color="auto" w:fill="FFFFFF"/>
          <w:lang w:val="en-US"/>
        </w:rPr>
        <w:fldChar w:fldCharType="end"/>
      </w:r>
      <w:r w:rsidR="00992821" w:rsidRPr="0067680B">
        <w:rPr>
          <w:rFonts w:ascii="Times New Roman" w:hAnsi="Times New Roman" w:cs="Times New Roman"/>
          <w:color w:val="000000" w:themeColor="text1"/>
          <w:lang w:val="fr-FR"/>
        </w:rPr>
        <w:t>.</w:t>
      </w:r>
      <w:r w:rsidR="002605C6" w:rsidRPr="0067680B">
        <w:rPr>
          <w:rFonts w:ascii="Times New Roman" w:hAnsi="Times New Roman" w:cs="Times New Roman"/>
          <w:color w:val="000000" w:themeColor="text1"/>
          <w:lang w:val="fr-FR"/>
        </w:rPr>
        <w:t xml:space="preserve"> </w:t>
      </w:r>
      <w:r w:rsidR="002B152E" w:rsidRPr="0067680B">
        <w:rPr>
          <w:rFonts w:ascii="Times New Roman" w:hAnsi="Times New Roman" w:cs="Times New Roman"/>
          <w:color w:val="000000" w:themeColor="text1"/>
          <w:lang w:val="en-US"/>
        </w:rPr>
        <w:t>C</w:t>
      </w:r>
      <w:r w:rsidR="002B152E" w:rsidRPr="0067680B">
        <w:rPr>
          <w:rFonts w:ascii="Times New Roman" w:hAnsi="Times New Roman" w:cs="Times New Roman"/>
          <w:color w:val="000000" w:themeColor="text1"/>
          <w:shd w:val="clear" w:color="auto" w:fill="FFFFFF"/>
          <w:lang w:val="en-US"/>
        </w:rPr>
        <w:t xml:space="preserve">ontinuous application of this type of fungicides contributes to Cu accumulation in </w:t>
      </w:r>
      <w:r w:rsidR="008E61A8" w:rsidRPr="0067680B">
        <w:rPr>
          <w:rFonts w:ascii="Times New Roman" w:hAnsi="Times New Roman" w:cs="Times New Roman"/>
          <w:color w:val="000000" w:themeColor="text1"/>
          <w:shd w:val="clear" w:color="auto" w:fill="FFFFFF"/>
          <w:lang w:val="en-US"/>
        </w:rPr>
        <w:t>superficial soil horizons</w:t>
      </w:r>
      <w:r w:rsidR="002B152E" w:rsidRPr="0067680B">
        <w:rPr>
          <w:rFonts w:ascii="Times New Roman" w:hAnsi="Times New Roman" w:cs="Times New Roman"/>
          <w:color w:val="000000" w:themeColor="text1"/>
          <w:shd w:val="clear" w:color="auto" w:fill="FFFFFF"/>
          <w:lang w:val="en-US"/>
        </w:rPr>
        <w:t xml:space="preserve">, which can generate toxicity problems in plants </w:t>
      </w:r>
      <w:r w:rsidR="002E5E17" w:rsidRPr="0067680B">
        <w:rPr>
          <w:rFonts w:ascii="Times New Roman" w:hAnsi="Times New Roman" w:cs="Times New Roman"/>
          <w:color w:val="000000" w:themeColor="text1"/>
          <w:shd w:val="clear" w:color="auto" w:fill="FFFFFF"/>
          <w:lang w:val="en-US"/>
        </w:rPr>
        <w:fldChar w:fldCharType="begin" w:fldLock="1"/>
      </w:r>
      <w:r w:rsidR="002C7ADD">
        <w:rPr>
          <w:rFonts w:ascii="Times New Roman" w:hAnsi="Times New Roman" w:cs="Times New Roman"/>
          <w:color w:val="000000" w:themeColor="text1"/>
          <w:shd w:val="clear" w:color="auto" w:fill="FFFFFF"/>
          <w:lang w:val="en-US"/>
        </w:rPr>
        <w:instrText>ADDIN CSL_CITATION {"citationItems":[{"id":"ITEM-1","itemData":{"DOI":"10.1016/j.envpol.2012.03.023","ISSN":"02697491","PMID":"22522314","abstract":"Viticulturists use copper fungicide to combat Downy Mildew. Copper, a non-degradable heavy metal, can accumulate in soil or leach into water sources. Its accumulation in topsoil has impacted micro and macro organisms, spurring scientists to research in situ copper removal methods. Recent publications suggest that microorganism assisted phytoextraction, using plants and bacteria to actively extract copper, is most promising. As vineyards represent moderately polluted sites this technique has great potential. Active plant extraction and chelate assisted remediation extract too little copper or risk leaching, respectively. However, despite interesting pot experiment results using microorganism assisted phytoextraction, it remains a challenge to find plants that primarily accumulate copper in their shoots, a necessity in vineyards where whole plant removal would be time consuming and financially cumbersome. Vineyard remediation requires a holistic approach including sustainable soil management, proper plant selection, increasing biodiversity and microorganisms.","author":[{"dropping-particle":"","family":"Mackie","given":"K.A.","non-dropping-particle":"","parse-names":false,"suffix":""},{"dropping-particle":"","family":"Müller","given":"T.","non-dropping-particle":"","parse-names":false,"suffix":""},{"dropping-particle":"","family":"Kandeler","given":"E.","non-dropping-particle":"","parse-names":false,"suffix":""}],"container-title":"Environmental Pollution","id":"ITEM-1","issued":{"date-parts":[["2012","8"]]},"page":"16-26","title":"Remediation of copper in vineyards – A mini review","type":"article-journal","volume":"167"},"uris":["http://www.mendeley.com/documents/?uuid=f4cc0804-d8ec-3b61-b0f1-149c927d83db"]}],"mendeley":{"formattedCitation":"(Mackie et al., 2012)","plainTextFormattedCitation":"(Mackie et al., 2012)","previouslyFormattedCitation":"(Mackie et al., 2012)"},"properties":{"noteIndex":0},"schema":"https://github.com/citation-style-language/schema/raw/master/csl-citation.json"}</w:instrText>
      </w:r>
      <w:r w:rsidR="002E5E17" w:rsidRPr="0067680B">
        <w:rPr>
          <w:rFonts w:ascii="Times New Roman" w:hAnsi="Times New Roman" w:cs="Times New Roman"/>
          <w:color w:val="000000" w:themeColor="text1"/>
          <w:shd w:val="clear" w:color="auto" w:fill="FFFFFF"/>
          <w:lang w:val="en-US"/>
        </w:rPr>
        <w:fldChar w:fldCharType="separate"/>
      </w:r>
      <w:r w:rsidR="000E79E6" w:rsidRPr="0067680B">
        <w:rPr>
          <w:rFonts w:ascii="Times New Roman" w:hAnsi="Times New Roman" w:cs="Times New Roman"/>
          <w:noProof/>
          <w:color w:val="000000" w:themeColor="text1"/>
          <w:shd w:val="clear" w:color="auto" w:fill="FFFFFF"/>
          <w:lang w:val="en-US"/>
        </w:rPr>
        <w:t>(Mackie et al., 2012)</w:t>
      </w:r>
      <w:r w:rsidR="002E5E17" w:rsidRPr="0067680B">
        <w:rPr>
          <w:rFonts w:ascii="Times New Roman" w:hAnsi="Times New Roman" w:cs="Times New Roman"/>
          <w:color w:val="000000" w:themeColor="text1"/>
          <w:shd w:val="clear" w:color="auto" w:fill="FFFFFF"/>
          <w:lang w:val="en-US"/>
        </w:rPr>
        <w:fldChar w:fldCharType="end"/>
      </w:r>
      <w:r w:rsidR="002B152E" w:rsidRPr="0067680B">
        <w:rPr>
          <w:rFonts w:ascii="Times New Roman" w:hAnsi="Times New Roman" w:cs="Times New Roman"/>
          <w:color w:val="000000" w:themeColor="text1"/>
          <w:shd w:val="clear" w:color="auto" w:fill="FFFFFF"/>
          <w:lang w:val="en-US"/>
        </w:rPr>
        <w:t xml:space="preserve">. </w:t>
      </w:r>
      <w:r w:rsidR="00E316F6">
        <w:rPr>
          <w:rFonts w:ascii="Times New Roman" w:hAnsi="Times New Roman" w:cs="Times New Roman"/>
          <w:color w:val="000000" w:themeColor="text1"/>
          <w:shd w:val="clear" w:color="auto" w:fill="FFFFFF"/>
          <w:lang w:val="en-US"/>
        </w:rPr>
        <w:t>R</w:t>
      </w:r>
      <w:r w:rsidR="00E316F6" w:rsidRPr="0067680B">
        <w:rPr>
          <w:rFonts w:ascii="Times New Roman" w:hAnsi="Times New Roman" w:cs="Times New Roman"/>
          <w:color w:val="000000" w:themeColor="text1"/>
          <w:shd w:val="clear" w:color="auto" w:fill="FFFFFF"/>
          <w:lang w:val="en-US"/>
        </w:rPr>
        <w:t>egardless of being an essential nutrient</w:t>
      </w:r>
      <w:r w:rsidR="00E316F6">
        <w:rPr>
          <w:rFonts w:ascii="Times New Roman" w:hAnsi="Times New Roman" w:cs="Times New Roman"/>
          <w:color w:val="000000" w:themeColor="text1"/>
          <w:shd w:val="clear" w:color="auto" w:fill="FFFFFF"/>
          <w:lang w:val="en-US"/>
        </w:rPr>
        <w:t>,</w:t>
      </w:r>
      <w:r w:rsidR="00E316F6" w:rsidRPr="0067680B">
        <w:rPr>
          <w:rFonts w:ascii="Times New Roman" w:hAnsi="Times New Roman" w:cs="Times New Roman"/>
          <w:color w:val="000000" w:themeColor="text1"/>
          <w:shd w:val="clear" w:color="auto" w:fill="FFFFFF"/>
          <w:lang w:val="en-US"/>
        </w:rPr>
        <w:t xml:space="preserve"> </w:t>
      </w:r>
      <w:r w:rsidR="00372A57" w:rsidRPr="0067680B">
        <w:rPr>
          <w:rFonts w:ascii="Times New Roman" w:hAnsi="Times New Roman" w:cs="Times New Roman"/>
          <w:color w:val="000000" w:themeColor="text1"/>
          <w:shd w:val="clear" w:color="auto" w:fill="FFFFFF"/>
          <w:lang w:val="en-US"/>
        </w:rPr>
        <w:t>C</w:t>
      </w:r>
      <w:r w:rsidR="00E316F6">
        <w:rPr>
          <w:rFonts w:ascii="Times New Roman" w:hAnsi="Times New Roman" w:cs="Times New Roman"/>
          <w:color w:val="000000" w:themeColor="text1"/>
          <w:shd w:val="clear" w:color="auto" w:fill="FFFFFF"/>
          <w:lang w:val="en-US"/>
        </w:rPr>
        <w:t>u</w:t>
      </w:r>
      <w:r w:rsidR="00372A57" w:rsidRPr="0067680B">
        <w:rPr>
          <w:rFonts w:ascii="Times New Roman" w:hAnsi="Times New Roman" w:cs="Times New Roman"/>
          <w:color w:val="000000" w:themeColor="text1"/>
          <w:shd w:val="clear" w:color="auto" w:fill="FFFFFF"/>
          <w:lang w:val="en-US"/>
        </w:rPr>
        <w:t xml:space="preserve"> </w:t>
      </w:r>
      <w:r w:rsidR="002B152E" w:rsidRPr="0067680B">
        <w:rPr>
          <w:rFonts w:ascii="Times New Roman" w:hAnsi="Times New Roman" w:cs="Times New Roman"/>
          <w:color w:val="000000" w:themeColor="text1"/>
          <w:shd w:val="clear" w:color="auto" w:fill="FFFFFF"/>
          <w:lang w:val="en-US"/>
        </w:rPr>
        <w:t xml:space="preserve">toxicity can lead to a decrease in root growth and development </w:t>
      </w:r>
      <w:r w:rsidR="002E5E17" w:rsidRPr="0067680B">
        <w:rPr>
          <w:rFonts w:ascii="Times New Roman" w:hAnsi="Times New Roman" w:cs="Times New Roman"/>
          <w:color w:val="000000" w:themeColor="text1"/>
          <w:shd w:val="clear" w:color="auto" w:fill="FFFFFF"/>
          <w:lang w:val="en-US"/>
        </w:rPr>
        <w:fldChar w:fldCharType="begin" w:fldLock="1"/>
      </w:r>
      <w:r w:rsidR="002C7ADD">
        <w:rPr>
          <w:rFonts w:ascii="Times New Roman" w:hAnsi="Times New Roman" w:cs="Times New Roman"/>
          <w:color w:val="000000" w:themeColor="text1"/>
          <w:shd w:val="clear" w:color="auto" w:fill="FFFFFF"/>
          <w:lang w:val="en-US"/>
        </w:rPr>
        <w:instrText>ADDIN CSL_CITATION {"citationItems":[{"id":"ITEM-1","itemData":{"DOI":"10.1016/S0269-7491(00)00067-1","ISSN":"0269-7491","abstract":"The repeated use of copper (Cu) fungicides to control vine downy mildew has led to long-term accumulation of Cu in vineyard soils which now raises the issue of the potential bioavailability of Cu for various living organisms including plant species. The bioavailable Cu can be defined as the portion of soil Cu that can be taken up by roots, for a given plant species. In order to evaluate the bioavailability of Cu to plants, a pot experiment was conducted in glasshouse conditions with a crop species (maize) and 12 soils sampled in the upper horizon of 10 vineyard plots (total Cu ranging from 38 to 251 mg kg−1) and two woodland plots (control soils that had not received any Cu application; total Cu amounting to 20–26 mg kg−1). These soils were selected for their diverse physical (large range of particle size distribution) and chemical (from acid to calcareous soils) properties. After 35 days of growth, plant shoots were harvested for analysis. The roots were separated from soil particles for further analysis. The concentrations of Cu in the roots and aerial parts of the maize were then compared with the amounts of Cu extracted from the soil by a range of conventional extractants. Observed Cu concentrations in maize roots which have grown in contaminated vineyard soils were very high (between 90 and 600 mg kg−1), whereas Cu concentrations in the aerial parts varied only slightly and remained low (&lt;18 mg kg−1). Root Cu concentrations observed for maize increased with increasing total Cu content in the soil and with decreasing soil CEC. Cu accumulation in maize roots may be as high in calcareous soils as in acid soils, suggesting that soil pH had little influence. In the case of the vineyard soils studied, the lack of correlation found for maize between Cu concentrations in roots and in the aerial parts, suggests that an analysis of the aerial parts would not be a good indicator of plant Cu uptake, as it provides no insight into the real amount of Cu transferred from the soil to the plant. For maize, our results show that extraction with organic complexing agents (EDTA, DTPA) and extraction with ammonium acetate seem to provide a reasonably good estimate of root Cu concentration.","author":[{"dropping-particle":"","family":"Brun","given":"L.A","non-dropping-particle":"","parse-names":false,"suffix":""},{"dropping-particle":"","family":"Maillet","given":"J","non-dropping-particle":"","parse-names":false,"suffix":""},{"dropping-particle":"","family":"Hinsinger","given":"P","non-dropping-particle":"","parse-names":false,"suffix":""},{"dropping-particle":"","family":"Pépin","given":"M","non-dropping-particle":"","parse-names":false,"suffix":""}],"container-title":"Environmental Pollution","id":"ITEM-1","issue":"2","issued":{"date-parts":[["2001","2","1"]]},"page":"293-302","publisher":"Elsevier","title":"Evaluation of copper availability to plants in copper-contaminated vineyard soils","type":"article-journal","volume":"111"},"uris":["http://www.mendeley.com/documents/?uuid=5bb6818d-ab1a-39bc-9c18-b6e3ef46a167"]},{"id":"ITEM-2","itemData":{"DOI":"10.1016/j.plaphy.2010.05.005","ISSN":"09819428","PMID":"20542443","abstract":"Growth, in particular reorganization of the root system architecture, mineral homeostasis and root hormone distribution were studied in Arabidopsis thaliana upon copper excess. Five-week-old Arabidopsis plants growing in hydroponics were exposed to different Cu(2+) concentrations (up to 5 muM). Root biomass was more severely inhibited than shoot biomass and Cu was mainly retained in roots. Cu(2+) excess also induced important changes in the ionome. In roots, Mg, Ca, Fe and Zn concentrations increased, whereas K and S decreased. Shoot K, Ca, P, and Mn concentrations decreased upon Cu(2+) exposure. Further, experiments with seedlings vertically grown on agar were carried out to investigate the root architecture changes. Increasing Cu(2+) concentrations (up to 50 muM) reduced the primary root growth and increased the density of short lateral roots. Experiment of split-root system emphasized a local toxicity of Cu(2+) on the root system. Observations of GUS reporter lines suggested changes in auxin and cytokinin accumulations and in mitotic activity within the primary and secondary root tips treated with Cu(2+). At toxic Cu(2+) concentrations (50 muM), these responses were accompanied by higher root apical meristem death. Contrary to previous reports, growth on high Cu(2+) did not induce an ethylene production. Finally lignin deposition was detected in Cu(2+)-treated roots, probably impacting on the translocation of nutrients. The effects on mineral profile, hormonal status, mitotic activity, cell viability and lignin deposition changes on the Cu(2+)-induced reorganization of the root system architecture are discussed.","author":[{"dropping-particle":"","family":"Lequeux","given":"Hélène","non-dropping-particle":"","parse-names":false,"suffix":""},{"dropping-particle":"","family":"Hermans","given":"Christian","non-dropping-particle":"","parse-names":false,"suffix":""},{"dropping-particle":"","family":"Lutts","given":"Stanley","non-dropping-particle":"","parse-names":false,"suffix":""},{"dropping-particle":"","family":"Verbruggen","given":"Nathalie","non-dropping-particle":"","parse-names":false,"suffix":""}],"container-title":"Plant Physiology and Biochemistry","id":"ITEM-2","issue":"8","issued":{"date-parts":[["2010","8"]]},"page":"673-682","title":"Response to copper excess in Arabidopsis thaliana: Impact on the root system architecture, hormone distribution, lignin accumulation and mineral profile","type":"article-journal","volume":"48"},"uris":["http://www.mendeley.com/documents/?uuid=640f6515-820a-3876-b02d-5d878089245b"]}],"mendeley":{"formattedCitation":"(Brun et al., 2001; Lequeux et al., 2010)","plainTextFormattedCitation":"(Brun et al., 2001; Lequeux et al., 2010)","previouslyFormattedCitation":"(Brun et al., 2001; Lequeux et al., 2010)"},"properties":{"noteIndex":0},"schema":"https://github.com/citation-style-language/schema/raw/master/csl-citation.json"}</w:instrText>
      </w:r>
      <w:r w:rsidR="002E5E17" w:rsidRPr="0067680B">
        <w:rPr>
          <w:rFonts w:ascii="Times New Roman" w:hAnsi="Times New Roman" w:cs="Times New Roman"/>
          <w:color w:val="000000" w:themeColor="text1"/>
          <w:shd w:val="clear" w:color="auto" w:fill="FFFFFF"/>
          <w:lang w:val="en-US"/>
        </w:rPr>
        <w:fldChar w:fldCharType="separate"/>
      </w:r>
      <w:r w:rsidR="000E79E6" w:rsidRPr="0067680B">
        <w:rPr>
          <w:rFonts w:ascii="Times New Roman" w:hAnsi="Times New Roman" w:cs="Times New Roman"/>
          <w:noProof/>
          <w:color w:val="000000" w:themeColor="text1"/>
          <w:shd w:val="clear" w:color="auto" w:fill="FFFFFF"/>
          <w:lang w:val="en-US"/>
        </w:rPr>
        <w:t>(Brun et al., 2001; Lequeux et al., 2010)</w:t>
      </w:r>
      <w:r w:rsidR="002E5E17" w:rsidRPr="0067680B">
        <w:rPr>
          <w:rFonts w:ascii="Times New Roman" w:hAnsi="Times New Roman" w:cs="Times New Roman"/>
          <w:color w:val="000000" w:themeColor="text1"/>
          <w:shd w:val="clear" w:color="auto" w:fill="FFFFFF"/>
          <w:lang w:val="en-US"/>
        </w:rPr>
        <w:fldChar w:fldCharType="end"/>
      </w:r>
      <w:r w:rsidR="002B152E" w:rsidRPr="0067680B">
        <w:rPr>
          <w:rFonts w:ascii="Times New Roman" w:hAnsi="Times New Roman" w:cs="Times New Roman"/>
          <w:color w:val="000000" w:themeColor="text1"/>
          <w:shd w:val="clear" w:color="auto" w:fill="FFFFFF"/>
          <w:lang w:val="en-US"/>
        </w:rPr>
        <w:t>,</w:t>
      </w:r>
      <w:r w:rsidR="002B152E" w:rsidRPr="0067680B">
        <w:rPr>
          <w:rFonts w:ascii="Times New Roman" w:hAnsi="Times New Roman" w:cs="Times New Roman"/>
          <w:color w:val="000000" w:themeColor="text1"/>
          <w:lang w:val="en-US"/>
        </w:rPr>
        <w:t xml:space="preserve"> root cuticle damage and root cracks </w:t>
      </w:r>
      <w:r w:rsidR="002E5E17" w:rsidRPr="0067680B">
        <w:rPr>
          <w:rFonts w:ascii="Times New Roman" w:hAnsi="Times New Roman" w:cs="Times New Roman"/>
          <w:color w:val="000000" w:themeColor="text1"/>
          <w:lang w:val="en-US"/>
        </w:rPr>
        <w:fldChar w:fldCharType="begin" w:fldLock="1"/>
      </w:r>
      <w:r w:rsidR="002C7ADD">
        <w:rPr>
          <w:rFonts w:ascii="Times New Roman" w:hAnsi="Times New Roman" w:cs="Times New Roman"/>
          <w:color w:val="000000" w:themeColor="text1"/>
          <w:lang w:val="en-US"/>
        </w:rPr>
        <w:instrText>ADDIN CSL_CITATION {"citationItems":[{"id":"ITEM-1","itemData":{"DOI":"10.1007/s11104-005-8815-3","ISSN":"0032-079X","author":[{"dropping-particle":"","family":"Sheldon","given":"A. R.","non-dropping-particle":"","parse-names":false,"suffix":""},{"dropping-particle":"","family":"Menzies","given":"N. W.","non-dropping-particle":"","parse-names":false,"suffix":""}],"container-title":"Plant and Soil","id":"ITEM-1","issue":"1-2","issued":{"date-parts":[["2005","12"]]},"page":"341-349","publisher":"Kluwer Academic Publishers","title":"The effect of copper toxicity on the growth and root morphology of Rhodes Grass (Chloris gayana Knuth.) in resin buffered solution culture","type":"article-journal","volume":"278"},"uris":["http://www.mendeley.com/documents/?uuid=ec6aaef7-912e-3d51-9972-0d184b324f36"]},{"id":"ITEM-2","itemData":{"DOI":"10.1007/s11104-008-9642-0","ISSN":"0032-079X","author":[{"dropping-particle":"","family":"Michaud","given":"Aurélia M.","non-dropping-particle":"","parse-names":false,"suffix":""},{"dropping-particle":"","family":"Chappellaz","given":"Carole","non-dropping-particle":"","parse-names":false,"suffix":""},{"dropping-particle":"","family":"Hinsinger","given":"Philippe","non-dropping-particle":"","parse-names":false,"suffix":""}],"container-title":"Plant and Soil","id":"ITEM-2","issue":"1-2","issued":{"date-parts":[["2008","9","28"]]},"page":"151-165","publisher":"Springer Netherlands","title":"Copper phytotoxicity affects root elongation and iron nutrition in durum wheat (Triticum turgidum durum L.)","type":"article-journal","volume":"310"},"uris":["http://www.mendeley.com/documents/?uuid=651dae09-cced-3529-bd5f-370596a5a1cd"]}],"mendeley":{"formattedCitation":"(Michaud et al., 2008; Sheldon and Menzies, 2005)","plainTextFormattedCitation":"(Michaud et al., 2008; Sheldon and Menzies, 2005)","previouslyFormattedCitation":"(Michaud et al., 2008; Sheldon and Menzies, 2005)"},"properties":{"noteIndex":0},"schema":"https://github.com/citation-style-language/schema/raw/master/csl-citation.json"}</w:instrText>
      </w:r>
      <w:r w:rsidR="002E5E17" w:rsidRPr="0067680B">
        <w:rPr>
          <w:rFonts w:ascii="Times New Roman" w:hAnsi="Times New Roman" w:cs="Times New Roman"/>
          <w:color w:val="000000" w:themeColor="text1"/>
          <w:lang w:val="en-US"/>
        </w:rPr>
        <w:fldChar w:fldCharType="separate"/>
      </w:r>
      <w:r w:rsidR="000E79E6" w:rsidRPr="0067680B">
        <w:rPr>
          <w:rFonts w:ascii="Times New Roman" w:hAnsi="Times New Roman" w:cs="Times New Roman"/>
          <w:noProof/>
          <w:color w:val="000000" w:themeColor="text1"/>
          <w:lang w:val="en-US"/>
        </w:rPr>
        <w:t>(Michaud et al., 2008; Sheldon and Menzies, 2005)</w:t>
      </w:r>
      <w:r w:rsidR="002E5E17" w:rsidRPr="0067680B">
        <w:rPr>
          <w:rFonts w:ascii="Times New Roman" w:hAnsi="Times New Roman" w:cs="Times New Roman"/>
          <w:color w:val="000000" w:themeColor="text1"/>
          <w:lang w:val="en-US"/>
        </w:rPr>
        <w:fldChar w:fldCharType="end"/>
      </w:r>
      <w:r w:rsidR="00E762C1">
        <w:rPr>
          <w:rFonts w:ascii="Times New Roman" w:hAnsi="Times New Roman" w:cs="Times New Roman"/>
          <w:color w:val="000000" w:themeColor="text1"/>
          <w:lang w:val="en-US"/>
        </w:rPr>
        <w:t>,</w:t>
      </w:r>
      <w:r w:rsidR="00ED4340" w:rsidRPr="0067680B">
        <w:rPr>
          <w:rFonts w:ascii="Times New Roman" w:hAnsi="Times New Roman" w:cs="Times New Roman"/>
          <w:color w:val="000000" w:themeColor="text1"/>
          <w:lang w:val="en-US"/>
        </w:rPr>
        <w:t xml:space="preserve"> </w:t>
      </w:r>
      <w:r w:rsidR="002E6BCF" w:rsidRPr="0067680B">
        <w:rPr>
          <w:rFonts w:ascii="Times New Roman" w:hAnsi="Times New Roman" w:cs="Times New Roman"/>
          <w:color w:val="000000" w:themeColor="text1"/>
          <w:lang w:val="en-US"/>
        </w:rPr>
        <w:t>as well as</w:t>
      </w:r>
      <w:r w:rsidR="00ED4340" w:rsidRPr="0067680B">
        <w:rPr>
          <w:rFonts w:ascii="Times New Roman" w:hAnsi="Times New Roman" w:cs="Times New Roman"/>
          <w:color w:val="000000" w:themeColor="text1"/>
          <w:lang w:val="en-US"/>
        </w:rPr>
        <w:t xml:space="preserve"> to</w:t>
      </w:r>
      <w:r w:rsidR="002B152E" w:rsidRPr="0067680B">
        <w:rPr>
          <w:rFonts w:ascii="Times New Roman" w:hAnsi="Times New Roman" w:cs="Times New Roman"/>
          <w:color w:val="000000" w:themeColor="text1"/>
          <w:lang w:val="en-US"/>
        </w:rPr>
        <w:t xml:space="preserve"> altered water and nutrient uptake capacity </w:t>
      </w:r>
      <w:r w:rsidR="002E5E17" w:rsidRPr="0067680B">
        <w:rPr>
          <w:rFonts w:ascii="Times New Roman" w:hAnsi="Times New Roman" w:cs="Times New Roman"/>
          <w:color w:val="000000" w:themeColor="text1"/>
          <w:lang w:val="en-US"/>
        </w:rPr>
        <w:fldChar w:fldCharType="begin" w:fldLock="1"/>
      </w:r>
      <w:r w:rsidR="002C7ADD">
        <w:rPr>
          <w:rFonts w:ascii="Times New Roman" w:hAnsi="Times New Roman" w:cs="Times New Roman"/>
          <w:color w:val="000000" w:themeColor="text1"/>
          <w:lang w:val="en-US"/>
        </w:rPr>
        <w:instrText>ADDIN CSL_CITATION {"citationItems":[{"id":"ITEM-1","itemData":{"DOI":"10.1016/J.SCITOTENV.2009.04.041","ISSN":"0048-9697","abstract":"Sabi grass (Urochloa mosambicensis (Hack.) Dandy) (a C4 species of Poaceae) is commonly used to revegetate disturbed sites in low-rainfall environments, but comparatively little is known regarding copper (Cu) toxicity in this species. A dilute nutrient solution culture experiment was conducted for 10 d to examine the effects of elevated Cu2+ activities ({Cu2+}) on the growth of Sabi grass. Growth was inhibited by high Cu in solution, with a 50% reduction in the relative fresh mass occurring at 1.0 μM {Cu2+} for the roots and 1.2 μM {Cu2+} for the shoots. In solutions containing 1.2–1.9 μM {Cu2+}, many of the roots ruptured due to the tearing and separation of the rhizodermis and outer cortex from the underlying tissues. Transmission electron microscopy revealed that Cu-rich deposits were found to accumulate predominantly within vacuoles. Due to limited translocation of Cu from the roots to the shoots, phytotoxicity is likely to be more of a problem in remediation of Cu-toxic sites than is Cu toxicity of fauna consuming the above-ground biomass.","author":[{"dropping-particle":"","family":"Kopittke","given":"P.M.","non-dropping-particle":"","parse-names":false,"suffix":""},{"dropping-particle":"","family":"Asher","given":"C.J.","non-dropping-particle":"","parse-names":false,"suffix":""},{"dropping-particle":"","family":"Blamey","given":"F.P.C.","non-dropping-particle":"","parse-names":false,"suffix":""},{"dropping-particle":"","family":"Menzies","given":"N.W.","non-dropping-particle":"","parse-names":false,"suffix":""}],"container-title":"Science of The Total Environment","id":"ITEM-1","issue":"16","issued":{"date-parts":[["2009","8","1"]]},"page":"4616-4621","publisher":"Elsevier","title":"Toxic effects of Cu2+ on growth, nutrition, root morphology, and distribution of Cu in roots of Sabi grass","type":"article-journal","volume":"407"},"uris":["http://www.mendeley.com/documents/?uuid=a5f2a9ee-9e09-3445-bfbc-16bfd6ebc91e"]}],"mendeley":{"formattedCitation":"(Kopittke et al., 2009)","plainTextFormattedCitation":"(Kopittke et al., 2009)","previouslyFormattedCitation":"(Kopittke et al., 2009)"},"properties":{"noteIndex":0},"schema":"https://github.com/citation-style-language/schema/raw/master/csl-citation.json"}</w:instrText>
      </w:r>
      <w:r w:rsidR="002E5E17" w:rsidRPr="0067680B">
        <w:rPr>
          <w:rFonts w:ascii="Times New Roman" w:hAnsi="Times New Roman" w:cs="Times New Roman"/>
          <w:color w:val="000000" w:themeColor="text1"/>
          <w:lang w:val="en-US"/>
        </w:rPr>
        <w:fldChar w:fldCharType="separate"/>
      </w:r>
      <w:r w:rsidR="000E79E6" w:rsidRPr="0067680B">
        <w:rPr>
          <w:rFonts w:ascii="Times New Roman" w:hAnsi="Times New Roman" w:cs="Times New Roman"/>
          <w:noProof/>
          <w:color w:val="000000" w:themeColor="text1"/>
          <w:lang w:val="en-US"/>
        </w:rPr>
        <w:t>(Kopittke et al., 2009)</w:t>
      </w:r>
      <w:r w:rsidR="002E5E17" w:rsidRPr="0067680B">
        <w:rPr>
          <w:rFonts w:ascii="Times New Roman" w:hAnsi="Times New Roman" w:cs="Times New Roman"/>
          <w:color w:val="000000" w:themeColor="text1"/>
          <w:lang w:val="en-US"/>
        </w:rPr>
        <w:fldChar w:fldCharType="end"/>
      </w:r>
      <w:r w:rsidR="002B152E" w:rsidRPr="0067680B">
        <w:rPr>
          <w:rFonts w:ascii="Times New Roman" w:hAnsi="Times New Roman" w:cs="Times New Roman"/>
          <w:color w:val="000000" w:themeColor="text1"/>
          <w:lang w:val="en-US"/>
        </w:rPr>
        <w:t>, with subsequent consequences on plant nutrition, plant photosynthesis and</w:t>
      </w:r>
      <w:r w:rsidR="00D63A64" w:rsidRPr="0067680B">
        <w:rPr>
          <w:rFonts w:ascii="Times New Roman" w:hAnsi="Times New Roman" w:cs="Times New Roman"/>
          <w:color w:val="000000" w:themeColor="text1"/>
          <w:lang w:val="en-US"/>
        </w:rPr>
        <w:t>,</w:t>
      </w:r>
      <w:r w:rsidR="002B152E" w:rsidRPr="0067680B">
        <w:rPr>
          <w:rFonts w:ascii="Times New Roman" w:hAnsi="Times New Roman" w:cs="Times New Roman"/>
          <w:color w:val="000000" w:themeColor="text1"/>
          <w:lang w:val="en-US"/>
        </w:rPr>
        <w:t xml:space="preserve"> ultimately</w:t>
      </w:r>
      <w:r w:rsidR="00D63A64" w:rsidRPr="0067680B">
        <w:rPr>
          <w:rFonts w:ascii="Times New Roman" w:hAnsi="Times New Roman" w:cs="Times New Roman"/>
          <w:color w:val="000000" w:themeColor="text1"/>
          <w:lang w:val="en-US"/>
        </w:rPr>
        <w:t>,</w:t>
      </w:r>
      <w:r w:rsidR="002B152E" w:rsidRPr="0067680B">
        <w:rPr>
          <w:rFonts w:ascii="Times New Roman" w:hAnsi="Times New Roman" w:cs="Times New Roman"/>
          <w:color w:val="000000" w:themeColor="text1"/>
          <w:lang w:val="en-US"/>
        </w:rPr>
        <w:t xml:space="preserve"> plant growth </w:t>
      </w:r>
      <w:r w:rsidR="002E5E17" w:rsidRPr="0067680B">
        <w:rPr>
          <w:rFonts w:ascii="Times New Roman" w:hAnsi="Times New Roman" w:cs="Times New Roman"/>
          <w:color w:val="000000" w:themeColor="text1"/>
          <w:lang w:val="en-US"/>
        </w:rPr>
        <w:fldChar w:fldCharType="begin" w:fldLock="1"/>
      </w:r>
      <w:r w:rsidR="002C7ADD">
        <w:rPr>
          <w:rFonts w:ascii="Times New Roman" w:hAnsi="Times New Roman" w:cs="Times New Roman"/>
          <w:color w:val="000000" w:themeColor="text1"/>
          <w:lang w:val="en-US"/>
        </w:rPr>
        <w:instrText>ADDIN CSL_CITATION {"citationItems":[{"id":"ITEM-1","itemData":{"author":[{"dropping-particle":"","family":"Yruela","given":"I","non-dropping-particle":"","parse-names":false,"suffix":""}],"container-title":"Braz. J. Plant Physiol","id":"ITEM-1","issue":"1","issued":{"date-parts":[["2005"]]},"page":"145-156","title":"Copper in plants","type":"article-journal","volume":"17"},"uris":["http://www.mendeley.com/documents/?uuid=526249ea-187e-36d2-ba26-483558dcf9d6"]},{"id":"ITEM-2","itemData":{"DOI":"10.1071/FP08288","ISSN":"1445-4408","abstract":"Copper is an essential metal for plants. It plays key roles in photosynthetic and respiratory electron transport chains, in ethylene sensing, cell wall metabolism, oxidative stress protection and biogenesis of molybdenum cofactor. Thus, a deficiency in the copper supply can alter essential functions in plant metabolism. However, copper has traditionally been used in agriculture as an antifungal agent, and it is also extensively released into the environment by human activities that often cause environmental pollution. Accordingly, excess copper is present in certain regions and environments, and exposure to such can be potentially toxic to plants, causing phytotoxicity by the formation of reactive oxygen radicals that damage cells, or by the interaction with proteins impairing key cellular processes, inactivating enzymes and disturbing protein structure. Plants have a complex network of metal trafficking pathways in order to appropriately regulate copper homeostasis in response to environmental copper level variations. Such strategies must prevent accumulation of the metal in the freely reactive form (metal detoxification pathways) and ensure proper delivery of this element to target metalloproteins. The mechanisms involved in the acquisition and the distribution of copper have not been clearly defined, although emerging data in last decade, mainly obtained on copper uptake, and both intra- and intercellular distribution, as well as on long-distance transport, are contributing to the understanding of copper homeostasis in plants and the response to copper stress. This review gives an overview of the current understanding of main features concerning copper function, acquisition and trafficking network as well as interactions between copper and other elements.","author":[{"dropping-particle":"","family":"Yruela","given":"Inmaculada","non-dropping-particle":"","parse-names":false,"suffix":""}],"container-title":"Functional Plant Biology","id":"ITEM-2","issue":"5","issued":{"date-parts":[["2009","5","27"]]},"page":"409","publisher":"CSIRO PUBLISHING","title":"Copper in plants: acquisition, transport and interactions","type":"article-journal","volume":"36"},"uris":["http://www.mendeley.com/documents/?uuid=37f0a78b-13ed-3e02-bc8b-db0855232f5d"]},{"id":"ITEM-3","itemData":{"DOI":"10.1017/S0014479711000743","ISBN":"9781420093681.","author":[{"dropping-particle":"","family":"Kabata-Pendias","given":"A.","non-dropping-particle":"","parse-names":false,"suffix":""}],"edition":"4th","editor":[{"dropping-particle":"","family":"Kabata-Pendias","given":"A.","non-dropping-particle":"","parse-names":false,"suffix":""}],"id":"ITEM-3","issued":{"date-parts":[["2010"]]},"number-of-pages":"548","publisher":"CRC Press/Taylor &amp; Francis Group","publisher-place":"Boca Raton, FL","title":"Trace Elements in Soils and Plants.","type":"book"},"uris":["http://www.mendeley.com/documents/?uuid=2ec77606-4228-3547-9a2c-3159af258b95"]}],"mendeley":{"formattedCitation":"(Kabata-Pendias, 2010; Yruela, 2009, 2005)","plainTextFormattedCitation":"(Kabata-Pendias, 2010; Yruela, 2009, 2005)","previouslyFormattedCitation":"(Kabata-Pendias, 2010; Yruela, 2009, 2005)"},"properties":{"noteIndex":0},"schema":"https://github.com/citation-style-language/schema/raw/master/csl-citation.json"}</w:instrText>
      </w:r>
      <w:r w:rsidR="002E5E17" w:rsidRPr="0067680B">
        <w:rPr>
          <w:rFonts w:ascii="Times New Roman" w:hAnsi="Times New Roman" w:cs="Times New Roman"/>
          <w:color w:val="000000" w:themeColor="text1"/>
          <w:lang w:val="en-US"/>
        </w:rPr>
        <w:fldChar w:fldCharType="separate"/>
      </w:r>
      <w:r w:rsidR="000E79E6" w:rsidRPr="0067680B">
        <w:rPr>
          <w:rFonts w:ascii="Times New Roman" w:hAnsi="Times New Roman" w:cs="Times New Roman"/>
          <w:noProof/>
          <w:color w:val="000000" w:themeColor="text1"/>
          <w:lang w:val="en-US"/>
        </w:rPr>
        <w:t>(Kabata-Pendias, 2010; Yruela, 2009, 2005)</w:t>
      </w:r>
      <w:r w:rsidR="002E5E17" w:rsidRPr="0067680B">
        <w:rPr>
          <w:rFonts w:ascii="Times New Roman" w:hAnsi="Times New Roman" w:cs="Times New Roman"/>
          <w:color w:val="000000" w:themeColor="text1"/>
          <w:lang w:val="en-US"/>
        </w:rPr>
        <w:fldChar w:fldCharType="end"/>
      </w:r>
      <w:r w:rsidR="002B152E" w:rsidRPr="0067680B">
        <w:rPr>
          <w:rFonts w:ascii="Times New Roman" w:hAnsi="Times New Roman" w:cs="Times New Roman"/>
          <w:color w:val="000000" w:themeColor="text1"/>
          <w:lang w:val="en-US"/>
        </w:rPr>
        <w:t>.</w:t>
      </w:r>
    </w:p>
    <w:p w14:paraId="042DB56D" w14:textId="28C67168" w:rsidR="00356388" w:rsidRPr="0067680B" w:rsidRDefault="00D85129" w:rsidP="00075F70">
      <w:pPr>
        <w:autoSpaceDE w:val="0"/>
        <w:autoSpaceDN w:val="0"/>
        <w:adjustRightInd w:val="0"/>
        <w:spacing w:after="0" w:line="480" w:lineRule="auto"/>
        <w:jc w:val="both"/>
        <w:rPr>
          <w:rFonts w:ascii="Times New Roman" w:hAnsi="Times New Roman" w:cs="Times New Roman"/>
          <w:lang w:val="en-US"/>
        </w:rPr>
      </w:pPr>
      <w:r w:rsidRPr="0067680B">
        <w:rPr>
          <w:rFonts w:ascii="Times New Roman" w:hAnsi="Times New Roman" w:cs="Times New Roman"/>
          <w:color w:val="000000" w:themeColor="text1"/>
          <w:lang w:val="en-US"/>
        </w:rPr>
        <w:t xml:space="preserve">Molluscicides </w:t>
      </w:r>
      <w:r w:rsidR="002B152E" w:rsidRPr="0067680B">
        <w:rPr>
          <w:rFonts w:ascii="Times New Roman" w:hAnsi="Times New Roman" w:cs="Times New Roman"/>
          <w:color w:val="000000" w:themeColor="text1"/>
          <w:lang w:val="en-US"/>
        </w:rPr>
        <w:t xml:space="preserve">are also applied in vineyards </w:t>
      </w:r>
      <w:r w:rsidRPr="0067680B">
        <w:rPr>
          <w:rFonts w:ascii="Times New Roman" w:hAnsi="Times New Roman" w:cs="Times New Roman"/>
          <w:color w:val="000000" w:themeColor="text1"/>
          <w:lang w:val="en-US"/>
        </w:rPr>
        <w:t xml:space="preserve">to control snail pests, which </w:t>
      </w:r>
      <w:r w:rsidR="002F31D3" w:rsidRPr="0067680B">
        <w:rPr>
          <w:rFonts w:ascii="Times New Roman" w:hAnsi="Times New Roman" w:cs="Times New Roman"/>
          <w:color w:val="000000" w:themeColor="text1"/>
          <w:lang w:val="en-US"/>
        </w:rPr>
        <w:t>can cause</w:t>
      </w:r>
      <w:r w:rsidRPr="0067680B">
        <w:rPr>
          <w:rFonts w:ascii="Times New Roman" w:hAnsi="Times New Roman" w:cs="Times New Roman"/>
          <w:color w:val="000000" w:themeColor="text1"/>
          <w:shd w:val="clear" w:color="auto" w:fill="FFFFFF"/>
          <w:lang w:val="en-US"/>
        </w:rPr>
        <w:t xml:space="preserve"> damage to buds and foliage, </w:t>
      </w:r>
      <w:r w:rsidR="00DF4BC6" w:rsidRPr="0067680B">
        <w:rPr>
          <w:rFonts w:ascii="Times New Roman" w:hAnsi="Times New Roman" w:cs="Times New Roman"/>
          <w:color w:val="000000" w:themeColor="text1"/>
          <w:shd w:val="clear" w:color="auto" w:fill="FFFFFF"/>
          <w:lang w:val="en-US"/>
        </w:rPr>
        <w:t>especially</w:t>
      </w:r>
      <w:r w:rsidRPr="0067680B">
        <w:rPr>
          <w:rFonts w:ascii="Times New Roman" w:hAnsi="Times New Roman" w:cs="Times New Roman"/>
          <w:color w:val="000000" w:themeColor="text1"/>
          <w:shd w:val="clear" w:color="auto" w:fill="FFFFFF"/>
          <w:lang w:val="en-US"/>
        </w:rPr>
        <w:t xml:space="preserve"> in spring</w:t>
      </w:r>
      <w:r w:rsidR="002B152E" w:rsidRPr="0067680B">
        <w:rPr>
          <w:rFonts w:ascii="Times New Roman" w:hAnsi="Times New Roman" w:cs="Times New Roman"/>
          <w:color w:val="000000" w:themeColor="text1"/>
          <w:shd w:val="clear" w:color="auto" w:fill="FFFFFF"/>
          <w:lang w:val="en-US"/>
        </w:rPr>
        <w:t xml:space="preserve">. </w:t>
      </w:r>
      <w:r w:rsidR="00C44BC7">
        <w:rPr>
          <w:rFonts w:ascii="Times New Roman" w:hAnsi="Times New Roman" w:cs="Times New Roman"/>
          <w:color w:val="000000" w:themeColor="text1"/>
          <w:shd w:val="clear" w:color="auto" w:fill="FFFFFF"/>
          <w:lang w:val="en-US"/>
        </w:rPr>
        <w:t>Such</w:t>
      </w:r>
      <w:r w:rsidR="00C44BC7" w:rsidRPr="0067680B">
        <w:rPr>
          <w:rFonts w:ascii="Times New Roman" w:hAnsi="Times New Roman" w:cs="Times New Roman"/>
          <w:color w:val="000000" w:themeColor="text1"/>
          <w:shd w:val="clear" w:color="auto" w:fill="FFFFFF"/>
          <w:lang w:val="en-US"/>
        </w:rPr>
        <w:t xml:space="preserve"> </w:t>
      </w:r>
      <w:r w:rsidR="00273DFD" w:rsidRPr="0067680B">
        <w:rPr>
          <w:rFonts w:ascii="Times New Roman" w:hAnsi="Times New Roman" w:cs="Times New Roman"/>
          <w:color w:val="000000" w:themeColor="text1"/>
          <w:shd w:val="clear" w:color="auto" w:fill="FFFFFF"/>
          <w:lang w:val="en-US"/>
        </w:rPr>
        <w:t xml:space="preserve">agrochemicals can also be based on </w:t>
      </w:r>
      <w:r w:rsidR="00273DFD" w:rsidRPr="0067680B">
        <w:rPr>
          <w:rFonts w:ascii="Times New Roman" w:hAnsi="Times New Roman" w:cs="Times New Roman"/>
          <w:color w:val="000000" w:themeColor="text1"/>
          <w:lang w:val="en-US"/>
        </w:rPr>
        <w:t xml:space="preserve">Cu as the main active </w:t>
      </w:r>
      <w:r w:rsidR="003600B9">
        <w:rPr>
          <w:rFonts w:ascii="Times New Roman" w:hAnsi="Times New Roman" w:cs="Times New Roman"/>
          <w:color w:val="000000" w:themeColor="text1"/>
          <w:lang w:val="en-US"/>
        </w:rPr>
        <w:t>ingredient</w:t>
      </w:r>
      <w:r w:rsidR="00273DFD" w:rsidRPr="0067680B">
        <w:rPr>
          <w:rFonts w:ascii="Times New Roman" w:hAnsi="Times New Roman" w:cs="Times New Roman"/>
          <w:color w:val="000000" w:themeColor="text1"/>
          <w:lang w:val="en-US"/>
        </w:rPr>
        <w:t xml:space="preserve">, although products based on iron </w:t>
      </w:r>
      <w:r w:rsidR="00273DFD" w:rsidRPr="0067680B">
        <w:rPr>
          <w:rFonts w:ascii="Times New Roman" w:hAnsi="Times New Roman" w:cs="Times New Roman"/>
          <w:color w:val="000000" w:themeColor="text1"/>
          <w:shd w:val="clear" w:color="auto" w:fill="FFFFFF"/>
          <w:lang w:val="en-US"/>
        </w:rPr>
        <w:t xml:space="preserve">ethylenediaminetetraacetic acid (Fe-EDTA) </w:t>
      </w:r>
      <w:r w:rsidR="00273DFD" w:rsidRPr="0067680B">
        <w:rPr>
          <w:rFonts w:ascii="Times New Roman" w:hAnsi="Times New Roman" w:cs="Times New Roman"/>
          <w:color w:val="000000" w:themeColor="text1"/>
          <w:lang w:val="en-US"/>
        </w:rPr>
        <w:t>complex are also commonly used for this purpose</w:t>
      </w:r>
      <w:r w:rsidRPr="0067680B">
        <w:rPr>
          <w:rFonts w:ascii="Times New Roman" w:hAnsi="Times New Roman" w:cs="Times New Roman"/>
          <w:color w:val="000000" w:themeColor="text1"/>
          <w:lang w:val="en-US"/>
        </w:rPr>
        <w:t xml:space="preserve"> </w:t>
      </w:r>
      <w:r w:rsidR="004B0C40" w:rsidRPr="0067680B">
        <w:rPr>
          <w:rFonts w:ascii="Times New Roman" w:hAnsi="Times New Roman" w:cs="Times New Roman"/>
          <w:color w:val="000000" w:themeColor="text1"/>
          <w:lang w:val="en-US"/>
        </w:rPr>
        <w:fldChar w:fldCharType="begin" w:fldLock="1"/>
      </w:r>
      <w:r w:rsidR="002C7ADD">
        <w:rPr>
          <w:rFonts w:ascii="Times New Roman" w:hAnsi="Times New Roman" w:cs="Times New Roman"/>
          <w:color w:val="000000" w:themeColor="text1"/>
          <w:lang w:val="en-US"/>
        </w:rPr>
        <w:instrText>ADDIN CSL_CITATION {"citationItems":[{"id":"ITEM-1","itemData":{"ISSN":"1833-7236","author":[{"dropping-particle":"","family":"Sharpe","given":"C","non-dropping-particle":"","parse-names":false,"suffix":""},{"dropping-particle":"","family":"Passmore","given":"G","non-dropping-particle":"","parse-names":false,"suffix":""},{"dropping-particle":"","family":"Trend","given":"B","non-dropping-particle":"","parse-names":false,"suffix":""},{"dropping-particle":"","family":"James","given":"A","non-dropping-particle":"","parse-names":false,"suffix":""},{"dropping-particle":"","family":"McCarthy","given":"A","non-dropping-particle":"","parse-names":false,"suffix":""},{"dropping-particle":"","family":"Fennessy","given":"R","non-dropping-particle":"","parse-names":false,"suffix":""},{"dropping-particle":"","family":"Fisher","given":"D","non-dropping-particle":"","parse-names":false,"suffix":""},{"dropping-particle":"","family":"Learmonth","given":"S","non-dropping-particle":"","parse-names":false,"suffix":""},{"dropping-particle":"","family":"Collie","given":"H","non-dropping-particle":"","parse-names":false,"suffix":""},{"dropping-particle":"","family":"Mathews","given":"A","non-dropping-particle":"","parse-names":false,"suffix":""},{"dropping-particle":"","family":"Gordon","given":"C","non-dropping-particle":"","parse-names":false,"suffix":""}],"edition":"Bulletin 4","id":"ITEM-1","issued":{"date-parts":[["2017"]]},"publisher":"Department of Primary Industries and Regional Dvelopment-Goverment of Australia","publisher-place":"Bentley","title":"Viticulture spray guide Viticulture spray guide-wine grapes and table grapes","type":"book"},"uris":["http://www.mendeley.com/documents/?uuid=39e53226-afc0-3bb3-9927-9e4e3bfc9fe5"]}],"mendeley":{"formattedCitation":"(Sharpe et al., 2017)","plainTextFormattedCitation":"(Sharpe et al., 2017)","previouslyFormattedCitation":"(Sharpe et al., 2017)"},"properties":{"noteIndex":0},"schema":"https://github.com/citation-style-language/schema/raw/master/csl-citation.json"}</w:instrText>
      </w:r>
      <w:r w:rsidR="004B0C40" w:rsidRPr="0067680B">
        <w:rPr>
          <w:rFonts w:ascii="Times New Roman" w:hAnsi="Times New Roman" w:cs="Times New Roman"/>
          <w:color w:val="000000" w:themeColor="text1"/>
          <w:lang w:val="en-US"/>
        </w:rPr>
        <w:fldChar w:fldCharType="separate"/>
      </w:r>
      <w:r w:rsidR="000E79E6" w:rsidRPr="0067680B">
        <w:rPr>
          <w:rFonts w:ascii="Times New Roman" w:hAnsi="Times New Roman" w:cs="Times New Roman"/>
          <w:noProof/>
          <w:color w:val="000000" w:themeColor="text1"/>
          <w:lang w:val="en-US"/>
        </w:rPr>
        <w:t>(Sharpe et al., 2017)</w:t>
      </w:r>
      <w:r w:rsidR="004B0C40" w:rsidRPr="0067680B">
        <w:rPr>
          <w:rFonts w:ascii="Times New Roman" w:hAnsi="Times New Roman" w:cs="Times New Roman"/>
          <w:color w:val="000000" w:themeColor="text1"/>
          <w:lang w:val="en-US"/>
        </w:rPr>
        <w:fldChar w:fldCharType="end"/>
      </w:r>
      <w:r w:rsidRPr="0067680B">
        <w:rPr>
          <w:rFonts w:ascii="Times New Roman" w:hAnsi="Times New Roman" w:cs="Times New Roman"/>
          <w:color w:val="000000" w:themeColor="text1"/>
          <w:lang w:val="en-US"/>
        </w:rPr>
        <w:t>.</w:t>
      </w:r>
      <w:r w:rsidR="00E74AB2" w:rsidRPr="0067680B">
        <w:rPr>
          <w:rFonts w:ascii="Times New Roman" w:hAnsi="Times New Roman" w:cs="Times New Roman"/>
          <w:color w:val="000000" w:themeColor="text1"/>
          <w:lang w:val="en-US"/>
        </w:rPr>
        <w:t xml:space="preserve"> </w:t>
      </w:r>
      <w:r w:rsidR="00273DFD" w:rsidRPr="0067680B">
        <w:rPr>
          <w:rFonts w:ascii="Times New Roman" w:hAnsi="Times New Roman" w:cs="Times New Roman"/>
          <w:color w:val="000000" w:themeColor="text1"/>
          <w:lang w:val="en-US"/>
        </w:rPr>
        <w:t xml:space="preserve">However, EDTA may also have other sources in agricultural soils, such as </w:t>
      </w:r>
      <w:r w:rsidR="00F140C2" w:rsidRPr="0067680B">
        <w:rPr>
          <w:rFonts w:ascii="Times New Roman" w:hAnsi="Times New Roman" w:cs="Times New Roman"/>
          <w:color w:val="000000" w:themeColor="text1"/>
          <w:lang w:val="en-US"/>
        </w:rPr>
        <w:t xml:space="preserve">iron </w:t>
      </w:r>
      <w:r w:rsidR="00273DFD" w:rsidRPr="0067680B">
        <w:rPr>
          <w:rFonts w:ascii="Times New Roman" w:hAnsi="Times New Roman" w:cs="Times New Roman"/>
          <w:color w:val="000000" w:themeColor="text1"/>
          <w:lang w:val="en-US"/>
        </w:rPr>
        <w:t xml:space="preserve">fertilization, or the use of wastewaters </w:t>
      </w:r>
      <w:r w:rsidR="00273DFD" w:rsidRPr="0067680B">
        <w:rPr>
          <w:rFonts w:ascii="Times New Roman" w:hAnsi="Times New Roman" w:cs="Times New Roman"/>
          <w:color w:val="000000" w:themeColor="text1"/>
          <w:lang w:val="en-US"/>
        </w:rPr>
        <w:fldChar w:fldCharType="begin" w:fldLock="1"/>
      </w:r>
      <w:r w:rsidR="002C7ADD">
        <w:rPr>
          <w:rFonts w:ascii="Times New Roman" w:hAnsi="Times New Roman" w:cs="Times New Roman"/>
          <w:color w:val="000000" w:themeColor="text1"/>
          <w:lang w:val="en-US"/>
        </w:rPr>
        <w:instrText>ADDIN CSL_CITATION {"citationItems":[{"id":"ITEM-1","itemData":{"DOI":"10.1016/j.scitotenv.2016.10.153","ISSN":"18791026","PMID":"28327292","abstract":"Chelates such as ethylenediaminetetraacetic acid (EDTA) enter soils via various sources but their effect on agricultural crops is mostly unknown. Sources of EDTA include industry, households, sewage water and agricultural practices. In a field experiment EDTA was applied in its free form at different rates (0, 150, 550, 1050 kg ha− 1) to study its translocation in the soil profile and to evaluate its effect on yield and mineral composition of the cultivated crop, both in the year of application (oilseed rape) and in the following year (winter wheat). The results indicate that EDTA was translocated from the soil surface to deeper soil layers in the time-frame of the experiment. EDTA was still detectable in the rooting zone 19 months after application, indicating its persistence in the soil. Only the highest EDTA rate (1050 kg ha− 1) reduced vegetative growth of oilseed rape until stem elongation, but seed yield was not affected by EDTA application. EDTA application changed the mineral composition of plants. Higher phosphorus (P), sulphur (S), iron (Fe) and manganese (Mn) and lower cadmium (Cd) concentrations were determined in the seeds of oilseed rape. No yield effects of residual EDTA were observed for the following crop, winter wheat, but the Cd content in seeds was still lower in plots where EDTA had been applied in the previous year. Data show that EDTA application affects the mineral uptake of cultivated crops under field conditions.","author":[{"dropping-particle":"","family":"Bloem","given":"Elke","non-dropping-particle":"","parse-names":false,"suffix":""},{"dropping-particle":"","family":"Haneklaus","given":"Silvia","non-dropping-particle":"","parse-names":false,"suffix":""},{"dropping-particle":"","family":"Haensch","given":"Robert","non-dropping-particle":"","parse-names":false,"suffix":""},{"dropping-particle":"","family":"Schnug","given":"Ewald","non-dropping-particle":"","parse-names":false,"suffix":""}],"container-title":"Science of the Total Environment","id":"ITEM-1","issued":{"date-parts":[["2017"]]},"page":"166-173","publisher":"Elsevier B.V.","title":"EDTA application on agricultural soils affects microelement uptake of plants","type":"article-journal","volume":"577"},"uris":["http://www.mendeley.com/documents/?uuid=ce0402bb-5258-40b4-bc62-e668ca82eaba"]}],"mendeley":{"formattedCitation":"(Bloem et al., 2017)","plainTextFormattedCitation":"(Bloem et al., 2017)","previouslyFormattedCitation":"(Bloem et al., 2017)"},"properties":{"noteIndex":0},"schema":"https://github.com/citation-style-language/schema/raw/master/csl-citation.json"}</w:instrText>
      </w:r>
      <w:r w:rsidR="00273DFD" w:rsidRPr="0067680B">
        <w:rPr>
          <w:rFonts w:ascii="Times New Roman" w:hAnsi="Times New Roman" w:cs="Times New Roman"/>
          <w:color w:val="000000" w:themeColor="text1"/>
          <w:lang w:val="en-US"/>
        </w:rPr>
        <w:fldChar w:fldCharType="separate"/>
      </w:r>
      <w:r w:rsidR="000E79E6" w:rsidRPr="0067680B">
        <w:rPr>
          <w:rFonts w:ascii="Times New Roman" w:hAnsi="Times New Roman" w:cs="Times New Roman"/>
          <w:noProof/>
          <w:color w:val="000000" w:themeColor="text1"/>
          <w:lang w:val="en-US"/>
        </w:rPr>
        <w:t>(Bloem et al., 2017)</w:t>
      </w:r>
      <w:r w:rsidR="00273DFD" w:rsidRPr="0067680B">
        <w:rPr>
          <w:rFonts w:ascii="Times New Roman" w:hAnsi="Times New Roman" w:cs="Times New Roman"/>
          <w:color w:val="000000" w:themeColor="text1"/>
          <w:lang w:val="en-US"/>
        </w:rPr>
        <w:fldChar w:fldCharType="end"/>
      </w:r>
      <w:r w:rsidR="00273DFD" w:rsidRPr="0067680B">
        <w:rPr>
          <w:rFonts w:ascii="Times New Roman" w:hAnsi="Times New Roman" w:cs="Times New Roman"/>
          <w:color w:val="000000" w:themeColor="text1"/>
          <w:lang w:val="en-US"/>
        </w:rPr>
        <w:t>.</w:t>
      </w:r>
      <w:r w:rsidR="00F140C2" w:rsidRPr="0067680B">
        <w:rPr>
          <w:rFonts w:ascii="Times New Roman" w:hAnsi="Times New Roman" w:cs="Times New Roman"/>
          <w:color w:val="000000" w:themeColor="text1"/>
          <w:lang w:val="en-US"/>
        </w:rPr>
        <w:t xml:space="preserve"> </w:t>
      </w:r>
      <w:r w:rsidR="00273DFD" w:rsidRPr="0067680B">
        <w:rPr>
          <w:rFonts w:ascii="Times New Roman" w:hAnsi="Times New Roman" w:cs="Times New Roman"/>
          <w:color w:val="000000" w:themeColor="text1"/>
          <w:lang w:val="en-US"/>
        </w:rPr>
        <w:t>Little is known about the effect of EDTA on crop species</w:t>
      </w:r>
      <w:r w:rsidR="00867C5C">
        <w:rPr>
          <w:rFonts w:ascii="Times New Roman" w:hAnsi="Times New Roman" w:cs="Times New Roman"/>
          <w:color w:val="000000" w:themeColor="text1"/>
          <w:lang w:val="en-US"/>
        </w:rPr>
        <w:t xml:space="preserve"> </w:t>
      </w:r>
      <w:r w:rsidR="00867C5C" w:rsidRPr="0067680B">
        <w:rPr>
          <w:rFonts w:ascii="Times New Roman" w:hAnsi="Times New Roman" w:cs="Times New Roman"/>
          <w:color w:val="000000" w:themeColor="text1"/>
          <w:lang w:val="en-US"/>
        </w:rPr>
        <w:fldChar w:fldCharType="begin" w:fldLock="1"/>
      </w:r>
      <w:r w:rsidR="00867C5C">
        <w:rPr>
          <w:rFonts w:ascii="Times New Roman" w:hAnsi="Times New Roman" w:cs="Times New Roman"/>
          <w:color w:val="000000" w:themeColor="text1"/>
          <w:lang w:val="en-US"/>
        </w:rPr>
        <w:instrText>ADDIN CSL_CITATION {"citationItems":[{"id":"ITEM-1","itemData":{"DOI":"10.1016/j.scitotenv.2016.10.153","ISSN":"18791026","PMID":"28327292","abstract":"Chelates such as ethylenediaminetetraacetic acid (EDTA) enter soils via various sources but their effect on agricultural crops is mostly unknown. Sources of EDTA include industry, households, sewage water and agricultural practices. In a field experiment EDTA was applied in its free form at different rates (0, 150, 550, 1050 kg ha− 1) to study its translocation in the soil profile and to evaluate its effect on yield and mineral composition of the cultivated crop, both in the year of application (oilseed rape) and in the following year (winter wheat). The results indicate that EDTA was translocated from the soil surface to deeper soil layers in the time-frame of the experiment. EDTA was still detectable in the rooting zone 19 months after application, indicating its persistence in the soil. Only the highest EDTA rate (1050 kg ha− 1) reduced vegetative growth of oilseed rape until stem elongation, but seed yield was not affected by EDTA application. EDTA application changed the mineral composition of plants. Higher phosphorus (P), sulphur (S), iron (Fe) and manganese (Mn) and lower cadmium (Cd) concentrations were determined in the seeds of oilseed rape. No yield effects of residual EDTA were observed for the following crop, winter wheat, but the Cd content in seeds was still lower in plots where EDTA had been applied in the previous year. Data show that EDTA application affects the mineral uptake of cultivated crops under field conditions.","author":[{"dropping-particle":"","family":"Bloem","given":"Elke","non-dropping-particle":"","parse-names":false,"suffix":""},{"dropping-particle":"","family":"Haneklaus","given":"Silvia","non-dropping-particle":"","parse-names":false,"suffix":""},{"dropping-particle":"","family":"Haensch","given":"Robert","non-dropping-particle":"","parse-names":false,"suffix":""},{"dropping-particle":"","family":"Schnug","given":"Ewald","non-dropping-particle":"","parse-names":false,"suffix":""}],"container-title":"Science of the Total Environment","id":"ITEM-1","issued":{"date-parts":[["2017"]]},"page":"166-173","publisher":"Elsevier B.V.","title":"EDTA application on agricultural soils affects microelement uptake of plants","type":"article-journal","volume":"577"},"uris":["http://www.mendeley.com/documents/?uuid=ce0402bb-5258-40b4-bc62-e668ca82eaba"]}],"mendeley":{"formattedCitation":"(Bloem et al., 2017)","plainTextFormattedCitation":"(Bloem et al., 2017)","previouslyFormattedCitation":"(Bloem et al., 2017)"},"properties":{"noteIndex":0},"schema":"https://github.com/citation-style-language/schema/raw/master/csl-citation.json"}</w:instrText>
      </w:r>
      <w:r w:rsidR="00867C5C" w:rsidRPr="0067680B">
        <w:rPr>
          <w:rFonts w:ascii="Times New Roman" w:hAnsi="Times New Roman" w:cs="Times New Roman"/>
          <w:color w:val="000000" w:themeColor="text1"/>
          <w:lang w:val="en-US"/>
        </w:rPr>
        <w:fldChar w:fldCharType="separate"/>
      </w:r>
      <w:r w:rsidR="00867C5C" w:rsidRPr="0067680B">
        <w:rPr>
          <w:rFonts w:ascii="Times New Roman" w:hAnsi="Times New Roman" w:cs="Times New Roman"/>
          <w:noProof/>
          <w:color w:val="000000" w:themeColor="text1"/>
          <w:lang w:val="en-US"/>
        </w:rPr>
        <w:t>(Bloem et al., 2017)</w:t>
      </w:r>
      <w:r w:rsidR="00867C5C" w:rsidRPr="0067680B">
        <w:rPr>
          <w:rFonts w:ascii="Times New Roman" w:hAnsi="Times New Roman" w:cs="Times New Roman"/>
          <w:color w:val="000000" w:themeColor="text1"/>
          <w:lang w:val="en-US"/>
        </w:rPr>
        <w:fldChar w:fldCharType="end"/>
      </w:r>
      <w:r w:rsidR="00273DFD" w:rsidRPr="0067680B">
        <w:rPr>
          <w:rFonts w:ascii="Times New Roman" w:hAnsi="Times New Roman" w:cs="Times New Roman"/>
          <w:color w:val="000000" w:themeColor="text1"/>
          <w:lang w:val="en-US"/>
        </w:rPr>
        <w:t xml:space="preserve">. This compound has very low </w:t>
      </w:r>
      <w:r w:rsidR="00273DFD" w:rsidRPr="0067680B">
        <w:rPr>
          <w:rFonts w:ascii="Times New Roman" w:hAnsi="Times New Roman" w:cs="Times New Roman"/>
          <w:color w:val="000000" w:themeColor="text1"/>
          <w:shd w:val="clear" w:color="auto" w:fill="FFFFFF"/>
          <w:lang w:val="en-US"/>
        </w:rPr>
        <w:t xml:space="preserve">biodegradability in natural environments, which leads to high persistence in soils and water </w:t>
      </w:r>
      <w:r w:rsidR="00273DFD" w:rsidRPr="0067680B">
        <w:rPr>
          <w:rFonts w:ascii="Times New Roman" w:hAnsi="Times New Roman" w:cs="Times New Roman"/>
          <w:color w:val="000000" w:themeColor="text1"/>
          <w:shd w:val="clear" w:color="auto" w:fill="FFFFFF"/>
          <w:lang w:val="en-US"/>
        </w:rPr>
        <w:fldChar w:fldCharType="begin" w:fldLock="1"/>
      </w:r>
      <w:r w:rsidR="002C7ADD">
        <w:rPr>
          <w:rFonts w:ascii="Times New Roman" w:hAnsi="Times New Roman" w:cs="Times New Roman"/>
          <w:color w:val="000000" w:themeColor="text1"/>
          <w:shd w:val="clear" w:color="auto" w:fill="FFFFFF"/>
          <w:lang w:val="en-US"/>
        </w:rPr>
        <w:instrText>ADDIN CSL_CITATION {"citationItems":[{"id":"ITEM-1","itemData":{"DOI":"10.1016/0045-6535(96)00224-X","ISSN":"00456535","abstract":"A freshwater sediment putatively contaminated with ethylenediamine tetraacetic acid (EDTA) and its metal complexes was used to examine the biodegradation and the sediment/water partition of 14C-labelled ethylenediamine tetraacetic acid (EDTA) and diethylenetriamine pentaacetic acid (DTPA). The Fe complexes were examined and experiments were carried out at 22°C in darkness. The substrates had partition coefficients (K(o)c)) of 3.35 and 5.65 l kg-1organic carbon respectively, and there was no evidence for biodegradation of either substrate by the indigenous organisms in the absence of additional carbon or nitrogen substrates during incubation for 40d. It was concluded that (i) in this sample, aerobic microbial processes did not play a significant role in degrading either EDTA (Fe) or DTPA (Fe) to CO2 and (ii) on account of the limited extent to which these compounds partition into the sediment phase, anaerobic biodegradation would be of restricted significance. Experiments with 14C-labelled benzoate showed that concentrations of inorganic nutrients in the sediment were unlikely to limit biodegradation of EDTA or DTPA to 14CO2, and that sorption of benzoate and putatively EDTA and DTPA to bacteria in the sediment phase was minimal.","author":[{"dropping-particle":"","family":"Allard","given":"Ann Sofie","non-dropping-particle":"","parse-names":false,"suffix":""},{"dropping-particle":"","family":"Renberg","given":"L.","non-dropping-particle":"","parse-names":false,"suffix":""},{"dropping-particle":"","family":"Neilson","given":"A. H.","non-dropping-particle":"","parse-names":false,"suffix":""}],"container-title":"Chemosphere","id":"ITEM-1","issue":"4","issued":{"date-parts":[["1996","8","1"]]},"page":"577-583","publisher":"Elsevier Ltd","title":"Absence of 14C02 evolution from 14C-labelled EDTA and DTPA and the sediment/water partition ratio","type":"article-journal","volume":"33"},"uris":["http://www.mendeley.com/documents/?uuid=5557ceb0-4e53-392b-914b-b0985570f456"]},{"id":"ITEM-2","itemData":{"DOI":"10.1016/0043-1354(95)00125-5","ISSN":"00431354","abstract":"The speciation of EDTA in sewage effluents leaving wastewater treatment plants determines its ultimate fate in natural surface waters, since only the Fe(III)-EDTA complex (FeEDTA) is quickly degraded by direct photolysis, whereas other EDTA species are very slowly transformed, if at all, by biological or chemical processes. Field studies were undertaken to quantify the speciation of EDTA in influents and effluents of sewage treatment plants. Chemical equilibrium calculations are of only limited use for this purpose because several weeks are needed to reach thermodynamic equilibrium in wastewater due to slow metal exchange processes. In the effluents from treatment plants that precipitate phosphate, concentrations of dissolved Fe (0.05 μm- and 0.45 μm-filterable) correlated with the concentrations of EDTA. An operational scheme, using sunlight or artificial light sources for specific photoconversion of FeEDTA species, was applied to distinguish between photo-degradable (= FeEDTA) and photo-resistent EDTA species. Field studies conducted at three municipal wastewater treatment facilities showed that EDTA speciation changes from the input to the output because FeEDTA is formed from other metal-EDTA complexes after addition of iron(II)-containing solutions into the aeration tanks. With respect to total amounts of EDTA, fractions of FeEDTA in the influents and effluents varied from 10 to 55% and from 20 to 90%. Mass balances comprising sampling periods of several days showed that no significant elimination of EDTA occured by biological or chemical processes during sewage treatment, whereas the chemically related phosphate substitute nitrilotriacetic acid (NTA) was efficiently degraded (&gt;90%). As long as the speciation of EDTA in wastewaters is dominated by FeEDTA, and aerobic conditions are maintained, the remobilization of common heavy metals out of sewage sludge is unlikely to occur. Copyright © 1995 Elsevier Science Ltd. All rights reserved.","author":[{"dropping-particle":"","family":"Kari","given":"Franz Guenter","non-dropping-particle":"","parse-names":false,"suffix":""},{"dropping-particle":"","family":"Giger","given":"Walter","non-dropping-particle":"","parse-names":false,"suffix":""}],"container-title":"Water Research","id":"ITEM-2","issue":"1","issued":{"date-parts":[["1996","1","1"]]},"page":"122-134","publisher":"Elsevier Ltd","title":"Speciation and fate of ethylenediaminetetraacetate (EDTA) in municipal wastewater treatment","type":"article-journal","volume":"30"},"uris":["http://www.mendeley.com/documents/?uuid=0cbf4658-bab2-35bd-ae95-9540f4068dbd"]}],"mendeley":{"formattedCitation":"(Allard et al., 1996; Kari and Giger, 1996)","plainTextFormattedCitation":"(Allard et al., 1996; Kari and Giger, 1996)","previouslyFormattedCitation":"(Allard et al., 1996; Kari and Giger, 1996)"},"properties":{"noteIndex":0},"schema":"https://github.com/citation-style-language/schema/raw/master/csl-citation.json"}</w:instrText>
      </w:r>
      <w:r w:rsidR="00273DFD" w:rsidRPr="0067680B">
        <w:rPr>
          <w:rFonts w:ascii="Times New Roman" w:hAnsi="Times New Roman" w:cs="Times New Roman"/>
          <w:color w:val="000000" w:themeColor="text1"/>
          <w:shd w:val="clear" w:color="auto" w:fill="FFFFFF"/>
          <w:lang w:val="en-US"/>
        </w:rPr>
        <w:fldChar w:fldCharType="separate"/>
      </w:r>
      <w:r w:rsidR="000E79E6" w:rsidRPr="0067680B">
        <w:rPr>
          <w:rFonts w:ascii="Times New Roman" w:hAnsi="Times New Roman" w:cs="Times New Roman"/>
          <w:noProof/>
          <w:color w:val="000000" w:themeColor="text1"/>
          <w:shd w:val="clear" w:color="auto" w:fill="FFFFFF"/>
          <w:lang w:val="en-US"/>
        </w:rPr>
        <w:t>(Allard et al., 1996; Kari and Giger, 1996)</w:t>
      </w:r>
      <w:r w:rsidR="00273DFD" w:rsidRPr="0067680B">
        <w:rPr>
          <w:rFonts w:ascii="Times New Roman" w:hAnsi="Times New Roman" w:cs="Times New Roman"/>
          <w:color w:val="000000" w:themeColor="text1"/>
          <w:shd w:val="clear" w:color="auto" w:fill="FFFFFF"/>
          <w:lang w:val="en-US"/>
        </w:rPr>
        <w:fldChar w:fldCharType="end"/>
      </w:r>
      <w:r w:rsidR="00273DFD" w:rsidRPr="0067680B">
        <w:rPr>
          <w:rFonts w:ascii="Times New Roman" w:hAnsi="Times New Roman" w:cs="Times New Roman"/>
          <w:color w:val="000000" w:themeColor="text1"/>
          <w:shd w:val="clear" w:color="auto" w:fill="FFFFFF"/>
          <w:lang w:val="en-US"/>
        </w:rPr>
        <w:t xml:space="preserve">. Although EDTA itself is relatively harmless for humans and mammals </w:t>
      </w:r>
      <w:r w:rsidR="00273DFD" w:rsidRPr="0067680B">
        <w:rPr>
          <w:rFonts w:ascii="Times New Roman" w:hAnsi="Times New Roman" w:cs="Times New Roman"/>
          <w:color w:val="000000" w:themeColor="text1"/>
          <w:shd w:val="clear" w:color="auto" w:fill="FFFFFF"/>
          <w:lang w:val="en-US"/>
        </w:rPr>
        <w:fldChar w:fldCharType="begin" w:fldLock="1"/>
      </w:r>
      <w:r w:rsidR="002C7ADD">
        <w:rPr>
          <w:rFonts w:ascii="Times New Roman" w:hAnsi="Times New Roman" w:cs="Times New Roman"/>
          <w:color w:val="000000" w:themeColor="text1"/>
          <w:shd w:val="clear" w:color="auto" w:fill="FFFFFF"/>
          <w:lang w:val="en-US"/>
        </w:rPr>
        <w:instrText>ADDIN CSL_CITATION {"citationItems":[{"id":"ITEM-1","itemData":{"author":[{"dropping-particle":"","family":"European Chemical Bureau Report","given":"","non-dropping-particle":"","parse-names":false,"suffix":""}],"editor":[{"dropping-particle":"","family":"Communities","given":"European","non-dropping-particle":"","parse-names":false,"suffix":""}],"id":"ITEM-1","issued":{"date-parts":[["2004"]]},"publisher":"European Commission-Joint Centre, Institute for Health and Consumer Protection, European Chemicals Bureau","publisher-place":"Germany","title":"Edetic acid (EDTA) European Union Risk Assessment Report","type":"book"},"uris":["http://www.mendeley.com/documents/?uuid=77439ed6-bd37-31da-abc4-c41ec8481aec"]}],"mendeley":{"formattedCitation":"(European Chemical Bureau Report, 2004)","plainTextFormattedCitation":"(European Chemical Bureau Report, 2004)","previouslyFormattedCitation":"(European Chemical Bureau Report, 2004)"},"properties":{"noteIndex":0},"schema":"https://github.com/citation-style-language/schema/raw/master/csl-citation.json"}</w:instrText>
      </w:r>
      <w:r w:rsidR="00273DFD" w:rsidRPr="0067680B">
        <w:rPr>
          <w:rFonts w:ascii="Times New Roman" w:hAnsi="Times New Roman" w:cs="Times New Roman"/>
          <w:color w:val="000000" w:themeColor="text1"/>
          <w:shd w:val="clear" w:color="auto" w:fill="FFFFFF"/>
          <w:lang w:val="en-US"/>
        </w:rPr>
        <w:fldChar w:fldCharType="separate"/>
      </w:r>
      <w:r w:rsidR="000E79E6" w:rsidRPr="0067680B">
        <w:rPr>
          <w:rFonts w:ascii="Times New Roman" w:hAnsi="Times New Roman" w:cs="Times New Roman"/>
          <w:noProof/>
          <w:color w:val="000000" w:themeColor="text1"/>
          <w:shd w:val="clear" w:color="auto" w:fill="FFFFFF"/>
          <w:lang w:val="en-US"/>
        </w:rPr>
        <w:t>(European Chemical Bureau Report, 2004)</w:t>
      </w:r>
      <w:r w:rsidR="00273DFD" w:rsidRPr="0067680B">
        <w:rPr>
          <w:rFonts w:ascii="Times New Roman" w:hAnsi="Times New Roman" w:cs="Times New Roman"/>
          <w:color w:val="000000" w:themeColor="text1"/>
          <w:shd w:val="clear" w:color="auto" w:fill="FFFFFF"/>
          <w:lang w:val="en-US"/>
        </w:rPr>
        <w:fldChar w:fldCharType="end"/>
      </w:r>
      <w:r w:rsidR="00273DFD" w:rsidRPr="0067680B">
        <w:rPr>
          <w:rFonts w:ascii="Times New Roman" w:hAnsi="Times New Roman" w:cs="Times New Roman"/>
          <w:color w:val="000000" w:themeColor="text1"/>
          <w:shd w:val="clear" w:color="auto" w:fill="FFFFFF"/>
          <w:lang w:val="en-US"/>
        </w:rPr>
        <w:t>, it can have harmful effects in soil-plant system</w:t>
      </w:r>
      <w:r w:rsidR="002E6BCF" w:rsidRPr="0067680B">
        <w:rPr>
          <w:rFonts w:ascii="Times New Roman" w:hAnsi="Times New Roman" w:cs="Times New Roman"/>
          <w:color w:val="000000" w:themeColor="text1"/>
          <w:shd w:val="clear" w:color="auto" w:fill="FFFFFF"/>
          <w:lang w:val="en-US"/>
        </w:rPr>
        <w:t>s</w:t>
      </w:r>
      <w:r w:rsidR="00273DFD" w:rsidRPr="0067680B">
        <w:rPr>
          <w:rFonts w:ascii="Times New Roman" w:hAnsi="Times New Roman" w:cs="Times New Roman"/>
          <w:color w:val="000000" w:themeColor="text1"/>
          <w:shd w:val="clear" w:color="auto" w:fill="FFFFFF"/>
          <w:lang w:val="en-US"/>
        </w:rPr>
        <w:t xml:space="preserve">, since it can increase the bioavailability of several chemical elements, including Cu, potentially leading to an excessive </w:t>
      </w:r>
      <w:r w:rsidR="00E762C1">
        <w:rPr>
          <w:rFonts w:ascii="Times New Roman" w:hAnsi="Times New Roman" w:cs="Times New Roman"/>
          <w:color w:val="000000" w:themeColor="text1"/>
          <w:shd w:val="clear" w:color="auto" w:fill="FFFFFF"/>
          <w:lang w:val="en-US"/>
        </w:rPr>
        <w:t xml:space="preserve">plant </w:t>
      </w:r>
      <w:r w:rsidR="00273DFD" w:rsidRPr="0067680B">
        <w:rPr>
          <w:rFonts w:ascii="Times New Roman" w:hAnsi="Times New Roman" w:cs="Times New Roman"/>
          <w:color w:val="000000" w:themeColor="text1"/>
          <w:shd w:val="clear" w:color="auto" w:fill="FFFFFF"/>
          <w:lang w:val="en-US"/>
        </w:rPr>
        <w:t>uptake with subsequent phytotoxicity risk</w:t>
      </w:r>
      <w:r w:rsidR="004B0C40" w:rsidRPr="0067680B">
        <w:rPr>
          <w:rFonts w:ascii="Times New Roman" w:hAnsi="Times New Roman" w:cs="Times New Roman"/>
          <w:color w:val="000000" w:themeColor="text1"/>
          <w:shd w:val="clear" w:color="auto" w:fill="FFFFFF"/>
          <w:lang w:val="en-US"/>
        </w:rPr>
        <w:t xml:space="preserve">. </w:t>
      </w:r>
      <w:r w:rsidR="008974F2">
        <w:rPr>
          <w:rFonts w:ascii="Times New Roman" w:hAnsi="Times New Roman" w:cs="Times New Roman"/>
          <w:lang w:val="en-US"/>
        </w:rPr>
        <w:t>Even though</w:t>
      </w:r>
      <w:r w:rsidR="00356388" w:rsidRPr="0067680B">
        <w:rPr>
          <w:rFonts w:ascii="Times New Roman" w:hAnsi="Times New Roman" w:cs="Times New Roman"/>
          <w:lang w:val="en-US"/>
        </w:rPr>
        <w:t xml:space="preserve"> Cu toxicity is considered to be less prone to occur </w:t>
      </w:r>
      <w:r w:rsidR="00BD7633" w:rsidRPr="0067680B">
        <w:rPr>
          <w:rFonts w:ascii="Times New Roman" w:hAnsi="Times New Roman" w:cs="Times New Roman"/>
          <w:lang w:val="en-US"/>
        </w:rPr>
        <w:t xml:space="preserve">in </w:t>
      </w:r>
      <w:r w:rsidR="00356388" w:rsidRPr="0067680B">
        <w:rPr>
          <w:rFonts w:ascii="Times New Roman" w:hAnsi="Times New Roman" w:cs="Times New Roman"/>
          <w:lang w:val="en-US"/>
        </w:rPr>
        <w:t xml:space="preserve">well-established grapevines due to their deep roots </w:t>
      </w:r>
      <w:r w:rsidR="004B0C40" w:rsidRPr="0067680B">
        <w:rPr>
          <w:rFonts w:ascii="Times New Roman" w:hAnsi="Times New Roman" w:cs="Times New Roman"/>
          <w:lang w:val="en-US"/>
        </w:rPr>
        <w:fldChar w:fldCharType="begin" w:fldLock="1"/>
      </w:r>
      <w:r w:rsidR="002C7ADD">
        <w:rPr>
          <w:rFonts w:ascii="Times New Roman" w:hAnsi="Times New Roman" w:cs="Times New Roman"/>
          <w:lang w:val="en-US"/>
        </w:rPr>
        <w:instrText>ADDIN CSL_CITATION {"citationItems":[{"id":"ITEM-1","itemData":{"DOI":"10.1016/j.envpol.2012.03.023","ISSN":"02697491","PMID":"22522314","abstract":"Viticulturists use copper fungicide to combat Downy Mildew. Copper, a non-degradable heavy metal, can accumulate in soil or leach into water sources. Its accumulation in topsoil has impacted micro and macro organisms, spurring scientists to research in situ copper removal methods. Recent publications suggest that microorganism assisted phytoextraction, using plants and bacteria to actively extract copper, is most promising. As vineyards represent moderately polluted sites this technique has great potential. Active plant extraction and chelate assisted remediation extract too little copper or risk leaching, respectively. However, despite interesting pot experiment results using microorganism assisted phytoextraction, it remains a challenge to find plants that primarily accumulate copper in their shoots, a necessity in vineyards where whole plant removal would be time consuming and financially cumbersome. Vineyard remediation requires a holistic approach including sustainable soil management, proper plant selection, increasing biodiversity and microorganisms.","author":[{"dropping-particle":"","family":"Mackie","given":"K.A.","non-dropping-particle":"","parse-names":false,"suffix":""},{"dropping-particle":"","family":"Müller","given":"T.","non-dropping-particle":"","parse-names":false,"suffix":""},{"dropping-particle":"","family":"Kandeler","given":"E.","non-dropping-particle":"","parse-names":false,"suffix":""}],"container-title":"Environmental Pollution","id":"ITEM-1","issued":{"date-parts":[["2012","8"]]},"page":"16-26","title":"Remediation of copper in vineyards – A mini review","type":"article-journal","volume":"167"},"uris":["http://www.mendeley.com/documents/?uuid=f4cc0804-d8ec-3b61-b0f1-149c927d83db"]}],"mendeley":{"formattedCitation":"(Mackie et al., 2012)","plainTextFormattedCitation":"(Mackie et al., 2012)","previouslyFormattedCitation":"(Mackie et al., 2012)"},"properties":{"noteIndex":0},"schema":"https://github.com/citation-style-language/schema/raw/master/csl-citation.json"}</w:instrText>
      </w:r>
      <w:r w:rsidR="004B0C40" w:rsidRPr="0067680B">
        <w:rPr>
          <w:rFonts w:ascii="Times New Roman" w:hAnsi="Times New Roman" w:cs="Times New Roman"/>
          <w:lang w:val="en-US"/>
        </w:rPr>
        <w:fldChar w:fldCharType="separate"/>
      </w:r>
      <w:r w:rsidR="000E79E6" w:rsidRPr="0067680B">
        <w:rPr>
          <w:rFonts w:ascii="Times New Roman" w:hAnsi="Times New Roman" w:cs="Times New Roman"/>
          <w:noProof/>
          <w:lang w:val="en-US"/>
        </w:rPr>
        <w:t>(Mackie et al., 2012)</w:t>
      </w:r>
      <w:r w:rsidR="004B0C40" w:rsidRPr="0067680B">
        <w:rPr>
          <w:rFonts w:ascii="Times New Roman" w:hAnsi="Times New Roman" w:cs="Times New Roman"/>
          <w:lang w:val="en-US"/>
        </w:rPr>
        <w:fldChar w:fldCharType="end"/>
      </w:r>
      <w:r w:rsidR="00356388" w:rsidRPr="0067680B">
        <w:rPr>
          <w:rFonts w:ascii="Times New Roman" w:hAnsi="Times New Roman" w:cs="Times New Roman"/>
          <w:color w:val="000000" w:themeColor="text1"/>
          <w:lang w:val="en-US"/>
        </w:rPr>
        <w:t xml:space="preserve">, the </w:t>
      </w:r>
      <w:r w:rsidR="00356388" w:rsidRPr="0067680B">
        <w:rPr>
          <w:rFonts w:ascii="Times New Roman" w:hAnsi="Times New Roman" w:cs="Times New Roman"/>
          <w:color w:val="000000" w:themeColor="text1"/>
          <w:lang w:val="en-US"/>
        </w:rPr>
        <w:lastRenderedPageBreak/>
        <w:t xml:space="preserve">presence of EDTA can </w:t>
      </w:r>
      <w:r w:rsidR="00FC68E7" w:rsidRPr="0067680B">
        <w:rPr>
          <w:rFonts w:ascii="Times New Roman" w:hAnsi="Times New Roman" w:cs="Times New Roman"/>
          <w:color w:val="000000" w:themeColor="text1"/>
          <w:lang w:val="en-US"/>
        </w:rPr>
        <w:t>promote</w:t>
      </w:r>
      <w:r w:rsidR="00B518E9" w:rsidRPr="0067680B">
        <w:rPr>
          <w:rFonts w:ascii="Times New Roman" w:hAnsi="Times New Roman" w:cs="Times New Roman"/>
          <w:color w:val="000000" w:themeColor="text1"/>
          <w:lang w:val="en-US"/>
        </w:rPr>
        <w:t xml:space="preserve"> its </w:t>
      </w:r>
      <w:r w:rsidR="00FC68E7" w:rsidRPr="0067680B">
        <w:rPr>
          <w:rFonts w:ascii="Times New Roman" w:hAnsi="Times New Roman" w:cs="Times New Roman"/>
          <w:color w:val="000000" w:themeColor="text1"/>
          <w:lang w:val="en-US"/>
        </w:rPr>
        <w:t>bioavailability and translocation to</w:t>
      </w:r>
      <w:r w:rsidR="00B518E9" w:rsidRPr="0067680B">
        <w:rPr>
          <w:rFonts w:ascii="Times New Roman" w:hAnsi="Times New Roman" w:cs="Times New Roman"/>
          <w:color w:val="000000" w:themeColor="text1"/>
          <w:lang w:val="en-US"/>
        </w:rPr>
        <w:t xml:space="preserve"> deeper layers</w:t>
      </w:r>
      <w:r w:rsidR="005A3677">
        <w:rPr>
          <w:rFonts w:ascii="Times New Roman" w:hAnsi="Times New Roman" w:cs="Times New Roman"/>
          <w:color w:val="000000" w:themeColor="text1"/>
          <w:lang w:val="en-US"/>
        </w:rPr>
        <w:t xml:space="preserve"> </w:t>
      </w:r>
      <w:r w:rsidR="005A3677" w:rsidRPr="0067680B">
        <w:rPr>
          <w:rFonts w:ascii="Times New Roman" w:hAnsi="Times New Roman" w:cs="Times New Roman"/>
          <w:color w:val="000000" w:themeColor="text1"/>
          <w:shd w:val="clear" w:color="auto" w:fill="FFFFFF"/>
          <w:lang w:val="en-US"/>
        </w:rPr>
        <w:fldChar w:fldCharType="begin" w:fldLock="1"/>
      </w:r>
      <w:r w:rsidR="005A3677">
        <w:rPr>
          <w:rFonts w:ascii="Times New Roman" w:hAnsi="Times New Roman" w:cs="Times New Roman"/>
          <w:color w:val="000000" w:themeColor="text1"/>
          <w:shd w:val="clear" w:color="auto" w:fill="FFFFFF"/>
          <w:lang w:val="en-US"/>
        </w:rPr>
        <w:instrText>ADDIN CSL_CITATION {"citationItems":[{"id":"ITEM-1","itemData":{"DOI":"10.1023/A:1025527931486","ISSN":"0032079X","abstract":"EDTA-enhanced phytoremediation of copper contaminated soil was evaluated. Up to 740 μg g-1 of Na2H2 EDTA in solution was added to repacked soil columns, and intact cores of a sandy loam of volcanic origin, that was growing Agrostis tenuis. The soil contained up to 400 μg g-1 of copper due to a history of fungicide spraying. EDTA application increased the herbage copper concentration of the grass growing in repacked soil from 30 to 300 μg g-1, but the same application to an intact core only brought about an increase from 10 to 60 μg g-1. More copper accumulated in the herbage when the EDTA was applied in numerous small doses than in just one or two larger amounts. Calculation of the concentration of copper in the water taken up by the grass revealed this to be two orders of magnitude lower than that in the soil solution. As a result of the EDTA applications, about 100 times more copper was leached than was taken up by the herbage. This means that a strategy for managing leaching losses needs to be part of any plan for EDTA-enhanced phytoremediation.","author":[{"dropping-particle":"","family":"Thayalakumaran","given":"T.","non-dropping-particle":"","parse-names":false,"suffix":""},{"dropping-particle":"","family":"Robinson","given":"B. H.","non-dropping-particle":"","parse-names":false,"suffix":""},{"dropping-particle":"","family":"Vogeler","given":"I.","non-dropping-particle":"","parse-names":false,"suffix":""},{"dropping-particle":"","family":"Scotter","given":"D. R.","non-dropping-particle":"","parse-names":false,"suffix":""},{"dropping-particle":"","family":"Clothier","given":"B. E.","non-dropping-particle":"","parse-names":false,"suffix":""},{"dropping-particle":"","family":"Percival","given":"H. J.","non-dropping-particle":"","parse-names":false,"suffix":""}],"container-title":"Plant and Soil","id":"ITEM-1","issue":"2","issued":{"date-parts":[["2003"]]},"page":"415-423","title":"Plant uptake and leaching of copper during EDTA-enhanced phytoremediation of repacked and undisturbed soil","type":"article-journal","volume":"254"},"uris":["http://www.mendeley.com/documents/?uuid=040f8b08-4426-4bb5-aced-8e59cc6ddd40"]},{"id":"ITEM-2","itemData":{"DOI":"10.1016/j.scitotenv.2016.10.153","ISSN":"18791026","PMID":"28327292","abstract":"Chelates such as ethylenediaminetetraacetic acid (EDTA) enter soils via various sources but their effect on agricultural crops is mostly unknown. Sources of EDTA include industry, households, sewage water and agricultural practices. In a field experiment EDTA was applied in its free form at different rates (0, 150, 550, 1050 kg ha− 1) to study its translocation in the soil profile and to evaluate its effect on yield and mineral composition of the cultivated crop, both in the year of application (oilseed rape) and in the following year (winter wheat). The results indicate that EDTA was translocated from the soil surface to deeper soil layers in the time-frame of the experiment. EDTA was still detectable in the rooting zone 19 months after application, indicating its persistence in the soil. Only the highest EDTA rate (1050 kg ha− 1) reduced vegetative growth of oilseed rape until stem elongation, but seed yield was not affected by EDTA application. EDTA application changed the mineral composition of plants. Higher phosphorus (P), sulphur (S), iron (Fe) and manganese (Mn) and lower cadmium (Cd) concentrations were determined in the seeds of oilseed rape. No yield effects of residual EDTA were observed for the following crop, winter wheat, but the Cd content in seeds was still lower in plots where EDTA had been applied in the previous year. Data show that EDTA application affects the mineral uptake of cultivated crops under field conditions.","author":[{"dropping-particle":"","family":"Bloem","given":"Elke","non-dropping-particle":"","parse-names":false,"suffix":""},{"dropping-particle":"","family":"Haneklaus","given":"Silvia","non-dropping-particle":"","parse-names":false,"suffix":""},{"dropping-particle":"","family":"Haensch","given":"Robert","non-dropping-particle":"","parse-names":false,"suffix":""},{"dropping-particle":"","family":"Schnug","given":"Ewald","non-dropping-particle":"","parse-names":false,"suffix":""}],"container-title":"Science of the Total Environment","id":"ITEM-2","issued":{"date-parts":[["2017"]]},"page":"166-173","publisher":"Elsevier B.V.","title":"EDTA application on agricultural soils affects microelement uptake of plants","type":"article-journal","volume":"577"},"uris":["http://www.mendeley.com/documents/?uuid=ce0402bb-5258-40b4-bc62-e668ca82eaba"]}],"mendeley":{"formattedCitation":"(Bloem et al., 2017; Thayalakumaran et al., 2003)","plainTextFormattedCitation":"(Bloem et al., 2017; Thayalakumaran et al., 2003)","previouslyFormattedCitation":"(Bloem et al., 2017; Thayalakumaran et al., 2003)"},"properties":{"noteIndex":0},"schema":"https://github.com/citation-style-language/schema/raw/master/csl-citation.json"}</w:instrText>
      </w:r>
      <w:r w:rsidR="005A3677" w:rsidRPr="0067680B">
        <w:rPr>
          <w:rFonts w:ascii="Times New Roman" w:hAnsi="Times New Roman" w:cs="Times New Roman"/>
          <w:color w:val="000000" w:themeColor="text1"/>
          <w:shd w:val="clear" w:color="auto" w:fill="FFFFFF"/>
          <w:lang w:val="en-US"/>
        </w:rPr>
        <w:fldChar w:fldCharType="separate"/>
      </w:r>
      <w:r w:rsidR="005A3677" w:rsidRPr="0067680B">
        <w:rPr>
          <w:rFonts w:ascii="Times New Roman" w:hAnsi="Times New Roman" w:cs="Times New Roman"/>
          <w:noProof/>
          <w:color w:val="000000" w:themeColor="text1"/>
          <w:shd w:val="clear" w:color="auto" w:fill="FFFFFF"/>
          <w:lang w:val="en-US"/>
        </w:rPr>
        <w:t>(Bloem et al., 2017; Thayalakumaran et al., 2003)</w:t>
      </w:r>
      <w:r w:rsidR="005A3677" w:rsidRPr="0067680B">
        <w:rPr>
          <w:rFonts w:ascii="Times New Roman" w:hAnsi="Times New Roman" w:cs="Times New Roman"/>
          <w:color w:val="000000" w:themeColor="text1"/>
          <w:shd w:val="clear" w:color="auto" w:fill="FFFFFF"/>
          <w:lang w:val="en-US"/>
        </w:rPr>
        <w:fldChar w:fldCharType="end"/>
      </w:r>
      <w:r w:rsidR="00B518E9" w:rsidRPr="0067680B">
        <w:rPr>
          <w:rFonts w:ascii="Times New Roman" w:hAnsi="Times New Roman" w:cs="Times New Roman"/>
          <w:color w:val="000000" w:themeColor="text1"/>
          <w:lang w:val="en-US"/>
        </w:rPr>
        <w:t xml:space="preserve">, </w:t>
      </w:r>
      <w:r w:rsidR="007C3321" w:rsidRPr="0067680B">
        <w:rPr>
          <w:rFonts w:ascii="Times New Roman" w:hAnsi="Times New Roman" w:cs="Times New Roman"/>
          <w:color w:val="000000" w:themeColor="text1"/>
          <w:lang w:val="en-US"/>
        </w:rPr>
        <w:t xml:space="preserve">which may </w:t>
      </w:r>
      <w:r w:rsidR="00B518E9" w:rsidRPr="0067680B">
        <w:rPr>
          <w:rFonts w:ascii="Times New Roman" w:hAnsi="Times New Roman" w:cs="Times New Roman"/>
          <w:color w:val="000000" w:themeColor="text1"/>
          <w:lang w:val="en-US"/>
        </w:rPr>
        <w:t xml:space="preserve">lead to unexpected </w:t>
      </w:r>
      <w:r w:rsidR="004769BF" w:rsidRPr="0067680B">
        <w:rPr>
          <w:rFonts w:ascii="Times New Roman" w:hAnsi="Times New Roman" w:cs="Times New Roman"/>
          <w:color w:val="000000" w:themeColor="text1"/>
          <w:lang w:val="en-US"/>
        </w:rPr>
        <w:t xml:space="preserve">Cu </w:t>
      </w:r>
      <w:r w:rsidR="00B518E9" w:rsidRPr="0067680B">
        <w:rPr>
          <w:rFonts w:ascii="Times New Roman" w:hAnsi="Times New Roman" w:cs="Times New Roman"/>
          <w:color w:val="000000" w:themeColor="text1"/>
          <w:lang w:val="en-US"/>
        </w:rPr>
        <w:t>toxicity effects</w:t>
      </w:r>
      <w:r w:rsidR="00E91115" w:rsidRPr="0067680B">
        <w:rPr>
          <w:rFonts w:ascii="Times New Roman" w:hAnsi="Times New Roman" w:cs="Times New Roman"/>
          <w:color w:val="000000" w:themeColor="text1"/>
          <w:lang w:val="en-US"/>
        </w:rPr>
        <w:t xml:space="preserve"> in vineyards.</w:t>
      </w:r>
      <w:r w:rsidR="00B518E9" w:rsidRPr="0067680B">
        <w:rPr>
          <w:rFonts w:ascii="Times New Roman" w:hAnsi="Times New Roman" w:cs="Times New Roman"/>
          <w:color w:val="000000" w:themeColor="text1"/>
          <w:lang w:val="en-US"/>
        </w:rPr>
        <w:t xml:space="preserve"> </w:t>
      </w:r>
    </w:p>
    <w:p w14:paraId="6AB6754E" w14:textId="5FF9688A" w:rsidR="00421FB6" w:rsidRPr="0067680B" w:rsidRDefault="00BF49EC" w:rsidP="00075F70">
      <w:pPr>
        <w:autoSpaceDE w:val="0"/>
        <w:autoSpaceDN w:val="0"/>
        <w:adjustRightInd w:val="0"/>
        <w:spacing w:after="0" w:line="480" w:lineRule="auto"/>
        <w:jc w:val="both"/>
        <w:rPr>
          <w:rFonts w:ascii="Times New Roman" w:hAnsi="Times New Roman" w:cs="Times New Roman"/>
          <w:lang w:val="en-US"/>
        </w:rPr>
      </w:pPr>
      <w:r w:rsidRPr="0067680B">
        <w:rPr>
          <w:rFonts w:ascii="Times New Roman" w:hAnsi="Times New Roman" w:cs="Times New Roman"/>
          <w:color w:val="000000" w:themeColor="text1"/>
          <w:lang w:val="en-US"/>
        </w:rPr>
        <w:t xml:space="preserve">Plant inoculation with arbuscular mycorrhizal fungi (AMF) has been </w:t>
      </w:r>
      <w:r w:rsidR="004B0C40" w:rsidRPr="0067680B">
        <w:rPr>
          <w:rFonts w:ascii="Times New Roman" w:hAnsi="Times New Roman" w:cs="Times New Roman"/>
          <w:color w:val="000000" w:themeColor="text1"/>
          <w:lang w:val="en-US"/>
        </w:rPr>
        <w:t>used as an strategy</w:t>
      </w:r>
      <w:r w:rsidRPr="0067680B">
        <w:rPr>
          <w:rFonts w:ascii="Times New Roman" w:hAnsi="Times New Roman" w:cs="Times New Roman"/>
          <w:color w:val="000000" w:themeColor="text1"/>
          <w:lang w:val="en-US"/>
        </w:rPr>
        <w:t xml:space="preserve"> to improve plant tolerance to soil </w:t>
      </w:r>
      <w:r w:rsidR="007C3321" w:rsidRPr="0067680B">
        <w:rPr>
          <w:rFonts w:ascii="Times New Roman" w:hAnsi="Times New Roman" w:cs="Times New Roman"/>
          <w:color w:val="000000" w:themeColor="text1"/>
          <w:lang w:val="en-US"/>
        </w:rPr>
        <w:t xml:space="preserve">Cu </w:t>
      </w:r>
      <w:r w:rsidRPr="0067680B">
        <w:rPr>
          <w:rFonts w:ascii="Times New Roman" w:hAnsi="Times New Roman" w:cs="Times New Roman"/>
          <w:color w:val="000000" w:themeColor="text1"/>
          <w:lang w:val="en-US"/>
        </w:rPr>
        <w:t xml:space="preserve">contamination, with differing outcomes depending on the inoculated species </w:t>
      </w:r>
      <w:r w:rsidR="002D34E4" w:rsidRPr="0067680B">
        <w:rPr>
          <w:rFonts w:ascii="Times New Roman" w:hAnsi="Times New Roman" w:cs="Times New Roman"/>
          <w:color w:val="000000" w:themeColor="text1"/>
          <w:lang w:val="en-US"/>
        </w:rPr>
        <w:fldChar w:fldCharType="begin" w:fldLock="1"/>
      </w:r>
      <w:r w:rsidR="002C7ADD">
        <w:rPr>
          <w:rFonts w:ascii="Times New Roman" w:hAnsi="Times New Roman" w:cs="Times New Roman"/>
          <w:color w:val="000000" w:themeColor="text1"/>
          <w:lang w:val="en-US"/>
        </w:rPr>
        <w:instrText>ADDIN CSL_CITATION {"citationItems":[{"id":"ITEM-1","itemData":{"DOI":"10.3389/fpls.2018.01906","ISSN":"1664462X","abstract":"Plant inoculation with arbuscular mycorrhizal fungi (AMF) is increasingly employed to enhance productivity and sustainability in agricultural ecosystems. In the present study, the potential benefits of AMF inoculation on young grapevines replanted in pots containing vineyard soil with high Cu concentration were evaluated. For this purpose, one-year-old cv. Touriga Nacional grapevines grafted onto 1103P rootstocks were further inoculated with Rhizoglomus irregulare or Funneliformis mosseae, or left non-inoculated, and maintained in a sterilized substrate under greenhouse conditions for three months. After this time, half of the plants were transplanted to containers filled with an Arenosol from a vineyard which had been artificially contaminated or not with 300 mg kg −1 of Cu. At the end of the growing season, soil nutrient concentration, soil dehydrogenase activity and mycorrhizal colonization rate were analyzed. Grapevine performance was assessed by measuring several vegetative growth and physiological parameters as well as nutrient concentrations in leaves and roots. In the non-contaminated soil, R. irregulare-and F. mosseae-inoculated plants had significantly greater root biomass than the non-inoculated ones. However, the opposite effect was observed in the Cu-contaminated soil, where non-inoculated plants performed better regarding shoot and root development. Concerning nutrient levels, an increase in Cu, Mg and Mn concentrations was observed in the roots of plants growing in the contaminated soil, although only Mn was translocated to leaves. This led to a large increase in leaf Mn concentrations, which was significantly higher in non-inoculated and F. mosseae-inoculated plants than in the R. irregulare-inoculated ones. Copper contamination induced a general decrease in leaf N, P and Fe concentrations as well as chlorosis symptoms. The largest decrease in N and P was observed in F. mosseae-inoculated plants, with 73 and 31.2%, respectively. However, these plants were the ones with the least decrease in Fe concentration (10% vs. almost 30% in the other two inoculation treatments). In conclusion, this study indicates that soil Cu levels can modify the outcome of AMF inoculations in young grapevines, disclosing new AMF-plant associations potentially relevant in vineyards with a tradition of Cu-based fungicide application.","author":[{"dropping-particle":"","family":"Nogales","given":"A.","non-dropping-particle":"","parse-names":false,"suffix":""},{"dropping-particle":"","family":"Santos","given":"E.S.","non-dropping-particle":"","parse-names":false,"suffix":""},{"dropping-particle":"","family":"Abreu","given":"M.M.","non-dropping-particle":"","parse-names":false,"suffix":""},{"dropping-particle":"","family":"Arán","given":"D.","non-dropping-particle":"","parse-names":false,"suffix":""},{"dropping-particle":"","family":"Victorino","given":"G.","non-dropping-particle":"","parse-names":false,"suffix":""},{"dropping-particle":"","family":"Pereira","given":"H.S.","non-dropping-particle":"","parse-names":false,"suffix":""},{"dropping-particle":"","family":"Lopes","given":"C.M.","non-dropping-particle":"","parse-names":false,"suffix":""},{"dropping-particle":"","family":"Viegas","given":"W.","non-dropping-particle":"","parse-names":false,"suffix":""}],"container-title":"Frontiers in Plant Science","id":"ITEM-1","issued":{"date-parts":[["2019"]]},"title":"Mycorrhizal inoculation differentially affects grapevine’s performance in copper contaminated and non-contaminated soils","type":"article-journal","volume":"9"},"uris":["http://www.mendeley.com/documents/?uuid=b38c2b19-5c88-34a0-8087-dc357299736f"]},{"id":"ITEM-2","itemData":{"DOI":"10.1590/S1517-838246420140622","ISBN":"1517-8382 UL - http://www.scielo.br/scielo.php?script=sci_arttext&amp;pid=S1517-83822015000401045&amp;nrm=iso","ISSN":"1517-8382","PMID":"26691462","author":[{"dropping-particle":"","family":"Ambrosini","given":"Vítor Gabriel","non-dropping-particle":"","parse-names":false,"suffix":""},{"dropping-particle":"","family":"Gerent","given":"Voges; Joana","non-dropping-particle":"","parse-names":false,"suffix":""},{"dropping-particle":"","family":"Ludiana","given":"Canton;","non-dropping-particle":"","parse-names":false,"suffix":""},{"dropping-particle":"da","family":"Rosa","given":"Couto; Rafael","non-dropping-particle":"","parse-names":false,"suffix":""},{"dropping-particle":"","family":"Ademar","given":"Avelar; Ferreira; Paulo","non-dropping-particle":"","parse-names":false,"suffix":""},{"dropping-particle":"","family":"José","given":"Comin; Jucinei","non-dropping-particle":"","parse-names":false,"suffix":""},{"dropping-particle":"de","family":"Melo","given":"George Wellington Bastos","non-dropping-particle":"","parse-names":false,"suffix":""},{"dropping-particle":"","family":"Brunetto","given":"Gustavo","non-dropping-particle":"","parse-names":false,"suffix":""},{"dropping-particle":"","family":"Sousa","given":"Cláudio Roberto Fonsêca","non-dropping-particle":"","parse-names":false,"suffix":""},{"dropping-particle":"","family":"Soares","given":"Cláudio R F S","non-dropping-particle":"","parse-names":false,"suffix":""}],"container-title":"Brazilian Journal of Microbiology","id":"ITEM-2","issue":"4","issued":{"date-parts":[["2015"]]},"page":"1045-1052","title":"Arbuscular mycorrhizal fungi on young vines in copper contaminated soil","type":"article-journal","volume":"46"},"uris":["http://www.mendeley.com/documents/?uuid=6be1146f-34df-4db2-b851-d384e938cf67"]},{"id":"ITEM-3","itemData":{"DOI":"10.5073/vitis.2020.59.169-180","author":[{"dropping-particle":"","family":"Betancur-Agudelo","given":"M","non-dropping-particle":"","parse-names":false,"suffix":""},{"dropping-particle":"","family":"Meyer","given":"E","non-dropping-particle":"","parse-names":false,"suffix":""},{"dropping-particle":"","family":"Lovato","given":"P E","non-dropping-particle":"","parse-names":false,"suffix":""}],"container-title":"Vitis","id":"ITEM-3","issued":{"date-parts":[["2020"]]},"page":"169-180","title":"Growth , heavy metal uptake , and photosynthesis in ' Paulsen 1103 ' ( Vitis berlandieri x rupestris ) grapevine rootstocks inoculated with arbuscular mycorrhizal fungi from vineyard soils with high copper contents","type":"article-journal","volume":"180"},"uris":["http://www.mendeley.com/documents/?uuid=f6dbe4cb-c434-4b99-98b9-53b0fe20d73b"]},{"id":"ITEM-4","itemData":{"DOI":"10.1016/j.scienta.2019.01.026","ISSN":"03044238","abstract":"Established vineyard soils may have high copper (Cu) contents due to the ongoing foliar applications of copper-based fungicides. In viticulture, the replacement of old vineyards with new vines is common practice, however, limited by Cu excess in soil and its toxicity to young grapevines. The application of phosphorus (P) and arbuscular mycorrhizal fungi (AMF) inoculation are potential strategies to reduce Cu toxicity to young grapevines. This study aimed to assess the effects of phosphorus fertilization and AMF (Rhizophagus clarus) inoculation on growth and physiological parameters of young grapevines grown in soil with high Cu content. The experiment was conducted in a greenhouse, where natural grassland soil was artificially contaminated by the addition of 60 mg kg −1 Cu. The soils were treated with and without AMF inoculation, combined with additions of 0, 40 and 100 mg P kg −1 . After 90 days of cultivation, grapevine plants were assessed for chlorophyll a fluorescence, photosynthetic pigment contents, superoxide dismutase (SOD) activity, plant height, plant biomass, and concentrations of Cu and P in roots and shoots. Phosphorus fertilization promoted increases in seedling growth (related to the increase of total P concentration in roots and shoots), soluble Pi concentration in leaves, and the quantum yield of the PSII (YII) (associated with a reduction in shoot Cu concentration). The AMF inoculation increased the concentration of P in roots and shoots, soluble Pi in leaves and electron transport rate (ETR). Phosphorus fertilization and inoculation of grapevines with AMF are strategies capable of reducing Cu toxicity in young grapevines.","author":[{"dropping-particle":"","family":"Brunetto","given":"Gustavo","non-dropping-particle":"","parse-names":false,"suffix":""},{"dropping-particle":"","family":"Rosa","given":"Daniel J.","non-dropping-particle":"","parse-names":false,"suffix":""},{"dropping-particle":"","family":"Ambrosini","given":"Vítor G.","non-dropping-particle":"","parse-names":false,"suffix":""},{"dropping-particle":"","family":"Heinzen","given":"Janaina","non-dropping-particle":"","parse-names":false,"suffix":""},{"dropping-particle":"","family":"Ferreira","given":"Paulo A.A.","non-dropping-particle":"","parse-names":false,"suffix":""},{"dropping-particle":"","family":"Ceretta","given":"Carlos A.","non-dropping-particle":"","parse-names":false,"suffix":""},{"dropping-particle":"","family":"Soares","given":"Cláudio R.F.S.","non-dropping-particle":"","parse-names":false,"suffix":""},{"dropping-particle":"","family":"Melo","given":"George W.B.","non-dropping-particle":"","parse-names":false,"suffix":""},{"dropping-particle":"","family":"Soriani","given":"Hilda H.","non-dropping-particle":"","parse-names":false,"suffix":""},{"dropping-particle":"","family":"Nicoloso","given":"Fernando T.","non-dropping-particle":"","parse-names":false,"suffix":""},{"dropping-particle":"","family":"Farias","given":"Júlia G.","non-dropping-particle":"","parse-names":false,"suffix":""},{"dropping-particle":"","family":"Conti","given":"Lessandro","non-dropping-particle":"De","parse-names":false,"suffix":""},{"dropping-particle":"","family":"Silva"</w:instrText>
      </w:r>
      <w:r w:rsidR="002C7ADD" w:rsidRPr="00314F0F">
        <w:rPr>
          <w:rFonts w:ascii="Times New Roman" w:hAnsi="Times New Roman" w:cs="Times New Roman"/>
          <w:color w:val="000000" w:themeColor="text1"/>
          <w:lang w:val="fr-FR"/>
        </w:rPr>
        <w:instrText>,"given":"Lincon O.S.","non-dropping-particle":"","parse-names":false,"suffix":""},{"dropping-particle":"","family":"Santana","given":"Natielo","non-dropping-particle":"","parse-names":false,"suffix":""},{"dropping-particle":"","family":"Couto","given":"Rafael R.","non-dropping-particle":"","parse-names":false,"suffix":""},{"dropping-particle":"","family":"Jacques","given":"Rodrigo J.S.","non-dropping-particle":"","parse-names":false,"suffix":""},{"dropping-particle":"","family":"Tiecher","given":"Tadeu L.","non-dropping-particle":"","parse-names":false,"suffix":""}],"container-title":"Scientia Horticulturae","id":"ITEM-4","issue":"January","issued":{"date-parts":[["2019"]]},"page":"176-183","publisher":"Elsevier","title":"Use of phosphorus fertilization and mycorrhization as strategies for reducing copper toxicity in young grapevines","type":"article-journal","volume":"248"},"uris":["http://www.mendeley.com/documents/?uuid=9da5a3aa-7089-4490-9df1-507bb12ddf23"]}],"mendeley":{"formattedCitation":"(Ambrosini et al., 2015; Betancur-Agudelo et al., 2020; Brunetto et al., 2019; Nogales et al., 2019)","plainTextFormattedCitation":"(Ambrosini et al., 2015; Betancur-Agudelo et al., 2020; Brunetto et al., 2019; Nogales et al., 2019)","previouslyFormattedCitation":"(Ambrosini et al., 2015; Betancur-Agudelo et al., 2020; Brunetto et al., 2019; Nogales et al., 2019)"},"properties":{"noteIndex":0},"schema":"https://github.com/citation-style-language/schema/raw/master/csl-citation.json"}</w:instrText>
      </w:r>
      <w:r w:rsidR="002D34E4" w:rsidRPr="0067680B">
        <w:rPr>
          <w:rFonts w:ascii="Times New Roman" w:hAnsi="Times New Roman" w:cs="Times New Roman"/>
          <w:color w:val="000000" w:themeColor="text1"/>
          <w:lang w:val="en-US"/>
        </w:rPr>
        <w:fldChar w:fldCharType="separate"/>
      </w:r>
      <w:r w:rsidR="000E79E6" w:rsidRPr="0067680B">
        <w:rPr>
          <w:rFonts w:ascii="Times New Roman" w:hAnsi="Times New Roman" w:cs="Times New Roman"/>
          <w:noProof/>
          <w:color w:val="000000" w:themeColor="text1"/>
          <w:lang w:val="fr-FR"/>
        </w:rPr>
        <w:t>(Ambrosini et al., 2015; Betancur-Agudelo et al., 2020; Brunetto et al., 2019; Nogales et al., 2019)</w:t>
      </w:r>
      <w:r w:rsidR="002D34E4" w:rsidRPr="0067680B">
        <w:rPr>
          <w:rFonts w:ascii="Times New Roman" w:hAnsi="Times New Roman" w:cs="Times New Roman"/>
          <w:color w:val="000000" w:themeColor="text1"/>
          <w:lang w:val="en-US"/>
        </w:rPr>
        <w:fldChar w:fldCharType="end"/>
      </w:r>
      <w:r w:rsidRPr="0067680B">
        <w:rPr>
          <w:rFonts w:ascii="Times New Roman" w:hAnsi="Times New Roman" w:cs="Times New Roman"/>
          <w:color w:val="000000" w:themeColor="text1"/>
          <w:lang w:val="fr-FR"/>
        </w:rPr>
        <w:t>.</w:t>
      </w:r>
      <w:r w:rsidR="00900653" w:rsidRPr="0067680B">
        <w:rPr>
          <w:rFonts w:ascii="Times New Roman" w:hAnsi="Times New Roman" w:cs="Times New Roman"/>
          <w:color w:val="000000" w:themeColor="text1"/>
          <w:lang w:val="fr-FR"/>
        </w:rPr>
        <w:t xml:space="preserve"> </w:t>
      </w:r>
      <w:r w:rsidR="00FA6D48" w:rsidRPr="0067680B">
        <w:rPr>
          <w:rFonts w:ascii="Times New Roman" w:hAnsi="Times New Roman" w:cs="Times New Roman"/>
          <w:color w:val="000000"/>
          <w:lang w:val="en-US"/>
        </w:rPr>
        <w:t>Arbuscular mycorrhizal fungi are obligate symbionts that</w:t>
      </w:r>
      <w:r w:rsidR="00E903E4" w:rsidRPr="0067680B">
        <w:rPr>
          <w:rFonts w:ascii="Times New Roman" w:hAnsi="Times New Roman" w:cs="Times New Roman"/>
          <w:color w:val="000000"/>
          <w:lang w:val="en-US"/>
        </w:rPr>
        <w:t xml:space="preserve"> establish </w:t>
      </w:r>
      <w:r w:rsidR="00102582" w:rsidRPr="0067680B">
        <w:rPr>
          <w:rFonts w:ascii="Times New Roman" w:hAnsi="Times New Roman" w:cs="Times New Roman"/>
          <w:color w:val="000000"/>
          <w:lang w:val="en-US"/>
        </w:rPr>
        <w:t>symbioses</w:t>
      </w:r>
      <w:r w:rsidR="00E903E4" w:rsidRPr="0067680B">
        <w:rPr>
          <w:rFonts w:ascii="Times New Roman" w:hAnsi="Times New Roman" w:cs="Times New Roman"/>
          <w:color w:val="000000"/>
          <w:lang w:val="en-US"/>
        </w:rPr>
        <w:t xml:space="preserve"> with </w:t>
      </w:r>
      <w:r w:rsidR="003E33D3" w:rsidRPr="0067680B">
        <w:rPr>
          <w:rFonts w:ascii="Times New Roman" w:hAnsi="Times New Roman" w:cs="Times New Roman"/>
          <w:color w:val="000000"/>
          <w:lang w:val="en-US"/>
        </w:rPr>
        <w:t xml:space="preserve">approximately </w:t>
      </w:r>
      <w:r w:rsidR="00FA6D48" w:rsidRPr="0067680B">
        <w:rPr>
          <w:rFonts w:ascii="Times New Roman" w:hAnsi="Times New Roman" w:cs="Times New Roman"/>
          <w:color w:val="000000"/>
          <w:lang w:val="en-US"/>
        </w:rPr>
        <w:t xml:space="preserve">80% of </w:t>
      </w:r>
      <w:r w:rsidR="003E33D3" w:rsidRPr="0067680B">
        <w:rPr>
          <w:rFonts w:ascii="Times New Roman" w:hAnsi="Times New Roman" w:cs="Times New Roman"/>
          <w:color w:val="000000"/>
          <w:lang w:val="en-US"/>
        </w:rPr>
        <w:t>terrestrial</w:t>
      </w:r>
      <w:r w:rsidR="00FA6D48" w:rsidRPr="0067680B">
        <w:rPr>
          <w:rFonts w:ascii="Times New Roman" w:hAnsi="Times New Roman" w:cs="Times New Roman"/>
          <w:color w:val="000000"/>
          <w:lang w:val="en-US"/>
        </w:rPr>
        <w:t xml:space="preserve"> plants</w:t>
      </w:r>
      <w:r w:rsidR="00314F0F">
        <w:rPr>
          <w:rFonts w:ascii="Times New Roman" w:hAnsi="Times New Roman" w:cs="Times New Roman"/>
          <w:color w:val="000000"/>
          <w:lang w:val="en-US"/>
        </w:rPr>
        <w:t xml:space="preserve"> </w:t>
      </w:r>
      <w:r w:rsidR="00314F0F">
        <w:rPr>
          <w:rFonts w:ascii="Times New Roman" w:hAnsi="Times New Roman" w:cs="Times New Roman"/>
          <w:color w:val="000000"/>
          <w:lang w:val="en-US"/>
        </w:rPr>
        <w:fldChar w:fldCharType="begin" w:fldLock="1"/>
      </w:r>
      <w:r w:rsidR="00314F0F">
        <w:rPr>
          <w:rFonts w:ascii="Times New Roman" w:hAnsi="Times New Roman" w:cs="Times New Roman"/>
          <w:color w:val="000000"/>
          <w:lang w:val="en-US"/>
        </w:rPr>
        <w:instrText>ADDIN CSL_CITATION {"citationItems":[{"id":"ITEM-1","itemData":{"DOI":"10.1126/science.aab1161","ISSN":"10959203","PMID":"26315436","abstract":"The global biogeography of microorganisms remains largely unknown, in contrast to the well-studied diversity patterns of macroorganisms. We used arbuscular mycorrhizal (AM) fungus DNA from 1014 plant-root samples collected worldwide to determine the global distribution of these plant symbionts. We found that AM fungal communities reflected local environmental conditions and the spatial distance between sites. However, despite AM fungi apparently possessing limited dispersal ability, we found 93% of taxa on multiple continents and 34% on all six continents surveyed. This contrasts with the high spatial turnover of other fungal taxa and with the endemism displayed by plants at the global scale. We suggest that the biogeography of AM fungi is driven by unexpectedly efficient dispersal, probably via both abiotic and biotic vectors, including humans.","author":[{"dropping-particle":"","family":"Davison","given":"J.","non-dropping-particle":"","parse-names":false,"suffix":""},{"dropping-particle":"","family":"Moora","given":"M.","non-dropping-particle":"","parse-names":false,"suffix":""},{"dropping-particle":"","family":"Öpik","given":"M.","non-dropping-particle":"","parse-names":false,"suffix":""},{"dropping-particle":"","family":"Adholeya","given":"A.","non-dropping-particle":"","parse-names":false,"suffix":""},{"dropping-particle":"","family":"Ainsaar","given":"L.","non-dropping-particle":"","parse-names":false,"suffix":""},{"dropping-particle":"","family":"Bâ","given":"A.","non-dropping-particle":"","parse-names":false,"suffix":""},{"dropping-particle":"","family":"Burla","given":"S.","non-dropping-particle":"","parse-names":false,"suffix":""},{"dropping-particle":"","family":"Diedhiou","given":"A. G.","non-dropping-particle":"","parse-names":false,"suffix":""},{"dropping-particle":"","family":"Hiiesalu","given":"I.","non-dropping-particle":"","parse-names":false,"suffix":""},{"dropping-particle":"","family":"Jairus","given":"T.","non-dropping-particle":"","parse-names":false,"suffix":""},{"dropping-particle":"","family":"Johnson","given":"N. C.","non-dropping-particle":"","parse-names":false,"suffix":""},{"dropping-particle":"","family":"Kane","given":"A.","non-dropping-particle":"","parse-names":false,"suffix":""},{"dropping-particle":"","family":"Koorem","given":"K.","non-dropping-particle":"","parse-names":false,"suffix":""},{"dropping-particle":"","family":"Kochar","given":"M.","non-dropping-particle":"","parse-names":false,"suffix":""},{"dropping-particle":"","family":"Ndiaye","given":"C.","non-dropping-particle":"","parse-names":false,"suffix":""},{"dropping-particle":"","family":"Pärtel","given":"M.","non-dropping-particle":"","parse-names":false,"suffix":""},{"dropping-particle":"","family":"Reier","given":"","non-dropping-particle":"","parse-names":false,"suffix":""},{"dropping-particle":"","family":"Saks","given":"","non-dropping-particle":"","parse-names":false,"suffix":""},{"dropping-particle":"","family":"Singh","given":"R.","non-dropping-particle":"","parse-names":false,"suffix":""},{"dropping-particle":"","family":"Vasar","given":"M.","non-dropping-particle":"","parse-names":false,"suffix":""},{"dropping-particle":"","family":"Zobel","given":"M.","non-dropping-particle":"","parse-names":false,"suffix":""}],"container-title":"Science","id":"ITEM-1","issue":"6251","issued":{"date-parts":[["2015","8","28"]]},"page":"970-973","publisher":"American Association for the Advancement of Science","title":"Global assessment of arbuscular mycorrhizal fungus diversity reveals very low endemism","type":"article-journal","volume":"349"},"uris":["http://www.mendeley.com/documents/?uuid=e891271c-956f-3259-8b82-ced71f442f76"]},{"id":"ITEM-2","itemData":{"DOI":"10.1017/S0953756201005196","ISSN":"0953-7562","abstract":"The ecologically and economically important arbuscular mycorrhizal (AM) fungi, crucial in the ecology and physiology of land plants, and the endocytobiotic fungus, Geosiphon pyriformis, are phylogenetically analysed by their small subunit (SSU) rRNA gene sequences. They can, from molecular, morphological and ecological characteristics, unequivocally be separated from all other major fungal groups in a monophyletic clade. Consequently they are removed from the polyphyletic Zygomycota, and placed into a new monophyletic phylum, the Glomeromycota. The recognition of this monophyletic group, which probably diverged from the same common ancestor as the Ascomycota and Basidiomycota, gives these fungi their proper status, and provides a basis for a new and natural systematics of these fascinating, yet largely hidden organisms, with three new orders (Archaeosporales, Paraglomerales, Diversisporales) described herein. Additionally, several clades resolve at family level; their formal description is in progress.","author":[{"dropping-particle":"","family":"Schüβler","given":"Arthur","non-dropping-particle":"","parse-names":false,"suffix":""},{"dropping-particle":"","family":"Schwarzott","given":"Daniel","non-dropping-particle":"","parse-names":false,"suffix":""},{"dropping-particle":"","family":"Walker","given":"Christopher","non-dropping-particle":"","parse-names":false,"suffix":""}],"container-title":"Mycological Research","id":"ITEM-2","issue":"12","issued":{"date-parts":[["2001","12","1"]]},"page":"1413-1421","publisher":"Elsevier","title":"A new fungal phylum, the Glomeromycota: phylogeny and evolution","type":"article-journal","volume":"105"},"uris":["http://www.mendeley.com/documents/?uuid=1a89ddcc-e154-3b17-bd20-ad0a2643ae35"]},{"id":"ITEM-3","itemData":{"DOI":"10.1111/mec.14924","ISSN":"1365294X","PMID":"30403423","abstract":"Arbuscular mycorrhizal (AM) fungi are obligate plant symbionts that have important functions in most terrestrial ecosystems, but there remains an incomplete understanding of host–fungus specificity and the relationships between species and functional groups of plants and AM fungi. Here, we aimed to provide a comprehensive description of plant–AM fungal interactions in a biodiverse semi-natural grassland. We sampled all plant species in a 1,000-m 2 homogeneous plot of dry calcareous grassland in two seasons (summer and autumn) and identified root-colonizing AM fungi by SSU rDNA sequencing. In the network of 33 plant and 100 AM fungal species, we found a significant effect of both host plant species and host plant functional group on AM fungal richness and community composition. Comparison with network null models revealed a larger-than-random degree of partner selectivity among plants. Grasses harboured a larger number of AM fungal partners and were more generalist in partner selection, compared with forbs. More generalist partner association and lower specialization were apparent among obligately, compared with facultatively, mycorrhizal plant species and among locally more abundant plant species. This study provides the most complete data set of co-occurring plant and AM fungal taxa to date, showing that at this particular site, the interaction network is assembled non-randomly, with moderate selectivity in associations between plant species and functional groups and their fungal symbionts.","author":[{"dropping-particle":"","family":"Sepp","given":"Siim Kaarel","non-dropping-particle":"","parse-names":false,"suffix":""},{"dropping-particle":"","family":"Davison","given":"John","non-dropping-particle":"","parse-names":false,"suffix":""},{"dropping-particle":"","family":"Jairus","given":"Teele","non-dropping-particle":"","parse-names":false,"suffix":""},{"dropping-particle":"","family":"Vasar","given":"Martti","non-dropping-particle":"","parse-names":false,"suffix":""},{"dropping-particle":"","family":"Moora","given":"Mari","non-dropping-particle":"","parse-names":false,"suffix":""},{"dropping-particle":"","family":"Zobel","given":"Martin","non-dropping-particle":"","parse-names":false,"suffix":""},{"dropping-particle":"","family":"Öpik","given":"Maarja","non-dropping-particle":"","parse-names":false,"suffix":""}],"container-title":"Molecular Ecology","id":"ITEM-3","issue":"2","issued":{"date-parts":[["2019","1","1"]]},"page":"365-378","publisher":"Blackwell Publishing Ltd","title":"Non-random association patterns in a plant–mycorrhizal fungal network reveal host–symbiont specificity","type":"article-journal","volume":"28"},"uris":["http://www.mendeley.com/documents/?uuid=4e4e9fcf-3342-322a-82fc-e820f27e5a0f"]},{"id":"ITEM-4","itemData":{"DOI":"10.1016/B978-012370526-6.50001-5","ISBN":"9780123705266","author":[{"dropping-particle":"","family":"Smith","given":"Sally E.","non-dropping-particle":"","parse-names":false,"suffix":""},{"dropping-particle":"","family":"Read","given":"David","non-dropping-particle":"","parse-names":false,"suffix":""}],"container-title":"Mycorrhizal Symbiosis","id":"ITEM-4","issued":{"date-parts":[["2008"]]},"page":"vii-ix","title":"Preface","type":"chapter"},"uris":["http://www.mendeley.com/documents/?uuid=ddaa6ac2-bb6b-41bb-8dcc-414419134625"]}],"mendeley":{"formattedCitation":"(Davison et al., 2015; Schüβler et al., 2001; Sepp et al., 2019; Smith and Read, 2008)","plainTextFormattedCitation":"(Davison et al., 2015; Schüβler et al., 2001; Sepp et al., 2019; Smith and Read, 2008)","previouslyFormattedCitation":"(Davison et al., 2015; Schüβler et al., 2001; Sepp et al., 2019; Smith and Read, 2008)"},"properties":{"noteIndex":0},"schema":"https://github.com/citation-style-language/schema/raw/master/csl-citation.json"}</w:instrText>
      </w:r>
      <w:r w:rsidR="00314F0F">
        <w:rPr>
          <w:rFonts w:ascii="Times New Roman" w:hAnsi="Times New Roman" w:cs="Times New Roman"/>
          <w:color w:val="000000"/>
          <w:lang w:val="en-US"/>
        </w:rPr>
        <w:fldChar w:fldCharType="separate"/>
      </w:r>
      <w:r w:rsidR="00314F0F" w:rsidRPr="00BC1340">
        <w:rPr>
          <w:rFonts w:ascii="Times New Roman" w:hAnsi="Times New Roman" w:cs="Times New Roman"/>
          <w:noProof/>
          <w:color w:val="000000"/>
          <w:lang w:val="en-US"/>
        </w:rPr>
        <w:t>(Davison et al., 2015; Schüβler et al., 2001; Sepp et al., 2019; Smith and Read, 2008)</w:t>
      </w:r>
      <w:r w:rsidR="00314F0F">
        <w:rPr>
          <w:rFonts w:ascii="Times New Roman" w:hAnsi="Times New Roman" w:cs="Times New Roman"/>
          <w:color w:val="000000"/>
          <w:lang w:val="en-US"/>
        </w:rPr>
        <w:fldChar w:fldCharType="end"/>
      </w:r>
      <w:r w:rsidR="00FA6D48" w:rsidRPr="0067680B">
        <w:rPr>
          <w:rFonts w:ascii="Times New Roman" w:hAnsi="Times New Roman" w:cs="Times New Roman"/>
          <w:color w:val="000000"/>
          <w:lang w:val="en-US"/>
        </w:rPr>
        <w:t xml:space="preserve">. </w:t>
      </w:r>
      <w:r w:rsidR="00102582" w:rsidRPr="0067680B">
        <w:rPr>
          <w:rFonts w:ascii="Times New Roman" w:hAnsi="Times New Roman" w:cs="Times New Roman"/>
          <w:color w:val="000000"/>
          <w:lang w:val="en-US"/>
        </w:rPr>
        <w:t xml:space="preserve">They have well-known beneficial effects </w:t>
      </w:r>
      <w:r w:rsidR="00401BA8" w:rsidRPr="0067680B">
        <w:rPr>
          <w:rFonts w:ascii="Times New Roman" w:hAnsi="Times New Roman" w:cs="Times New Roman"/>
          <w:color w:val="000000"/>
          <w:lang w:val="en-US"/>
        </w:rPr>
        <w:t xml:space="preserve">in plant growth, nutrition and </w:t>
      </w:r>
      <w:r w:rsidR="00FA6D48" w:rsidRPr="0067680B">
        <w:rPr>
          <w:rFonts w:ascii="Times New Roman" w:hAnsi="Times New Roman" w:cs="Times New Roman"/>
          <w:color w:val="000000"/>
          <w:lang w:val="en-US"/>
        </w:rPr>
        <w:t>tolerance to biotic and abiotic stress factors</w:t>
      </w:r>
      <w:r w:rsidR="00314F0F">
        <w:rPr>
          <w:rFonts w:ascii="Times New Roman" w:hAnsi="Times New Roman" w:cs="Times New Roman"/>
          <w:color w:val="000000"/>
          <w:lang w:val="en-US"/>
        </w:rPr>
        <w:t xml:space="preserve"> </w:t>
      </w:r>
      <w:r w:rsidR="00314F0F">
        <w:rPr>
          <w:rFonts w:ascii="Times New Roman" w:hAnsi="Times New Roman" w:cs="Times New Roman"/>
          <w:color w:val="000000"/>
          <w:lang w:val="en-US"/>
        </w:rPr>
        <w:fldChar w:fldCharType="begin" w:fldLock="1"/>
      </w:r>
      <w:r w:rsidR="00314F0F">
        <w:rPr>
          <w:rFonts w:ascii="Times New Roman" w:hAnsi="Times New Roman" w:cs="Times New Roman"/>
          <w:color w:val="000000"/>
          <w:lang w:val="en-US"/>
        </w:rPr>
        <w:instrText>ADDIN CSL_CITATION {"citationItems":[{"id":"ITEM-1","itemData":{"DOI":"10.1093/jxb/ers046","ISSN":"00220957","PMID":"22407649","abstract":"The ectoparasitic dagger nematode (Xiphinema index), vector of Grapevine fanleaf virus (GFLV), provokes gall formation and can cause severe damage to the root system of grapevines. Mycorrhiza formation by Glomus (syn. Rhizophagus) intraradices BEG141 reduced both gall formation on roots of the grapevine rootstock SO4 (Vitis berlandieri×V. riparia) and nematode number in the surrounding soil. Suppressive effects increased with time and were greater when the nematode was post-inoculated rather than co-inoculated with the arbuscular mycorrhizal (AM) fungus. Using a split-root system, decreased X. index development was shown in mycorrhizal and non-mycorrhizal parts of mycorrhizal root systems, indicating that both local and systemic induced bioprotection mechanisms were active against the ectoparasitic nematode. Expression analyses of ESTs (expressed sequence tags) generated in an SSH (subtractive suppressive hybridization) library, representing plant genes up-regulated during mycorrhiza-induced control of X. index, and of described grapevine defence genes showed activation of chitinase 1b, pathogenesis-related 10, glutathione S-transferase, stilbene synthase 1, 5-enolpyruvyl shikimate-3-phosphate synthase, and a heat shock proein 70-interacting protein in association with the observed local and/or systemic induced bioprotection against the nematode. Overall, the data suggest priming of grapevine defence responses by the AM fungus and transmission of a plant-mediated signal to non-mycorrhizal tissues. Grapevine gene responses during AM-induced local and systemic bioprotection against X. index point to biological processes that are related either to direct effects on the nematode or to protection against nematode-imposed stress to maintain root tissue integrity. © 2012 The Author.","author":[{"dropping-particle":"","family":"Hao","given":"Zhipeng","non-dropping-particle":"","parse-names":false,"suffix":""},{"dropping-particle":"","family":"Fayolle","given":"Léon","non-dropping-particle":"","parse-names":false,"suffix":""},{"dropping-particle":"","family":"Tuinen","given":"Diederik","non-dropping-particle":"Van","parse-names":false,"suffix":""},{"dropping-particle":"","family":"Chatagnier","given":"Odile","non-dropping-particle":"","parse-names":false,"suffix":""},{"dropping-particle":"","family":"Li","given":"Xiaolin","non-dropping-particle":"","parse-names":false,"suffix":""},{"dropping-particle":"","family":"Gianinazzi","given":"Silvio","non-dropping-particle":"","parse-names":false,"suffix":""},{"dropping-particle":"","family":"Gianinazzi-Pearson","given":"Vivienne","non-dropping-particle":"","parse-names":false,"suffix":""}],"container-title":"Journal of Experimental Botany","id":"ITEM-1","issue":"10","issued":{"date-parts":[["2012","6","13"]]},"page":"3657-3672","publisher":"J Exp Bot","title":"Local and systemic mycorrhiza-induced protection against the ectoparasitic nematode Xiphinema index involves priming of defence gene responses in grapevine","type":"article","volume":"63"},"uris":["http://www.mendeley.com/documents/?uuid=a6c36021-6e31-360a-a73e-f83bd45607a6"]},{"id":"ITEM-2","itemData":{"DOI":"10.1038/s41598-020-66067-w","ISSN":"20452322","PMID":"32514032","abstract":"Vitis vinifera L. is an economically important crop that can be influenced by soil microorganisms, including arbuscular mycorrhizal fungi (AMF), that establish symbiotic associations with its roots. AMF have beneficial effects on grapevine performance improving water use efficiency and replant success. Most grapevine varieties are susceptible to various diseases, and integrated pest management (IPM) is one of the emerging approaches to perform pest control. In the present study, we examined the AMF communities present in the soil associated to the roots of V. vinifera cv. Pinot Noir (comparing them to those present in a soil not affected by grapevine roots), in a vineyard subjected to IPM at two different phenological stages, using 454 Roche sequencing technology. We proposed a new approach to analyze sequencing data. Most of the taxa were included in the family Glomeraceae. In particular, Glomus sp. Rhizophagus sp. and Septoglomus viscosum were present. The family Archeosporaceae was represented only by the genus Archeospora sp. Different AMF communities were found in the two soils and the importance of the phenological stage in regulating AMF biodiversity was assessed.","author":[{"dropping-particle":"","family":"Massa","given":"N.","non-dropping-particle":"","parse-names":false,"suffix":""},{"dropping-particle":"","family":"Bona","given":"E.","non-dropping-particle":"","parse-names":false,"suffix":""},{"dropping-particle":"","family":"Novello","given":"G.","non-dropping-particle":"","parse-names":false,"suffix":""},{"dropping-particle":"","family":"Todeschini","given":"V.","non-dropping-particle":"","parse-names":false,"suffix":""},{"dropping-particle":"","family":"Boatti","given":"L.","non-dropping-particle":"","parse-names":false,"suffix":""},{"dropping-particle":"","family":"Mignone","given":"F.","non-dropping-particle":"","parse-names":false,"suffix":""},{"dropping-particle":"","family":"Gamalero","given":"E.","non-dropping-particle":"","parse-names":false,"suffix":""},{"dropping-particle":"","family":"Lingua","given":"G.","non-dropping-particle":"","parse-names":false,"suffix":""},{"dropping-particle":"","family":"Berta","given":"G.","non-dropping-particle":"","parse-names":false,"suffix":""},{"dropping-particle":"","family":"Cesaro","given":"P.","non-dropping-particle":"","parse-names":false,"suffix":""}],"container-title":"Scientific Reports","id":"ITEM-2","issue":"1","issued":{"date-parts":[["2020","12","1"]]},"page":"1-12","publisher":"Nature Research","title":"AMF communities associated to Vitis vinifera in an Italian vineyard subjected to integrated pest management at two different phenological stages","type":"article-journal","volume":"10"},"uris":["http://www.mendeley.com/documents/?uuid=cde938a8-4ac9-34a1-85a2-eb51332209a5"]},{"id":"ITEM-3","itemData":{"DOI":"10.1016/j.apsoil.2007.03.002","ISSN":"09291393","abstract":"The influence of arbuscular mycorrhizal fungi (AMF) on growth and nutrient uptake by 'Pinot noir' grapevine cuttings was studied in an alluvial valley soil (Chehalis series, Mollisol) and a red-hill soil (Jory series, Ultisol) to better understand the role AMF play in vineyards planted in different soils with contrasting levels of available P. The first experiment compared plant response in both soils to a mix of AMF species (Glomus mosseae, Glomus intraradices, and Scutellospora calospora) isolated from Jory soil. Results showed that vine growth was heavily dependent on AMF in Jory soil, but inoculated and non-inoculated vines grew equally well in Chehalis soil. The increase in plant dry mass (274%) of 'Pinot noir' grown with AMF in Jory soil was primarily due to enhanced P uptake (833% increase). Uptake of most other nutrients was also enhanced by AMF in Jory soil. Sulfur was the only nutrient taken up in greater quantity by AMF vines in Chehalis soil. Root colonization by AMF was lower in Chehalis soil compared to Jory soil. A second experiment compared plant response in both soils to either native or nonnative G. mosseae isolated from each respective soil type. Vine growth in Chehalis soil was not affected by either G. mosseae isolate, although both isolates increased P and Zn uptake and the native isolate enhanced Cu and S uptake by 'Pinot noir'. Both G. mosseae isolates enhanced vine growth in Jory soil, primarily due to improved P uptake; however, the nonnative isolate of G. mosseae colonized roots to a greater degree and was more effective in promoting growth and nutrient uptake than the native isolate. Results from these experiments show that 'Pinot noir' is dependent on AMF to obtain enough P for normal growth in red-hill soils, while growth in valley soils is not dependent on AMF, even though P uptake can be improved by AMF in this soil. Native or nonnative G. mosseae isolates performed equally well in promoting P uptake in Chehalis soil, however, the Chehalis soil fungus outperformed the Jory soil fungus in promoting P uptake in Jory soil and Cu and S uptake in both soils. © 2007 Elsevier B.V. All rights reserved.","author":[{"dropping-particle":"","family":"Schreiner","given":"R.P","non-dropping-particle":"","parse-names":false,"suffix":""}],"container-title":"Applied Soil Ecology","id":"ITEM-3","issue":"2-3","issued":{"date-parts":[["2007","6","1"]]},"page":"205-215","publisher":"Elsevier","title":"Effects of native and nonnative arbuscular mycorrhizal fungi on growth and nutrient uptake of 'Pinot noir' (Vitis vinifera L.) in two soils with contrasting levels of phosphorus","type":"article-journal","volume":"36"},"uris":["http://www.mendeley.com/documents/?uuid=96a96ad0-8c23-31c4-9032-0e7ea412ab0b"]},{"id":"ITEM-4","itemData":{"DOI":"10.1016/B978-012370526-6.50001-5","ISBN":"9780123705266","author":[{"dropping-particle":"","family":"Smith","given":"Sally E.","non-dropping-particle":"","parse-names":false,"suffix":""},{"dropping-particle":"","family":"Read","given":"David","non-dropping-particle":"","parse-names":false,"suffix":""}],"container-title":"Mycorrhizal Symbiosis","id":"ITEM-4","issued":{"date-parts":[["2008"]]},"page":"vii-ix","title":"Preface","type":"chapter"},"uris":["http://www.mendeley.com/documents/?uuid=ddaa6ac2-bb6b-41bb-8dcc-414419134625"]},{"id":"ITEM-5","itemData":{"DOI":"10.1007/s13593-015-0329-7&gt;","abstract":"Viticulture is a major worldwide economic sector with a vine area of 7.52 million ha, wine production of 288 Mhl, and wine exports of 26 billion euros. Nevertheless, viticulture has to adapt to new challenges of pest management, such as pesticide reduction, and climate change, such as increasing droughts. Viticulture adaptation can benefit from arbuscular mycorrhiza, a plant-fungus symbiosis. Here, we review the ecosystemic services of arbuscular mycorrhiza for grapevine production. The major points are the following: (1) arbuscular mycorrhiza fungi increase grapevine growth and nutrition by a better access to soil nutrients and by activating the regulation of plant transport proteins for phosphorus (P), nitrogen (N), and other elements. (2) Arbuscular my-corrhiza fungi increase the tolerance to abiotic stresses such as water stress, soil salinity, iron chlorosis, and heavy metal toxicity. (3) Arbuscular mycorrhiza fungi protect against biotic stresses such as root diseases. (4) Arbuscular mycorrhiza fungi produce glycoproteins and a dense hyphal network that increases soil stability and save soil nutrients up to 14 % of the grape production income. (5) P fertilisation reduces mycorhization. (6) Using herbaceous plants as cover crops favors arbuscular mycorrhiza fungi.","author":[{"dropping-particle":"","family":"Trouvelot","given":"Sophie","non-dropping-particle":"","parse-names":false,"suffix":""},{"dropping-particle":"","family":"Bonneau","given":"Laurent","non-dropping-particle":"","parse-names":false,"suffix":""},{"dropping-particle":"","family":"Redecker","given":"Dirk","non-dropping-particle":"","parse-names":false,"suffix":""},{"dropping-particle":"","family":"Tuinen","given":"Diederik","non-dropping-particle":"Van","parse-names":false,"suffix":""},{"dropping-particle":"","family":"Adrian","given":"Marielle","non-dropping-particle":"","parse-names":false,"suffix":""},{"dropping-particle":"","family":"Wipf","given":"Daniel","non-dropping-particle":"","parse-names":false,"suffix":""}],"container-title":"Agronomy for Sustainable Development","id":"ITEM-5","issue":"4","issued":{"date-parts":[["2015"]]},"page":"1449–1467","title":"Arbuscular mycorrhiza symbiosis in viticulture: a review.","type":"article-journal","volume":"35"},"uris":["http://www.mendeley.com/documents/?uuid=667c819d-8223-3a57-a39b-7797030372ab"]}],"mendeley":{"formattedCitation":"(Hao et al., 2012; Massa et al., 2020; Schreiner, 2007; Smith and Read, 2008; Trouvelot et al., 2015)","plainTextFormattedCitation":"(Hao et al., 2012; Massa et al., 2020; Schreiner, 2007; Smith and Read, 2008; Trouvelot et al., 2015)","previouslyFormattedCitation":"(Hao et al., 2012; Massa et al., 2020; Schreiner, 2007; Smith and Read, 2008; Trouvelot et al., 2015)"},"properties":{"noteIndex":0},"schema":"https://github.com/citation-style-language/schema/raw/master/csl-citation.json"}</w:instrText>
      </w:r>
      <w:r w:rsidR="00314F0F">
        <w:rPr>
          <w:rFonts w:ascii="Times New Roman" w:hAnsi="Times New Roman" w:cs="Times New Roman"/>
          <w:color w:val="000000"/>
          <w:lang w:val="en-US"/>
        </w:rPr>
        <w:fldChar w:fldCharType="separate"/>
      </w:r>
      <w:r w:rsidR="00314F0F" w:rsidRPr="00BC1340">
        <w:rPr>
          <w:rFonts w:ascii="Times New Roman" w:hAnsi="Times New Roman" w:cs="Times New Roman"/>
          <w:noProof/>
          <w:color w:val="000000"/>
          <w:lang w:val="en-US"/>
        </w:rPr>
        <w:t>(Hao et al., 2012; Massa et al., 2020; Schreiner, 2007; Smith and Read, 2008; Trouvelot et al., 2015)</w:t>
      </w:r>
      <w:r w:rsidR="00314F0F">
        <w:rPr>
          <w:rFonts w:ascii="Times New Roman" w:hAnsi="Times New Roman" w:cs="Times New Roman"/>
          <w:color w:val="000000"/>
          <w:lang w:val="en-US"/>
        </w:rPr>
        <w:fldChar w:fldCharType="end"/>
      </w:r>
      <w:r w:rsidR="002E4A21" w:rsidRPr="0067680B">
        <w:rPr>
          <w:rFonts w:ascii="Times New Roman" w:hAnsi="Times New Roman" w:cs="Times New Roman"/>
          <w:color w:val="000000"/>
          <w:lang w:val="en-US"/>
        </w:rPr>
        <w:t>.</w:t>
      </w:r>
      <w:r w:rsidR="007128CA" w:rsidRPr="0067680B">
        <w:rPr>
          <w:rFonts w:ascii="Times New Roman" w:hAnsi="Times New Roman" w:cs="Times New Roman"/>
          <w:color w:val="000000"/>
          <w:lang w:val="en-US"/>
        </w:rPr>
        <w:t xml:space="preserve"> In particular, they can improve plant tolerance to soil Cu toxicity through several mechanisms: by </w:t>
      </w:r>
      <w:r w:rsidR="00900653" w:rsidRPr="0067680B">
        <w:rPr>
          <w:rFonts w:ascii="Times New Roman" w:hAnsi="Times New Roman" w:cs="Times New Roman"/>
          <w:color w:val="000000"/>
          <w:lang w:val="en-US"/>
        </w:rPr>
        <w:t xml:space="preserve">reducing Cu mobility and availability through the </w:t>
      </w:r>
      <w:r w:rsidR="007128CA" w:rsidRPr="0067680B">
        <w:rPr>
          <w:rFonts w:ascii="Times New Roman" w:hAnsi="Times New Roman" w:cs="Times New Roman"/>
          <w:color w:val="000000"/>
          <w:lang w:val="en-US"/>
        </w:rPr>
        <w:t>excret</w:t>
      </w:r>
      <w:r w:rsidR="00900653" w:rsidRPr="0067680B">
        <w:rPr>
          <w:rFonts w:ascii="Times New Roman" w:hAnsi="Times New Roman" w:cs="Times New Roman"/>
          <w:color w:val="000000"/>
          <w:lang w:val="en-US"/>
        </w:rPr>
        <w:t>ion of</w:t>
      </w:r>
      <w:r w:rsidR="007128CA" w:rsidRPr="0067680B">
        <w:rPr>
          <w:rFonts w:ascii="Times New Roman" w:hAnsi="Times New Roman" w:cs="Times New Roman"/>
          <w:color w:val="000000"/>
          <w:lang w:val="en-US"/>
        </w:rPr>
        <w:t xml:space="preserve"> </w:t>
      </w:r>
      <w:r w:rsidR="00592E8E" w:rsidRPr="0067680B">
        <w:rPr>
          <w:rFonts w:ascii="Times New Roman" w:hAnsi="Times New Roman" w:cs="Times New Roman"/>
          <w:color w:val="000000"/>
          <w:lang w:val="en-US"/>
        </w:rPr>
        <w:t>glomalin</w:t>
      </w:r>
      <w:r w:rsidR="00E762C1">
        <w:rPr>
          <w:rFonts w:ascii="Times New Roman" w:hAnsi="Times New Roman" w:cs="Times New Roman"/>
          <w:color w:val="000000"/>
          <w:lang w:val="en-US"/>
        </w:rPr>
        <w:t>-</w:t>
      </w:r>
      <w:r w:rsidR="00592E8E" w:rsidRPr="0067680B">
        <w:rPr>
          <w:rFonts w:ascii="Times New Roman" w:hAnsi="Times New Roman" w:cs="Times New Roman"/>
          <w:color w:val="000000"/>
          <w:lang w:val="en-US"/>
        </w:rPr>
        <w:t xml:space="preserve">related proteins </w:t>
      </w:r>
      <w:r w:rsidR="00900653" w:rsidRPr="0067680B">
        <w:rPr>
          <w:rFonts w:ascii="Times New Roman" w:hAnsi="Times New Roman" w:cs="Times New Roman"/>
          <w:color w:val="000000"/>
          <w:lang w:val="en-US"/>
        </w:rPr>
        <w:t>or</w:t>
      </w:r>
      <w:r w:rsidR="00592E8E" w:rsidRPr="0067680B">
        <w:rPr>
          <w:rFonts w:ascii="Times New Roman" w:hAnsi="Times New Roman" w:cs="Times New Roman"/>
          <w:color w:val="000000"/>
          <w:lang w:val="en-US"/>
        </w:rPr>
        <w:t xml:space="preserve"> accumulating Cu in their spores or vesicles </w:t>
      </w:r>
      <w:r w:rsidR="002679D2" w:rsidRPr="0067680B">
        <w:rPr>
          <w:rFonts w:ascii="Times New Roman" w:hAnsi="Times New Roman" w:cs="Times New Roman"/>
          <w:color w:val="000000"/>
          <w:lang w:val="en-US"/>
        </w:rPr>
        <w:fldChar w:fldCharType="begin" w:fldLock="1"/>
      </w:r>
      <w:r w:rsidR="002C7ADD">
        <w:rPr>
          <w:rFonts w:ascii="Times New Roman" w:hAnsi="Times New Roman" w:cs="Times New Roman"/>
          <w:color w:val="000000"/>
          <w:lang w:val="en-US"/>
        </w:rPr>
        <w:instrText>ADDIN CSL_CITATION {"citationItems":[{"id":"ITEM-1","itemData":{"DOI":"10.1007/s11101-009-9133-9","author":[{"dropping-particle":"","family":"Ferrol","given":"Nuria","non-dropping-particle":"","parse-names":false,"suffix":""},{"dropping-particle":"","family":"González-Guerrero","given":"Manuel","non-dropping-particle":"","parse-names":false,"suffix":""},{"dropping-particle":"","family":"Valderas","given":"Ascensión","non-dropping-particle":"","parse-names":false,"suffix":""},{"dropping-particle":"","family":"Benabdellah","given":"Karim","non-dropping-particle":"","parse-names":false,"suffix":""},{"dropping-particle":"","family":"Azcón-Aguilar","given":"Concepción","non-dropping-particle":"","parse-names":false,"suffix":""}],"container-title":"Phytochemistry Reviews","id":"ITEM-1","issue":"3","issued":{"date-parts":[["2009","10","21"]]},"page":"551-559","publisher":"Springer Netherlands","title":"Survival strategies of arbuscular mycorrhizal fungi in Cu-polluted environments","type":"article-journal","volume":"8"},"uris":["http://www.mendeley.com/documents/?uuid=470f3dba-8257-33f0-a0cd-320db8607dbb"]}],"mendeley":{"formattedCitation":"(Ferrol et al., 2009)","plainTextFormattedCitation":"(Ferrol et al., 2009)","previouslyFormattedCitation":"(Ferrol et al., 2009)"},"properties":{"noteIndex":0},"schema":"https://github.com/citation-style-language/schema/raw/master/csl-citation.json"}</w:instrText>
      </w:r>
      <w:r w:rsidR="002679D2" w:rsidRPr="0067680B">
        <w:rPr>
          <w:rFonts w:ascii="Times New Roman" w:hAnsi="Times New Roman" w:cs="Times New Roman"/>
          <w:color w:val="000000"/>
          <w:lang w:val="en-US"/>
        </w:rPr>
        <w:fldChar w:fldCharType="separate"/>
      </w:r>
      <w:r w:rsidR="000E79E6" w:rsidRPr="0067680B">
        <w:rPr>
          <w:rFonts w:ascii="Times New Roman" w:hAnsi="Times New Roman" w:cs="Times New Roman"/>
          <w:noProof/>
          <w:color w:val="000000"/>
          <w:lang w:val="en-US"/>
        </w:rPr>
        <w:t>(Ferrol et al., 2009)</w:t>
      </w:r>
      <w:r w:rsidR="002679D2" w:rsidRPr="0067680B">
        <w:rPr>
          <w:rFonts w:ascii="Times New Roman" w:hAnsi="Times New Roman" w:cs="Times New Roman"/>
          <w:color w:val="000000"/>
          <w:lang w:val="en-US"/>
        </w:rPr>
        <w:fldChar w:fldCharType="end"/>
      </w:r>
      <w:r w:rsidR="00532C0F" w:rsidRPr="0067680B">
        <w:rPr>
          <w:rFonts w:ascii="Times New Roman" w:hAnsi="Times New Roman" w:cs="Times New Roman"/>
          <w:color w:val="000000"/>
          <w:lang w:val="en-US"/>
        </w:rPr>
        <w:t xml:space="preserve">, by improving water and nutrient uptake in contaminated </w:t>
      </w:r>
      <w:r w:rsidR="00532C0F" w:rsidRPr="0067680B">
        <w:rPr>
          <w:rFonts w:ascii="Times New Roman" w:hAnsi="Times New Roman" w:cs="Times New Roman"/>
          <w:lang w:val="en-US"/>
        </w:rPr>
        <w:t xml:space="preserve">soils </w:t>
      </w:r>
      <w:r w:rsidR="002E208C" w:rsidRPr="0067680B">
        <w:rPr>
          <w:rFonts w:ascii="Times New Roman" w:hAnsi="Times New Roman" w:cs="Times New Roman"/>
          <w:lang w:val="en-US"/>
        </w:rPr>
        <w:fldChar w:fldCharType="begin" w:fldLock="1"/>
      </w:r>
      <w:r w:rsidR="002C7ADD">
        <w:rPr>
          <w:rFonts w:ascii="Times New Roman" w:hAnsi="Times New Roman" w:cs="Times New Roman"/>
          <w:lang w:val="en-US"/>
        </w:rPr>
        <w:instrText>ADDIN CSL_CITATION {"citationItems":[{"id":"ITEM-1","itemData":{"DOI":"10.1007/s00374-007-0265-z","ISSN":"0178-2762","author":[{"dropping-particle":"","family":"Soares","given":"Cláudio R. F. S.","non-dropping-particle":"","parse-names":false,"suffix":""},{"dropping-particle":"","family":"Siqueira","given":"José O.","non-dropping-particle":"","parse-names":false,"suffix":""}],"container-title":"Biology and Fertility of Soils","id":"ITEM-1","issue":"6","issued":{"date-parts":[["2008","7","25"]]},"page":"833-841","publisher":"Springer-Verlag","title":"Mycorrhiza and phosphate protection of tropical grass species against heavy metal toxicity in multi-contaminated soil","type":"article-journal","volume":"44"},"uris":["http://www.mendeley.com/documents/?uuid=49805ca7-edef-37b9-9cc9-a14e57cd6b65"]},{"id":"ITEM-2","itemData":{"DOI":"10.1016/j.scitotenv.2010.07.064","ISSN":"00489697","PMID":"20716461","abstract":"Studies on mycorrhizal symbiosis effects on metal accumulation and plant tolerance are not common in perennial crops under metal stress. The objective of this study was to evaluate the influence of mycorrhization on coffee seedlings under Cu and Zn stress. Copper (Cu) and zinc (Zn) uptake and some biochemical and physiological traits were studied in thirty-week old Coffea arabica seedlings, in response to the inoculation with arbuscular mycorrhizal fungi (AMF) and to increasing concentrations of Cu or Zn in soil. The experiments were conducted under greenhouse conditions in a 2×4 factorial design (inoculation or not with AMF and 0, 50, 150 and 450mgkg(-1) Cu or 0, 100, 300 and 900mgkg(-1) Zn). Non-mycorrhizal plants maintained a hampered and slow growth even in a soil with appropriate phosphorus (P) levels for this crop. As metal levels increased in soil, a greater proportion of the total absorbed metals were retained by roots. Foliar Cu concentrations increased only in non-mycorrhizal plants, reaching a maximum concentration of 30mgkg(-1) at the highest Cu in soil. Mycorrhization prevented the accumulation of Cu in leaves, and mycorrhizal plants showed higher Cu contents in stems, which indicated a differential Cu distribution in AMF-associated or non-associated plants. Zn distribution and concentrations in different plant organs followed a similar pattern independently of mycorrhization. In mycorrhizal plants, only the highest metal concentrations caused a reduction in biomass, leading to significant changes in some biochemical indicators, such as malondialdehyde, proline and amino acid contents in leaves and also in foliar free amino acid composition. Marked differences in these physiological traits were also found due to mycorrhization. In conclusion, AMF protected coffee seedlings against metal toxicity.","author":[{"dropping-particle":"","family":"Andrade","given":"S.A.L.","non-dropping-particle":"","parse-names":false,"suffix":""},{"dropping-particle":"","family":"Silveira","given":"A.P.D.","non-dropping-particle":"","parse-names":false,"suffix":""},{"dropping-particle":"","family":"Mazzafera","given":"P.","non-dropping-particle":"","parse-names":false,"suffix":""}],"container-title":"Science of The Total Environment","id":"ITEM-2","issue":"22","issued":{"date-parts":[["2010","10","15"]]},"page":"5381-5391","title":"Arbuscular mycorrhiza alters metal uptake and the physiological response of Coffea arabica seedlings to increasing Zn and Cu concentrations in soil","type":"article-journal","volume":"408"},"uris":["http://www.mendeley.com/documents/?uuid=b9cda2df-90e6-3264-8e00-37fb82a5652a"]}],"mendeley":{"formattedCitation":"(Andrade et al., 2010; Soares and Siqueira, 2008)","plainTextFormattedCitation":"(Andrade et al., 2010; Soares and Siqueira, 2008)","previouslyFormattedCitation":"(Andrade et al., 2010; Soares and Siqueira, 2008)"},"properties":{"noteIndex":0},"schema":"https://github.com/citation-style-language/schema/raw/master/csl-citation.json"}</w:instrText>
      </w:r>
      <w:r w:rsidR="002E208C" w:rsidRPr="0067680B">
        <w:rPr>
          <w:rFonts w:ascii="Times New Roman" w:hAnsi="Times New Roman" w:cs="Times New Roman"/>
          <w:lang w:val="en-US"/>
        </w:rPr>
        <w:fldChar w:fldCharType="separate"/>
      </w:r>
      <w:r w:rsidR="000E79E6" w:rsidRPr="0067680B">
        <w:rPr>
          <w:rFonts w:ascii="Times New Roman" w:hAnsi="Times New Roman" w:cs="Times New Roman"/>
          <w:noProof/>
          <w:lang w:val="en-US"/>
        </w:rPr>
        <w:t>(Andrade et al., 2010; Soares and Siqueira, 2008)</w:t>
      </w:r>
      <w:r w:rsidR="002E208C" w:rsidRPr="0067680B">
        <w:rPr>
          <w:rFonts w:ascii="Times New Roman" w:hAnsi="Times New Roman" w:cs="Times New Roman"/>
          <w:lang w:val="en-US"/>
        </w:rPr>
        <w:fldChar w:fldCharType="end"/>
      </w:r>
      <w:r w:rsidR="00641124" w:rsidRPr="0067680B">
        <w:rPr>
          <w:rFonts w:ascii="Times New Roman" w:hAnsi="Times New Roman" w:cs="Times New Roman"/>
          <w:lang w:val="en-US"/>
        </w:rPr>
        <w:t xml:space="preserve"> or</w:t>
      </w:r>
      <w:r w:rsidR="00532C0F" w:rsidRPr="0067680B">
        <w:rPr>
          <w:rFonts w:ascii="Times New Roman" w:hAnsi="Times New Roman" w:cs="Times New Roman"/>
          <w:lang w:val="en-US"/>
        </w:rPr>
        <w:t xml:space="preserve"> by </w:t>
      </w:r>
      <w:r w:rsidR="00641124" w:rsidRPr="0067680B">
        <w:rPr>
          <w:rFonts w:ascii="Times New Roman" w:hAnsi="Times New Roman" w:cs="Times New Roman"/>
          <w:lang w:val="en-US"/>
        </w:rPr>
        <w:t>enhancing the production and activity of plant antioxidant enzymes</w:t>
      </w:r>
      <w:r w:rsidR="00532C0F" w:rsidRPr="0067680B">
        <w:rPr>
          <w:rFonts w:ascii="Times New Roman" w:hAnsi="Times New Roman" w:cs="Times New Roman"/>
          <w:lang w:val="en-US"/>
        </w:rPr>
        <w:t xml:space="preserve"> </w:t>
      </w:r>
      <w:r w:rsidR="002E208C" w:rsidRPr="0067680B">
        <w:rPr>
          <w:rFonts w:ascii="Times New Roman" w:hAnsi="Times New Roman" w:cs="Times New Roman"/>
          <w:lang w:val="en-US"/>
        </w:rPr>
        <w:fldChar w:fldCharType="begin" w:fldLock="1"/>
      </w:r>
      <w:r w:rsidR="002C7ADD">
        <w:rPr>
          <w:rFonts w:ascii="Times New Roman" w:hAnsi="Times New Roman" w:cs="Times New Roman"/>
          <w:lang w:val="en-US"/>
        </w:rPr>
        <w:instrText>ADDIN CSL_CITATION {"citationItems":[{"id":"ITEM-1","itemData":{"DOI":"10.1016/j.plantsci.2016.09.010","ISSN":"01689452","PMID":"27968998","abstract":"Arbuscular mycorrhiza can increase plant tolerance to heavy metals. The effects of arbuscular mycorrhiza on plant metal tolerance vary depending on the fungal and plant species involved. Here, we report the effect of the arbuscular mycorrhizal fungus Rhizophagus irregularis on the physiological and biochemical responses to Cu of two maize genotypes differing in Cu tolerance, the Cu-sensitive cv. Orense and the Cu-tolerant cv. Oropesa. Development of the symbiosis confers an increased Cu tolerance to cv. Orense. Root and shoot Cu concentrations were lower in mycorrhizal than in non-mycorrhizal plants of both cultivars. Shoot lipid peroxidation increased with soil Cu content only in non-mycorrhizal plants of the Cu-sensitive cultivar. Root lipid peroxidation increased with soil Cu content, except in mycorrhizal plants grown at 250mg Cu kg-1soil. In shoots of mycorrhizal plants of both cultivars, superoxide dismutase, ascorbate peroxidase, catalase and glutathione reductase activities were not affected by soil Cu content. In Cu-supplemented soils, total phytochelatin content increased in shoots of mycorrhizal cv. Orense but decreased in cv. Oropesa. Overall, these data suggest that the increased Cu tolerance of mycorrhizal plants of cv. Orense could be due to an increased induction of shoot phytochelatin biosynthesis by the symbiosis in this cultivar.","author":[{"dropping-particle":"","family":"Merlos","given":"Miguel A.","non-dropping-particle":"","parse-names":false,"suffix":""},{"dropping-particle":"","family":"Zitka","given":"Ondrej","non-dropping-particle":"","parse-names":false,"suffix":""},{"dropping-particle":"","family":"Vojtech","given":"Adam","non-dropping-particle":"","parse-names":false,"suffix":""},{"dropping-particle":"","family":"Azcón-Aguilar","given":"Concepción","non-dropping-particle":"","parse-names":false,"suffix":""},{"dropping-particle":"","family":"Ferrol","given":"Nuria","non-dropping-particle":"","parse-names":false,"suffix":""}],"container-title":"Plant Science","id":"ITEM-1","issued":{"date-parts":[["2016","12"]]},"page":"68-76","title":"The arbuscular mycorrhizal fungus Rhizophagus irregularis differentially regulates the copper response of two maize cultivars differing in copper tolerance","type":"article-journal","volume":"253"},"uris":["http://www.mendeley.com/documents/?uuid=dd50c5c1-b896-394a-82ce-0109c87fdcfa"]}],"mendeley":{"formattedCitation":"(Merlos et al., 2016)","plainTextFormattedCitation":"(Merlos et al., 2016)","previouslyFormattedCitation":"(Merlos et al., 2016)"},"properties":{"noteIndex":0},"schema":"https://github.com/citation-style-language/schema/raw/master/csl-citation.json"}</w:instrText>
      </w:r>
      <w:r w:rsidR="002E208C" w:rsidRPr="0067680B">
        <w:rPr>
          <w:rFonts w:ascii="Times New Roman" w:hAnsi="Times New Roman" w:cs="Times New Roman"/>
          <w:lang w:val="en-US"/>
        </w:rPr>
        <w:fldChar w:fldCharType="separate"/>
      </w:r>
      <w:r w:rsidR="000E79E6" w:rsidRPr="0067680B">
        <w:rPr>
          <w:rFonts w:ascii="Times New Roman" w:hAnsi="Times New Roman" w:cs="Times New Roman"/>
          <w:noProof/>
          <w:lang w:val="en-US"/>
        </w:rPr>
        <w:t>(Merlos et al., 2016)</w:t>
      </w:r>
      <w:r w:rsidR="002E208C" w:rsidRPr="0067680B">
        <w:rPr>
          <w:rFonts w:ascii="Times New Roman" w:hAnsi="Times New Roman" w:cs="Times New Roman"/>
          <w:lang w:val="en-US"/>
        </w:rPr>
        <w:fldChar w:fldCharType="end"/>
      </w:r>
      <w:r w:rsidR="00641124" w:rsidRPr="0067680B">
        <w:rPr>
          <w:rFonts w:ascii="Times New Roman" w:hAnsi="Times New Roman" w:cs="Times New Roman"/>
          <w:lang w:val="en-US"/>
        </w:rPr>
        <w:t>.</w:t>
      </w:r>
      <w:r w:rsidR="002679D2" w:rsidRPr="0067680B">
        <w:rPr>
          <w:rFonts w:ascii="Times New Roman" w:hAnsi="Times New Roman" w:cs="Times New Roman"/>
          <w:lang w:val="en-US"/>
        </w:rPr>
        <w:t xml:space="preserve"> </w:t>
      </w:r>
    </w:p>
    <w:p w14:paraId="4DDB5CD3" w14:textId="2BF6781A" w:rsidR="00357E97" w:rsidRPr="00BB2235" w:rsidRDefault="00BB2235" w:rsidP="00075F70">
      <w:pPr>
        <w:autoSpaceDE w:val="0"/>
        <w:autoSpaceDN w:val="0"/>
        <w:adjustRightInd w:val="0"/>
        <w:spacing w:after="0" w:line="480" w:lineRule="auto"/>
        <w:jc w:val="both"/>
        <w:rPr>
          <w:rStyle w:val="apple-converted-space"/>
          <w:rFonts w:ascii="Times New Roman" w:hAnsi="Times New Roman" w:cs="Times New Roman"/>
          <w:iCs/>
          <w:shd w:val="clear" w:color="auto" w:fill="FFFFFF"/>
          <w:lang w:val="en-US"/>
        </w:rPr>
      </w:pPr>
      <w:bookmarkStart w:id="4" w:name="_Hlk73602476"/>
      <w:r w:rsidRPr="0067680B">
        <w:rPr>
          <w:rFonts w:ascii="Times New Roman" w:hAnsi="Times New Roman" w:cs="Times New Roman"/>
          <w:lang w:val="en-US"/>
        </w:rPr>
        <w:t>However,</w:t>
      </w:r>
      <w:r>
        <w:rPr>
          <w:rFonts w:ascii="Times New Roman" w:hAnsi="Times New Roman" w:cs="Times New Roman"/>
          <w:lang w:val="en-US"/>
        </w:rPr>
        <w:t xml:space="preserve"> </w:t>
      </w:r>
      <w:r w:rsidR="00E316F6">
        <w:rPr>
          <w:rFonts w:ascii="Times New Roman" w:hAnsi="Times New Roman" w:cs="Times New Roman"/>
          <w:lang w:val="en-US"/>
        </w:rPr>
        <w:t xml:space="preserve">EDTA application </w:t>
      </w:r>
      <w:r>
        <w:rPr>
          <w:rFonts w:ascii="Times New Roman" w:hAnsi="Times New Roman" w:cs="Times New Roman"/>
          <w:lang w:val="en-US"/>
        </w:rPr>
        <w:t xml:space="preserve">in metal contaminated soils </w:t>
      </w:r>
      <w:r w:rsidR="00E316F6">
        <w:rPr>
          <w:rFonts w:ascii="Times New Roman" w:hAnsi="Times New Roman" w:cs="Times New Roman"/>
          <w:lang w:val="en-US"/>
        </w:rPr>
        <w:t xml:space="preserve">can lead to a decrease in mycorrhizal colonization, </w:t>
      </w:r>
      <w:r w:rsidR="00E316F6" w:rsidRPr="00D6171D">
        <w:rPr>
          <w:rFonts w:ascii="Times New Roman" w:hAnsi="Times New Roman" w:cs="Times New Roman"/>
          <w:lang w:val="en-US"/>
        </w:rPr>
        <w:t>arbuscule richness and mycelium vitality</w:t>
      </w:r>
      <w:r w:rsidR="00E316F6">
        <w:rPr>
          <w:rFonts w:ascii="Times New Roman" w:hAnsi="Times New Roman" w:cs="Times New Roman"/>
          <w:lang w:val="en-US"/>
        </w:rPr>
        <w:t xml:space="preserve"> </w:t>
      </w:r>
      <w:r w:rsidR="00E316F6">
        <w:rPr>
          <w:rFonts w:ascii="Times New Roman" w:hAnsi="Times New Roman" w:cs="Times New Roman"/>
          <w:lang w:val="en-US"/>
        </w:rPr>
        <w:fldChar w:fldCharType="begin" w:fldLock="1"/>
      </w:r>
      <w:r w:rsidR="00E316F6">
        <w:rPr>
          <w:rFonts w:ascii="Times New Roman" w:hAnsi="Times New Roman" w:cs="Times New Roman"/>
          <w:lang w:val="en-US"/>
        </w:rPr>
        <w:instrText>ADDIN CSL_CITATION {"citationItems":[{"id":"ITEM-1","itemData":{"DOI":"10.1080/10889868.2013.847401","ISBN":"7144165186","ISSN":"10889868","abstract":"Lead (Pb) contamination of soils is a widespread problem. Mycorrhizal inoculation and synthetic chelators such as ethylenediaminetetraacetic acid (EDTA) may be useful for improving phytoremediation efficiency in Pb-contaminated soils. A greenhouse experiment was performed to study the influence of inoculation with arbuscular mycorrhizal fungus (AMF), Glomus mosseae, and addition of EDTA on phytoremediation of Pb by sunflowers (Helianthus annuus) in a calcareous soil. The experiment was a completely randomized design in a factorial arrangement with five levels of Pb, two levels of mycorrhizal treatments, and two levels of EDTA. Inoculation increased root colonization as Pb levels increased, but the addition of EDTA decreased it. Shoot and root dry matter yields increased by inoculation; however, they decreased with EDTA and Pb levels in co-application treatments. Pb concentration in shoots was significantly higher than that in roots, indicating a translocation factor greater than 1. Inoculation or addition of EDTA significantly increased Pb in roots and its translocation to shoots. The uptake index (UI) value increased in co-application of EDTA and AMF and the individual application of them; it is, therefore, concluded that both AMF and EDTA are effective in phytoremediation of Pb by sunflowers in the studied soil. © 2014 Copyright Taylor and Francis Group, LLC.","author":[{"dropping-particle":"","family":"Jarrah","given":"M.","non-dropping-particle":"","parse-names":false,"suffix":""},{"dropping-particle":"","family":"Ghasemi-Fasaei","given":"R.","non-dropping-particle":"","parse-names":false,"suffix":""},{"dropping-particle":"","family":"Karimian","given":"N.","non-dropping-particle":"","parse-names":false,"suffix":""},{"dropping-particle":"","family":"Ronaghi","given":"A.","non-dropping-particle":"","parse-names":false,"suffix":""},{"dropping-particle":"","family":"Zarei","given":"M.","non-dropping-particle":"","parse-names":false,"suffix":""},{"dropping-particle":"","family":"Mayel","given":"S.","non-dropping-particle":"","parse-names":false,"suffix":""}],"container-title":"Bioremediation Journal","id":"ITEM-1","issue":"1","issued":{"date-parts":[["2014"]]},"page":"71-79","title":"Investigation of arbuscular mycorrhizal fungus and edta efficiencies on lead phytoremediation by sunflower in a calcareous soil","type":"article-journal","volume":"18"},"uris":["http://www.mendeley.com/documents/?uuid=222b8d9d-23c6-4dfb-b1b1-cd6b5b6f54a3"]},{"id":"ITEM-2","itemData":{"author":[{"dropping-particle":"","family":"Jurkiewicz","given":"A.","non-dropping-particle":"","parse-names":false,"suffix":""},{"dropping-particle":"","family":"Orlowska","given":"E.","non-dropping-particle":"","parse-names":false,"suffix":""},{"dropping-particle":"","family":"Anielska","given":"T.","non-dropping-particle":"","parse-names":false,"suffix":""},{"dropping-particle":"","family":"Godzik","given":"B.","non-dropping-particle":"","parse-names":false,"suffix":""},{"dropping-particle":"","family":"Turnau","given":"K.","non-dropping-particle":"","parse-names":false,"suffix":""}],"container-title":"Acta Biologica Cracoviensia Series Botanica","id":"ITEM-2","issued":{"date-parts":[["2004"]]},"page":"7-18","title":"The influence of mycorrhiza and EDTA application on heavy metal uptake by different maize varieties","type":"article-journal"},"uris":["http://www.mendeley.com/documents/?uuid=dc78a033-2995-43c7-a595-79bd482ed270"]},{"id":"ITEM-3","itemData":{"DOI":"10.1016/j.chemosphere.2007.08.045","abstract":"The effect of two different chelating agents [EDTA and EDDS (S,S-ethylenediaminedissucinic acid)] on Zn tissue accumulation in Solanum nigrum L. grown in a naturally contaminated soil was assessed. Under those conditions, the response of the plant to the inoculation with two different isolates of arbuscular mycorrhizal fungi (AMF)-Glomus claroideum and Glomus intraradices-was also studied. Plants grown in the local contaminated soil (Zn levels of 433 mg kg À1) accumulated up to 1191 mg kg À1 of Zn in the roots, 3747 mg kg À1 in the stems and 3409 mg kg À1 in the leaves. S. nigrum plants grown in the same soil spiked with extra Zn (Zn levels of 964 mg kg À1) accumulated up to 4735, 8267 and 7948 mg Zn kg À1 in the leaves, stems and roots, respectively. The addition of EDTA promoted an increase in the concentration of Zn accumulated by S. nigrum of up to 231% in the leaves, 93% in the stems and 81% in the roots, while EDDS application enhanced the accumulation in leaves, stems and roots up to 140, 124 and 104%, respectively. In the stems, the presence of Zn was predominantly detected in the cortex collenchyma cells, the starch sheath and the internal phloem and xylem parenchyma, and the addition of chelating agents did not seem to have an effect on the localisation of accumulation sites. The devise of a chelate-enhanced phytoextraction strategy, using chelating agents and AMF, is discussed.","author":[{"dropping-particle":"","family":"Marques","given":"Ana P G C","non-dropping-particle":"","parse-names":false,"suffix":""},{"dropping-particle":"","family":"Oliveira","given":"Rui S","non-dropping-particle":"","parse-names":false,"suffix":""},{"dropping-particle":"","family":"Samardjieva","given":"Kalina A","non-dropping-particle":"","parse-names":false,"suffix":""},{"dropping-particle":"","family":"Pissarra","given":"José","non-dropping-particle":"","parse-names":false,"suffix":""},{"dropping-particle":"","family":"Nio","given":"Antó","non-dropping-particle":"","parse-names":false,"suffix":""},{"dropping-particle":"","family":"Rangel","given":"O S S","non-dropping-particle":"","parse-names":false,"suffix":""},{"dropping-particle":"","family":"Castro","given":"Paula M L","non-dropping-particle":"","parse-names":false,"suffix":""}],"container-title":"Chemosphere","id":"ITEM-3","issue":"6","issued":{"date-parts":[["2008"]]},"page":"1002-1014","title":"EDDS and EDTA-enhanced zinc accumulation by solanum nigrum inoculated with arbuscular mycorrhizal fungi grown in contaminated soil","type":"article-journal","volume":"70"},"uris":["http://www.mendeley.com/documents/?uuid=7dfe8c60-e2a3-3c49-bb6a-a442dc4c7ecf"]}],"mendeley":{"formattedCitation":"(Jarrah et al., 2014; Jurkiewicz et al., 2004; Marques et al., 2008)","plainTextFormattedCitation":"(Jarrah et al., 2014; Jurkiewicz et al., 2004; Marques et al., 2008)","previouslyFormattedCitation":"(Jarrah et al., 2014; Jurkiewicz et al., 2004; Marques et al., 2008)"},"properties":{"noteIndex":0},"schema":"https://github.com/citation-style-language/schema/raw/master/csl-citation.json"}</w:instrText>
      </w:r>
      <w:r w:rsidR="00E316F6">
        <w:rPr>
          <w:rFonts w:ascii="Times New Roman" w:hAnsi="Times New Roman" w:cs="Times New Roman"/>
          <w:lang w:val="en-US"/>
        </w:rPr>
        <w:fldChar w:fldCharType="separate"/>
      </w:r>
      <w:r w:rsidR="00E316F6" w:rsidRPr="003F2850">
        <w:rPr>
          <w:rFonts w:ascii="Times New Roman" w:hAnsi="Times New Roman" w:cs="Times New Roman"/>
          <w:noProof/>
          <w:lang w:val="en-US"/>
        </w:rPr>
        <w:t>(Jarrah et al., 2014; Jurkiewicz et al., 2004; Marques et al., 2008)</w:t>
      </w:r>
      <w:r w:rsidR="00E316F6">
        <w:rPr>
          <w:rFonts w:ascii="Times New Roman" w:hAnsi="Times New Roman" w:cs="Times New Roman"/>
          <w:lang w:val="en-US"/>
        </w:rPr>
        <w:fldChar w:fldCharType="end"/>
      </w:r>
      <w:r w:rsidR="00E316F6">
        <w:rPr>
          <w:rFonts w:ascii="Times New Roman" w:hAnsi="Times New Roman" w:cs="Times New Roman"/>
          <w:lang w:val="en-US"/>
        </w:rPr>
        <w:t xml:space="preserve">, </w:t>
      </w:r>
      <w:r>
        <w:rPr>
          <w:rFonts w:ascii="Times New Roman" w:hAnsi="Times New Roman" w:cs="Times New Roman"/>
          <w:lang w:val="en-US"/>
        </w:rPr>
        <w:t>as well as to</w:t>
      </w:r>
      <w:r w:rsidR="00E316F6">
        <w:rPr>
          <w:rFonts w:ascii="Times New Roman" w:hAnsi="Times New Roman" w:cs="Times New Roman"/>
          <w:lang w:val="en-US"/>
        </w:rPr>
        <w:t xml:space="preserve"> an </w:t>
      </w:r>
      <w:r w:rsidR="00E316F6" w:rsidRPr="003F2850">
        <w:rPr>
          <w:rFonts w:ascii="Times New Roman" w:hAnsi="Times New Roman" w:cs="Times New Roman"/>
          <w:color w:val="000000"/>
          <w:lang w:val="en-US"/>
        </w:rPr>
        <w:t>increase on the uptake and translocation of soil contaminants</w:t>
      </w:r>
      <w:r w:rsidR="00E316F6">
        <w:rPr>
          <w:rFonts w:ascii="Times New Roman" w:hAnsi="Times New Roman" w:cs="Times New Roman"/>
          <w:color w:val="000000"/>
          <w:lang w:val="en-US"/>
        </w:rPr>
        <w:t>, with potential negative consequences for plant growth</w:t>
      </w:r>
      <w:r w:rsidR="00E316F6" w:rsidRPr="003F2850">
        <w:rPr>
          <w:rFonts w:ascii="Times New Roman" w:hAnsi="Times New Roman" w:cs="Times New Roman"/>
          <w:color w:val="000000"/>
          <w:lang w:val="en-US"/>
        </w:rPr>
        <w:t xml:space="preserve"> </w:t>
      </w:r>
      <w:r w:rsidR="00E316F6">
        <w:rPr>
          <w:rFonts w:ascii="Times New Roman" w:hAnsi="Times New Roman" w:cs="Times New Roman"/>
          <w:color w:val="000000"/>
          <w:lang w:val="en-US"/>
        </w:rPr>
        <w:fldChar w:fldCharType="begin" w:fldLock="1"/>
      </w:r>
      <w:r w:rsidR="00E316F6">
        <w:rPr>
          <w:rFonts w:ascii="Times New Roman" w:hAnsi="Times New Roman" w:cs="Times New Roman"/>
          <w:color w:val="000000"/>
          <w:lang w:val="en-US"/>
        </w:rPr>
        <w:instrText>ADDIN CSL_CITATION {"citationItems":[{"id":"ITEM-1","itemData":{"author":[{"dropping-particle":"","family":"Jurkiewicz","given":"A.","non-dropping-particle":"","parse-names":false,"suffix":""},{"dropping-particle":"","family":"Orlowska","given":"E.","non-dropping-particle":"","parse-names":false,"suffix":""},{"dropping-particle":"","family":"Anielska","given":"T.","non-dropping-particle":"","parse-names":false,"suffix":""},{"dropping-particle":"","family":"Godzik","given":"B.","non-dropping-particle":"","parse-names":false,"suffix":""},{"dropping-particle":"","family":"Turnau","given":"K.","non-dropping-particle":"","parse-names":false,"suffix":""}],"container-title":"Acta Biologica Cracoviensia Series Botanica","id":"ITEM-1","issued":{"date-parts":[["2004"]]},"page":"7-18","title":"The influence of mycorrhiza and EDTA application on heavy metal uptake by different maize varieties","type":"article-journal"},"uris":["http://www.mendeley.com/documents/?uuid=dc78a033-2995-43c7-a595-79bd482ed270"]},{"id":"ITEM-2","itemData":{"DOI":"10.1023/B:PLSO.0000035538.09222.ff","ISSN":"0032079X","abstract":"A pot experiment was conducted to investigate the uptake of Zn from experimentally contaminated calcareous soil of low nutrient status by maize inoculated with the arbuscular mycorrhizal (AM) fungus Glomus caledonium. EDTA was applied to the soil to mobilize Zn and thus maximize plant Zn uptake. The highest plant dry matter (DM) yields were obtained with a moderate Zn addition level of 300 mg kg -1. Plant growth was enhanced by mycorrhizal colonization when no Zn was added and under the highest Zn addition level of 600 mg kg -1, while application of EDTA to the soil generally inhibited plant growth. EDTA application also increased plant Zn concentration, and Zn accumulation in the roots increased with increasing EDTA addition level. The effects of inoculation with G. caledonium on plant Zn uptake varied with Zn addition level. When no Zn was added, Zn translocation from roots to shoots was enhanced by mycorrhizal colonization. In contrast, when Zn was added to the soil, mycorrhizal colonization resulted in lower shoot Zn concentrations in mycorrhizal plants. The P nutrition of the maize was greatly affected by AM inoculation, with mycorrhizal plants showing higher P concentrations and P uptake. The results indicate that application of EDTA mobilized soil Zn, leading to increased Zn accumulation by the roots and subsequent plant toxicity and growth inhibition. Mycorrhizal colonization alleviated both Zn deficiency and Zn contamination, and also increased host plant growth by influencing mineral nutrition. However, neither EDTA application nor arbuscular mycorrhiza stimulated Zn translocation from roots to shoots or metal phytoextraction under the experimental conditions. The results are discussed in relation to the environmental risk associated with chelate-enhanced phytoextraction and the potential role of arbuscular mycorrhiza in soil remediation.","author":[{"dropping-particle":"","family":"Chen","given":"Baodong","non-dropping-particle":"","parse-names":false,"suffix":""},{"dropping-particle":"","family":"Shen","given":"Hong","non-dropping-particle":"","parse-names":false,"suffix":""},{"dropping-particle":"","family":"Li","given":"Xiaolin","non-dropping-particle":"","parse-names":false,"suffix":""},{"dropping-particle":"","family":"Feng","given":"Gu","non-dropping-particle":"","parse-names":false,"suffix":""},{"dropping-particle":"","family":"Christie","given":"Peter","non-dropping-particle":"","parse-names":false,"suffix":""}],"container-title":"Plant and Soil","id":"ITEM-2","issue":"1-2","issued":{"date-parts":[["2004","4"]]},"page":"219-229","publisher":"Springer","title":"Effects of EDTA application and arbuscular mycorrhizal colonization on growth and zinc uptake by maize (Zea mays L.) in soil experimentally contaminated with zinc","type":"article-journal","volume":"261"},"uris":["http://www.mendeley.com/documents/?uuid=987d017e-bf2f-3871-b676-91adcbdd082d"]},{"id":"ITEM-3","itemData":{"DOI":"10.1080/10889868.2013.847401","ISBN":"7144165186","ISSN":"10889868","abstract":"Lead (Pb) contamination of soils is a widespread problem. Mycorrhizal inoculation and synthetic chelators such as ethylenediaminetetraacetic acid (EDTA) may be useful for improving phytoremediation efficiency in Pb-contaminated soils. A greenhouse experiment was performed to study the influence of inoculation with arbuscular mycorrhizal fungus (AMF), Glomus mosseae, and addition of EDTA on phytoremediation of Pb by sunflowers (Helianthus annuus) in a calcareous soil. The experiment was a completely randomized design in a factorial arrangement with five levels of Pb, two levels of mycorrhizal treatments, and two levels of EDTA. Inoculation increased root colonization as Pb levels increased, but the addition of EDTA decreased it. Shoot and root dry matter yields increased by inoculation; however, they decreased with EDTA and Pb levels in co-application treatments. Pb concentration in shoots was significantly higher than that in roots, indicating a translocation factor greater than 1. Inoculation or addition of EDTA significantly increased Pb in roots and its translocation to shoots. The uptake index (UI) value increased in co-application of EDTA and AMF and the individual application of them; it is, therefore, concluded that both AMF and EDTA are effective in phytoremediation of Pb by sunflowers in the studied soil. © 2014 Copyright Taylor and Francis Group, LLC.","author":[{"dropping-particle":"","family":"Jarrah","given":"M.","non-dropping-particle":"","parse-names":false,"suffix":""},{"dropping-particle":"","family":"Ghasemi-Fasaei","given":"R.","non-dropping-particle":"","parse-names":false,"suffix":""},{"dropping-particle":"","family":"Karimian","given":"N.","non-dropping-particle":"","parse-names":false,"suffix":""},{"dropping-particle":"","family":"Ronaghi","given":"A.","non-dropping-particle":"","parse-names":false,"suffix":""},{"dropping-particle":"","family":"Zarei","given":"M.","non-dropping-particle":"","parse-names":false,"suffix":""},{"dropping-particle":"","family":"Mayel","given":"S.","non-dropping-particle":"","parse-names":false,"suffix":""}],"container-title":"Bioremediation Journal","id":"ITEM-3","issue":"1","issued":{"date-parts":[["2014"]]},"page":"71-79","title":"Investigation of arbuscular mycorrhizal fungus and edta efficiencies on lead phytoremediation by sunflower in a calcareous soil","type":"article-journal","volume":"18"},"uris":["http://www.mendeley.com/documents/?uuid=222b8d9d-23c6-4dfb-b1b1-cd6b5b6f54a3"]}],"mendeley":{"formattedCitation":"(Chen et al., 2004; Jarrah et al., 2014; Jurkiewicz et al., 2004)","plainTextFormattedCitation":"(Chen et al., 2004; Jarrah et al., 2014; Jurkiewicz et al., 2004)","previouslyFormattedCitation":"(Chen et al., 2004; Jarrah et al., 2014; Jurkiewicz et al., 2004)"},"properties":{"noteIndex":0},"schema":"https://github.com/citation-style-language/schema/raw/master/csl-citation.json"}</w:instrText>
      </w:r>
      <w:r w:rsidR="00E316F6">
        <w:rPr>
          <w:rFonts w:ascii="Times New Roman" w:hAnsi="Times New Roman" w:cs="Times New Roman"/>
          <w:color w:val="000000"/>
          <w:lang w:val="en-US"/>
        </w:rPr>
        <w:fldChar w:fldCharType="separate"/>
      </w:r>
      <w:r w:rsidR="00E316F6" w:rsidRPr="003F2850">
        <w:rPr>
          <w:rFonts w:ascii="Times New Roman" w:hAnsi="Times New Roman" w:cs="Times New Roman"/>
          <w:noProof/>
          <w:color w:val="000000"/>
          <w:lang w:val="en-US"/>
        </w:rPr>
        <w:t>(Chen et al., 2004; Jarrah et al., 2014; Jurkiewicz et al., 2004)</w:t>
      </w:r>
      <w:r w:rsidR="00E316F6">
        <w:rPr>
          <w:rFonts w:ascii="Times New Roman" w:hAnsi="Times New Roman" w:cs="Times New Roman"/>
          <w:color w:val="000000"/>
          <w:lang w:val="en-US"/>
        </w:rPr>
        <w:fldChar w:fldCharType="end"/>
      </w:r>
      <w:r>
        <w:rPr>
          <w:rFonts w:ascii="Times New Roman" w:hAnsi="Times New Roman" w:cs="Times New Roman"/>
          <w:color w:val="000000"/>
          <w:lang w:val="en-US"/>
        </w:rPr>
        <w:t>,</w:t>
      </w:r>
      <w:r w:rsidR="00E316F6">
        <w:rPr>
          <w:rFonts w:ascii="Times New Roman" w:hAnsi="Times New Roman" w:cs="Times New Roman"/>
          <w:color w:val="000000"/>
          <w:lang w:val="en-US"/>
        </w:rPr>
        <w:t xml:space="preserve"> </w:t>
      </w:r>
      <w:r>
        <w:rPr>
          <w:rFonts w:ascii="Times New Roman" w:hAnsi="Times New Roman" w:cs="Times New Roman"/>
          <w:color w:val="000000"/>
          <w:lang w:val="en-US"/>
        </w:rPr>
        <w:t>although</w:t>
      </w:r>
      <w:r w:rsidR="00E316F6" w:rsidRPr="00F75399">
        <w:rPr>
          <w:rFonts w:ascii="Times New Roman" w:hAnsi="Times New Roman" w:cs="Times New Roman"/>
          <w:color w:val="000000"/>
          <w:lang w:val="en-US"/>
        </w:rPr>
        <w:t xml:space="preserve"> this response seems to depend on the plant species/cultivar </w:t>
      </w:r>
      <w:r>
        <w:rPr>
          <w:rFonts w:ascii="Times New Roman" w:hAnsi="Times New Roman" w:cs="Times New Roman"/>
          <w:color w:val="000000"/>
          <w:lang w:val="en-US"/>
        </w:rPr>
        <w:t>and</w:t>
      </w:r>
      <w:r w:rsidR="00E316F6" w:rsidRPr="00F75399">
        <w:rPr>
          <w:rFonts w:ascii="Times New Roman" w:hAnsi="Times New Roman" w:cs="Times New Roman"/>
          <w:color w:val="000000"/>
          <w:lang w:val="en-US"/>
        </w:rPr>
        <w:t xml:space="preserve"> on the inoculated AMF species </w:t>
      </w:r>
      <w:r w:rsidR="00E316F6" w:rsidRPr="00F75399">
        <w:rPr>
          <w:rFonts w:ascii="Times New Roman" w:hAnsi="Times New Roman" w:cs="Times New Roman"/>
          <w:color w:val="000000"/>
          <w:lang w:val="en-US"/>
        </w:rPr>
        <w:fldChar w:fldCharType="begin" w:fldLock="1"/>
      </w:r>
      <w:r w:rsidR="00A53F05">
        <w:rPr>
          <w:rFonts w:ascii="Times New Roman" w:hAnsi="Times New Roman" w:cs="Times New Roman"/>
          <w:color w:val="000000"/>
          <w:lang w:val="en-US"/>
        </w:rPr>
        <w:instrText>ADDIN CSL_CITATION {"citationItems":[{"id":"ITEM-1","itemData":{"author":[{"dropping-particle":"","family":"Jurkiewicz","given":"A.","non-dropping-particle":"","parse-names":false,"suffix":""},{"dropping-particle":"","family":"Orlowska","given":"E.","non-dropping-particle":"","parse-names":false,"suffix":""},{"dropping-particle":"","family":"Anielska","given":"T.","non-dropping-particle":"","parse-names":false,"suffix":""},{"dropping-particle":"","family":"Godzik","given":"B.","non-dropping-particle":"","parse-names":false,"suffix":""},{"dropping-particle":"","family":"Turnau","given":"K.","non-dropping-particle":"","parse-names":false,"suffix":""}],"container-title":"Acta Biologica Cracoviensia Series Botanica","id":"ITEM-1","issued":{"date-parts":[["2004"]]},"page":"7-18","title":"The influence of mycorrhiza and EDTA application on heavy metal uptake by different maize varieties","type":"article-journal"},"uris":["http://www.mendeley.com/documents/?uuid=dc78a033-2995-43c7-a595-79bd482ed270"]},{"id":"ITEM-2","itemData":{"DOI":"10.1016/j.chemosphere.2007.08.045","abstract":"The effect of two different chelating agents [EDTA and EDDS (S,S-ethylenediaminedissucinic acid)] on Zn tissue accumulation in Solanum nigrum L. grown in a naturally contaminated soil was assessed. Under those conditions, the response of the plant to the inoculation with two different isolates of arbuscular mycorrhizal fungi (AMF)-Glomus claroideum and Glomus intraradices-was also studied. Plants grown in the local contaminated soil (Zn levels of 433 mg kg À1) accumulated up to 1191 mg kg À1 of Zn in the roots, 3747 mg kg À1 in the stems and 3409 mg kg À1 in the leaves. S. nigrum plants grown in the same soil spiked with extra Zn (Zn levels of 964 mg kg À1) accumulated up to 4735, 8267 and 7948 mg Zn kg À1 in the leaves, stems and roots, respectively. The addition of EDTA promoted an increase in the concentration of Zn accumulated by S. nigrum of up to 231% in the leaves, 93% in the stems and 81% in the roots, while EDDS application enhanced the accumulation in leaves, stems and roots up to 140, 124 and 104%, respectively. In the stems, the presence of Zn was predominantly detected in the cortex collenchyma cells, the starch sheath and the internal phloem and xylem parenchyma, and the addition of chelating agents did not seem to have an effect on the localisation of accumulation sites. The devise of a chelate-enhanced phytoextraction strategy, using chelating agents and AMF, is discussed.","author":[{"dropping-particle":"","family":"Marques","given":"Ana P G C","non-dropping-particle":"","parse-names":false,"suffix":""},{"dropping-particle":"","family":"Oliveira","given":"Rui S","non-dropping-particle":"","parse-names":false,"suffix":""},{"dropping-particle":"","family":"Samardjieva","given":"Kalina A","non-dropping-particle":"","parse-names":false,"suffix":""},{"dropping-particle":"","family":"Pissarra","given":"José","non-dropping-particle":"","parse-names":false,"suffix":""},{"dropping-particle":"","family":"Nio","given":"Antó","non-dropping-particle":"","parse-names":false,"suffix":""},{"dropping-particle":"","family":"Rangel","given":"O S S","non-dropping-particle":"","parse-names":false,"suffix":""},{"dropping-particle":"","family":"Castro","given":"Paula M L","non-dropping-particle":"","parse-names":false,"suffix":""}],"container-title":"Chemosphere","id":"ITEM-2","issue":"6","issued":{"date-parts":[["2008"]]},"page":"1002-1014","title":"EDDS and EDTA-enhanced zinc accumulation by solanum nigrum inoculated with arbuscular mycorrhizal fungi grown in contaminated soil","type":"article-journal","volume":"70"},"uris":["http://www.mendeley.com/documents/?uuid=7dfe8c60-e2a3-3c49-bb6a-a442dc4c7ecf"]}],"mendeley":{"formattedCitation":"(Jurkiewicz et al., 2004; Marques et al., 2008)","plainTextFormattedCitation":"(Jurkiewicz et al., 2004; Marques et al., 2008)","previouslyFormattedCitation":"(Jurkiewicz et al., 2004; Marques et al., 2008)"},"properties":{"noteIndex":0},"schema":"https://github.com/citation-style-language/schema/raw/master/csl-citation.json"}</w:instrText>
      </w:r>
      <w:r w:rsidR="00E316F6" w:rsidRPr="00F75399">
        <w:rPr>
          <w:rFonts w:ascii="Times New Roman" w:hAnsi="Times New Roman" w:cs="Times New Roman"/>
          <w:color w:val="000000"/>
          <w:lang w:val="en-US"/>
        </w:rPr>
        <w:fldChar w:fldCharType="separate"/>
      </w:r>
      <w:r w:rsidR="00E316F6" w:rsidRPr="00F75399">
        <w:rPr>
          <w:rFonts w:ascii="Times New Roman" w:hAnsi="Times New Roman" w:cs="Times New Roman"/>
          <w:noProof/>
          <w:color w:val="000000"/>
          <w:lang w:val="en-US"/>
        </w:rPr>
        <w:t>(Jurkiewicz et al., 2004; Marques et al., 2008)</w:t>
      </w:r>
      <w:r w:rsidR="00E316F6" w:rsidRPr="00F75399">
        <w:rPr>
          <w:rFonts w:ascii="Times New Roman" w:hAnsi="Times New Roman" w:cs="Times New Roman"/>
          <w:color w:val="000000"/>
          <w:lang w:val="en-US"/>
        </w:rPr>
        <w:fldChar w:fldCharType="end"/>
      </w:r>
      <w:r w:rsidR="00E316F6">
        <w:rPr>
          <w:rFonts w:ascii="Times New Roman" w:hAnsi="Times New Roman" w:cs="Times New Roman"/>
          <w:color w:val="000000"/>
          <w:lang w:val="en-US"/>
        </w:rPr>
        <w:t>.</w:t>
      </w:r>
      <w:r>
        <w:rPr>
          <w:rFonts w:ascii="Times New Roman" w:hAnsi="Times New Roman" w:cs="Times New Roman"/>
          <w:color w:val="000000"/>
          <w:lang w:val="en-US"/>
        </w:rPr>
        <w:t xml:space="preserve"> </w:t>
      </w:r>
      <w:bookmarkStart w:id="5" w:name="_Hlk74237064"/>
      <w:r>
        <w:rPr>
          <w:rFonts w:ascii="Times New Roman" w:hAnsi="Times New Roman" w:cs="Times New Roman"/>
          <w:color w:val="000000"/>
          <w:lang w:val="en-US"/>
        </w:rPr>
        <w:t xml:space="preserve">Nonetheless, </w:t>
      </w:r>
      <w:r>
        <w:rPr>
          <w:rFonts w:ascii="Times New Roman" w:hAnsi="Times New Roman" w:cs="Times New Roman"/>
          <w:lang w:val="en-US"/>
        </w:rPr>
        <w:t xml:space="preserve">most of these studies have been conducted in herbaceous plants </w:t>
      </w:r>
      <w:r>
        <w:rPr>
          <w:rFonts w:ascii="Times New Roman" w:hAnsi="Times New Roman" w:cs="Times New Roman"/>
          <w:lang w:val="en-US"/>
        </w:rPr>
        <w:fldChar w:fldCharType="begin" w:fldLock="1"/>
      </w:r>
      <w:r>
        <w:rPr>
          <w:rFonts w:ascii="Times New Roman" w:hAnsi="Times New Roman" w:cs="Times New Roman"/>
          <w:lang w:val="en-US"/>
        </w:rPr>
        <w:instrText>ADDIN CSL_CITATION {"citationItems":[{"id":"ITEM-1","itemData":{"DOI":"10.1023/B:PLSO.0000035538.09222.ff","ISSN":"0032079X","abstract":"A pot experiment was conducted to investigate the uptake of Zn from experimentally contaminated calcareous soil of low nutrient status by maize inoculated with the arbuscular mycorrhizal (AM) fungus Glomus caledonium. EDTA was applied to the soil to mobilize Zn and thus maximize plant Zn uptake. The highest plant dry matter (DM) yields were obtained with a moderate Zn addition level of 300 mg kg -1. Plant growth was enhanced by mycorrhizal colonization when no Zn was added and under the highest Zn addition level of 600 mg kg -1, while application of EDTA to the soil generally inhibited plant growth. EDTA application also increased plant Zn concentration, and Zn accumulation in the roots increased with increasing EDTA addition level. The effects of inoculation with G. caledonium on plant Zn uptake varied with Zn addition level. When no Zn was added, Zn translocation from roots to shoots was enhanced by mycorrhizal colonization. In contrast, when Zn was added to the soil, mycorrhizal colonization resulted in lower shoot Zn concentrations in mycorrhizal plants. The P nutrition of the maize was greatly affected by AM inoculation, with mycorrhizal plants showing higher P concentrations and P uptake. The results indicate that application of EDTA mobilized soil Zn, leading to increased Zn accumulation by the roots and subsequent plant toxicity and growth inhibition. Mycorrhizal colonization alleviated both Zn deficiency and Zn contamination, and also increased host plant growth by influencing mineral nutrition. However, neither EDTA application nor arbuscular mycorrhiza stimulated Zn translocation from roots to shoots or metal phytoextraction under the experimental conditions. The results are discussed in relation to the environmental risk associated with chelate-enhanced phytoextraction and the potential role of arbuscular mycorrhiza in soil remediation.","author":[{"dropping-particle":"","family":"Chen","given":"Baodong","non-dropping-particle":"","parse-names":false,"suffix":""},{"dropping-particle":"","family":"Shen","given":"Hong","non-dropping-particle":"","parse-names":false,"suffix":""},{"dropping-particle":"","family":"Li","given":"Xiaolin","non-dropping-particle":"","parse-names":false,"suffix":""},{"dropping-particle":"","family":"Feng","given":"Gu","non-dropping-particle":"","parse-names":false,"suffix":""},{"dropping-particle":"","family":"Christie","given":"Peter","non-dropping-particle":"","parse-names":false,"suffix":""}],"container-title":"Plant and Soil","id":"ITEM-1","issue":"1-2","issued":{"date-parts":[["2004","4"]]},"page":"219-229","publisher":"Springer","title":"Effects of EDTA application and arbuscular mycorrhizal colonization on growth and zinc uptake by maize (Zea mays L.) in soil experimentally contaminated with zinc","type":"article-journal","volume":"261"},"uris":["http://www.mendeley.com/documents/?uuid=987d017e-bf2f-3871-b676-91adcbdd082d"]},{"id":"ITEM-2","itemData":{"author":[{"dropping-particle":"","family":"Jurkiewicz","given":"A.","non-dropping-particle":"","parse-names":false,"suffix":""},{"dropping-particle":"","family":"Orlowska","given":"E.","non-dropping-particle":"","parse-names":false,"suffix":""},{"dropping-particle":"","family":"Anielska","given":"T.","non-dropping-particle":"","parse-names":false,"suffix":""},{"dropping-particle":"","family":"Godzik","given":"B.","non-dropping-particle":"","parse-names":false,"suffix":""},{"dropping-particle":"","family":"Turnau","given":"K.","non-dropping-particle":"","parse-names":false,"suffix":""}],"container-title":"Acta Biologica Cracoviensia Series Botanica","id":"ITEM-2","issued":{"date-parts":[["2004"]]},"page":"7-18","title":"The influence of mycorrhiza and EDTA application on heavy metal uptake by different maize varieties","type":"article-journal"},"uris":["http://www.mendeley.com/documents/?uuid=dc78a033-2995-43c7-a595-79bd482ed270"]},{"id":"ITEM-3","itemData":{"DOI":"10.1080/10889868.2013.847401","ISBN":"7144165186","ISSN":"10889868","abstract":"Lead (Pb) contamination of soils is a widespread problem. Mycorrhizal inoculation and synthetic chelators such as ethylenediaminetetraacetic acid (EDTA) may be useful for improving phytoremediation efficiency in Pb-contaminated soils. A greenhouse experiment was performed to study the influence of inoculation with arbuscular mycorrhizal fungus (AMF), Glomus mosseae, and addition of EDTA on phytoremediation of Pb by sunflowers (Helianthus annuus) in a calcareous soil. The experiment was a completely randomized design in a factorial arrangement with five levels of Pb, two levels of mycorrhizal treatments, and two levels of EDTA. Inoculation increased root colonization as Pb levels increased, but the addition of EDTA decreased it. Shoot and root dry matter yields increased by inoculation; however, they decreased with EDTA and Pb levels in co-application treatments. Pb concentration in shoots was significantly higher than that in roots, indicating a translocation factor greater than 1. Inoculation or addition of EDTA significantly increased Pb in roots and its translocation to shoots. The uptake index (UI) value increased in co-application of EDTA and AMF and the individual application of them; it is, therefore, concluded that both AMF and EDTA are effective in phytoremediation of Pb by sunflowers in the studied soil. © 2014 Copyright Taylor and Francis Group, LLC.","author":[{"dropping-particle":"","family":"Jarrah","given":"M.","non-dropping-particle":"","parse-names":false,"suffix":""},{"dropping-particle":"","family":"Ghasemi-Fasaei","given":"R.","non-dropping-particle":"","parse-names":false,"suffix":""},{"dropping-particle":"","family":"Karimian","given":"N.","non-dropping-particle":"","parse-names":false,"suffix":""},{"dropping-particle":"","family":"Ronaghi","given":"A.","non-dropping-particle":"","parse-names":false,"suffix":""},{"dropping-particle":"","family":"Zarei","given":"M.","non-dropping-particle":"","parse-names":false,"suffix":""},{"dropping-particle":"","family":"Mayel","given":"S.","non-dropping-particle":"","parse-names":false,"suffix":""}],"container-title":"Bioremediation Journal","id":"ITEM-3","issue":"1","issued":{"date-parts":[["2014"]]},"page":"71-79","title":"Investigation of arbuscular mycorrhizal fungus and edta efficiencies on lead phytoremediation by sunflower in a calcareous soil","type":"article-journal","volume":"18"},"uris":["http://www.mendeley.com/documents/?uuid=222b8d9d-23c6-4dfb-b1b1-cd6b5b6f54a3"]},{"id":"ITEM-4","itemData":{"DOI":"10.1016/j.chemosphere.2007.08.045","abstract":"The effect of two different chelating agents [EDTA and EDDS (S,S-ethylenediaminedissucinic acid)] on Zn tissue accumulation in Solanum nigrum L. grown in a naturally contaminated soil was assessed. Under those conditions, the response of the plant to the inoculation with two different isolates of arbuscular mycorrhizal fungi (AMF)-Glomus claroideum and Glomus intraradices-was also studied. Plants grown in the local contaminated soil (Zn levels of 433 mg kg À1) accumulated up to 1191 mg kg À1 of Zn in the roots, 3747 mg kg À1 in the stems and 3409 mg kg À1 in the leaves. S. nigrum plants grown in the same soil spiked with extra Zn (Zn levels of 964 mg kg À1) accumulated up to 4735, 8267 and 7948 mg Zn kg À1 in the leaves, stems and roots, respectively. The addition of EDTA promoted an increase in the concentration of Zn accumulated by S. nigrum of up to 231% in the leaves, 93% in the stems and 81% in the roots, while EDDS application enhanced the accumulation in leaves, stems and roots up to 140, 124 and 104%, respectively. In the stems, the presence of Zn was predominantly detected in the cortex collenchyma cells, the starch sheath and the internal phloem and xylem parenchyma, and the addition of chelating agents did not seem to have an effect on the localisation of accumulation sites. The devise of a chelate-enhanced phytoextraction strategy, using chelating agents and AMF, is discussed.","author":[{"dropping-particle":"","family":"Marques","given":"Ana P G C","non-dropping-particle":"","parse-names":false,"suffix":""},{"dropping-particle":"","family":"Oliveira","given":"Rui S","non-dropping-particle":"</w:instrText>
      </w:r>
      <w:r w:rsidRPr="00E85217">
        <w:rPr>
          <w:rFonts w:ascii="Times New Roman" w:hAnsi="Times New Roman" w:cs="Times New Roman"/>
          <w:lang w:val="en-US"/>
        </w:rPr>
        <w:instrText>","parse-names":false,"suffix":""},{"dropping-particle":"","family":"Samardjieva","given":"Kalina A","non-dropping-particle":"","parse-names":false,"suffix":""},{"dropping-particle":"","family":"Pissarra","given":"José","non-dropping-particle":"","parse-names":false,"suffix":""},{"dropping-particle":"","family":"Nio","given":"Antó","non-dropping-particle":"","parse-names":false,"suffix":""},{"dropping-particle":"","family":"Rangel","given":"O S S","non-dropping-particle":"","parse-names":false,"suffix":""},{"dropping-particle":"","family":"Castro","given":"Paula M L","non-dropping-particle":"","parse-names":false,"suffix":""}],"container-title":"Chemosphere","id":"ITEM-4","issue":"6","issued":{"date-parts":[["2008"]]},"page":"1002-1014","title":"EDDS and EDTA-enhanced zinc accumulation by solanum nigrum inoculated with arbuscular mycorrhizal fungi grown in contaminated soil","type":"article-journal","volume":"70"},"uris":["http://www.mendeley.com/documents/?uuid=7dfe8c60-e2a3-3c49-bb6a-a442dc4c7ecf"]}],"mendeley":{"formattedCitation":"(Chen et al., 2004; Jarrah et al., 2014; Jurkiewicz et al., 2004; Marques et al., 2008)","plainTextFormattedCitation":"(Chen et al., 2004; Jarrah et al., 2014; Jurkiewicz et al., 2004; Marques et al., 2008)","previouslyFormattedCitation":"(Chen et al., 2004; Jarrah et al., 2014; Jurkiewicz et al., 2004; Marques et al., 2008)"},"properties":{"noteIndex":0},"schema":"https://github.com/citation-style-language/schema/raw/master/csl-citation.json"}</w:instrText>
      </w:r>
      <w:r>
        <w:rPr>
          <w:rFonts w:ascii="Times New Roman" w:hAnsi="Times New Roman" w:cs="Times New Roman"/>
          <w:lang w:val="en-US"/>
        </w:rPr>
        <w:fldChar w:fldCharType="separate"/>
      </w:r>
      <w:r w:rsidRPr="00E85217">
        <w:rPr>
          <w:rFonts w:ascii="Times New Roman" w:hAnsi="Times New Roman" w:cs="Times New Roman"/>
          <w:noProof/>
          <w:lang w:val="en-US"/>
        </w:rPr>
        <w:t>(Chen et al., 2004; Jarrah et al., 2014; Jurkiewicz et al., 2004; Marques et al., 2008)</w:t>
      </w:r>
      <w:r>
        <w:rPr>
          <w:rFonts w:ascii="Times New Roman" w:hAnsi="Times New Roman" w:cs="Times New Roman"/>
          <w:lang w:val="en-US"/>
        </w:rPr>
        <w:fldChar w:fldCharType="end"/>
      </w:r>
      <w:r w:rsidRPr="00E85217">
        <w:rPr>
          <w:rFonts w:ascii="Times New Roman" w:hAnsi="Times New Roman" w:cs="Times New Roman"/>
          <w:lang w:val="en-US"/>
        </w:rPr>
        <w:t xml:space="preserve">, </w:t>
      </w:r>
      <w:r w:rsidR="007A7666">
        <w:rPr>
          <w:rFonts w:ascii="Times New Roman" w:hAnsi="Times New Roman" w:cs="Times New Roman"/>
          <w:lang w:val="en-US"/>
        </w:rPr>
        <w:t xml:space="preserve">and thus, </w:t>
      </w:r>
      <w:r w:rsidR="00A4371D" w:rsidRPr="00BB2235">
        <w:rPr>
          <w:rFonts w:ascii="Times New Roman" w:hAnsi="Times New Roman" w:cs="Times New Roman"/>
          <w:lang w:val="en-US"/>
        </w:rPr>
        <w:t>n</w:t>
      </w:r>
      <w:r w:rsidR="00BD5003" w:rsidRPr="00BB2235">
        <w:rPr>
          <w:rFonts w:ascii="Times New Roman" w:hAnsi="Times New Roman" w:cs="Times New Roman"/>
          <w:lang w:val="en-US"/>
        </w:rPr>
        <w:t>ot much</w:t>
      </w:r>
      <w:r w:rsidR="0011619F" w:rsidRPr="00BB2235">
        <w:rPr>
          <w:rFonts w:ascii="Times New Roman" w:hAnsi="Times New Roman" w:cs="Times New Roman"/>
          <w:lang w:val="en-US"/>
        </w:rPr>
        <w:t xml:space="preserve"> is known on the </w:t>
      </w:r>
      <w:r w:rsidR="00E316F6" w:rsidRPr="00BB2235">
        <w:rPr>
          <w:rFonts w:ascii="Times New Roman" w:hAnsi="Times New Roman" w:cs="Times New Roman"/>
          <w:lang w:val="en-US"/>
        </w:rPr>
        <w:t xml:space="preserve">combined </w:t>
      </w:r>
      <w:r w:rsidR="0011619F" w:rsidRPr="00BB2235">
        <w:rPr>
          <w:rFonts w:ascii="Times New Roman" w:hAnsi="Times New Roman" w:cs="Times New Roman"/>
          <w:lang w:val="en-US"/>
        </w:rPr>
        <w:t xml:space="preserve">effect of </w:t>
      </w:r>
      <w:r w:rsidR="00E316F6" w:rsidRPr="00BB2235">
        <w:rPr>
          <w:rFonts w:ascii="Times New Roman" w:hAnsi="Times New Roman" w:cs="Times New Roman"/>
          <w:lang w:val="en-US"/>
        </w:rPr>
        <w:t xml:space="preserve">AMF inoculation and </w:t>
      </w:r>
      <w:r w:rsidR="0011619F" w:rsidRPr="00BB2235">
        <w:rPr>
          <w:rFonts w:ascii="Times New Roman" w:hAnsi="Times New Roman" w:cs="Times New Roman"/>
          <w:lang w:val="en-US"/>
        </w:rPr>
        <w:t xml:space="preserve">EDTA </w:t>
      </w:r>
      <w:r w:rsidR="00E316F6" w:rsidRPr="00BB2235">
        <w:rPr>
          <w:rFonts w:ascii="Times New Roman" w:hAnsi="Times New Roman" w:cs="Times New Roman"/>
          <w:lang w:val="en-US"/>
        </w:rPr>
        <w:t>application</w:t>
      </w:r>
      <w:r w:rsidR="007A7666">
        <w:rPr>
          <w:rFonts w:ascii="Times New Roman" w:hAnsi="Times New Roman" w:cs="Times New Roman"/>
          <w:lang w:val="en-US"/>
        </w:rPr>
        <w:t xml:space="preserve"> in</w:t>
      </w:r>
      <w:r w:rsidR="0011619F" w:rsidRPr="00BB2235">
        <w:rPr>
          <w:rFonts w:ascii="Times New Roman" w:hAnsi="Times New Roman" w:cs="Times New Roman"/>
          <w:lang w:val="en-US"/>
        </w:rPr>
        <w:t xml:space="preserve"> </w:t>
      </w:r>
      <w:r w:rsidR="00F75399" w:rsidRPr="00BB2235">
        <w:rPr>
          <w:rFonts w:ascii="Times New Roman" w:hAnsi="Times New Roman" w:cs="Times New Roman"/>
          <w:lang w:val="en-US"/>
        </w:rPr>
        <w:t>woody plant species</w:t>
      </w:r>
      <w:bookmarkEnd w:id="4"/>
      <w:r>
        <w:rPr>
          <w:rFonts w:ascii="Times New Roman" w:hAnsi="Times New Roman" w:cs="Times New Roman"/>
          <w:lang w:val="en-US"/>
        </w:rPr>
        <w:t xml:space="preserve">, </w:t>
      </w:r>
      <w:r w:rsidRPr="00AE25AB">
        <w:rPr>
          <w:rFonts w:ascii="Times New Roman" w:hAnsi="Times New Roman" w:cs="Times New Roman"/>
          <w:lang w:val="en-US"/>
        </w:rPr>
        <w:t>such as grapevines</w:t>
      </w:r>
      <w:bookmarkEnd w:id="5"/>
      <w:r>
        <w:rPr>
          <w:rFonts w:ascii="Times New Roman" w:hAnsi="Times New Roman" w:cs="Times New Roman"/>
          <w:lang w:val="en-US"/>
        </w:rPr>
        <w:t>.</w:t>
      </w:r>
      <w:r w:rsidR="00F75399" w:rsidRPr="00BB2235">
        <w:rPr>
          <w:rFonts w:ascii="Times New Roman" w:hAnsi="Times New Roman" w:cs="Times New Roman"/>
          <w:lang w:val="en-US"/>
        </w:rPr>
        <w:t xml:space="preserve"> </w:t>
      </w:r>
      <w:bookmarkStart w:id="6" w:name="_Hlk74237114"/>
      <w:r>
        <w:rPr>
          <w:rFonts w:ascii="Times New Roman" w:hAnsi="Times New Roman" w:cs="Times New Roman"/>
          <w:lang w:val="en-US"/>
        </w:rPr>
        <w:t>Therefore,</w:t>
      </w:r>
      <w:bookmarkEnd w:id="6"/>
      <w:r>
        <w:rPr>
          <w:rFonts w:ascii="Times New Roman" w:hAnsi="Times New Roman" w:cs="Times New Roman"/>
          <w:lang w:val="en-US"/>
        </w:rPr>
        <w:t xml:space="preserve"> </w:t>
      </w:r>
      <w:r w:rsidR="00357E97" w:rsidRPr="00BB2235">
        <w:rPr>
          <w:rFonts w:ascii="Times New Roman" w:hAnsi="Times New Roman" w:cs="Times New Roman"/>
          <w:lang w:val="en-US"/>
        </w:rPr>
        <w:t xml:space="preserve">the aim of this work was to elucidate </w:t>
      </w:r>
      <w:r w:rsidR="00946997" w:rsidRPr="00BB2235">
        <w:rPr>
          <w:rStyle w:val="apple-converted-space"/>
          <w:rFonts w:ascii="Times New Roman" w:hAnsi="Times New Roman" w:cs="Times New Roman"/>
          <w:iCs/>
          <w:shd w:val="clear" w:color="auto" w:fill="FFFFFF"/>
          <w:lang w:val="en-US"/>
        </w:rPr>
        <w:t xml:space="preserve">the potential benefits of AMF inoculation to improve </w:t>
      </w:r>
      <w:r w:rsidR="007A7666">
        <w:rPr>
          <w:rStyle w:val="apple-converted-space"/>
          <w:rFonts w:ascii="Times New Roman" w:hAnsi="Times New Roman" w:cs="Times New Roman"/>
          <w:iCs/>
          <w:shd w:val="clear" w:color="auto" w:fill="FFFFFF"/>
          <w:lang w:val="en-US"/>
        </w:rPr>
        <w:t>grapevine</w:t>
      </w:r>
      <w:r w:rsidR="007A7666" w:rsidRPr="00BB2235">
        <w:rPr>
          <w:rStyle w:val="apple-converted-space"/>
          <w:rFonts w:ascii="Times New Roman" w:hAnsi="Times New Roman" w:cs="Times New Roman"/>
          <w:iCs/>
          <w:shd w:val="clear" w:color="auto" w:fill="FFFFFF"/>
          <w:lang w:val="en-US"/>
        </w:rPr>
        <w:t xml:space="preserve"> </w:t>
      </w:r>
      <w:r w:rsidR="00946997" w:rsidRPr="00BB2235">
        <w:rPr>
          <w:rStyle w:val="apple-converted-space"/>
          <w:rFonts w:ascii="Times New Roman" w:hAnsi="Times New Roman" w:cs="Times New Roman"/>
          <w:iCs/>
          <w:shd w:val="clear" w:color="auto" w:fill="FFFFFF"/>
          <w:lang w:val="en-US"/>
        </w:rPr>
        <w:t>performance in Cu contaminated soils, in the presence or absence of EDTA chelates</w:t>
      </w:r>
      <w:r w:rsidR="00357E97" w:rsidRPr="00BB2235">
        <w:rPr>
          <w:rStyle w:val="apple-converted-space"/>
          <w:rFonts w:ascii="Times New Roman" w:hAnsi="Times New Roman" w:cs="Times New Roman"/>
          <w:iCs/>
          <w:shd w:val="clear" w:color="auto" w:fill="FFFFFF"/>
          <w:lang w:val="en-US"/>
        </w:rPr>
        <w:t>.</w:t>
      </w:r>
      <w:r w:rsidR="00946997" w:rsidRPr="00BB2235">
        <w:rPr>
          <w:rStyle w:val="apple-converted-space"/>
          <w:rFonts w:ascii="Times New Roman" w:hAnsi="Times New Roman" w:cs="Times New Roman"/>
          <w:iCs/>
          <w:shd w:val="clear" w:color="auto" w:fill="FFFFFF"/>
          <w:lang w:val="en-US"/>
        </w:rPr>
        <w:t xml:space="preserve"> </w:t>
      </w:r>
    </w:p>
    <w:p w14:paraId="34404EDB" w14:textId="2552E249" w:rsidR="00273DFD" w:rsidRPr="00BB2235" w:rsidRDefault="00273DFD" w:rsidP="00137954">
      <w:pPr>
        <w:autoSpaceDE w:val="0"/>
        <w:autoSpaceDN w:val="0"/>
        <w:adjustRightInd w:val="0"/>
        <w:spacing w:after="0"/>
        <w:jc w:val="both"/>
        <w:rPr>
          <w:rFonts w:ascii="Times New Roman" w:hAnsi="Times New Roman" w:cs="Times New Roman"/>
          <w:b/>
          <w:shd w:val="clear" w:color="auto" w:fill="FFFFFF"/>
          <w:lang w:val="en-US"/>
        </w:rPr>
      </w:pPr>
      <w:r w:rsidRPr="00BB2235">
        <w:rPr>
          <w:rFonts w:ascii="Times New Roman" w:hAnsi="Times New Roman" w:cs="Times New Roman"/>
          <w:b/>
          <w:shd w:val="clear" w:color="auto" w:fill="FFFFFF"/>
          <w:lang w:val="en-US"/>
        </w:rPr>
        <w:t>Materials and methods</w:t>
      </w:r>
    </w:p>
    <w:p w14:paraId="77BFDE96" w14:textId="77777777" w:rsidR="00CB249E" w:rsidRPr="00BB2235" w:rsidRDefault="00CB249E" w:rsidP="00137954">
      <w:pPr>
        <w:autoSpaceDE w:val="0"/>
        <w:autoSpaceDN w:val="0"/>
        <w:adjustRightInd w:val="0"/>
        <w:spacing w:after="0"/>
        <w:jc w:val="both"/>
        <w:rPr>
          <w:rFonts w:ascii="Times New Roman" w:hAnsi="Times New Roman" w:cs="Times New Roman"/>
          <w:b/>
          <w:shd w:val="clear" w:color="auto" w:fill="FFFFFF"/>
          <w:lang w:val="en-US"/>
        </w:rPr>
      </w:pPr>
    </w:p>
    <w:p w14:paraId="580E27EF" w14:textId="6F47E971" w:rsidR="003039C6" w:rsidRPr="0067680B" w:rsidRDefault="00D554D5" w:rsidP="00D751B4">
      <w:pPr>
        <w:autoSpaceDE w:val="0"/>
        <w:autoSpaceDN w:val="0"/>
        <w:adjustRightInd w:val="0"/>
        <w:spacing w:after="0" w:line="480" w:lineRule="auto"/>
        <w:jc w:val="both"/>
        <w:rPr>
          <w:rFonts w:ascii="Times New Roman" w:hAnsi="Times New Roman" w:cs="Times New Roman"/>
          <w:lang w:val="en-US"/>
        </w:rPr>
      </w:pPr>
      <w:r w:rsidRPr="00BB2235">
        <w:rPr>
          <w:rStyle w:val="apple-converted-space"/>
          <w:rFonts w:ascii="Times New Roman" w:hAnsi="Times New Roman" w:cs="Times New Roman"/>
          <w:shd w:val="clear" w:color="auto" w:fill="FFFFFF"/>
          <w:lang w:val="en-US"/>
        </w:rPr>
        <w:t xml:space="preserve">Ten </w:t>
      </w:r>
      <w:r w:rsidR="00AD3F04" w:rsidRPr="00BB2235">
        <w:rPr>
          <w:rStyle w:val="apple-converted-space"/>
          <w:rFonts w:ascii="Times New Roman" w:hAnsi="Times New Roman" w:cs="Times New Roman"/>
          <w:shd w:val="clear" w:color="auto" w:fill="FFFFFF"/>
          <w:lang w:val="en-US"/>
        </w:rPr>
        <w:t xml:space="preserve">Touriga Nacional </w:t>
      </w:r>
      <w:r w:rsidR="00273DFD" w:rsidRPr="00BB2235">
        <w:rPr>
          <w:rStyle w:val="apple-converted-space"/>
          <w:rFonts w:ascii="Times New Roman" w:hAnsi="Times New Roman" w:cs="Times New Roman"/>
          <w:shd w:val="clear" w:color="auto" w:fill="FFFFFF"/>
          <w:lang w:val="en-US"/>
        </w:rPr>
        <w:t xml:space="preserve">variety grapevines </w:t>
      </w:r>
      <w:r w:rsidR="00AD3F04" w:rsidRPr="00BB2235">
        <w:rPr>
          <w:rStyle w:val="apple-converted-space"/>
          <w:rFonts w:ascii="Times New Roman" w:hAnsi="Times New Roman" w:cs="Times New Roman"/>
          <w:shd w:val="clear" w:color="auto" w:fill="FFFFFF"/>
          <w:lang w:val="en-US"/>
        </w:rPr>
        <w:t xml:space="preserve">grafted onto 1103P rootstock </w:t>
      </w:r>
      <w:r w:rsidR="00273DFD" w:rsidRPr="00BB2235">
        <w:rPr>
          <w:rStyle w:val="apple-converted-space"/>
          <w:rFonts w:ascii="Times New Roman" w:hAnsi="Times New Roman" w:cs="Times New Roman"/>
          <w:shd w:val="clear" w:color="auto" w:fill="FFFFFF"/>
          <w:lang w:val="en-US"/>
        </w:rPr>
        <w:t xml:space="preserve">obtained from a nursery </w:t>
      </w:r>
      <w:r w:rsidR="00AD3F04" w:rsidRPr="00BB2235">
        <w:rPr>
          <w:rStyle w:val="apple-converted-space"/>
          <w:rFonts w:ascii="Times New Roman" w:hAnsi="Times New Roman" w:cs="Times New Roman"/>
          <w:shd w:val="clear" w:color="auto" w:fill="FFFFFF"/>
          <w:lang w:val="en-US"/>
        </w:rPr>
        <w:t xml:space="preserve">were </w:t>
      </w:r>
      <w:r w:rsidR="00273DFD" w:rsidRPr="00BB2235">
        <w:rPr>
          <w:rStyle w:val="apple-converted-space"/>
          <w:rFonts w:ascii="Times New Roman" w:hAnsi="Times New Roman" w:cs="Times New Roman"/>
          <w:shd w:val="clear" w:color="auto" w:fill="FFFFFF"/>
          <w:lang w:val="en-US"/>
        </w:rPr>
        <w:t xml:space="preserve">inoculated with either </w:t>
      </w:r>
      <w:r w:rsidR="00273DFD" w:rsidRPr="00BB2235">
        <w:rPr>
          <w:rStyle w:val="apple-converted-space"/>
          <w:rFonts w:ascii="Times New Roman" w:hAnsi="Times New Roman" w:cs="Times New Roman"/>
          <w:i/>
          <w:shd w:val="clear" w:color="auto" w:fill="FFFFFF"/>
          <w:lang w:val="en-US"/>
        </w:rPr>
        <w:t xml:space="preserve">Rhizoglomus irregulare </w:t>
      </w:r>
      <w:r w:rsidR="00273DFD" w:rsidRPr="00BB2235">
        <w:rPr>
          <w:rStyle w:val="apple-converted-space"/>
          <w:rFonts w:ascii="Times New Roman" w:hAnsi="Times New Roman" w:cs="Times New Roman"/>
          <w:iCs/>
          <w:shd w:val="clear" w:color="auto" w:fill="FFFFFF"/>
          <w:lang w:val="en-US"/>
        </w:rPr>
        <w:t>(</w:t>
      </w:r>
      <w:r w:rsidR="00273DFD" w:rsidRPr="00BB2235">
        <w:rPr>
          <w:rStyle w:val="apple-converted-space"/>
          <w:rFonts w:ascii="Times New Roman" w:hAnsi="Times New Roman" w:cs="Times New Roman"/>
          <w:shd w:val="clear" w:color="auto" w:fill="FFFFFF"/>
          <w:lang w:val="en-US"/>
        </w:rPr>
        <w:t xml:space="preserve">provided by the Agrifood Institute of Research and </w:t>
      </w:r>
      <w:r w:rsidR="00273DFD" w:rsidRPr="00BB2235">
        <w:rPr>
          <w:rStyle w:val="apple-converted-space"/>
          <w:rFonts w:ascii="Times New Roman" w:hAnsi="Times New Roman" w:cs="Times New Roman"/>
          <w:shd w:val="clear" w:color="auto" w:fill="FFFFFF"/>
          <w:lang w:val="en-US"/>
        </w:rPr>
        <w:lastRenderedPageBreak/>
        <w:t>Technology</w:t>
      </w:r>
      <w:r w:rsidR="00ED772C" w:rsidRPr="00BB2235">
        <w:rPr>
          <w:rStyle w:val="apple-converted-space"/>
          <w:rFonts w:ascii="Times New Roman" w:hAnsi="Times New Roman" w:cs="Times New Roman"/>
          <w:shd w:val="clear" w:color="auto" w:fill="FFFFFF"/>
          <w:lang w:val="en-US"/>
        </w:rPr>
        <w:t xml:space="preserve">, </w:t>
      </w:r>
      <w:r w:rsidR="0077446C" w:rsidRPr="00BB2235">
        <w:rPr>
          <w:rStyle w:val="apple-converted-space"/>
          <w:rFonts w:ascii="Times New Roman" w:hAnsi="Times New Roman" w:cs="Times New Roman"/>
          <w:shd w:val="clear" w:color="auto" w:fill="FFFFFF"/>
          <w:lang w:val="en-US"/>
        </w:rPr>
        <w:t xml:space="preserve">IRTA, </w:t>
      </w:r>
      <w:r w:rsidR="00273DFD" w:rsidRPr="00BB2235">
        <w:rPr>
          <w:rStyle w:val="apple-converted-space"/>
          <w:rFonts w:ascii="Times New Roman" w:hAnsi="Times New Roman" w:cs="Times New Roman"/>
          <w:shd w:val="clear" w:color="auto" w:fill="FFFFFF"/>
          <w:lang w:val="en-US"/>
        </w:rPr>
        <w:t>Barcelona, Spain</w:t>
      </w:r>
      <w:r w:rsidR="00ED772C" w:rsidRPr="00BB2235">
        <w:rPr>
          <w:rStyle w:val="apple-converted-space"/>
          <w:rFonts w:ascii="Times New Roman" w:hAnsi="Times New Roman" w:cs="Times New Roman"/>
          <w:shd w:val="clear" w:color="auto" w:fill="FFFFFF"/>
          <w:lang w:val="en-US"/>
        </w:rPr>
        <w:t xml:space="preserve">) or </w:t>
      </w:r>
      <w:r w:rsidR="00ED772C" w:rsidRPr="00BB2235">
        <w:rPr>
          <w:rStyle w:val="apple-converted-space"/>
          <w:rFonts w:ascii="Times New Roman" w:hAnsi="Times New Roman" w:cs="Times New Roman"/>
          <w:i/>
          <w:shd w:val="clear" w:color="auto" w:fill="FFFFFF"/>
          <w:lang w:val="en-US"/>
        </w:rPr>
        <w:t>Funneliformis mosseae</w:t>
      </w:r>
      <w:r w:rsidR="00ED772C" w:rsidRPr="00BB2235">
        <w:rPr>
          <w:rStyle w:val="apple-converted-space"/>
          <w:rFonts w:ascii="Times New Roman" w:hAnsi="Times New Roman" w:cs="Times New Roman"/>
          <w:iCs/>
          <w:shd w:val="clear" w:color="auto" w:fill="FFFFFF"/>
          <w:lang w:val="en-US"/>
        </w:rPr>
        <w:t xml:space="preserve"> (</w:t>
      </w:r>
      <w:r w:rsidR="00ED772C" w:rsidRPr="00BB2235">
        <w:rPr>
          <w:rStyle w:val="apple-converted-space"/>
          <w:rFonts w:ascii="Times New Roman" w:hAnsi="Times New Roman" w:cs="Times New Roman"/>
          <w:shd w:val="clear" w:color="auto" w:fill="FFFFFF"/>
          <w:lang w:val="en-US"/>
        </w:rPr>
        <w:t xml:space="preserve">Symbiom, Checz Republic). In each case ~10000 infective propagules were applied per plant, and </w:t>
      </w:r>
      <w:r w:rsidRPr="00BB2235">
        <w:rPr>
          <w:rStyle w:val="apple-converted-space"/>
          <w:rFonts w:ascii="Times New Roman" w:hAnsi="Times New Roman" w:cs="Times New Roman"/>
          <w:shd w:val="clear" w:color="auto" w:fill="FFFFFF"/>
          <w:lang w:val="en-US"/>
        </w:rPr>
        <w:t>a</w:t>
      </w:r>
      <w:r w:rsidR="00ED772C" w:rsidRPr="00BB2235">
        <w:rPr>
          <w:rStyle w:val="apple-converted-space"/>
          <w:rFonts w:ascii="Times New Roman" w:hAnsi="Times New Roman" w:cs="Times New Roman"/>
          <w:shd w:val="clear" w:color="auto" w:fill="FFFFFF"/>
          <w:lang w:val="en-US"/>
        </w:rPr>
        <w:t xml:space="preserve">nother 10 plants were left as non-inoculated controls. Plants grew in 600 mL pot containers filled with </w:t>
      </w:r>
      <w:r w:rsidRPr="00BB2235">
        <w:rPr>
          <w:rStyle w:val="apple-converted-space"/>
          <w:rFonts w:ascii="Times New Roman" w:hAnsi="Times New Roman" w:cs="Times New Roman"/>
          <w:shd w:val="clear" w:color="auto" w:fill="FFFFFF"/>
          <w:lang w:val="en-US"/>
        </w:rPr>
        <w:t xml:space="preserve">an </w:t>
      </w:r>
      <w:r w:rsidR="00ED772C" w:rsidRPr="00BB2235">
        <w:rPr>
          <w:rStyle w:val="apple-converted-space"/>
          <w:rFonts w:ascii="Times New Roman" w:hAnsi="Times New Roman" w:cs="Times New Roman"/>
          <w:shd w:val="clear" w:color="auto" w:fill="FFFFFF"/>
          <w:lang w:val="en-US"/>
        </w:rPr>
        <w:t xml:space="preserve">autoclave-sterilized substrate mixture of </w:t>
      </w:r>
      <w:r w:rsidR="00ED772C" w:rsidRPr="00BB2235">
        <w:rPr>
          <w:rStyle w:val="apple-converted-space"/>
          <w:rFonts w:ascii="Times New Roman" w:hAnsi="Times New Roman" w:cs="Times New Roman"/>
          <w:i/>
          <w:shd w:val="clear" w:color="auto" w:fill="FFFFFF"/>
          <w:lang w:val="en-US"/>
        </w:rPr>
        <w:t>Sphagnum</w:t>
      </w:r>
      <w:r w:rsidR="00ED772C" w:rsidRPr="00BB2235">
        <w:rPr>
          <w:rStyle w:val="apple-converted-space"/>
          <w:rFonts w:ascii="Times New Roman" w:hAnsi="Times New Roman" w:cs="Times New Roman"/>
          <w:shd w:val="clear" w:color="auto" w:fill="FFFFFF"/>
          <w:lang w:val="en-US"/>
        </w:rPr>
        <w:t xml:space="preserve"> peat : perlite (2:1, </w:t>
      </w:r>
      <w:r w:rsidR="006F4909" w:rsidRPr="00BB2235">
        <w:rPr>
          <w:rStyle w:val="apple-converted-space"/>
          <w:rFonts w:ascii="Times New Roman" w:hAnsi="Times New Roman" w:cs="Times New Roman"/>
          <w:i/>
          <w:shd w:val="clear" w:color="auto" w:fill="FFFFFF"/>
          <w:lang w:val="en-US"/>
        </w:rPr>
        <w:t>V</w:t>
      </w:r>
      <w:r w:rsidR="00ED772C" w:rsidRPr="00BB2235">
        <w:rPr>
          <w:rStyle w:val="apple-converted-space"/>
          <w:rFonts w:ascii="Times New Roman" w:hAnsi="Times New Roman" w:cs="Times New Roman"/>
          <w:shd w:val="clear" w:color="auto" w:fill="FFFFFF"/>
          <w:lang w:val="en-US"/>
        </w:rPr>
        <w:t>:</w:t>
      </w:r>
      <w:r w:rsidR="006F4909" w:rsidRPr="00BB2235">
        <w:rPr>
          <w:rStyle w:val="apple-converted-space"/>
          <w:rFonts w:ascii="Times New Roman" w:hAnsi="Times New Roman" w:cs="Times New Roman"/>
          <w:i/>
          <w:shd w:val="clear" w:color="auto" w:fill="FFFFFF"/>
          <w:lang w:val="en-US"/>
        </w:rPr>
        <w:t>V</w:t>
      </w:r>
      <w:r w:rsidR="00ED772C" w:rsidRPr="00BB2235">
        <w:rPr>
          <w:rStyle w:val="apple-converted-space"/>
          <w:rFonts w:ascii="Times New Roman" w:hAnsi="Times New Roman" w:cs="Times New Roman"/>
          <w:shd w:val="clear" w:color="auto" w:fill="FFFFFF"/>
          <w:lang w:val="en-US"/>
        </w:rPr>
        <w:t>)</w:t>
      </w:r>
      <w:r w:rsidR="00F16F08" w:rsidRPr="00BB2235">
        <w:rPr>
          <w:rStyle w:val="apple-converted-space"/>
          <w:rFonts w:ascii="Times New Roman" w:hAnsi="Times New Roman" w:cs="Times New Roman"/>
          <w:shd w:val="clear" w:color="auto" w:fill="FFFFFF"/>
          <w:lang w:val="en-US"/>
        </w:rPr>
        <w:t xml:space="preserve"> for three months under greenhouse conditions</w:t>
      </w:r>
      <w:r w:rsidR="004352B3" w:rsidRPr="00BB2235">
        <w:rPr>
          <w:rStyle w:val="apple-converted-space"/>
          <w:rFonts w:ascii="Times New Roman" w:hAnsi="Times New Roman" w:cs="Times New Roman"/>
          <w:shd w:val="clear" w:color="auto" w:fill="FFFFFF"/>
          <w:lang w:val="en-US"/>
        </w:rPr>
        <w:t>.</w:t>
      </w:r>
      <w:r w:rsidR="001B29F4" w:rsidRPr="00BB2235">
        <w:rPr>
          <w:rStyle w:val="apple-converted-space"/>
          <w:rFonts w:ascii="Times New Roman" w:hAnsi="Times New Roman" w:cs="Times New Roman"/>
          <w:shd w:val="clear" w:color="auto" w:fill="FFFFFF"/>
          <w:lang w:val="en-US"/>
        </w:rPr>
        <w:t xml:space="preserve"> Then, plants were transplanted to </w:t>
      </w:r>
      <w:r w:rsidR="001B29F4" w:rsidRPr="00BB2235">
        <w:rPr>
          <w:rFonts w:ascii="Times New Roman" w:hAnsi="Times New Roman" w:cs="Times New Roman"/>
          <w:lang w:val="en-US"/>
        </w:rPr>
        <w:t xml:space="preserve">containers filled with 4 </w:t>
      </w:r>
      <w:r w:rsidR="009F326E" w:rsidRPr="00BB2235">
        <w:rPr>
          <w:rFonts w:ascii="Times New Roman" w:hAnsi="Times New Roman" w:cs="Times New Roman"/>
          <w:lang w:val="en-US"/>
        </w:rPr>
        <w:t>k</w:t>
      </w:r>
      <w:r w:rsidR="001B29F4" w:rsidRPr="00BB2235">
        <w:rPr>
          <w:rFonts w:ascii="Times New Roman" w:hAnsi="Times New Roman" w:cs="Times New Roman"/>
          <w:lang w:val="en-US"/>
        </w:rPr>
        <w:t xml:space="preserve">g </w:t>
      </w:r>
      <w:r w:rsidRPr="00BB2235">
        <w:rPr>
          <w:rFonts w:ascii="Times New Roman" w:hAnsi="Times New Roman" w:cs="Times New Roman"/>
          <w:lang w:val="en-US"/>
        </w:rPr>
        <w:t xml:space="preserve">of a </w:t>
      </w:r>
      <w:r w:rsidR="00CB249E" w:rsidRPr="00BB2235">
        <w:rPr>
          <w:rFonts w:ascii="Times New Roman" w:hAnsi="Times New Roman" w:cs="Times New Roman"/>
          <w:lang w:val="en-US"/>
        </w:rPr>
        <w:t xml:space="preserve">non-sterile </w:t>
      </w:r>
      <w:r w:rsidR="001B29F4" w:rsidRPr="00BB2235">
        <w:rPr>
          <w:rFonts w:ascii="Times New Roman" w:hAnsi="Times New Roman" w:cs="Times New Roman"/>
          <w:lang w:val="en-US"/>
        </w:rPr>
        <w:t>sandy soil</w:t>
      </w:r>
      <w:r w:rsidRPr="00BB2235">
        <w:rPr>
          <w:rFonts w:ascii="Times New Roman" w:hAnsi="Times New Roman" w:cs="Times New Roman"/>
          <w:lang w:val="en-US"/>
        </w:rPr>
        <w:t xml:space="preserve"> </w:t>
      </w:r>
      <w:r w:rsidR="001B29F4" w:rsidRPr="00BB2235">
        <w:rPr>
          <w:rFonts w:ascii="Times New Roman" w:hAnsi="Times New Roman" w:cs="Times New Roman"/>
          <w:lang w:val="en-US"/>
        </w:rPr>
        <w:t xml:space="preserve">and were moved to open air conditions. </w:t>
      </w:r>
      <w:r w:rsidR="003039C6" w:rsidRPr="00BB2235">
        <w:rPr>
          <w:rFonts w:ascii="Times New Roman" w:hAnsi="Times New Roman" w:cs="Times New Roman"/>
          <w:lang w:val="en-US"/>
        </w:rPr>
        <w:t>The soil was an Arenosol with neutral pH, low electrical conductivity</w:t>
      </w:r>
      <w:r w:rsidR="009155CF" w:rsidRPr="00BB2235">
        <w:rPr>
          <w:rFonts w:ascii="Times New Roman" w:hAnsi="Times New Roman" w:cs="Times New Roman"/>
          <w:lang w:val="en-US"/>
        </w:rPr>
        <w:t xml:space="preserve">, </w:t>
      </w:r>
      <w:r w:rsidR="00CB249E" w:rsidRPr="00BB2235">
        <w:rPr>
          <w:rFonts w:ascii="Times New Roman" w:hAnsi="Times New Roman" w:cs="Times New Roman"/>
          <w:lang w:val="en-US"/>
        </w:rPr>
        <w:t>low Cu content</w:t>
      </w:r>
      <w:r w:rsidR="00D744A3" w:rsidRPr="00BB2235">
        <w:rPr>
          <w:rFonts w:ascii="Times New Roman" w:hAnsi="Times New Roman" w:cs="Times New Roman"/>
          <w:lang w:val="en-US"/>
        </w:rPr>
        <w:t xml:space="preserve"> (</w:t>
      </w:r>
      <w:bookmarkStart w:id="7" w:name="_Hlk73602814"/>
      <w:r w:rsidR="00D744A3" w:rsidRPr="00BB2235">
        <w:rPr>
          <w:rFonts w:ascii="Times New Roman" w:hAnsi="Times New Roman" w:cs="Times New Roman"/>
          <w:lang w:val="en-US"/>
        </w:rPr>
        <w:t>26.7 mg kg</w:t>
      </w:r>
      <w:r w:rsidR="00D744A3" w:rsidRPr="00BB2235">
        <w:rPr>
          <w:rFonts w:ascii="Times New Roman" w:hAnsi="Times New Roman" w:cs="Times New Roman"/>
          <w:vertAlign w:val="superscript"/>
          <w:lang w:val="en-US"/>
        </w:rPr>
        <w:t>-1</w:t>
      </w:r>
      <w:r w:rsidR="00D744A3" w:rsidRPr="00BB2235">
        <w:rPr>
          <w:rFonts w:ascii="Times New Roman" w:hAnsi="Times New Roman" w:cs="Times New Roman"/>
          <w:lang w:val="en-US"/>
        </w:rPr>
        <w:t>)</w:t>
      </w:r>
      <w:r w:rsidR="00CB249E" w:rsidRPr="00BB2235">
        <w:rPr>
          <w:rFonts w:ascii="Times New Roman" w:hAnsi="Times New Roman" w:cs="Times New Roman"/>
          <w:lang w:val="en-US"/>
        </w:rPr>
        <w:t xml:space="preserve">, </w:t>
      </w:r>
      <w:r w:rsidR="003039C6" w:rsidRPr="00BB2235">
        <w:rPr>
          <w:rFonts w:ascii="Times New Roman" w:hAnsi="Times New Roman" w:cs="Times New Roman"/>
          <w:lang w:val="en-US"/>
        </w:rPr>
        <w:t xml:space="preserve">very low organic C </w:t>
      </w:r>
      <w:r w:rsidR="00A514FF" w:rsidRPr="00BB2235">
        <w:rPr>
          <w:rFonts w:ascii="Times New Roman" w:hAnsi="Times New Roman" w:cs="Times New Roman"/>
          <w:lang w:val="en-US"/>
        </w:rPr>
        <w:t xml:space="preserve">(5.7 </w:t>
      </w:r>
      <w:r w:rsidR="00156CF3" w:rsidRPr="00BB2235">
        <w:rPr>
          <w:rFonts w:ascii="Times New Roman" w:hAnsi="Times New Roman" w:cs="Times New Roman"/>
          <w:lang w:val="en-US"/>
        </w:rPr>
        <w:t>g kg</w:t>
      </w:r>
      <w:r w:rsidR="00156CF3" w:rsidRPr="00BB2235">
        <w:rPr>
          <w:rFonts w:ascii="Times New Roman" w:hAnsi="Times New Roman" w:cs="Times New Roman"/>
          <w:vertAlign w:val="superscript"/>
          <w:lang w:val="en-US"/>
        </w:rPr>
        <w:t>−1</w:t>
      </w:r>
      <w:r w:rsidR="00A514FF" w:rsidRPr="00BB2235">
        <w:rPr>
          <w:rFonts w:ascii="Times New Roman" w:hAnsi="Times New Roman" w:cs="Times New Roman"/>
          <w:lang w:val="en-US"/>
        </w:rPr>
        <w:t xml:space="preserve">) </w:t>
      </w:r>
      <w:r w:rsidR="003039C6" w:rsidRPr="00BB2235">
        <w:rPr>
          <w:rFonts w:ascii="Times New Roman" w:hAnsi="Times New Roman" w:cs="Times New Roman"/>
          <w:lang w:val="en-US"/>
        </w:rPr>
        <w:t>and mineral N</w:t>
      </w:r>
      <w:r w:rsidR="00A514FF" w:rsidRPr="00BB2235">
        <w:rPr>
          <w:rFonts w:ascii="Times New Roman" w:hAnsi="Times New Roman" w:cs="Times New Roman"/>
          <w:lang w:val="en-US"/>
        </w:rPr>
        <w:t xml:space="preserve"> (</w:t>
      </w:r>
      <w:r w:rsidR="00D751B4" w:rsidRPr="00BB2235">
        <w:rPr>
          <w:rFonts w:ascii="Times New Roman" w:hAnsi="Times New Roman" w:cs="Times New Roman"/>
          <w:lang w:val="en-US"/>
        </w:rPr>
        <w:t xml:space="preserve">1.11 </w:t>
      </w:r>
      <w:r w:rsidR="007523FB" w:rsidRPr="00BB2235">
        <w:rPr>
          <w:rFonts w:ascii="Times New Roman" w:hAnsi="Times New Roman" w:cs="Times New Roman"/>
          <w:lang w:val="en-US"/>
        </w:rPr>
        <w:t xml:space="preserve">mg </w:t>
      </w:r>
      <w:r w:rsidR="00081982" w:rsidRPr="00BB2235">
        <w:rPr>
          <w:rFonts w:ascii="Times New Roman" w:hAnsi="Times New Roman" w:cs="Times New Roman"/>
          <w:lang w:val="en-US"/>
        </w:rPr>
        <w:t>N-N</w:t>
      </w:r>
      <w:r w:rsidR="00081982" w:rsidRPr="00D751B4">
        <w:rPr>
          <w:rFonts w:ascii="Times New Roman" w:hAnsi="Times New Roman" w:cs="Times New Roman"/>
          <w:lang w:val="en-US"/>
        </w:rPr>
        <w:t>O</w:t>
      </w:r>
      <w:r w:rsidR="00081982" w:rsidRPr="00BF35F4">
        <w:rPr>
          <w:rFonts w:ascii="Times New Roman" w:hAnsi="Times New Roman" w:cs="Times New Roman"/>
          <w:vertAlign w:val="subscript"/>
          <w:lang w:val="en-US"/>
        </w:rPr>
        <w:t>3</w:t>
      </w:r>
      <w:r w:rsidR="00081982">
        <w:rPr>
          <w:rFonts w:ascii="Times New Roman" w:hAnsi="Times New Roman" w:cs="Times New Roman"/>
          <w:vertAlign w:val="subscript"/>
          <w:lang w:val="en-US"/>
        </w:rPr>
        <w:t xml:space="preserve"> </w:t>
      </w:r>
      <w:r w:rsidR="007523FB" w:rsidRPr="00BB2235">
        <w:rPr>
          <w:rFonts w:ascii="Times New Roman" w:hAnsi="Times New Roman" w:cs="Times New Roman"/>
          <w:lang w:val="en-US"/>
        </w:rPr>
        <w:t>kg</w:t>
      </w:r>
      <w:r w:rsidR="007523FB" w:rsidRPr="00BB2235">
        <w:rPr>
          <w:rFonts w:ascii="Times New Roman" w:hAnsi="Times New Roman" w:cs="Times New Roman"/>
          <w:vertAlign w:val="superscript"/>
          <w:lang w:val="en-US"/>
        </w:rPr>
        <w:t>−1</w:t>
      </w:r>
      <w:r w:rsidR="007523FB" w:rsidRPr="00BB2235">
        <w:rPr>
          <w:rFonts w:ascii="Times New Roman" w:hAnsi="Times New Roman" w:cs="Times New Roman"/>
          <w:lang w:val="en-US"/>
        </w:rPr>
        <w:t xml:space="preserve"> </w:t>
      </w:r>
      <w:r w:rsidR="00156CF3" w:rsidRPr="0002021F">
        <w:rPr>
          <w:rFonts w:ascii="Times New Roman" w:hAnsi="Times New Roman" w:cs="Times New Roman"/>
          <w:lang w:val="en-US"/>
        </w:rPr>
        <w:t>a</w:t>
      </w:r>
      <w:r w:rsidR="00D0520E">
        <w:rPr>
          <w:rFonts w:ascii="Times New Roman" w:hAnsi="Times New Roman" w:cs="Times New Roman"/>
          <w:lang w:val="en-US"/>
        </w:rPr>
        <w:t xml:space="preserve">nd </w:t>
      </w:r>
      <w:r w:rsidR="007523FB" w:rsidRPr="00D751B4">
        <w:rPr>
          <w:rFonts w:ascii="Times New Roman" w:hAnsi="Times New Roman" w:cs="Times New Roman"/>
          <w:lang w:val="en-US"/>
        </w:rPr>
        <w:t xml:space="preserve">1.86 </w:t>
      </w:r>
      <w:r w:rsidR="00D0520E" w:rsidRPr="00D751B4">
        <w:rPr>
          <w:rFonts w:ascii="Times New Roman" w:hAnsi="Times New Roman" w:cs="Times New Roman"/>
          <w:lang w:val="en-US"/>
        </w:rPr>
        <w:t xml:space="preserve">mg </w:t>
      </w:r>
      <w:r w:rsidR="00081982" w:rsidRPr="00D751B4">
        <w:rPr>
          <w:rFonts w:ascii="Times New Roman" w:hAnsi="Times New Roman" w:cs="Times New Roman"/>
          <w:lang w:val="en-US"/>
        </w:rPr>
        <w:t>N-NH</w:t>
      </w:r>
      <w:r w:rsidR="00081982" w:rsidRPr="0002021F">
        <w:rPr>
          <w:rFonts w:ascii="Times New Roman" w:hAnsi="Times New Roman" w:cs="Times New Roman"/>
          <w:vertAlign w:val="subscript"/>
          <w:lang w:val="en-US"/>
        </w:rPr>
        <w:t>4</w:t>
      </w:r>
      <w:r w:rsidR="007A7666">
        <w:rPr>
          <w:rFonts w:ascii="Times New Roman" w:hAnsi="Times New Roman" w:cs="Times New Roman"/>
          <w:vertAlign w:val="subscript"/>
          <w:lang w:val="en-US"/>
        </w:rPr>
        <w:t xml:space="preserve"> </w:t>
      </w:r>
      <w:r w:rsidR="00D0520E" w:rsidRPr="00D751B4">
        <w:rPr>
          <w:rFonts w:ascii="Times New Roman" w:hAnsi="Times New Roman" w:cs="Times New Roman"/>
          <w:lang w:val="en-US"/>
        </w:rPr>
        <w:t>kg</w:t>
      </w:r>
      <w:r w:rsidR="00D0520E" w:rsidRPr="005D3CB4">
        <w:rPr>
          <w:rFonts w:ascii="Times New Roman" w:hAnsi="Times New Roman" w:cs="Times New Roman"/>
          <w:vertAlign w:val="superscript"/>
          <w:lang w:val="en-US"/>
        </w:rPr>
        <w:t>−1</w:t>
      </w:r>
      <w:r w:rsidR="00A514FF">
        <w:rPr>
          <w:rFonts w:ascii="Times New Roman" w:hAnsi="Times New Roman" w:cs="Times New Roman"/>
          <w:lang w:val="en-US"/>
        </w:rPr>
        <w:t>)</w:t>
      </w:r>
      <w:r w:rsidR="00FA0ED5" w:rsidRPr="0067680B">
        <w:rPr>
          <w:rFonts w:ascii="Times New Roman" w:hAnsi="Times New Roman" w:cs="Times New Roman"/>
          <w:lang w:val="en-US"/>
        </w:rPr>
        <w:t>,</w:t>
      </w:r>
      <w:r w:rsidR="009155CF" w:rsidRPr="0067680B">
        <w:rPr>
          <w:rFonts w:ascii="Times New Roman" w:hAnsi="Times New Roman" w:cs="Times New Roman"/>
          <w:lang w:val="en-US"/>
        </w:rPr>
        <w:t xml:space="preserve"> and high P content</w:t>
      </w:r>
      <w:r w:rsidR="00A514FF">
        <w:rPr>
          <w:rFonts w:ascii="Times New Roman" w:hAnsi="Times New Roman" w:cs="Times New Roman"/>
          <w:lang w:val="en-US"/>
        </w:rPr>
        <w:t xml:space="preserve"> (</w:t>
      </w:r>
      <w:r w:rsidR="00A514FF" w:rsidRPr="00A514FF">
        <w:rPr>
          <w:rFonts w:ascii="Times New Roman" w:hAnsi="Times New Roman" w:cs="Times New Roman"/>
          <w:lang w:val="en-US"/>
        </w:rPr>
        <w:t xml:space="preserve">263.3 </w:t>
      </w:r>
      <w:r w:rsidR="0002021F">
        <w:rPr>
          <w:rFonts w:ascii="Times New Roman" w:hAnsi="Times New Roman" w:cs="Times New Roman"/>
          <w:lang w:val="en-US"/>
        </w:rPr>
        <w:t>mg kg</w:t>
      </w:r>
      <w:r w:rsidR="0002021F" w:rsidRPr="008B3CFD">
        <w:rPr>
          <w:rFonts w:ascii="Times New Roman" w:hAnsi="Times New Roman" w:cs="Times New Roman"/>
          <w:vertAlign w:val="superscript"/>
          <w:lang w:val="en-US"/>
        </w:rPr>
        <w:t>−1</w:t>
      </w:r>
      <w:r w:rsidR="00A514FF">
        <w:rPr>
          <w:rFonts w:ascii="Times New Roman" w:hAnsi="Times New Roman" w:cs="Times New Roman"/>
          <w:lang w:val="en-US"/>
        </w:rPr>
        <w:t>)</w:t>
      </w:r>
      <w:r w:rsidR="002C7ADD">
        <w:rPr>
          <w:rFonts w:ascii="Times New Roman" w:hAnsi="Times New Roman" w:cs="Times New Roman"/>
          <w:lang w:val="en-US"/>
        </w:rPr>
        <w:t xml:space="preserve"> </w:t>
      </w:r>
      <w:bookmarkEnd w:id="7"/>
      <w:r w:rsidR="002C7ADD">
        <w:rPr>
          <w:rFonts w:ascii="Times New Roman" w:hAnsi="Times New Roman" w:cs="Times New Roman"/>
          <w:lang w:val="en-US"/>
        </w:rPr>
        <w:fldChar w:fldCharType="begin" w:fldLock="1"/>
      </w:r>
      <w:r w:rsidR="00830DF4">
        <w:rPr>
          <w:rFonts w:ascii="Times New Roman" w:hAnsi="Times New Roman" w:cs="Times New Roman"/>
          <w:lang w:val="en-US"/>
        </w:rPr>
        <w:instrText>ADDIN CSL_CITATION {"citationItems":[{"id":"ITEM-1","itemData":{"DOI":"10.3389/fpls.2018.01906","ISSN":"1664462X","abstract":"Plant inoculation with arbuscular mycorrhizal fungi (AMF) is increasingly employed to enhance productivity and sustainability in agricultural ecosystems. In the present study, the potential benefits of AMF inoculation on young grapevines replanted in pots containing vineyard soil with high Cu concentration were evaluated. For this purpose, one-year-old cv. Touriga Nacional grapevines grafted onto 1103P rootstocks were further inoculated with Rhizoglomus irregulare or Funneliformis mosseae, or left non-inoculated, and maintained in a sterilized substrate under greenhouse conditions for three months. After this time, half of the plants were transplanted to containers filled with an Arenosol from a vineyard which had been artificially contaminated or not with 300 mg kg −1 of Cu. At the end of the growing season, soil nutrient concentration, soil dehydrogenase activity and mycorrhizal colonization rate were analyzed. Grapevine performance was assessed by measuring several vegetative growth and physiological parameters as well as nutrient concentrations in leaves and roots. In the non-contaminated soil, R. irregulare-and F. mosseae-inoculated plants had significantly greater root biomass than the non-inoculated ones. However, the opposite effect was observed in the Cu-contaminated soil, where non-inoculated plants performed better regarding shoot and root development. Concerning nutrient levels, an increase in Cu, Mg and Mn concentrations was observed in the roots of plants growing in the contaminated soil, although only Mn was translocated to leaves. This led to a large increase in leaf Mn concentrations, which was significantly higher in non-inoculated and F. mosseae-inoculated plants than in the R. irregulare-inoculated ones. Copper contamination induced a general decrease in leaf N, P and Fe concentrations as well as chlorosis symptoms. The largest decrease in N and P was observed in F. mosseae-inoculated plants, with 73 and 31.2%, respectively. However, these plants were the ones with the least decrease in Fe concentration (10% vs. almost 30% in the other two inoculation treatments). In conclusion, this study indicates that soil Cu levels can modify the outcome of AMF inoculations in young grapevines, disclosing new AMF-plant associations potentially relevant in vineyards with a tradition of Cu-based fungicide application.","author":[{"dropping-particle":"","family":"Nogales","given":"A.","non-dropping-particle":"","parse-names":false,"suffix":""},{"dropping-particle":"","family":"Santos","given":"E.S.","non-dropping-particle":"","parse-names":false,"suffix":""},{"dropping-particle":"","family":"Abreu","given":"M.M.","non-dropping-particle":"","parse-names":false,"suffix":""},{"dropping-particle":"","family":"Arán","given":"D.","non-dropping-particle":"","parse-names":false,"suffix":""},{"dropping-particle":"","family":"Victorino","given":"G.","non-dropping-particle":"","parse-names":false,"suffix":""},{"dropping-particle":"","family":"Pereira","given":"H.S.","non-dropping-particle":"","parse-names":false,"suffix":""},{"dropping-particle":"","family":"Lopes","given":"C.M.","non-dropping-particle":"","parse-names":false,"suffix":""},{"dropping-particle":"","family":"Viegas","given":"W.","non-dropping-particle":"","parse-names":false,"suffix":""}],"container-title":"Frontiers in Plant Science","id":"ITEM-1","issued":{"date-parts":[["2019"]]},"title":"Mycorrhizal inoculation differentially affects grapevine’s performance in copper contaminated and non-contaminated soils","type":"article-journal","volume":"9"},"uris":["http://www.mendeley.com/documents/?uuid=b38c2b19-5c88-34a0-8087-dc357299736f"]}],"mendeley":{"formattedCitation":"(Nogales et al., 2019)","plainTextFormattedCitation":"(Nogales et al., 2019)","previouslyFormattedCitation":"(Nogales et al., 2019)"},"properties":{"noteIndex":0},"schema":"https://github.com/citation-style-language/schema/raw/master/csl-citation.json"}</w:instrText>
      </w:r>
      <w:r w:rsidR="002C7ADD">
        <w:rPr>
          <w:rFonts w:ascii="Times New Roman" w:hAnsi="Times New Roman" w:cs="Times New Roman"/>
          <w:lang w:val="en-US"/>
        </w:rPr>
        <w:fldChar w:fldCharType="separate"/>
      </w:r>
      <w:r w:rsidR="002C7ADD" w:rsidRPr="002C7ADD">
        <w:rPr>
          <w:rFonts w:ascii="Times New Roman" w:hAnsi="Times New Roman" w:cs="Times New Roman"/>
          <w:noProof/>
          <w:lang w:val="en-US"/>
        </w:rPr>
        <w:t>(Nogales et al., 2019)</w:t>
      </w:r>
      <w:r w:rsidR="002C7ADD">
        <w:rPr>
          <w:rFonts w:ascii="Times New Roman" w:hAnsi="Times New Roman" w:cs="Times New Roman"/>
          <w:lang w:val="en-US"/>
        </w:rPr>
        <w:fldChar w:fldCharType="end"/>
      </w:r>
      <w:r w:rsidR="003039C6" w:rsidRPr="0067680B">
        <w:rPr>
          <w:rFonts w:ascii="Times New Roman" w:hAnsi="Times New Roman" w:cs="Times New Roman"/>
          <w:lang w:val="en-US"/>
        </w:rPr>
        <w:t>.</w:t>
      </w:r>
      <w:r w:rsidR="009155CF" w:rsidRPr="0067680B">
        <w:rPr>
          <w:rFonts w:ascii="Times New Roman" w:hAnsi="Times New Roman" w:cs="Times New Roman"/>
          <w:lang w:val="en-US"/>
        </w:rPr>
        <w:t xml:space="preserve">  </w:t>
      </w:r>
    </w:p>
    <w:p w14:paraId="51E700C5" w14:textId="1624E587" w:rsidR="00146E05" w:rsidRDefault="00AD3F04" w:rsidP="00CB249E">
      <w:pPr>
        <w:spacing w:after="0" w:line="480" w:lineRule="auto"/>
        <w:jc w:val="both"/>
        <w:rPr>
          <w:rStyle w:val="apple-converted-space"/>
          <w:rFonts w:ascii="Times New Roman" w:hAnsi="Times New Roman" w:cs="Times New Roman"/>
          <w:iCs/>
          <w:shd w:val="clear" w:color="auto" w:fill="FFFFFF"/>
          <w:lang w:val="en-US"/>
        </w:rPr>
      </w:pPr>
      <w:r w:rsidRPr="0067680B">
        <w:rPr>
          <w:rFonts w:ascii="Times New Roman" w:hAnsi="Times New Roman" w:cs="Times New Roman"/>
          <w:lang w:val="en-US"/>
        </w:rPr>
        <w:t xml:space="preserve">In the second growing year, before </w:t>
      </w:r>
      <w:r w:rsidR="00D554D5" w:rsidRPr="0067680B">
        <w:rPr>
          <w:rFonts w:ascii="Times New Roman" w:hAnsi="Times New Roman" w:cs="Times New Roman"/>
          <w:lang w:val="en-US"/>
        </w:rPr>
        <w:t>lea</w:t>
      </w:r>
      <w:r w:rsidR="003F4824" w:rsidRPr="0067680B">
        <w:rPr>
          <w:rFonts w:ascii="Times New Roman" w:hAnsi="Times New Roman" w:cs="Times New Roman"/>
          <w:lang w:val="en-US"/>
        </w:rPr>
        <w:t>f</w:t>
      </w:r>
      <w:r w:rsidRPr="0067680B">
        <w:rPr>
          <w:rFonts w:ascii="Times New Roman" w:hAnsi="Times New Roman" w:cs="Times New Roman"/>
          <w:lang w:val="en-US"/>
        </w:rPr>
        <w:t xml:space="preserve"> sprout</w:t>
      </w:r>
      <w:r w:rsidR="003F4824" w:rsidRPr="0067680B">
        <w:rPr>
          <w:rFonts w:ascii="Times New Roman" w:hAnsi="Times New Roman" w:cs="Times New Roman"/>
          <w:lang w:val="en-US"/>
        </w:rPr>
        <w:t>ing</w:t>
      </w:r>
      <w:r w:rsidRPr="0067680B">
        <w:rPr>
          <w:rFonts w:ascii="Times New Roman" w:hAnsi="Times New Roman" w:cs="Times New Roman"/>
          <w:lang w:val="en-US"/>
        </w:rPr>
        <w:t xml:space="preserve">, </w:t>
      </w:r>
      <w:r w:rsidR="00F16F08" w:rsidRPr="0067680B">
        <w:rPr>
          <w:rFonts w:ascii="Times New Roman" w:hAnsi="Times New Roman" w:cs="Times New Roman"/>
          <w:lang w:val="en-US"/>
        </w:rPr>
        <w:t>grapevines</w:t>
      </w:r>
      <w:r w:rsidRPr="0067680B">
        <w:rPr>
          <w:rFonts w:ascii="Times New Roman" w:hAnsi="Times New Roman" w:cs="Times New Roman"/>
          <w:lang w:val="en-US"/>
        </w:rPr>
        <w:t xml:space="preserve"> were pruned to leave only one shoot with two buds, and they were transplanted to bigger containers filled with 6,5 </w:t>
      </w:r>
      <w:r w:rsidR="009F326E" w:rsidRPr="0067680B">
        <w:rPr>
          <w:rFonts w:ascii="Times New Roman" w:hAnsi="Times New Roman" w:cs="Times New Roman"/>
          <w:lang w:val="en-US"/>
        </w:rPr>
        <w:t>k</w:t>
      </w:r>
      <w:r w:rsidRPr="0067680B">
        <w:rPr>
          <w:rFonts w:ascii="Times New Roman" w:hAnsi="Times New Roman" w:cs="Times New Roman"/>
          <w:lang w:val="en-US"/>
        </w:rPr>
        <w:t xml:space="preserve">g of </w:t>
      </w:r>
      <w:r w:rsidR="003F4824" w:rsidRPr="0067680B">
        <w:rPr>
          <w:rFonts w:ascii="Times New Roman" w:hAnsi="Times New Roman" w:cs="Times New Roman"/>
          <w:lang w:val="en-US"/>
        </w:rPr>
        <w:t xml:space="preserve">the </w:t>
      </w:r>
      <w:r w:rsidR="00081982">
        <w:rPr>
          <w:rFonts w:ascii="Times New Roman" w:hAnsi="Times New Roman" w:cs="Times New Roman"/>
          <w:lang w:val="en-US"/>
        </w:rPr>
        <w:t>Arenosol</w:t>
      </w:r>
      <w:r w:rsidR="001B29F4" w:rsidRPr="0067680B">
        <w:rPr>
          <w:rFonts w:ascii="Times New Roman" w:hAnsi="Times New Roman" w:cs="Times New Roman"/>
          <w:lang w:val="en-US"/>
        </w:rPr>
        <w:t>.</w:t>
      </w:r>
      <w:r w:rsidRPr="0067680B">
        <w:rPr>
          <w:rFonts w:ascii="Times New Roman" w:hAnsi="Times New Roman" w:cs="Times New Roman"/>
          <w:lang w:val="en-US"/>
        </w:rPr>
        <w:t xml:space="preserve"> </w:t>
      </w:r>
      <w:r w:rsidR="001B29F4" w:rsidRPr="0067680B">
        <w:rPr>
          <w:rFonts w:ascii="Times New Roman" w:hAnsi="Times New Roman" w:cs="Times New Roman"/>
          <w:lang w:val="en-US"/>
        </w:rPr>
        <w:t xml:space="preserve">Three months later, in June, three plants per inoculation treatment were </w:t>
      </w:r>
      <w:r w:rsidR="001B29F4" w:rsidRPr="0067680B">
        <w:rPr>
          <w:rStyle w:val="apple-converted-space"/>
          <w:rFonts w:ascii="Times New Roman" w:hAnsi="Times New Roman" w:cs="Times New Roman"/>
          <w:iCs/>
          <w:shd w:val="clear" w:color="auto" w:fill="FFFFFF"/>
          <w:lang w:val="en-US"/>
        </w:rPr>
        <w:t xml:space="preserve">watered with a </w:t>
      </w:r>
      <w:r w:rsidR="001B29F4" w:rsidRPr="0067680B">
        <w:rPr>
          <w:rFonts w:ascii="Times New Roman" w:eastAsia="OpenSans" w:hAnsi="Times New Roman" w:cs="Times New Roman"/>
          <w:lang w:val="en-US"/>
        </w:rPr>
        <w:t>CuSO</w:t>
      </w:r>
      <w:r w:rsidR="001B29F4" w:rsidRPr="0067680B">
        <w:rPr>
          <w:rFonts w:ascii="Times New Roman" w:eastAsia="OpenSans" w:hAnsi="Times New Roman" w:cs="Times New Roman"/>
          <w:vertAlign w:val="subscript"/>
          <w:lang w:val="en-US"/>
        </w:rPr>
        <w:t xml:space="preserve">4 </w:t>
      </w:r>
      <w:r w:rsidR="001B29F4" w:rsidRPr="0067680B">
        <w:rPr>
          <w:rStyle w:val="apple-converted-space"/>
          <w:rFonts w:ascii="Times New Roman" w:hAnsi="Times New Roman" w:cs="Times New Roman"/>
          <w:iCs/>
          <w:shd w:val="clear" w:color="auto" w:fill="FFFFFF"/>
          <w:lang w:val="en-US"/>
        </w:rPr>
        <w:t>solution (</w:t>
      </w:r>
      <w:r w:rsidR="009C6260" w:rsidRPr="0067680B">
        <w:rPr>
          <w:rFonts w:ascii="Times New Roman" w:eastAsia="OpenSans" w:hAnsi="Times New Roman" w:cs="Times New Roman"/>
          <w:lang w:val="en-US"/>
        </w:rPr>
        <w:t>2</w:t>
      </w:r>
      <w:r w:rsidR="002B3C71" w:rsidRPr="0067680B">
        <w:rPr>
          <w:rFonts w:ascii="Times New Roman" w:eastAsia="OpenSans" w:hAnsi="Times New Roman" w:cs="Times New Roman"/>
          <w:lang w:val="en-US"/>
        </w:rPr>
        <w:t xml:space="preserve"> g </w:t>
      </w:r>
      <w:r w:rsidR="009C6260" w:rsidRPr="0067680B">
        <w:rPr>
          <w:rFonts w:ascii="Times New Roman" w:eastAsia="OpenSans" w:hAnsi="Times New Roman" w:cs="Times New Roman"/>
          <w:lang w:val="en-US"/>
        </w:rPr>
        <w:t xml:space="preserve">of Cu </w:t>
      </w:r>
      <w:r w:rsidR="002B3C71" w:rsidRPr="0067680B">
        <w:rPr>
          <w:rFonts w:ascii="Times New Roman" w:eastAsia="OpenSans" w:hAnsi="Times New Roman" w:cs="Times New Roman"/>
          <w:lang w:val="en-US"/>
        </w:rPr>
        <w:t>per plant</w:t>
      </w:r>
      <w:r w:rsidR="001B29F4" w:rsidRPr="0067680B">
        <w:rPr>
          <w:rFonts w:ascii="Times New Roman" w:eastAsia="OpenSans" w:hAnsi="Times New Roman" w:cs="Times New Roman"/>
          <w:lang w:val="en-US"/>
        </w:rPr>
        <w:t>)</w:t>
      </w:r>
      <w:r w:rsidR="001B29F4" w:rsidRPr="0067680B">
        <w:rPr>
          <w:rStyle w:val="apple-converted-space"/>
          <w:rFonts w:ascii="Times New Roman" w:hAnsi="Times New Roman" w:cs="Times New Roman"/>
          <w:iCs/>
          <w:shd w:val="clear" w:color="auto" w:fill="FFFFFF"/>
          <w:lang w:val="en-US"/>
        </w:rPr>
        <w:t xml:space="preserve">, four plants with a solution containing </w:t>
      </w:r>
      <w:r w:rsidR="001B29F4" w:rsidRPr="0067680B">
        <w:rPr>
          <w:rFonts w:ascii="Times New Roman" w:eastAsia="OpenSans" w:hAnsi="Times New Roman" w:cs="Times New Roman"/>
          <w:lang w:val="en-US"/>
        </w:rPr>
        <w:t>CuSO</w:t>
      </w:r>
      <w:r w:rsidR="001B29F4" w:rsidRPr="0067680B">
        <w:rPr>
          <w:rFonts w:ascii="Times New Roman" w:eastAsia="OpenSans" w:hAnsi="Times New Roman" w:cs="Times New Roman"/>
          <w:vertAlign w:val="subscript"/>
          <w:lang w:val="en-US"/>
        </w:rPr>
        <w:t>4</w:t>
      </w:r>
      <w:r w:rsidR="001B29F4" w:rsidRPr="0067680B">
        <w:rPr>
          <w:rStyle w:val="apple-converted-space"/>
          <w:rFonts w:ascii="Times New Roman" w:hAnsi="Times New Roman" w:cs="Times New Roman"/>
          <w:iCs/>
          <w:shd w:val="clear" w:color="auto" w:fill="FFFFFF"/>
          <w:lang w:val="en-US"/>
        </w:rPr>
        <w:t xml:space="preserve"> and FeNaEDTA (</w:t>
      </w:r>
      <w:r w:rsidR="001B29F4" w:rsidRPr="0067680B">
        <w:rPr>
          <w:rFonts w:ascii="Times New Roman" w:eastAsia="OpenSans" w:hAnsi="Times New Roman" w:cs="Times New Roman"/>
          <w:lang w:val="en-US"/>
        </w:rPr>
        <w:t>same amount of CuSO</w:t>
      </w:r>
      <w:r w:rsidR="001B29F4" w:rsidRPr="0067680B">
        <w:rPr>
          <w:rFonts w:ascii="Times New Roman" w:eastAsia="OpenSans" w:hAnsi="Times New Roman" w:cs="Times New Roman"/>
          <w:vertAlign w:val="subscript"/>
          <w:lang w:val="en-US"/>
        </w:rPr>
        <w:t>4</w:t>
      </w:r>
      <w:r w:rsidR="001B29F4" w:rsidRPr="0067680B">
        <w:rPr>
          <w:rFonts w:ascii="Times New Roman" w:eastAsia="OpenSans" w:hAnsi="Times New Roman" w:cs="Times New Roman"/>
          <w:lang w:val="en-US"/>
        </w:rPr>
        <w:t xml:space="preserve"> plus 0.</w:t>
      </w:r>
      <w:r w:rsidR="009C6260" w:rsidRPr="0067680B">
        <w:rPr>
          <w:rFonts w:ascii="Times New Roman" w:eastAsia="OpenSans" w:hAnsi="Times New Roman" w:cs="Times New Roman"/>
          <w:lang w:val="en-US"/>
        </w:rPr>
        <w:t>5</w:t>
      </w:r>
      <w:r w:rsidR="001B29F4" w:rsidRPr="0067680B">
        <w:rPr>
          <w:rFonts w:ascii="Times New Roman" w:eastAsia="OpenSans" w:hAnsi="Times New Roman" w:cs="Times New Roman"/>
          <w:lang w:val="en-US"/>
        </w:rPr>
        <w:t xml:space="preserve"> </w:t>
      </w:r>
      <w:r w:rsidR="009C6260" w:rsidRPr="0067680B">
        <w:rPr>
          <w:rFonts w:ascii="Times New Roman" w:eastAsia="OpenSans" w:hAnsi="Times New Roman" w:cs="Times New Roman"/>
          <w:lang w:val="en-US"/>
        </w:rPr>
        <w:t>g</w:t>
      </w:r>
      <w:r w:rsidR="00F140C2" w:rsidRPr="0067680B">
        <w:rPr>
          <w:rFonts w:ascii="Times New Roman" w:eastAsia="OpenSans" w:hAnsi="Times New Roman" w:cs="Times New Roman"/>
          <w:lang w:val="en-US"/>
        </w:rPr>
        <w:t xml:space="preserve"> </w:t>
      </w:r>
      <w:r w:rsidR="001B29F4" w:rsidRPr="0067680B">
        <w:rPr>
          <w:rFonts w:ascii="Times New Roman" w:eastAsia="OpenSans" w:hAnsi="Times New Roman" w:cs="Times New Roman"/>
          <w:lang w:val="en-US"/>
        </w:rPr>
        <w:t>of FeNaEDTA)</w:t>
      </w:r>
      <w:r w:rsidR="001B29F4" w:rsidRPr="0067680B">
        <w:rPr>
          <w:rStyle w:val="apple-converted-space"/>
          <w:rFonts w:ascii="Times New Roman" w:hAnsi="Times New Roman" w:cs="Times New Roman"/>
          <w:iCs/>
          <w:shd w:val="clear" w:color="auto" w:fill="FFFFFF"/>
          <w:lang w:val="en-US"/>
        </w:rPr>
        <w:t xml:space="preserve">, and another three were watered with deionized water. </w:t>
      </w:r>
      <w:r w:rsidR="00146E05">
        <w:rPr>
          <w:rStyle w:val="apple-converted-space"/>
          <w:rFonts w:ascii="Times New Roman" w:hAnsi="Times New Roman" w:cs="Times New Roman"/>
          <w:iCs/>
          <w:shd w:val="clear" w:color="auto" w:fill="FFFFFF"/>
          <w:lang w:val="en-US"/>
        </w:rPr>
        <w:t>Therefore, t</w:t>
      </w:r>
      <w:r w:rsidR="00146E05">
        <w:rPr>
          <w:rFonts w:ascii="Times New Roman" w:hAnsi="Times New Roman" w:cs="Times New Roman"/>
          <w:lang w:val="en-US"/>
        </w:rPr>
        <w:t xml:space="preserve">he experiment had a </w:t>
      </w:r>
      <w:r w:rsidR="00146E05" w:rsidRPr="00513E94">
        <w:rPr>
          <w:rFonts w:ascii="Times New Roman" w:hAnsi="Times New Roman" w:cs="Times New Roman"/>
          <w:lang w:val="en-US"/>
        </w:rPr>
        <w:t xml:space="preserve">3 × 2 design, with two factors </w:t>
      </w:r>
      <w:r w:rsidR="0012691D">
        <w:rPr>
          <w:rFonts w:ascii="Times New Roman" w:hAnsi="Times New Roman" w:cs="Times New Roman"/>
          <w:lang w:val="en-US"/>
        </w:rPr>
        <w:t>(m</w:t>
      </w:r>
      <w:r w:rsidR="00146E05" w:rsidRPr="00513E94">
        <w:rPr>
          <w:rFonts w:ascii="Times New Roman" w:hAnsi="Times New Roman" w:cs="Times New Roman"/>
          <w:lang w:val="en-US"/>
        </w:rPr>
        <w:t xml:space="preserve">ycorrhizal inoculation and </w:t>
      </w:r>
      <w:r w:rsidR="0012691D">
        <w:rPr>
          <w:rFonts w:ascii="Times New Roman" w:hAnsi="Times New Roman" w:cs="Times New Roman"/>
          <w:lang w:val="en-US"/>
        </w:rPr>
        <w:t>s</w:t>
      </w:r>
      <w:r w:rsidR="00146E05" w:rsidRPr="00513E94">
        <w:rPr>
          <w:rFonts w:ascii="Times New Roman" w:hAnsi="Times New Roman" w:cs="Times New Roman"/>
          <w:lang w:val="en-US"/>
        </w:rPr>
        <w:t>oil treatment</w:t>
      </w:r>
      <w:r w:rsidR="0012691D">
        <w:rPr>
          <w:rFonts w:ascii="Times New Roman" w:hAnsi="Times New Roman" w:cs="Times New Roman"/>
          <w:lang w:val="en-US"/>
        </w:rPr>
        <w:t>)</w:t>
      </w:r>
      <w:r w:rsidR="00146E05" w:rsidRPr="00513E94">
        <w:rPr>
          <w:rFonts w:ascii="Times New Roman" w:hAnsi="Times New Roman" w:cs="Times New Roman"/>
          <w:lang w:val="en-US"/>
        </w:rPr>
        <w:t xml:space="preserve">, each of them with three levels (non-inoculated, inoculated with </w:t>
      </w:r>
      <w:r w:rsidR="00146E05" w:rsidRPr="00E1694E">
        <w:rPr>
          <w:rFonts w:ascii="Times New Roman" w:hAnsi="Times New Roman" w:cs="Times New Roman"/>
          <w:i/>
          <w:iCs/>
          <w:lang w:val="en-US"/>
        </w:rPr>
        <w:t>R</w:t>
      </w:r>
      <w:r w:rsidR="0012691D" w:rsidRPr="00E1694E">
        <w:rPr>
          <w:rFonts w:ascii="Times New Roman" w:hAnsi="Times New Roman" w:cs="Times New Roman"/>
          <w:i/>
          <w:iCs/>
          <w:lang w:val="en-US"/>
        </w:rPr>
        <w:t xml:space="preserve">. </w:t>
      </w:r>
      <w:r w:rsidR="00146E05" w:rsidRPr="00E1694E">
        <w:rPr>
          <w:rFonts w:ascii="Times New Roman" w:hAnsi="Times New Roman" w:cs="Times New Roman"/>
          <w:i/>
          <w:iCs/>
          <w:lang w:val="en-US"/>
        </w:rPr>
        <w:t>i</w:t>
      </w:r>
      <w:r w:rsidR="0012691D" w:rsidRPr="00E1694E">
        <w:rPr>
          <w:rFonts w:ascii="Times New Roman" w:hAnsi="Times New Roman" w:cs="Times New Roman"/>
          <w:i/>
          <w:iCs/>
          <w:lang w:val="en-US"/>
        </w:rPr>
        <w:t>rregularis</w:t>
      </w:r>
      <w:r w:rsidR="00146E05" w:rsidRPr="00513E94">
        <w:rPr>
          <w:rFonts w:ascii="Times New Roman" w:hAnsi="Times New Roman" w:cs="Times New Roman"/>
          <w:lang w:val="en-US"/>
        </w:rPr>
        <w:t xml:space="preserve"> and inoculated with </w:t>
      </w:r>
      <w:r w:rsidR="00146E05" w:rsidRPr="00E1694E">
        <w:rPr>
          <w:rFonts w:ascii="Times New Roman" w:hAnsi="Times New Roman" w:cs="Times New Roman"/>
          <w:i/>
          <w:iCs/>
          <w:lang w:val="en-US"/>
        </w:rPr>
        <w:t>F</w:t>
      </w:r>
      <w:r w:rsidR="0012691D" w:rsidRPr="00E1694E">
        <w:rPr>
          <w:rFonts w:ascii="Times New Roman" w:hAnsi="Times New Roman" w:cs="Times New Roman"/>
          <w:i/>
          <w:iCs/>
          <w:lang w:val="en-US"/>
        </w:rPr>
        <w:t xml:space="preserve">. </w:t>
      </w:r>
      <w:r w:rsidR="00146E05" w:rsidRPr="00E1694E">
        <w:rPr>
          <w:rFonts w:ascii="Times New Roman" w:hAnsi="Times New Roman" w:cs="Times New Roman"/>
          <w:i/>
          <w:iCs/>
          <w:lang w:val="en-US"/>
        </w:rPr>
        <w:t>m</w:t>
      </w:r>
      <w:r w:rsidR="0012691D" w:rsidRPr="00E1694E">
        <w:rPr>
          <w:rFonts w:ascii="Times New Roman" w:hAnsi="Times New Roman" w:cs="Times New Roman"/>
          <w:i/>
          <w:iCs/>
          <w:lang w:val="en-US"/>
        </w:rPr>
        <w:t>osseae</w:t>
      </w:r>
      <w:r w:rsidR="00146E05" w:rsidRPr="00513E94">
        <w:rPr>
          <w:rFonts w:ascii="Times New Roman" w:hAnsi="Times New Roman" w:cs="Times New Roman"/>
          <w:lang w:val="en-US"/>
        </w:rPr>
        <w:t xml:space="preserve"> in the first case, and </w:t>
      </w:r>
      <w:r w:rsidR="00B46694">
        <w:rPr>
          <w:rFonts w:ascii="Times New Roman" w:hAnsi="Times New Roman" w:cs="Times New Roman"/>
          <w:lang w:val="en-US"/>
        </w:rPr>
        <w:t xml:space="preserve">with </w:t>
      </w:r>
      <w:r w:rsidR="0083298F">
        <w:rPr>
          <w:rFonts w:ascii="Times New Roman" w:hAnsi="Times New Roman" w:cs="Times New Roman"/>
          <w:lang w:val="en-US"/>
        </w:rPr>
        <w:t>control</w:t>
      </w:r>
      <w:r w:rsidR="001C36F0">
        <w:rPr>
          <w:rFonts w:ascii="Times New Roman" w:hAnsi="Times New Roman" w:cs="Times New Roman"/>
          <w:lang w:val="en-US"/>
        </w:rPr>
        <w:t xml:space="preserve"> soil</w:t>
      </w:r>
      <w:r w:rsidR="00146E05" w:rsidRPr="00513E94">
        <w:rPr>
          <w:rFonts w:ascii="Times New Roman" w:hAnsi="Times New Roman" w:cs="Times New Roman"/>
          <w:lang w:val="en-US"/>
        </w:rPr>
        <w:t>, Cu-addition and Cu and Fe addition</w:t>
      </w:r>
      <w:r w:rsidR="00B46694">
        <w:rPr>
          <w:rFonts w:ascii="Times New Roman" w:hAnsi="Times New Roman" w:cs="Times New Roman"/>
          <w:lang w:val="en-US"/>
        </w:rPr>
        <w:t xml:space="preserve"> in the second case</w:t>
      </w:r>
      <w:r w:rsidR="00146E05" w:rsidRPr="00513E94">
        <w:rPr>
          <w:rFonts w:ascii="Times New Roman" w:hAnsi="Times New Roman" w:cs="Times New Roman"/>
          <w:lang w:val="en-US"/>
        </w:rPr>
        <w:t>).</w:t>
      </w:r>
    </w:p>
    <w:p w14:paraId="15A3B658" w14:textId="30C066B1" w:rsidR="00FA0ED5" w:rsidRPr="0067680B" w:rsidRDefault="00561B11" w:rsidP="00CB249E">
      <w:pPr>
        <w:spacing w:after="0" w:line="480" w:lineRule="auto"/>
        <w:jc w:val="both"/>
        <w:rPr>
          <w:rFonts w:ascii="Times New Roman" w:hAnsi="Times New Roman" w:cs="Times New Roman"/>
          <w:lang w:val="en-US"/>
        </w:rPr>
      </w:pPr>
      <w:r w:rsidRPr="0067680B">
        <w:rPr>
          <w:rStyle w:val="apple-converted-space"/>
          <w:rFonts w:ascii="Times New Roman" w:hAnsi="Times New Roman" w:cs="Times New Roman"/>
          <w:iCs/>
          <w:shd w:val="clear" w:color="auto" w:fill="FFFFFF"/>
          <w:lang w:val="en-US"/>
        </w:rPr>
        <w:t>Plant</w:t>
      </w:r>
      <w:r w:rsidR="00C6435E">
        <w:rPr>
          <w:rStyle w:val="apple-converted-space"/>
          <w:rFonts w:ascii="Times New Roman" w:hAnsi="Times New Roman" w:cs="Times New Roman"/>
          <w:iCs/>
          <w:shd w:val="clear" w:color="auto" w:fill="FFFFFF"/>
          <w:lang w:val="en-US"/>
        </w:rPr>
        <w:t>s</w:t>
      </w:r>
      <w:r w:rsidRPr="0067680B">
        <w:rPr>
          <w:rStyle w:val="apple-converted-space"/>
          <w:rFonts w:ascii="Times New Roman" w:hAnsi="Times New Roman" w:cs="Times New Roman"/>
          <w:iCs/>
          <w:shd w:val="clear" w:color="auto" w:fill="FFFFFF"/>
          <w:lang w:val="en-US"/>
        </w:rPr>
        <w:t xml:space="preserve"> grew in </w:t>
      </w:r>
      <w:r w:rsidRPr="0067680B">
        <w:rPr>
          <w:rFonts w:ascii="Times New Roman" w:hAnsi="Times New Roman" w:cs="Times New Roman"/>
          <w:lang w:val="en-US"/>
        </w:rPr>
        <w:t xml:space="preserve">open air conditions for four additional months, until the end of the growing season in October. </w:t>
      </w:r>
      <w:r w:rsidR="00F16F08" w:rsidRPr="0067680B">
        <w:rPr>
          <w:rFonts w:ascii="Times New Roman" w:hAnsi="Times New Roman" w:cs="Times New Roman"/>
          <w:lang w:val="en-US"/>
        </w:rPr>
        <w:t>Plant</w:t>
      </w:r>
      <w:r w:rsidR="00FA0ED5" w:rsidRPr="0067680B">
        <w:rPr>
          <w:rFonts w:ascii="Times New Roman" w:hAnsi="Times New Roman" w:cs="Times New Roman"/>
          <w:lang w:val="en-US"/>
        </w:rPr>
        <w:t>s were watered with equal amounts of water</w:t>
      </w:r>
      <w:r w:rsidR="00ED55F0">
        <w:rPr>
          <w:rFonts w:ascii="Times New Roman" w:hAnsi="Times New Roman" w:cs="Times New Roman"/>
          <w:lang w:val="en-US"/>
        </w:rPr>
        <w:t>,</w:t>
      </w:r>
      <w:r w:rsidR="00FA0ED5" w:rsidRPr="0067680B">
        <w:rPr>
          <w:rFonts w:ascii="Times New Roman" w:hAnsi="Times New Roman" w:cs="Times New Roman"/>
          <w:lang w:val="en-US"/>
        </w:rPr>
        <w:t xml:space="preserve"> </w:t>
      </w:r>
      <w:r w:rsidR="00F16F08" w:rsidRPr="0067680B">
        <w:rPr>
          <w:rFonts w:ascii="Times New Roman" w:hAnsi="Times New Roman" w:cs="Times New Roman"/>
          <w:lang w:val="en-US"/>
        </w:rPr>
        <w:t xml:space="preserve">and </w:t>
      </w:r>
      <w:r w:rsidR="00FA0ED5" w:rsidRPr="0067680B">
        <w:rPr>
          <w:rFonts w:ascii="Times New Roman" w:hAnsi="Times New Roman" w:cs="Times New Roman"/>
          <w:lang w:val="en-US"/>
        </w:rPr>
        <w:t>in spring</w:t>
      </w:r>
      <w:r w:rsidR="00C6435E">
        <w:rPr>
          <w:rFonts w:ascii="Times New Roman" w:hAnsi="Times New Roman" w:cs="Times New Roman"/>
          <w:lang w:val="en-US"/>
        </w:rPr>
        <w:t xml:space="preserve">, </w:t>
      </w:r>
      <w:r w:rsidR="00FA0ED5" w:rsidRPr="0067680B">
        <w:rPr>
          <w:rFonts w:ascii="Times New Roman" w:hAnsi="Times New Roman" w:cs="Times New Roman"/>
          <w:lang w:val="en-US"/>
        </w:rPr>
        <w:t>500 mg of N and K, and 50 mg o</w:t>
      </w:r>
      <w:r w:rsidR="00C6435E">
        <w:rPr>
          <w:rFonts w:ascii="Times New Roman" w:hAnsi="Times New Roman" w:cs="Times New Roman"/>
          <w:lang w:val="en-US"/>
        </w:rPr>
        <w:t>f</w:t>
      </w:r>
      <w:r w:rsidR="00FA0ED5" w:rsidRPr="0067680B">
        <w:rPr>
          <w:rFonts w:ascii="Times New Roman" w:hAnsi="Times New Roman" w:cs="Times New Roman"/>
          <w:lang w:val="en-US"/>
        </w:rPr>
        <w:t xml:space="preserve"> P were applied to each pot.</w:t>
      </w:r>
    </w:p>
    <w:p w14:paraId="5C1D4A8A" w14:textId="6EE5A5B9" w:rsidR="00A461D0" w:rsidRPr="0067680B" w:rsidRDefault="00231419" w:rsidP="00CB249E">
      <w:pPr>
        <w:spacing w:after="0" w:line="480" w:lineRule="auto"/>
        <w:jc w:val="both"/>
        <w:rPr>
          <w:rFonts w:ascii="Times New Roman" w:hAnsi="Times New Roman" w:cs="Times New Roman"/>
          <w:lang w:val="en-US"/>
        </w:rPr>
      </w:pPr>
      <w:r w:rsidRPr="0067680B">
        <w:rPr>
          <w:rFonts w:ascii="Times New Roman" w:hAnsi="Times New Roman" w:cs="Times New Roman"/>
          <w:lang w:val="en-US"/>
        </w:rPr>
        <w:t xml:space="preserve">By the end of the growing season, </w:t>
      </w:r>
      <w:r w:rsidR="00DE204C" w:rsidRPr="0067680B">
        <w:rPr>
          <w:rFonts w:ascii="Times New Roman" w:hAnsi="Times New Roman" w:cs="Times New Roman"/>
          <w:lang w:val="en-US"/>
        </w:rPr>
        <w:t xml:space="preserve">root dry weight, </w:t>
      </w:r>
      <w:r w:rsidR="00F42812">
        <w:rPr>
          <w:rFonts w:ascii="Times New Roman" w:hAnsi="Times New Roman" w:cs="Times New Roman"/>
          <w:lang w:val="en-US"/>
        </w:rPr>
        <w:t xml:space="preserve">green </w:t>
      </w:r>
      <w:r w:rsidR="00DE204C" w:rsidRPr="0067680B">
        <w:rPr>
          <w:rFonts w:ascii="Times New Roman" w:hAnsi="Times New Roman" w:cs="Times New Roman"/>
          <w:lang w:val="en-US"/>
        </w:rPr>
        <w:t xml:space="preserve">shoot length and normalized difference vegetation index (NDVI), which </w:t>
      </w:r>
      <w:r w:rsidR="00DE204C" w:rsidRPr="0067680B">
        <w:rPr>
          <w:rFonts w:ascii="Times New Roman" w:hAnsi="Times New Roman" w:cs="Times New Roman"/>
          <w:bCs/>
          <w:lang w:val="en-US"/>
        </w:rPr>
        <w:t xml:space="preserve">provides an </w:t>
      </w:r>
      <w:r w:rsidR="00DE204C" w:rsidRPr="0067680B">
        <w:rPr>
          <w:rFonts w:ascii="Times New Roman" w:hAnsi="Times New Roman" w:cs="Times New Roman"/>
          <w:lang w:val="en-US"/>
        </w:rPr>
        <w:t>indirect estimation of plant vigor</w:t>
      </w:r>
      <w:r w:rsidR="00F16F08" w:rsidRPr="0067680B">
        <w:rPr>
          <w:rFonts w:ascii="Times New Roman" w:hAnsi="Times New Roman" w:cs="Times New Roman"/>
          <w:lang w:val="en-US"/>
        </w:rPr>
        <w:t xml:space="preserve"> and</w:t>
      </w:r>
      <w:r w:rsidR="00DE204C" w:rsidRPr="0067680B">
        <w:rPr>
          <w:rFonts w:ascii="Times New Roman" w:hAnsi="Times New Roman" w:cs="Times New Roman"/>
          <w:lang w:val="en-US"/>
        </w:rPr>
        <w:t xml:space="preserve"> chlorophyll content</w:t>
      </w:r>
      <w:r w:rsidR="00F16F08" w:rsidRPr="0067680B">
        <w:rPr>
          <w:rFonts w:ascii="Times New Roman" w:hAnsi="Times New Roman" w:cs="Times New Roman"/>
          <w:lang w:val="en-US"/>
        </w:rPr>
        <w:t xml:space="preserve"> </w:t>
      </w:r>
      <w:r w:rsidR="00DE204C" w:rsidRPr="0067680B">
        <w:rPr>
          <w:rFonts w:ascii="Times New Roman" w:hAnsi="Times New Roman" w:cs="Times New Roman"/>
          <w:lang w:val="en-US"/>
        </w:rPr>
        <w:fldChar w:fldCharType="begin" w:fldLock="1"/>
      </w:r>
      <w:r w:rsidR="002C7ADD">
        <w:rPr>
          <w:rFonts w:ascii="Times New Roman" w:hAnsi="Times New Roman" w:cs="Times New Roman"/>
          <w:lang w:val="en-US"/>
        </w:rPr>
        <w:instrText>ADDIN CSL_CITATION {"citationItems":[{"id":"ITEM-1","itemData":{"DOI":"10.1080/01904169809365478","ISSN":"01904167","abstract":"Nitrogen (N) and phosphorus (P) are major limiting nutrient elements for crop production and continued interest lies in improving their use efficiency. Spectral radiance measurements were evaluated to identify optimum wavelengths for dual detection of N and P status in winter wheat (Triticum aestivum L.). A factorial treatment arrangement of N and P (0, 56, 112, and 168 kg N ha-1 and 0, 14.5, and 29 kg P ha-1) was used to further study N and P uptake and associated spectral properties at Perkins and Tipton, Oklahoma. A wide range of spectral radiance measurements (345-1,145 nm) were obtained from each plot using a PSD1000 Ocean Optics fiber optic spectrometer. At each reading date, 78 bands and 44 combination indices were generated to test for correlation with forage biomass and N and P uptake. Additional spectral radiance readings were collected using an integrated sensor which has photodiode detectors and interference filters for red and NIR. For this study, simple numerator/denominator indices were useful in predicting biomass, and N uptake and P uptake. Numerator wavelengths that ranged between 705 and 735 nm and denominator wavelengths between 505 and 545 nm provided reliable prediction of forage biomass, and N and P uptake over locations and Feekes growth stages 4 through 6. Using the photodiode sensor, NDVI [(NIR-red)/(NIR+red)] and NR [(NIR/red)], were also good indices to predict biomass, and N and P uptake. However, no index was found to be good for detecting solely N and P concentration either using the spectrometer or photodiode sensor.","author":[{"dropping-particle":"","family":"Sembiring","given":"H.","non-dropping-particle":"","parse-names":false,"suffix":""},{"dropping-particle":"","family":"Raun","given":"W. R.","non-dropping-particle":"","parse-names":false,"suffix":""},{"dropping-particle":"V.","family":"Johnson","given":"G.","non-dropping-particle":"","parse-names":false,"suffix":""},{"dropping-particle":"","family":"Stone","given":"M. L.","non-dropping-particle":"","parse-names":false,"suffix":""},{"dropping-particle":"","family":"Solie","given":"J. B.","non-dropping-particle":"","parse-names":false,"suffix":""},{"dropping-particle":"","family":"Phillips","given":"S. B.","non-dropping-particle":"","parse-names":false,"suffix":""}],"container-title":"Journal of Plant Nutrition","id":"ITEM-1","issue":"6","issued":{"date-parts":[["1998"]]},"page":"1207-1233","title":"Detection of nitrogen and phosphorus nutrient status in winter wheat using spectral radiance","type":"article-journal","volume":"21"},"uris":["http://www.mendeley.com/documents/?uuid=4571bb44-d33c-4659-b66b-890b02fd5e19"]}],"mendeley":{"formattedCitation":"(Sembiring et al., 1998)","plainTextFormattedCitation":"(Sembiring et al., 1998)","previouslyFormattedCitation":"(Sembiring et al., 1998)"},"properties":{"noteIndex":0},"schema":"https://github.com/citation-style-language/schema/raw/master/csl-citation.json"}</w:instrText>
      </w:r>
      <w:r w:rsidR="00DE204C" w:rsidRPr="0067680B">
        <w:rPr>
          <w:rFonts w:ascii="Times New Roman" w:hAnsi="Times New Roman" w:cs="Times New Roman"/>
          <w:lang w:val="en-US"/>
        </w:rPr>
        <w:fldChar w:fldCharType="separate"/>
      </w:r>
      <w:r w:rsidR="000E79E6" w:rsidRPr="0067680B">
        <w:rPr>
          <w:rFonts w:ascii="Times New Roman" w:hAnsi="Times New Roman" w:cs="Times New Roman"/>
          <w:noProof/>
          <w:lang w:val="en-US"/>
        </w:rPr>
        <w:t>(Sembiring et al., 1998)</w:t>
      </w:r>
      <w:r w:rsidR="00DE204C" w:rsidRPr="0067680B">
        <w:rPr>
          <w:rFonts w:ascii="Times New Roman" w:hAnsi="Times New Roman" w:cs="Times New Roman"/>
          <w:lang w:val="en-US"/>
        </w:rPr>
        <w:fldChar w:fldCharType="end"/>
      </w:r>
      <w:r w:rsidR="00DE204C" w:rsidRPr="0067680B">
        <w:rPr>
          <w:rFonts w:ascii="Times New Roman" w:hAnsi="Times New Roman" w:cs="Times New Roman"/>
          <w:lang w:val="en-US"/>
        </w:rPr>
        <w:t xml:space="preserve">, were measured. </w:t>
      </w:r>
      <w:r w:rsidR="00CB249E" w:rsidRPr="0067680B">
        <w:rPr>
          <w:rFonts w:ascii="Times New Roman" w:hAnsi="Times New Roman" w:cs="Times New Roman"/>
          <w:lang w:val="en-US"/>
        </w:rPr>
        <w:t>R</w:t>
      </w:r>
      <w:r w:rsidRPr="0067680B">
        <w:rPr>
          <w:rFonts w:ascii="Times New Roman" w:hAnsi="Times New Roman" w:cs="Times New Roman"/>
          <w:lang w:val="en-US"/>
        </w:rPr>
        <w:t xml:space="preserve">oot samples were collected for the estimation of mycorrhizal colonization </w:t>
      </w:r>
      <w:r w:rsidR="003F4824" w:rsidRPr="0067680B">
        <w:rPr>
          <w:rFonts w:ascii="Times New Roman" w:hAnsi="Times New Roman" w:cs="Times New Roman"/>
          <w:lang w:val="en-US"/>
        </w:rPr>
        <w:fldChar w:fldCharType="begin" w:fldLock="1"/>
      </w:r>
      <w:r w:rsidR="002C7ADD">
        <w:rPr>
          <w:rFonts w:ascii="Times New Roman" w:hAnsi="Times New Roman" w:cs="Times New Roman"/>
          <w:lang w:val="en-US"/>
        </w:rPr>
        <w:instrText>ADDIN CSL_CITATION {"citationItems":[{"id":"ITEM-1","itemData":{"DOI":"10.1016/S0007-1536(70)80110-3","ISSN":"00071536","author":[{"dropping-particle":"","family":"Phillips","given":"J.M.","non-dropping-particle":"","parse-names":false,"suffix":""},{"dropping-particle":"","family":"Hayman","given":"D.S.","non-dropping-particle":"","parse-names":false,"suffix":""}],"container-title":"Transactions of the British Mycological Society","id":"ITEM-1","issue":"1","issued":{"date-parts":[["1970","8"]]},"page":"158-IN18","title":"Improved procedures for clearing roots and staining parasitic and vesicular-arbuscular mycorrhizal fungi for rapid assessment of infection","type":"article-journal","volume":"55"},"uris":["http://www.mendeley.com/documents/?uuid=bffbe65b-c326-32bd-991b-f19dff2ef0e4"]},{"id":"ITEM-2","itemData":{"DOI":"10.1111/j.1469-8137.1980.tb04556.x","ISSN":"0028646X","author":[{"dropping-particle":"","family":"Giovannetti","given":"M.","non-dropping-particle":"","parse-names":false,"suffix":""},{"dropping-particle":"","family":"Mosse","given":"B.","non-dropping-particle":"","parse-names":false,"suffix":""}],"container-title":"New Phytologist","id":"ITEM-2","issue":"3","issued":{"date-parts":[["1980","3"]]},"page":"489-500","title":"An evaluation of techniques for measuring vesicular arbuscular mycorrhizal infection in roots","type":"article-journal","volume":"84"},"uris":["http://www.mendeley.com/documents/?uuid=07e27a59-6cd9-3218-9530-d664b940605a"]}],"mendeley":{"formattedCitation":"(Giovannetti and Mosse, 1980; Phillips and Hayman, 1970)","plainTextFormattedCitation":"(Giovannetti and Mosse, 1980; Phillips and Hayman, 1970)","previouslyFormattedCitation":"(Giovannetti and Mosse, 1980; Phillips and Hayman, 1970)"},"properties":{"noteIndex":0},"schema":"https://github.com/citation-style-language/schema/raw/master/csl-citation.json"}</w:instrText>
      </w:r>
      <w:r w:rsidR="003F4824" w:rsidRPr="0067680B">
        <w:rPr>
          <w:rFonts w:ascii="Times New Roman" w:hAnsi="Times New Roman" w:cs="Times New Roman"/>
          <w:lang w:val="en-US"/>
        </w:rPr>
        <w:fldChar w:fldCharType="separate"/>
      </w:r>
      <w:r w:rsidR="000E79E6" w:rsidRPr="0067680B">
        <w:rPr>
          <w:rFonts w:ascii="Times New Roman" w:hAnsi="Times New Roman" w:cs="Times New Roman"/>
          <w:noProof/>
          <w:lang w:val="en-US"/>
        </w:rPr>
        <w:t>(Giovannetti and Mosse, 1980; Phillips and Hayman, 1970)</w:t>
      </w:r>
      <w:r w:rsidR="003F4824" w:rsidRPr="0067680B">
        <w:rPr>
          <w:rFonts w:ascii="Times New Roman" w:hAnsi="Times New Roman" w:cs="Times New Roman"/>
          <w:lang w:val="en-US"/>
        </w:rPr>
        <w:fldChar w:fldCharType="end"/>
      </w:r>
      <w:r w:rsidR="00CB249E" w:rsidRPr="0067680B">
        <w:rPr>
          <w:rFonts w:ascii="Times New Roman" w:hAnsi="Times New Roman" w:cs="Times New Roman"/>
          <w:lang w:val="en-US"/>
        </w:rPr>
        <w:t xml:space="preserve">, and root and leaf samples were also </w:t>
      </w:r>
      <w:r w:rsidR="00C6435E">
        <w:rPr>
          <w:rFonts w:ascii="Times New Roman" w:hAnsi="Times New Roman" w:cs="Times New Roman"/>
          <w:lang w:val="en-US"/>
        </w:rPr>
        <w:t>obtained</w:t>
      </w:r>
      <w:r w:rsidR="00C6435E" w:rsidRPr="0067680B">
        <w:rPr>
          <w:rFonts w:ascii="Times New Roman" w:hAnsi="Times New Roman" w:cs="Times New Roman"/>
          <w:lang w:val="en-US"/>
        </w:rPr>
        <w:t xml:space="preserve"> </w:t>
      </w:r>
      <w:r w:rsidR="00CB249E" w:rsidRPr="0067680B">
        <w:rPr>
          <w:rFonts w:ascii="Times New Roman" w:hAnsi="Times New Roman" w:cs="Times New Roman"/>
          <w:lang w:val="en-US"/>
        </w:rPr>
        <w:t>to</w:t>
      </w:r>
      <w:r w:rsidRPr="0067680B">
        <w:rPr>
          <w:rFonts w:ascii="Times New Roman" w:hAnsi="Times New Roman" w:cs="Times New Roman"/>
          <w:lang w:val="en-US"/>
        </w:rPr>
        <w:t xml:space="preserve"> </w:t>
      </w:r>
      <w:r w:rsidR="00F16F08" w:rsidRPr="0067680B">
        <w:rPr>
          <w:rFonts w:ascii="Times New Roman" w:hAnsi="Times New Roman" w:cs="Times New Roman"/>
          <w:lang w:val="en-US"/>
        </w:rPr>
        <w:t xml:space="preserve">perform </w:t>
      </w:r>
      <w:r w:rsidRPr="0067680B">
        <w:rPr>
          <w:rFonts w:ascii="Times New Roman" w:hAnsi="Times New Roman" w:cs="Times New Roman"/>
          <w:lang w:val="en-US"/>
        </w:rPr>
        <w:t>nutrient analyses</w:t>
      </w:r>
      <w:r w:rsidR="00BB5474" w:rsidRPr="0067680B">
        <w:rPr>
          <w:rFonts w:ascii="Times New Roman" w:hAnsi="Times New Roman" w:cs="Times New Roman"/>
          <w:lang w:val="en-US"/>
        </w:rPr>
        <w:t xml:space="preserve">. </w:t>
      </w:r>
      <w:r w:rsidR="00DE204C" w:rsidRPr="0067680B">
        <w:rPr>
          <w:rFonts w:ascii="Times New Roman" w:hAnsi="Times New Roman" w:cs="Times New Roman"/>
          <w:lang w:val="en-US"/>
        </w:rPr>
        <w:t xml:space="preserve">Nitrogen, P, K, Cu, Zn, Mn and Fe were determined in each case </w:t>
      </w:r>
      <w:r w:rsidR="00BB5474" w:rsidRPr="0067680B">
        <w:rPr>
          <w:rFonts w:ascii="Times New Roman" w:hAnsi="Times New Roman" w:cs="Times New Roman"/>
          <w:lang w:val="en-US"/>
        </w:rPr>
        <w:t xml:space="preserve">following the same procedures as in </w:t>
      </w:r>
      <w:r w:rsidR="00BB5474" w:rsidRPr="0067680B">
        <w:rPr>
          <w:rFonts w:ascii="Times New Roman" w:hAnsi="Times New Roman" w:cs="Times New Roman"/>
          <w:lang w:val="en-US"/>
        </w:rPr>
        <w:fldChar w:fldCharType="begin" w:fldLock="1"/>
      </w:r>
      <w:r w:rsidR="002C7ADD">
        <w:rPr>
          <w:rFonts w:ascii="Times New Roman" w:hAnsi="Times New Roman" w:cs="Times New Roman"/>
          <w:lang w:val="en-US"/>
        </w:rPr>
        <w:instrText>ADDIN CSL_CITATION {"citationItems":[{"id":"ITEM-1","itemData":{"DOI":"10.3389/fpls.2018.01906","ISSN":"1664462X","abstract":"Plant inoculation with arbuscular mycorrhizal fungi (AMF) is increasingly employed to enhance productivity and sustainability in agricultural ecosystems. In the present study, the potential benefits of AMF inoculation on young grapevines replanted in pots containing vineyard soil with high Cu concentration were evaluated. For this purpose, one-year-old cv. Touriga Nacional grapevines grafted onto 1103P rootstocks were further inoculated with Rhizoglomus irregulare or Funneliformis mosseae, or left non-inoculated, and maintained in a sterilized substrate under greenhouse conditions for three months. After this time, half of the plants were transplanted to containers filled with an Arenosol from a vineyard which had been artificially contaminated or not with 300 mg kg −1 of Cu. At the end of the growing season, soil nutrient concentration, soil dehydrogenase activity and mycorrhizal colonization rate were analyzed. Grapevine performance was assessed by measuring several vegetative growth and physiological parameters as well as nutrient concentrations in leaves and roots. In the non-contaminated soil, R. irregulare-and F. mosseae-inoculated plants had significantly greater root biomass than the non-inoculated ones. However, the opposite effect was observed in the Cu-contaminated soil, where non-inoculated plants performed better regarding shoot and root development. Concerning nutrient levels, an increase in Cu, Mg and Mn concentrations was observed in the roots of plants growing in the contaminated soil, although only Mn was translocated to leaves. This led to a large increase in leaf Mn concentrations, which was significantly higher in non-inoculated and F. mosseae-inoculated plants than in the R. irregulare-inoculated ones. Copper contamination induced a general decrease in leaf N, P and Fe concentrations as well as chlorosis symptoms. The largest decrease in N and P was observed in F. mosseae-inoculated plants, with 73 and 31.2%, respectively. However, these plants were the ones with the least decrease in Fe concentration (10% vs. almost 30% in the other two inoculation treatments). In conclusion, this study indicates that soil Cu levels can modify the outcome of AMF inoculations in young grapevines, disclosing new AMF-plant associations potentially relevant in vineyards with a tradition of Cu-based fungicide application.","author":[{"dropping-particle":"","family":"Nogales","given":"A.","non-dropping-particle":"","parse-names":false,"suffix":""},{"dropping-particle":"","family":"Santos","given":"E.S.","non-dropping-particle":"","parse-names":false,"suffix":""},{"dropping-particle":"","family":"Abreu","given":"M.M.","non-dropping-particle":"","parse-names":false,"suffix":""},{"dropping-particle":"","family":"Arán","given":"D.","non-dropping-particle":"","parse-names":false,"suffix":""},{"dropping-particle":"","family":"Victorino","given":"G.","non-dropping-particle":"","parse-names":false,"suffix":""},{"dropping-particle":"","family":"Pereira","given":"H.S.","non-dropping-particle":"","parse-names":false,"suffix":""},{"dropping-particle":"","family":"Lopes","given":"C.M.","non-dropping-particle":"","parse-names":false,"suffix":""},{"dropping-particle":"","family":"Viegas","given":"W.","non-dropping-particle":"","parse-names":false,"suffix":""}],"container-title":"Frontiers in Plant Science","id":"ITEM-1","issued":{"date-parts":[["2019"]]},"title":"Mycorrhizal inoculation differentially affects grapevine’s performance in copper contaminated and non-contaminated soils","type":"article-journal","volume":"9"},"uris":["http://www.mendeley.com/documents/?uuid=b38c2b19-5c88-34a0-8087-dc357299736f"]}],"mendeley":{"formattedCitation":"(Nogales et al., 2019)","manualFormatting":"Nogales et al. (2019)","plainTextFormattedCitation":"(Nogales et al., 2019)","previouslyFormattedCitation":"(Nogales et al., 2019)"},"properties":{"noteIndex":0},"schema":"https://github.com/citation-style-language/schema/raw/master/csl-citation.json"}</w:instrText>
      </w:r>
      <w:r w:rsidR="00BB5474" w:rsidRPr="0067680B">
        <w:rPr>
          <w:rFonts w:ascii="Times New Roman" w:hAnsi="Times New Roman" w:cs="Times New Roman"/>
          <w:lang w:val="en-US"/>
        </w:rPr>
        <w:fldChar w:fldCharType="separate"/>
      </w:r>
      <w:r w:rsidR="00365DC4" w:rsidRPr="0067680B">
        <w:rPr>
          <w:rFonts w:ascii="Times New Roman" w:hAnsi="Times New Roman" w:cs="Times New Roman"/>
          <w:noProof/>
          <w:lang w:val="en-US"/>
        </w:rPr>
        <w:t xml:space="preserve">Nogales et al. </w:t>
      </w:r>
      <w:r w:rsidR="00F16F08" w:rsidRPr="0067680B">
        <w:rPr>
          <w:rFonts w:ascii="Times New Roman" w:hAnsi="Times New Roman" w:cs="Times New Roman"/>
          <w:noProof/>
          <w:lang w:val="en-US"/>
        </w:rPr>
        <w:t>(</w:t>
      </w:r>
      <w:r w:rsidR="00365DC4" w:rsidRPr="0067680B">
        <w:rPr>
          <w:rFonts w:ascii="Times New Roman" w:hAnsi="Times New Roman" w:cs="Times New Roman"/>
          <w:noProof/>
          <w:lang w:val="en-US"/>
        </w:rPr>
        <w:t>2019)</w:t>
      </w:r>
      <w:r w:rsidR="00BB5474" w:rsidRPr="0067680B">
        <w:rPr>
          <w:rFonts w:ascii="Times New Roman" w:hAnsi="Times New Roman" w:cs="Times New Roman"/>
          <w:lang w:val="en-US"/>
        </w:rPr>
        <w:fldChar w:fldCharType="end"/>
      </w:r>
      <w:r w:rsidR="00BB5474" w:rsidRPr="0067680B">
        <w:rPr>
          <w:rFonts w:ascii="Times New Roman" w:hAnsi="Times New Roman" w:cs="Times New Roman"/>
          <w:lang w:val="en-US"/>
        </w:rPr>
        <w:t>.</w:t>
      </w:r>
      <w:r w:rsidR="00623710" w:rsidRPr="0067680B">
        <w:rPr>
          <w:rFonts w:ascii="Times New Roman" w:hAnsi="Times New Roman" w:cs="Times New Roman"/>
          <w:lang w:val="en-US"/>
        </w:rPr>
        <w:t xml:space="preserve"> </w:t>
      </w:r>
      <w:r w:rsidR="00A461D0" w:rsidRPr="0067680B">
        <w:rPr>
          <w:rFonts w:ascii="Times New Roman" w:hAnsi="Times New Roman" w:cs="Times New Roman"/>
          <w:lang w:val="en-US"/>
        </w:rPr>
        <w:t xml:space="preserve">Additionally, </w:t>
      </w:r>
      <w:r w:rsidR="00623710" w:rsidRPr="0067680B">
        <w:rPr>
          <w:rFonts w:ascii="Times New Roman" w:hAnsi="Times New Roman" w:cs="Times New Roman"/>
          <w:lang w:val="en-US"/>
        </w:rPr>
        <w:t xml:space="preserve">soil samples were collected from each </w:t>
      </w:r>
      <w:r w:rsidR="003F4824" w:rsidRPr="0067680B">
        <w:rPr>
          <w:rFonts w:ascii="Times New Roman" w:hAnsi="Times New Roman" w:cs="Times New Roman"/>
          <w:lang w:val="en-US"/>
        </w:rPr>
        <w:t>container</w:t>
      </w:r>
      <w:r w:rsidR="00623710" w:rsidRPr="0067680B">
        <w:rPr>
          <w:rFonts w:ascii="Times New Roman" w:hAnsi="Times New Roman" w:cs="Times New Roman"/>
          <w:lang w:val="en-US"/>
        </w:rPr>
        <w:t xml:space="preserve"> to analyze soil extractable concentrations of Cu, Zn, Mn and Fe </w:t>
      </w:r>
      <w:r w:rsidR="003F4824" w:rsidRPr="0067680B">
        <w:rPr>
          <w:rFonts w:ascii="Times New Roman" w:hAnsi="Times New Roman" w:cs="Times New Roman"/>
          <w:lang w:val="en-US"/>
        </w:rPr>
        <w:t xml:space="preserve">by flame atomic absorption spectroscopy </w:t>
      </w:r>
      <w:r w:rsidR="00A461D0" w:rsidRPr="0067680B">
        <w:rPr>
          <w:rFonts w:ascii="Times New Roman" w:hAnsi="Times New Roman" w:cs="Times New Roman"/>
          <w:lang w:val="en-US"/>
        </w:rPr>
        <w:fldChar w:fldCharType="begin" w:fldLock="1"/>
      </w:r>
      <w:r w:rsidR="002C7ADD">
        <w:rPr>
          <w:rFonts w:ascii="Times New Roman" w:hAnsi="Times New Roman" w:cs="Times New Roman"/>
          <w:lang w:val="en-US"/>
        </w:rPr>
        <w:instrText>ADDIN CSL_CITATION {"citationItems":[{"id":"ITEM-1","itemData":{"DOI":"10.2136/sssaj1978.03615995004200030009x","ISSN":"0361-5995","author":[{"dropping-particle":"","family":"Lindsay","given":"W. L.","non-dropping-particle":"","parse-names":false,"suffix":""},{"dropping-particle":"","family":"Norvell","given":"W. A.","non-dropping-particle":"","parse-names":false,"suffix":""}],"container-title":"Soil Science Society of America Journal","id":"ITEM-1","issue":"3","issued":{"date-parts":[["1978"]]},"page":"421","publisher":"Soil Science Society of America","title":"Development of a DTPA soil test for zinc, iron, manganese, and copper","type":"article-journal","volume":"42"},"uris":["http://www.mendeley.com/documents/?uuid=b6ea28d0-562e-3a4b-9d72-0f0b71f9a183"]}],"mendeley":{"formattedCitation":"(Lindsay and Norvell, 1978)","plainTextFormattedCitation":"(Lindsay and Norvell, 1978)","previouslyFormattedCitation":"(Lindsay and Norvell, 1978)"},"properties":{"noteIndex":0},"schema":"https://github.com/citation-style-language/schema/raw/master/csl-citation.json"}</w:instrText>
      </w:r>
      <w:r w:rsidR="00A461D0" w:rsidRPr="0067680B">
        <w:rPr>
          <w:rFonts w:ascii="Times New Roman" w:hAnsi="Times New Roman" w:cs="Times New Roman"/>
          <w:lang w:val="en-US"/>
        </w:rPr>
        <w:fldChar w:fldCharType="separate"/>
      </w:r>
      <w:r w:rsidR="000E79E6" w:rsidRPr="0067680B">
        <w:rPr>
          <w:rFonts w:ascii="Times New Roman" w:hAnsi="Times New Roman" w:cs="Times New Roman"/>
          <w:noProof/>
          <w:lang w:val="en-US"/>
        </w:rPr>
        <w:t>(Lindsay and Norvell, 1978)</w:t>
      </w:r>
      <w:r w:rsidR="00A461D0" w:rsidRPr="0067680B">
        <w:rPr>
          <w:rFonts w:ascii="Times New Roman" w:hAnsi="Times New Roman" w:cs="Times New Roman"/>
          <w:lang w:val="en-US"/>
        </w:rPr>
        <w:fldChar w:fldCharType="end"/>
      </w:r>
      <w:r w:rsidR="00577D8A" w:rsidRPr="0067680B">
        <w:rPr>
          <w:rFonts w:ascii="Times New Roman" w:hAnsi="Times New Roman" w:cs="Times New Roman"/>
          <w:lang w:val="en-US"/>
        </w:rPr>
        <w:t>.</w:t>
      </w:r>
      <w:r w:rsidR="003F4824" w:rsidRPr="0067680B">
        <w:rPr>
          <w:rFonts w:ascii="Times New Roman" w:hAnsi="Times New Roman" w:cs="Times New Roman"/>
          <w:lang w:val="en-US"/>
        </w:rPr>
        <w:t xml:space="preserve"> </w:t>
      </w:r>
    </w:p>
    <w:p w14:paraId="32BBFB14" w14:textId="75D800E4" w:rsidR="008C47C3" w:rsidRPr="0067680B" w:rsidRDefault="00CD2D34" w:rsidP="004566EF">
      <w:pPr>
        <w:spacing w:after="0" w:line="480" w:lineRule="auto"/>
        <w:jc w:val="both"/>
        <w:rPr>
          <w:rFonts w:ascii="Times New Roman" w:hAnsi="Times New Roman" w:cs="Times New Roman"/>
          <w:b/>
          <w:lang w:val="en-US"/>
        </w:rPr>
      </w:pPr>
      <w:r>
        <w:rPr>
          <w:rFonts w:ascii="Times New Roman" w:hAnsi="Times New Roman" w:cs="Times New Roman"/>
          <w:lang w:val="en-US"/>
        </w:rPr>
        <w:lastRenderedPageBreak/>
        <w:t>D</w:t>
      </w:r>
      <w:r w:rsidR="00AD3F04" w:rsidRPr="0067680B">
        <w:rPr>
          <w:rFonts w:ascii="Times New Roman" w:hAnsi="Times New Roman" w:cs="Times New Roman"/>
          <w:lang w:val="en-US"/>
        </w:rPr>
        <w:t xml:space="preserve">ata were analyzed by a </w:t>
      </w:r>
      <w:r w:rsidR="00374B96" w:rsidRPr="0067680B">
        <w:rPr>
          <w:rFonts w:ascii="Times New Roman" w:hAnsi="Times New Roman" w:cs="Times New Roman"/>
          <w:lang w:val="en-US"/>
        </w:rPr>
        <w:t>two</w:t>
      </w:r>
      <w:r w:rsidR="00AD3F04" w:rsidRPr="0067680B">
        <w:rPr>
          <w:rFonts w:ascii="Times New Roman" w:hAnsi="Times New Roman" w:cs="Times New Roman"/>
          <w:lang w:val="en-US"/>
        </w:rPr>
        <w:t>-way ANOVA</w:t>
      </w:r>
      <w:r w:rsidR="00FF11A9">
        <w:rPr>
          <w:rFonts w:ascii="Times New Roman" w:hAnsi="Times New Roman" w:cs="Times New Roman"/>
          <w:lang w:val="en-US"/>
        </w:rPr>
        <w:t xml:space="preserve"> </w:t>
      </w:r>
      <w:r w:rsidR="00AD3F04" w:rsidRPr="0067680B">
        <w:rPr>
          <w:rFonts w:ascii="Times New Roman" w:hAnsi="Times New Roman" w:cs="Times New Roman"/>
          <w:lang w:val="en-US"/>
        </w:rPr>
        <w:t>where Mycorrhizal treatment and Soil treatment were considered as main factors</w:t>
      </w:r>
      <w:r w:rsidR="008D005A">
        <w:rPr>
          <w:rFonts w:ascii="Times New Roman" w:hAnsi="Times New Roman" w:cs="Times New Roman"/>
          <w:lang w:val="en-US"/>
        </w:rPr>
        <w:t>.</w:t>
      </w:r>
      <w:r w:rsidR="00AD3F04" w:rsidRPr="0067680B">
        <w:rPr>
          <w:rFonts w:ascii="Times New Roman" w:hAnsi="Times New Roman" w:cs="Times New Roman"/>
          <w:lang w:val="en-US"/>
        </w:rPr>
        <w:t xml:space="preserve"> </w:t>
      </w:r>
      <w:bookmarkStart w:id="8" w:name="_Hlk73603224"/>
      <w:bookmarkStart w:id="9" w:name="_Hlk74239496"/>
      <w:bookmarkStart w:id="10" w:name="_Hlk74237234"/>
      <w:r w:rsidR="00543861">
        <w:rPr>
          <w:rFonts w:ascii="Times New Roman" w:hAnsi="Times New Roman" w:cs="Times New Roman"/>
          <w:lang w:val="en-US"/>
        </w:rPr>
        <w:t>G</w:t>
      </w:r>
      <w:r w:rsidR="004566EF" w:rsidRPr="004566EF">
        <w:rPr>
          <w:rFonts w:ascii="Times New Roman" w:hAnsi="Times New Roman" w:cs="Times New Roman"/>
          <w:lang w:val="en-US"/>
        </w:rPr>
        <w:t xml:space="preserve">roup means </w:t>
      </w:r>
      <w:r w:rsidR="00543861">
        <w:rPr>
          <w:rFonts w:ascii="Times New Roman" w:hAnsi="Times New Roman" w:cs="Times New Roman"/>
          <w:lang w:val="en-US"/>
        </w:rPr>
        <w:t xml:space="preserve">of all experimental treatments </w:t>
      </w:r>
      <w:r w:rsidR="004566EF" w:rsidRPr="004566EF">
        <w:rPr>
          <w:rFonts w:ascii="Times New Roman" w:hAnsi="Times New Roman" w:cs="Times New Roman"/>
          <w:lang w:val="en-US"/>
        </w:rPr>
        <w:t xml:space="preserve">were compared by Duncan’s </w:t>
      </w:r>
      <w:r w:rsidR="00543861">
        <w:rPr>
          <w:rFonts w:ascii="Times New Roman" w:hAnsi="Times New Roman" w:cs="Times New Roman"/>
          <w:i/>
          <w:iCs/>
          <w:lang w:val="en-US"/>
        </w:rPr>
        <w:t xml:space="preserve"> post hoc</w:t>
      </w:r>
      <w:r w:rsidR="004566EF">
        <w:rPr>
          <w:rFonts w:ascii="Times New Roman" w:hAnsi="Times New Roman" w:cs="Times New Roman"/>
          <w:lang w:val="en-US"/>
        </w:rPr>
        <w:t xml:space="preserve"> </w:t>
      </w:r>
      <w:r w:rsidR="004566EF" w:rsidRPr="004566EF">
        <w:rPr>
          <w:rFonts w:ascii="Times New Roman" w:hAnsi="Times New Roman" w:cs="Times New Roman"/>
          <w:lang w:val="en-US"/>
        </w:rPr>
        <w:t>test</w:t>
      </w:r>
      <w:r w:rsidR="00C6435E">
        <w:rPr>
          <w:rFonts w:ascii="Times New Roman" w:hAnsi="Times New Roman" w:cs="Times New Roman"/>
          <w:lang w:val="en-US"/>
        </w:rPr>
        <w:t>s</w:t>
      </w:r>
      <w:bookmarkEnd w:id="8"/>
      <w:bookmarkEnd w:id="9"/>
      <w:bookmarkEnd w:id="10"/>
      <w:r w:rsidR="00577D8A" w:rsidRPr="0067680B">
        <w:rPr>
          <w:rFonts w:ascii="Times New Roman" w:hAnsi="Times New Roman" w:cs="Times New Roman"/>
          <w:lang w:val="en-US"/>
        </w:rPr>
        <w:t xml:space="preserve">. </w:t>
      </w:r>
      <w:r w:rsidR="00556545" w:rsidRPr="0067680B">
        <w:rPr>
          <w:rFonts w:ascii="Times New Roman" w:hAnsi="Times New Roman" w:cs="Times New Roman"/>
          <w:lang w:val="en-US"/>
        </w:rPr>
        <w:t>Besides</w:t>
      </w:r>
      <w:r w:rsidR="00CB249E" w:rsidRPr="0067680B">
        <w:rPr>
          <w:rFonts w:ascii="Times New Roman" w:hAnsi="Times New Roman" w:cs="Times New Roman"/>
          <w:lang w:val="en-US"/>
        </w:rPr>
        <w:t>,</w:t>
      </w:r>
      <w:r w:rsidR="00556545" w:rsidRPr="0067680B">
        <w:rPr>
          <w:rFonts w:ascii="Times New Roman" w:hAnsi="Times New Roman" w:cs="Times New Roman"/>
          <w:lang w:val="en-US"/>
        </w:rPr>
        <w:t xml:space="preserve"> bivariate Pearson correlation analys</w:t>
      </w:r>
      <w:r w:rsidR="00C179AD" w:rsidRPr="0067680B">
        <w:rPr>
          <w:rFonts w:ascii="Times New Roman" w:hAnsi="Times New Roman" w:cs="Times New Roman"/>
          <w:lang w:val="en-US"/>
        </w:rPr>
        <w:t>e</w:t>
      </w:r>
      <w:r w:rsidR="00556545" w:rsidRPr="0067680B">
        <w:rPr>
          <w:rFonts w:ascii="Times New Roman" w:hAnsi="Times New Roman" w:cs="Times New Roman"/>
          <w:lang w:val="en-US"/>
        </w:rPr>
        <w:t xml:space="preserve">s </w:t>
      </w:r>
      <w:r w:rsidR="00C179AD" w:rsidRPr="0067680B">
        <w:rPr>
          <w:rFonts w:ascii="Times New Roman" w:hAnsi="Times New Roman" w:cs="Times New Roman"/>
          <w:lang w:val="en-US"/>
        </w:rPr>
        <w:t>were conducted to determine relationships among the different variables</w:t>
      </w:r>
      <w:r w:rsidR="00556545" w:rsidRPr="0067680B">
        <w:rPr>
          <w:rFonts w:ascii="Times New Roman" w:hAnsi="Times New Roman" w:cs="Times New Roman"/>
          <w:lang w:val="en-US"/>
        </w:rPr>
        <w:t xml:space="preserve">. </w:t>
      </w:r>
      <w:r w:rsidR="00652B5E">
        <w:rPr>
          <w:rFonts w:ascii="Times New Roman" w:hAnsi="Times New Roman" w:cs="Times New Roman"/>
          <w:lang w:val="en-US"/>
        </w:rPr>
        <w:t>A</w:t>
      </w:r>
      <w:r w:rsidR="00652B5E" w:rsidRPr="0067680B">
        <w:rPr>
          <w:rFonts w:ascii="Times New Roman" w:hAnsi="Times New Roman" w:cs="Times New Roman"/>
          <w:lang w:val="en-US"/>
        </w:rPr>
        <w:t>ll data were tested for normality and homogeneity of variance</w:t>
      </w:r>
      <w:r w:rsidR="00652B5E">
        <w:rPr>
          <w:rFonts w:ascii="Times New Roman" w:hAnsi="Times New Roman" w:cs="Times New Roman"/>
          <w:lang w:val="en-US"/>
        </w:rPr>
        <w:t>.</w:t>
      </w:r>
      <w:r w:rsidR="00652B5E" w:rsidRPr="0067680B">
        <w:rPr>
          <w:rFonts w:ascii="Times New Roman" w:hAnsi="Times New Roman" w:cs="Times New Roman"/>
          <w:lang w:val="en-US"/>
        </w:rPr>
        <w:t xml:space="preserve"> </w:t>
      </w:r>
      <w:r w:rsidR="00577D8A" w:rsidRPr="0067680B">
        <w:rPr>
          <w:rFonts w:ascii="Times New Roman" w:hAnsi="Times New Roman" w:cs="Times New Roman"/>
          <w:lang w:val="en-US"/>
        </w:rPr>
        <w:t xml:space="preserve">Statistical analyses were performed using SPSS Statistics vs. 23 (IBM) software. </w:t>
      </w:r>
    </w:p>
    <w:p w14:paraId="45FFB576" w14:textId="77777777" w:rsidR="00E1694E" w:rsidRDefault="00E1694E" w:rsidP="002D4997">
      <w:pPr>
        <w:spacing w:after="0" w:line="360" w:lineRule="auto"/>
        <w:jc w:val="both"/>
        <w:rPr>
          <w:rFonts w:ascii="Times New Roman" w:hAnsi="Times New Roman" w:cs="Times New Roman"/>
          <w:b/>
          <w:lang w:val="en-US"/>
        </w:rPr>
      </w:pPr>
    </w:p>
    <w:p w14:paraId="64E4E1E9" w14:textId="6D71E8DF" w:rsidR="00295175" w:rsidRPr="0067680B" w:rsidRDefault="00493338" w:rsidP="002D4997">
      <w:pPr>
        <w:spacing w:after="0" w:line="360" w:lineRule="auto"/>
        <w:jc w:val="both"/>
        <w:rPr>
          <w:rFonts w:ascii="Times New Roman" w:hAnsi="Times New Roman" w:cs="Times New Roman"/>
          <w:b/>
          <w:i/>
          <w:iCs/>
          <w:lang w:val="en-US"/>
        </w:rPr>
      </w:pPr>
      <w:r w:rsidRPr="0067680B">
        <w:rPr>
          <w:rFonts w:ascii="Times New Roman" w:hAnsi="Times New Roman" w:cs="Times New Roman"/>
          <w:b/>
          <w:lang w:val="en-US"/>
        </w:rPr>
        <w:t>Results</w:t>
      </w:r>
      <w:r w:rsidR="004F252B" w:rsidRPr="0067680B">
        <w:rPr>
          <w:rFonts w:ascii="Times New Roman" w:hAnsi="Times New Roman" w:cs="Times New Roman"/>
          <w:b/>
          <w:lang w:val="en-US"/>
        </w:rPr>
        <w:t xml:space="preserve"> </w:t>
      </w:r>
    </w:p>
    <w:p w14:paraId="1AEA516E" w14:textId="036378B8" w:rsidR="00043734" w:rsidRPr="0067680B" w:rsidRDefault="00043734" w:rsidP="00E25541">
      <w:pPr>
        <w:spacing w:after="0"/>
        <w:jc w:val="both"/>
        <w:rPr>
          <w:rFonts w:ascii="Times New Roman" w:hAnsi="Times New Roman" w:cs="Times New Roman"/>
          <w:lang w:val="en-US"/>
        </w:rPr>
      </w:pPr>
    </w:p>
    <w:p w14:paraId="0CF5DDDA" w14:textId="06FE0451" w:rsidR="00E219DA" w:rsidRDefault="000A134C" w:rsidP="00BF142C">
      <w:pPr>
        <w:spacing w:after="0" w:line="480" w:lineRule="auto"/>
        <w:jc w:val="both"/>
        <w:rPr>
          <w:rFonts w:ascii="Times New Roman" w:hAnsi="Times New Roman" w:cs="Times New Roman"/>
          <w:lang w:val="en-US"/>
        </w:rPr>
      </w:pPr>
      <w:bookmarkStart w:id="11" w:name="_Hlk73774573"/>
      <w:r w:rsidRPr="0067680B">
        <w:rPr>
          <w:rFonts w:ascii="Times New Roman" w:hAnsi="Times New Roman" w:cs="Times New Roman"/>
          <w:lang w:val="en-US"/>
        </w:rPr>
        <w:t xml:space="preserve">The addition of </w:t>
      </w:r>
      <w:r w:rsidR="00140D5D" w:rsidRPr="0067680B">
        <w:rPr>
          <w:rFonts w:ascii="Times New Roman" w:hAnsi="Times New Roman" w:cs="Times New Roman"/>
          <w:lang w:val="en-US"/>
        </w:rPr>
        <w:t>a CuSO</w:t>
      </w:r>
      <w:r w:rsidR="00140D5D" w:rsidRPr="0067680B">
        <w:rPr>
          <w:rFonts w:ascii="Times New Roman" w:hAnsi="Times New Roman" w:cs="Times New Roman"/>
          <w:vertAlign w:val="subscript"/>
          <w:lang w:val="en-US"/>
        </w:rPr>
        <w:t xml:space="preserve">4 </w:t>
      </w:r>
      <w:r w:rsidRPr="0067680B">
        <w:rPr>
          <w:rFonts w:ascii="Times New Roman" w:hAnsi="Times New Roman" w:cs="Times New Roman"/>
          <w:lang w:val="en-US"/>
        </w:rPr>
        <w:t>solution to the soil, with or without FeNaEDTA, led to an average increase in soil extractable Cu concentration</w:t>
      </w:r>
      <w:bookmarkStart w:id="12" w:name="_Hlk73348416"/>
      <w:r w:rsidR="00AB34AD">
        <w:rPr>
          <w:rFonts w:ascii="Times New Roman" w:hAnsi="Times New Roman" w:cs="Times New Roman"/>
          <w:lang w:val="en-US"/>
        </w:rPr>
        <w:t>:</w:t>
      </w:r>
      <w:r w:rsidRPr="0067680B">
        <w:rPr>
          <w:rFonts w:ascii="Times New Roman" w:hAnsi="Times New Roman" w:cs="Times New Roman"/>
          <w:lang w:val="en-US"/>
        </w:rPr>
        <w:t xml:space="preserve"> </w:t>
      </w:r>
      <w:bookmarkStart w:id="13" w:name="_Hlk73431066"/>
      <w:bookmarkStart w:id="14" w:name="_Hlk73358434"/>
      <w:bookmarkEnd w:id="12"/>
      <w:r w:rsidR="00B73AD8" w:rsidRPr="003A4AE7">
        <w:rPr>
          <w:rFonts w:ascii="Times New Roman" w:hAnsi="Times New Roman" w:cs="Times New Roman"/>
          <w:lang w:val="en-US"/>
        </w:rPr>
        <w:t xml:space="preserve">while in the </w:t>
      </w:r>
      <w:r w:rsidR="00B73AD8">
        <w:rPr>
          <w:rFonts w:ascii="Times New Roman" w:hAnsi="Times New Roman" w:cs="Times New Roman"/>
          <w:lang w:val="en-US"/>
        </w:rPr>
        <w:t>control</w:t>
      </w:r>
      <w:r w:rsidR="00B73AD8" w:rsidRPr="003A4AE7">
        <w:rPr>
          <w:rFonts w:ascii="Times New Roman" w:hAnsi="Times New Roman" w:cs="Times New Roman"/>
          <w:lang w:val="en-US"/>
        </w:rPr>
        <w:t xml:space="preserve"> soil </w:t>
      </w:r>
      <w:r w:rsidR="00B73AD8" w:rsidRPr="00E1694E">
        <w:rPr>
          <w:rFonts w:ascii="Times New Roman" w:eastAsia="Times New Roman" w:hAnsi="Times New Roman" w:cs="Times New Roman"/>
          <w:color w:val="000000"/>
          <w:lang w:val="en-US" w:eastAsia="pt-PT"/>
        </w:rPr>
        <w:t>8</w:t>
      </w:r>
      <w:r w:rsidR="00B73AD8">
        <w:rPr>
          <w:rFonts w:ascii="Times New Roman" w:eastAsia="Times New Roman" w:hAnsi="Times New Roman" w:cs="Times New Roman"/>
          <w:color w:val="000000"/>
          <w:lang w:val="en-US" w:eastAsia="pt-PT"/>
        </w:rPr>
        <w:t>.</w:t>
      </w:r>
      <w:r w:rsidR="00B73AD8" w:rsidRPr="00E1694E">
        <w:rPr>
          <w:rFonts w:ascii="Times New Roman" w:eastAsia="Times New Roman" w:hAnsi="Times New Roman" w:cs="Times New Roman"/>
          <w:color w:val="000000"/>
          <w:lang w:val="en-US" w:eastAsia="pt-PT"/>
        </w:rPr>
        <w:t>63</w:t>
      </w:r>
      <w:r w:rsidR="00B73AD8" w:rsidRPr="003A4AE7">
        <w:rPr>
          <w:rFonts w:ascii="Times New Roman" w:eastAsia="Times New Roman" w:hAnsi="Times New Roman" w:cs="Times New Roman"/>
          <w:color w:val="000000"/>
          <w:lang w:val="en-US" w:eastAsia="pt-PT"/>
        </w:rPr>
        <w:t xml:space="preserve"> ± 0.02</w:t>
      </w:r>
      <w:r w:rsidR="00B73AD8">
        <w:rPr>
          <w:rFonts w:ascii="Times New Roman" w:eastAsia="Times New Roman" w:hAnsi="Times New Roman" w:cs="Times New Roman"/>
          <w:color w:val="000000"/>
          <w:lang w:val="en-US" w:eastAsia="pt-PT"/>
        </w:rPr>
        <w:t>4</w:t>
      </w:r>
      <w:r w:rsidR="00B73AD8" w:rsidRPr="003A4AE7">
        <w:rPr>
          <w:rFonts w:ascii="Times New Roman" w:eastAsia="Times New Roman" w:hAnsi="Times New Roman" w:cs="Times New Roman"/>
          <w:color w:val="000000"/>
          <w:lang w:val="en-US" w:eastAsia="pt-PT"/>
        </w:rPr>
        <w:t xml:space="preserve"> mg kg</w:t>
      </w:r>
      <w:r w:rsidR="00B73AD8" w:rsidRPr="00E1694E">
        <w:rPr>
          <w:rFonts w:ascii="Times New Roman" w:eastAsia="Times New Roman" w:hAnsi="Times New Roman" w:cs="Times New Roman"/>
          <w:color w:val="000000"/>
          <w:vertAlign w:val="superscript"/>
          <w:lang w:val="en-US" w:eastAsia="pt-PT"/>
        </w:rPr>
        <w:t>-1</w:t>
      </w:r>
      <w:r w:rsidR="00B73AD8" w:rsidRPr="003A4AE7">
        <w:rPr>
          <w:rFonts w:ascii="Times New Roman" w:eastAsia="Times New Roman" w:hAnsi="Times New Roman" w:cs="Times New Roman"/>
          <w:color w:val="000000"/>
          <w:lang w:val="en-US" w:eastAsia="pt-PT"/>
        </w:rPr>
        <w:t xml:space="preserve"> were found (mean ± standard error), in the soil where Cu was added</w:t>
      </w:r>
      <w:r w:rsidR="00B73AD8">
        <w:rPr>
          <w:rFonts w:ascii="Times New Roman" w:eastAsia="Times New Roman" w:hAnsi="Times New Roman" w:cs="Times New Roman"/>
          <w:color w:val="000000"/>
          <w:lang w:val="en-US" w:eastAsia="pt-PT"/>
        </w:rPr>
        <w:t xml:space="preserve">, with or without FeNaEDTA, </w:t>
      </w:r>
      <w:r w:rsidR="00B73AD8" w:rsidRPr="003A4AE7">
        <w:rPr>
          <w:rFonts w:ascii="Times New Roman" w:eastAsia="Times New Roman" w:hAnsi="Times New Roman" w:cs="Times New Roman"/>
          <w:color w:val="000000"/>
          <w:lang w:val="en-US" w:eastAsia="pt-PT"/>
        </w:rPr>
        <w:t>152.06 ± 4</w:t>
      </w:r>
      <w:r w:rsidR="00B73AD8">
        <w:rPr>
          <w:rFonts w:ascii="Times New Roman" w:eastAsia="Times New Roman" w:hAnsi="Times New Roman" w:cs="Times New Roman"/>
          <w:color w:val="000000"/>
          <w:lang w:val="en-US" w:eastAsia="pt-PT"/>
        </w:rPr>
        <w:t>6</w:t>
      </w:r>
      <w:r w:rsidR="00B73AD8" w:rsidRPr="003A4AE7">
        <w:rPr>
          <w:rFonts w:ascii="Times New Roman" w:eastAsia="Times New Roman" w:hAnsi="Times New Roman" w:cs="Times New Roman"/>
          <w:color w:val="000000"/>
          <w:lang w:val="en-US" w:eastAsia="pt-PT"/>
        </w:rPr>
        <w:t>.</w:t>
      </w:r>
      <w:r w:rsidR="00B73AD8">
        <w:rPr>
          <w:rFonts w:ascii="Times New Roman" w:eastAsia="Times New Roman" w:hAnsi="Times New Roman" w:cs="Times New Roman"/>
          <w:color w:val="000000"/>
          <w:lang w:val="en-US" w:eastAsia="pt-PT"/>
        </w:rPr>
        <w:t>996</w:t>
      </w:r>
      <w:r w:rsidR="00B73AD8" w:rsidRPr="003A4AE7">
        <w:rPr>
          <w:rFonts w:ascii="Times New Roman" w:eastAsia="Times New Roman" w:hAnsi="Times New Roman" w:cs="Times New Roman"/>
          <w:color w:val="000000"/>
          <w:lang w:val="en-US" w:eastAsia="pt-PT"/>
        </w:rPr>
        <w:t xml:space="preserve">  and 172.04 ± 48.</w:t>
      </w:r>
      <w:r w:rsidR="00B73AD8">
        <w:rPr>
          <w:rFonts w:ascii="Times New Roman" w:eastAsia="Times New Roman" w:hAnsi="Times New Roman" w:cs="Times New Roman"/>
          <w:color w:val="000000"/>
          <w:lang w:val="en-US" w:eastAsia="pt-PT"/>
        </w:rPr>
        <w:t>462</w:t>
      </w:r>
      <w:r w:rsidR="00B73AD8" w:rsidRPr="003A4AE7">
        <w:rPr>
          <w:rFonts w:ascii="Times New Roman" w:eastAsia="Times New Roman" w:hAnsi="Times New Roman" w:cs="Times New Roman"/>
          <w:color w:val="000000"/>
          <w:lang w:val="en-US" w:eastAsia="pt-PT"/>
        </w:rPr>
        <w:t xml:space="preserve"> mg kg</w:t>
      </w:r>
      <w:r w:rsidR="00B73AD8" w:rsidRPr="003A4AE7">
        <w:rPr>
          <w:rFonts w:ascii="Times New Roman" w:eastAsia="Times New Roman" w:hAnsi="Times New Roman" w:cs="Times New Roman"/>
          <w:color w:val="000000"/>
          <w:vertAlign w:val="superscript"/>
          <w:lang w:val="en-US" w:eastAsia="pt-PT"/>
        </w:rPr>
        <w:t>-1</w:t>
      </w:r>
      <w:r w:rsidR="00B73AD8" w:rsidRPr="003A4AE7">
        <w:rPr>
          <w:rFonts w:ascii="Times New Roman" w:eastAsia="Times New Roman" w:hAnsi="Times New Roman" w:cs="Times New Roman"/>
          <w:color w:val="000000"/>
          <w:lang w:val="en-US" w:eastAsia="pt-PT"/>
        </w:rPr>
        <w:t xml:space="preserve"> were </w:t>
      </w:r>
      <w:bookmarkEnd w:id="13"/>
      <w:r w:rsidR="00B73AD8">
        <w:rPr>
          <w:rFonts w:ascii="Times New Roman" w:eastAsia="Times New Roman" w:hAnsi="Times New Roman" w:cs="Times New Roman"/>
          <w:color w:val="000000"/>
          <w:lang w:val="en-US" w:eastAsia="pt-PT"/>
        </w:rPr>
        <w:t>measured, respectively</w:t>
      </w:r>
      <w:r w:rsidR="00B73AD8" w:rsidRPr="003A4AE7">
        <w:rPr>
          <w:rFonts w:ascii="Times New Roman" w:eastAsia="Times New Roman" w:hAnsi="Times New Roman" w:cs="Times New Roman"/>
          <w:color w:val="000000"/>
          <w:lang w:val="en-US" w:eastAsia="pt-PT"/>
        </w:rPr>
        <w:t>.</w:t>
      </w:r>
      <w:r w:rsidR="00B73AD8">
        <w:rPr>
          <w:rFonts w:ascii="Times New Roman" w:eastAsia="Times New Roman" w:hAnsi="Times New Roman" w:cs="Times New Roman"/>
          <w:color w:val="000000"/>
          <w:lang w:val="en-US" w:eastAsia="pt-PT"/>
        </w:rPr>
        <w:t xml:space="preserve"> </w:t>
      </w:r>
      <w:r w:rsidR="001E10E6" w:rsidRPr="0067680B">
        <w:rPr>
          <w:rFonts w:ascii="Times New Roman" w:hAnsi="Times New Roman" w:cs="Times New Roman"/>
          <w:lang w:val="en-US"/>
        </w:rPr>
        <w:t xml:space="preserve">Copper addition </w:t>
      </w:r>
      <w:r w:rsidR="00140D5D" w:rsidRPr="0067680B">
        <w:rPr>
          <w:rFonts w:ascii="Times New Roman" w:hAnsi="Times New Roman" w:cs="Times New Roman"/>
          <w:lang w:val="en-US"/>
        </w:rPr>
        <w:t xml:space="preserve">(without FeNaEDTA) </w:t>
      </w:r>
      <w:r w:rsidR="001E10E6" w:rsidRPr="0067680B">
        <w:rPr>
          <w:rFonts w:ascii="Times New Roman" w:hAnsi="Times New Roman" w:cs="Times New Roman"/>
          <w:lang w:val="en-US"/>
        </w:rPr>
        <w:t>to the soil also led to a general increase on soil Mn extractable concentration</w:t>
      </w:r>
      <w:r w:rsidR="00952BEB">
        <w:rPr>
          <w:rFonts w:ascii="Times New Roman" w:hAnsi="Times New Roman" w:cs="Times New Roman"/>
          <w:lang w:val="en-US"/>
        </w:rPr>
        <w:t xml:space="preserve"> </w:t>
      </w:r>
      <w:r w:rsidR="00D1409D">
        <w:rPr>
          <w:rFonts w:ascii="Times New Roman" w:hAnsi="Times New Roman" w:cs="Times New Roman"/>
          <w:lang w:val="en-US"/>
        </w:rPr>
        <w:t>(</w:t>
      </w:r>
      <w:r w:rsidR="00952BEB">
        <w:rPr>
          <w:rFonts w:ascii="Times New Roman" w:hAnsi="Times New Roman" w:cs="Times New Roman"/>
          <w:lang w:val="en-US"/>
        </w:rPr>
        <w:t xml:space="preserve">from 7.97 </w:t>
      </w:r>
      <w:r w:rsidR="00952BEB" w:rsidRPr="003A4AE7">
        <w:rPr>
          <w:rFonts w:ascii="Times New Roman" w:eastAsia="Times New Roman" w:hAnsi="Times New Roman" w:cs="Times New Roman"/>
          <w:color w:val="000000"/>
          <w:lang w:val="en-US" w:eastAsia="pt-PT"/>
        </w:rPr>
        <w:t>±</w:t>
      </w:r>
      <w:r w:rsidR="00952BEB">
        <w:rPr>
          <w:rFonts w:ascii="Times New Roman" w:eastAsia="Times New Roman" w:hAnsi="Times New Roman" w:cs="Times New Roman"/>
          <w:color w:val="000000"/>
          <w:lang w:val="en-US" w:eastAsia="pt-PT"/>
        </w:rPr>
        <w:t xml:space="preserve"> 0.749 to </w:t>
      </w:r>
      <w:r w:rsidR="00BF142C">
        <w:rPr>
          <w:rFonts w:ascii="Times New Roman" w:eastAsia="Times New Roman" w:hAnsi="Times New Roman" w:cs="Times New Roman"/>
          <w:color w:val="000000"/>
          <w:lang w:val="en-US" w:eastAsia="pt-PT"/>
        </w:rPr>
        <w:t xml:space="preserve">16.58 </w:t>
      </w:r>
      <w:r w:rsidR="00BF142C" w:rsidRPr="003A4AE7">
        <w:rPr>
          <w:rFonts w:ascii="Times New Roman" w:eastAsia="Times New Roman" w:hAnsi="Times New Roman" w:cs="Times New Roman"/>
          <w:color w:val="000000"/>
          <w:lang w:val="en-US" w:eastAsia="pt-PT"/>
        </w:rPr>
        <w:t>±</w:t>
      </w:r>
      <w:r w:rsidR="00BF142C">
        <w:rPr>
          <w:rFonts w:ascii="Times New Roman" w:eastAsia="Times New Roman" w:hAnsi="Times New Roman" w:cs="Times New Roman"/>
          <w:color w:val="000000"/>
          <w:lang w:val="en-US" w:eastAsia="pt-PT"/>
        </w:rPr>
        <w:t xml:space="preserve"> 4.610</w:t>
      </w:r>
      <w:r w:rsidR="00B73AD8" w:rsidRPr="00B73AD8">
        <w:rPr>
          <w:rFonts w:ascii="Times New Roman" w:hAnsi="Times New Roman" w:cs="Times New Roman"/>
          <w:lang w:val="en-US"/>
        </w:rPr>
        <w:t xml:space="preserve"> </w:t>
      </w:r>
      <w:r w:rsidR="00B73AD8">
        <w:rPr>
          <w:rFonts w:ascii="Times New Roman" w:hAnsi="Times New Roman" w:cs="Times New Roman"/>
          <w:lang w:val="en-US"/>
        </w:rPr>
        <w:t>mg kg</w:t>
      </w:r>
      <w:r w:rsidR="00B73AD8" w:rsidRPr="0061198E">
        <w:rPr>
          <w:rFonts w:ascii="Times New Roman" w:eastAsia="Times New Roman" w:hAnsi="Times New Roman" w:cs="Times New Roman"/>
          <w:color w:val="000000"/>
          <w:vertAlign w:val="superscript"/>
          <w:lang w:val="en-US" w:eastAsia="pt-PT"/>
        </w:rPr>
        <w:t>-1</w:t>
      </w:r>
      <w:r w:rsidR="00D1409D">
        <w:rPr>
          <w:rFonts w:ascii="Times New Roman" w:eastAsia="Times New Roman" w:hAnsi="Times New Roman" w:cs="Times New Roman"/>
          <w:color w:val="000000"/>
          <w:lang w:val="en-US" w:eastAsia="pt-PT"/>
        </w:rPr>
        <w:t xml:space="preserve">, </w:t>
      </w:r>
      <w:r w:rsidR="00BF142C" w:rsidRPr="003A4AE7">
        <w:rPr>
          <w:rFonts w:ascii="Times New Roman" w:eastAsia="Times New Roman" w:hAnsi="Times New Roman" w:cs="Times New Roman"/>
          <w:color w:val="000000"/>
          <w:lang w:val="en-US" w:eastAsia="pt-PT"/>
        </w:rPr>
        <w:t>mean ± standard error)</w:t>
      </w:r>
      <w:r w:rsidR="00BF142C">
        <w:rPr>
          <w:rFonts w:ascii="Times New Roman" w:eastAsia="Times New Roman" w:hAnsi="Times New Roman" w:cs="Times New Roman"/>
          <w:color w:val="000000"/>
          <w:lang w:val="en-US" w:eastAsia="pt-PT"/>
        </w:rPr>
        <w:t xml:space="preserve"> </w:t>
      </w:r>
      <w:r w:rsidR="00890CA2" w:rsidRPr="0067680B">
        <w:rPr>
          <w:rFonts w:ascii="Times New Roman" w:hAnsi="Times New Roman" w:cs="Times New Roman"/>
          <w:lang w:val="en-US"/>
        </w:rPr>
        <w:t>but</w:t>
      </w:r>
      <w:r w:rsidR="001E10E6" w:rsidRPr="0067680B">
        <w:rPr>
          <w:rFonts w:ascii="Times New Roman" w:hAnsi="Times New Roman" w:cs="Times New Roman"/>
          <w:lang w:val="en-US"/>
        </w:rPr>
        <w:t xml:space="preserve"> </w:t>
      </w:r>
      <w:r w:rsidR="00346514" w:rsidRPr="0067680B">
        <w:rPr>
          <w:rFonts w:ascii="Times New Roman" w:hAnsi="Times New Roman" w:cs="Times New Roman"/>
          <w:lang w:val="en-US"/>
        </w:rPr>
        <w:t xml:space="preserve">when FeNaEDTA </w:t>
      </w:r>
      <w:r w:rsidR="007A5A28" w:rsidRPr="0067680B">
        <w:rPr>
          <w:rFonts w:ascii="Times New Roman" w:hAnsi="Times New Roman" w:cs="Times New Roman"/>
          <w:lang w:val="en-US"/>
        </w:rPr>
        <w:t xml:space="preserve">was also </w:t>
      </w:r>
      <w:r w:rsidR="00346514" w:rsidRPr="0067680B">
        <w:rPr>
          <w:rFonts w:ascii="Times New Roman" w:hAnsi="Times New Roman" w:cs="Times New Roman"/>
          <w:lang w:val="en-US"/>
        </w:rPr>
        <w:t>applied, th</w:t>
      </w:r>
      <w:r w:rsidR="007A5A28" w:rsidRPr="0067680B">
        <w:rPr>
          <w:rFonts w:ascii="Times New Roman" w:hAnsi="Times New Roman" w:cs="Times New Roman"/>
          <w:lang w:val="en-US"/>
        </w:rPr>
        <w:t>at</w:t>
      </w:r>
      <w:r w:rsidR="00346514" w:rsidRPr="0067680B">
        <w:rPr>
          <w:rFonts w:ascii="Times New Roman" w:hAnsi="Times New Roman" w:cs="Times New Roman"/>
          <w:lang w:val="en-US"/>
        </w:rPr>
        <w:t xml:space="preserve"> increase was no longer significant respect the </w:t>
      </w:r>
      <w:r w:rsidR="00D1409D">
        <w:rPr>
          <w:rFonts w:ascii="Times New Roman" w:hAnsi="Times New Roman" w:cs="Times New Roman"/>
          <w:lang w:val="en-US"/>
        </w:rPr>
        <w:t xml:space="preserve">control </w:t>
      </w:r>
      <w:bookmarkStart w:id="15" w:name="_Hlk74239202"/>
      <w:r w:rsidR="00346514" w:rsidRPr="0067680B">
        <w:rPr>
          <w:rFonts w:ascii="Times New Roman" w:hAnsi="Times New Roman" w:cs="Times New Roman"/>
          <w:lang w:val="en-US"/>
        </w:rPr>
        <w:t>soil</w:t>
      </w:r>
      <w:r w:rsidR="00D1409D">
        <w:rPr>
          <w:rFonts w:ascii="Times New Roman" w:hAnsi="Times New Roman" w:cs="Times New Roman"/>
          <w:lang w:val="en-US"/>
        </w:rPr>
        <w:t xml:space="preserve"> treatment (</w:t>
      </w:r>
      <w:bookmarkEnd w:id="14"/>
      <w:r w:rsidR="00D1409D" w:rsidRPr="00FD4C64">
        <w:rPr>
          <w:rFonts w:ascii="Times New Roman" w:hAnsi="Times New Roman" w:cs="Times New Roman"/>
          <w:lang w:val="en-US"/>
        </w:rPr>
        <w:t>8.76 ± 4.012 mg Mn kg</w:t>
      </w:r>
      <w:r w:rsidR="00D1409D" w:rsidRPr="00FD4C64">
        <w:rPr>
          <w:rFonts w:ascii="Times New Roman" w:hAnsi="Times New Roman" w:cs="Times New Roman"/>
          <w:vertAlign w:val="superscript"/>
          <w:lang w:val="en-US"/>
        </w:rPr>
        <w:t>-1</w:t>
      </w:r>
      <w:r w:rsidR="00D1409D" w:rsidRPr="00E85217">
        <w:rPr>
          <w:rFonts w:ascii="Times New Roman" w:hAnsi="Times New Roman" w:cs="Times New Roman"/>
          <w:lang w:val="en-US"/>
        </w:rPr>
        <w:t>)</w:t>
      </w:r>
      <w:bookmarkEnd w:id="15"/>
      <w:r w:rsidR="00D1409D" w:rsidRPr="00FD4C64">
        <w:rPr>
          <w:rFonts w:ascii="Times New Roman" w:hAnsi="Times New Roman" w:cs="Times New Roman"/>
          <w:lang w:val="en-US"/>
        </w:rPr>
        <w:t xml:space="preserve"> </w:t>
      </w:r>
      <w:r w:rsidR="00A80A1B" w:rsidRPr="0067680B">
        <w:rPr>
          <w:rFonts w:ascii="Times New Roman" w:hAnsi="Times New Roman" w:cs="Times New Roman"/>
          <w:lang w:val="en-US"/>
        </w:rPr>
        <w:t>(Table 1A and B)</w:t>
      </w:r>
      <w:r w:rsidR="007A0368" w:rsidRPr="0067680B">
        <w:rPr>
          <w:rFonts w:ascii="Times New Roman" w:hAnsi="Times New Roman" w:cs="Times New Roman"/>
          <w:lang w:val="en-US"/>
        </w:rPr>
        <w:t>.</w:t>
      </w:r>
      <w:r w:rsidR="00A80A1B" w:rsidRPr="0067680B">
        <w:rPr>
          <w:rFonts w:ascii="Times New Roman" w:hAnsi="Times New Roman" w:cs="Times New Roman"/>
          <w:lang w:val="en-US"/>
        </w:rPr>
        <w:t xml:space="preserve"> </w:t>
      </w:r>
      <w:r w:rsidR="00E219DA" w:rsidRPr="0067680B">
        <w:rPr>
          <w:rFonts w:ascii="Times New Roman" w:hAnsi="Times New Roman" w:cs="Times New Roman"/>
          <w:lang w:val="en-US"/>
        </w:rPr>
        <w:t>No differences were observed related to the mycorrhizal inoculation treatments in Cu or Mn concentrations (Table 1A and B).</w:t>
      </w:r>
      <w:r w:rsidR="007A5A28" w:rsidRPr="0067680B">
        <w:rPr>
          <w:rFonts w:ascii="Times New Roman" w:hAnsi="Times New Roman" w:cs="Times New Roman"/>
          <w:lang w:val="en-US"/>
        </w:rPr>
        <w:t xml:space="preserve"> </w:t>
      </w:r>
    </w:p>
    <w:p w14:paraId="157A9320" w14:textId="22DA6E90" w:rsidR="00EA35A9" w:rsidRPr="0067680B" w:rsidRDefault="005D60B4" w:rsidP="005462C1">
      <w:pPr>
        <w:spacing w:after="0" w:line="480" w:lineRule="auto"/>
        <w:jc w:val="both"/>
        <w:rPr>
          <w:rFonts w:ascii="Times New Roman" w:hAnsi="Times New Roman" w:cs="Times New Roman"/>
          <w:lang w:val="en-US"/>
        </w:rPr>
      </w:pPr>
      <w:r w:rsidRPr="0067680B">
        <w:rPr>
          <w:rFonts w:ascii="Times New Roman" w:hAnsi="Times New Roman" w:cs="Times New Roman"/>
          <w:lang w:val="en-US"/>
        </w:rPr>
        <w:t>In the case of</w:t>
      </w:r>
      <w:r w:rsidR="007A0368" w:rsidRPr="0067680B">
        <w:rPr>
          <w:rFonts w:ascii="Times New Roman" w:hAnsi="Times New Roman" w:cs="Times New Roman"/>
          <w:lang w:val="en-US"/>
        </w:rPr>
        <w:t xml:space="preserve"> soil available </w:t>
      </w:r>
      <w:r w:rsidR="00DF21A9" w:rsidRPr="0067680B">
        <w:rPr>
          <w:rFonts w:ascii="Times New Roman" w:hAnsi="Times New Roman" w:cs="Times New Roman"/>
          <w:lang w:val="en-US"/>
        </w:rPr>
        <w:t xml:space="preserve">fraction of </w:t>
      </w:r>
      <w:r w:rsidR="007A0368" w:rsidRPr="0067680B">
        <w:rPr>
          <w:rFonts w:ascii="Times New Roman" w:hAnsi="Times New Roman" w:cs="Times New Roman"/>
          <w:lang w:val="en-US"/>
        </w:rPr>
        <w:t xml:space="preserve">Fe, </w:t>
      </w:r>
      <w:r w:rsidR="00852A7E" w:rsidRPr="0067680B">
        <w:rPr>
          <w:rFonts w:ascii="Times New Roman" w:hAnsi="Times New Roman" w:cs="Times New Roman"/>
          <w:lang w:val="en-US"/>
        </w:rPr>
        <w:t xml:space="preserve">the effect of the soil treatment depended on the mycorrhizal treatment: </w:t>
      </w:r>
      <w:r w:rsidRPr="0067680B">
        <w:rPr>
          <w:rFonts w:ascii="Times New Roman" w:hAnsi="Times New Roman" w:cs="Times New Roman"/>
          <w:lang w:val="en-US"/>
        </w:rPr>
        <w:t>w</w:t>
      </w:r>
      <w:r w:rsidR="00645F5E" w:rsidRPr="0067680B">
        <w:rPr>
          <w:rFonts w:ascii="Times New Roman" w:hAnsi="Times New Roman" w:cs="Times New Roman"/>
          <w:lang w:val="en-US"/>
        </w:rPr>
        <w:t>hile in</w:t>
      </w:r>
      <w:r w:rsidR="007A0368" w:rsidRPr="0067680B">
        <w:rPr>
          <w:rFonts w:ascii="Times New Roman" w:hAnsi="Times New Roman" w:cs="Times New Roman"/>
          <w:lang w:val="en-US"/>
        </w:rPr>
        <w:t xml:space="preserve"> </w:t>
      </w:r>
      <w:r w:rsidR="0083298F">
        <w:rPr>
          <w:rFonts w:ascii="Times New Roman" w:hAnsi="Times New Roman" w:cs="Times New Roman"/>
          <w:lang w:val="en-US"/>
        </w:rPr>
        <w:t>control</w:t>
      </w:r>
      <w:r w:rsidR="007A0368" w:rsidRPr="0067680B">
        <w:rPr>
          <w:rFonts w:ascii="Times New Roman" w:hAnsi="Times New Roman" w:cs="Times New Roman"/>
          <w:lang w:val="en-US"/>
        </w:rPr>
        <w:t xml:space="preserve"> soil</w:t>
      </w:r>
      <w:r w:rsidR="006B5870" w:rsidRPr="0067680B">
        <w:rPr>
          <w:rFonts w:ascii="Times New Roman" w:hAnsi="Times New Roman" w:cs="Times New Roman"/>
          <w:lang w:val="en-US"/>
        </w:rPr>
        <w:t>s</w:t>
      </w:r>
      <w:r w:rsidR="007A0368" w:rsidRPr="0067680B">
        <w:rPr>
          <w:rFonts w:ascii="Times New Roman" w:hAnsi="Times New Roman" w:cs="Times New Roman"/>
          <w:lang w:val="en-US"/>
        </w:rPr>
        <w:t xml:space="preserve"> </w:t>
      </w:r>
      <w:r w:rsidR="005854B6" w:rsidRPr="0067680B">
        <w:rPr>
          <w:rFonts w:ascii="Times New Roman" w:hAnsi="Times New Roman" w:cs="Times New Roman"/>
          <w:lang w:val="en-US"/>
        </w:rPr>
        <w:t>Fe concentration</w:t>
      </w:r>
      <w:r w:rsidR="007A0368" w:rsidRPr="0067680B">
        <w:rPr>
          <w:rFonts w:ascii="Times New Roman" w:hAnsi="Times New Roman" w:cs="Times New Roman"/>
          <w:lang w:val="en-US"/>
        </w:rPr>
        <w:t xml:space="preserve"> was significantly </w:t>
      </w:r>
      <w:r w:rsidR="000A134C" w:rsidRPr="0067680B">
        <w:rPr>
          <w:rFonts w:ascii="Times New Roman" w:hAnsi="Times New Roman" w:cs="Times New Roman"/>
          <w:lang w:val="en-US"/>
        </w:rPr>
        <w:t xml:space="preserve">higher </w:t>
      </w:r>
      <w:r w:rsidR="007A0368" w:rsidRPr="0067680B">
        <w:rPr>
          <w:rFonts w:ascii="Times New Roman" w:hAnsi="Times New Roman" w:cs="Times New Roman"/>
          <w:lang w:val="en-US"/>
        </w:rPr>
        <w:t xml:space="preserve">in </w:t>
      </w:r>
      <w:r w:rsidR="007A0368" w:rsidRPr="0067680B">
        <w:rPr>
          <w:rFonts w:ascii="Times New Roman" w:hAnsi="Times New Roman" w:cs="Times New Roman"/>
          <w:i/>
          <w:iCs/>
          <w:lang w:val="en-US"/>
        </w:rPr>
        <w:t>F. mosseae</w:t>
      </w:r>
      <w:r w:rsidR="007A0368" w:rsidRPr="0067680B">
        <w:rPr>
          <w:rFonts w:ascii="Times New Roman" w:hAnsi="Times New Roman" w:cs="Times New Roman"/>
          <w:lang w:val="en-US"/>
        </w:rPr>
        <w:t>-inoculated plant</w:t>
      </w:r>
      <w:r w:rsidR="00932837" w:rsidRPr="0067680B">
        <w:rPr>
          <w:rFonts w:ascii="Times New Roman" w:hAnsi="Times New Roman" w:cs="Times New Roman"/>
          <w:lang w:val="en-US"/>
        </w:rPr>
        <w:t xml:space="preserve"> containers</w:t>
      </w:r>
      <w:r w:rsidR="007A0368" w:rsidRPr="0067680B">
        <w:rPr>
          <w:rFonts w:ascii="Times New Roman" w:hAnsi="Times New Roman" w:cs="Times New Roman"/>
          <w:lang w:val="en-US"/>
        </w:rPr>
        <w:t>, in the presence of Cu or Cu</w:t>
      </w:r>
      <w:r w:rsidR="000A134C" w:rsidRPr="0067680B">
        <w:rPr>
          <w:rFonts w:ascii="Times New Roman" w:hAnsi="Times New Roman" w:cs="Times New Roman"/>
          <w:lang w:val="en-US"/>
        </w:rPr>
        <w:t>+</w:t>
      </w:r>
      <w:r w:rsidR="007A0368" w:rsidRPr="0067680B">
        <w:rPr>
          <w:rFonts w:ascii="Times New Roman" w:hAnsi="Times New Roman" w:cs="Times New Roman"/>
          <w:lang w:val="en-US"/>
        </w:rPr>
        <w:t>FeNaEDTA, these differences were no longer significant</w:t>
      </w:r>
      <w:r w:rsidR="00A80A1B" w:rsidRPr="0067680B">
        <w:rPr>
          <w:rFonts w:ascii="Times New Roman" w:hAnsi="Times New Roman" w:cs="Times New Roman"/>
          <w:lang w:val="en-US"/>
        </w:rPr>
        <w:t xml:space="preserve"> (Table 1</w:t>
      </w:r>
      <w:r w:rsidR="002C7ADD">
        <w:rPr>
          <w:rFonts w:ascii="Times New Roman" w:hAnsi="Times New Roman" w:cs="Times New Roman"/>
          <w:lang w:val="en-US"/>
        </w:rPr>
        <w:t>A</w:t>
      </w:r>
      <w:r w:rsidR="00A80A1B" w:rsidRPr="0067680B">
        <w:rPr>
          <w:rFonts w:ascii="Times New Roman" w:hAnsi="Times New Roman" w:cs="Times New Roman"/>
          <w:lang w:val="en-US"/>
        </w:rPr>
        <w:t>)</w:t>
      </w:r>
      <w:r w:rsidR="007A0368" w:rsidRPr="0067680B">
        <w:rPr>
          <w:rFonts w:ascii="Times New Roman" w:hAnsi="Times New Roman" w:cs="Times New Roman"/>
          <w:lang w:val="en-US"/>
        </w:rPr>
        <w:t>.</w:t>
      </w:r>
      <w:r w:rsidR="00645F5E" w:rsidRPr="0067680B">
        <w:rPr>
          <w:rFonts w:ascii="Times New Roman" w:hAnsi="Times New Roman" w:cs="Times New Roman"/>
          <w:lang w:val="en-US"/>
        </w:rPr>
        <w:t xml:space="preserve"> Contrastingly, s</w:t>
      </w:r>
      <w:r w:rsidR="001F4D5B" w:rsidRPr="0067680B">
        <w:rPr>
          <w:rFonts w:ascii="Times New Roman" w:hAnsi="Times New Roman" w:cs="Times New Roman"/>
          <w:lang w:val="en-US"/>
        </w:rPr>
        <w:t xml:space="preserve">oil available Zn fraction was not affected by </w:t>
      </w:r>
      <w:r w:rsidR="001D1FD2">
        <w:rPr>
          <w:rFonts w:ascii="Times New Roman" w:hAnsi="Times New Roman" w:cs="Times New Roman"/>
          <w:lang w:val="en-US"/>
        </w:rPr>
        <w:t>n</w:t>
      </w:r>
      <w:r w:rsidR="001F4D5B" w:rsidRPr="0067680B">
        <w:rPr>
          <w:rFonts w:ascii="Times New Roman" w:hAnsi="Times New Roman" w:cs="Times New Roman"/>
          <w:lang w:val="en-US"/>
        </w:rPr>
        <w:t xml:space="preserve">either the soil treatment </w:t>
      </w:r>
      <w:r w:rsidR="001D1FD2">
        <w:rPr>
          <w:rFonts w:ascii="Times New Roman" w:hAnsi="Times New Roman" w:cs="Times New Roman"/>
          <w:lang w:val="en-US"/>
        </w:rPr>
        <w:t>n</w:t>
      </w:r>
      <w:r w:rsidR="001F4D5B" w:rsidRPr="0067680B">
        <w:rPr>
          <w:rFonts w:ascii="Times New Roman" w:hAnsi="Times New Roman" w:cs="Times New Roman"/>
          <w:lang w:val="en-US"/>
        </w:rPr>
        <w:t>or the mycorrhizal treatment</w:t>
      </w:r>
      <w:bookmarkStart w:id="16" w:name="_Hlk73365978"/>
      <w:r w:rsidR="00EA35A9">
        <w:rPr>
          <w:rFonts w:ascii="Times New Roman" w:hAnsi="Times New Roman" w:cs="Times New Roman"/>
          <w:lang w:val="en-US"/>
        </w:rPr>
        <w:t xml:space="preserve">, and </w:t>
      </w:r>
      <w:r w:rsidR="00221DF7">
        <w:rPr>
          <w:rFonts w:ascii="Times New Roman" w:hAnsi="Times New Roman" w:cs="Times New Roman"/>
          <w:lang w:val="en-US"/>
        </w:rPr>
        <w:t>had</w:t>
      </w:r>
      <w:r w:rsidR="00EA35A9">
        <w:rPr>
          <w:rFonts w:ascii="Times New Roman" w:hAnsi="Times New Roman" w:cs="Times New Roman"/>
          <w:lang w:val="en-US"/>
        </w:rPr>
        <w:t xml:space="preserve"> 1.29 </w:t>
      </w:r>
      <w:r w:rsidR="00221DF7" w:rsidRPr="003A4AE7">
        <w:rPr>
          <w:rFonts w:ascii="Times New Roman" w:eastAsia="Times New Roman" w:hAnsi="Times New Roman" w:cs="Times New Roman"/>
          <w:color w:val="000000"/>
          <w:lang w:val="en-US" w:eastAsia="pt-PT"/>
        </w:rPr>
        <w:t>±</w:t>
      </w:r>
      <w:r w:rsidR="00221DF7">
        <w:rPr>
          <w:rFonts w:ascii="Times New Roman" w:eastAsia="Times New Roman" w:hAnsi="Times New Roman" w:cs="Times New Roman"/>
          <w:color w:val="000000"/>
          <w:lang w:val="en-US" w:eastAsia="pt-PT"/>
        </w:rPr>
        <w:t xml:space="preserve"> 0.086 </w:t>
      </w:r>
      <w:bookmarkStart w:id="17" w:name="_Hlk74238980"/>
      <w:r w:rsidR="00EA35A9">
        <w:rPr>
          <w:rFonts w:ascii="Times New Roman" w:hAnsi="Times New Roman" w:cs="Times New Roman"/>
          <w:lang w:val="en-US"/>
        </w:rPr>
        <w:t xml:space="preserve">mg </w:t>
      </w:r>
      <w:r w:rsidR="001E6582">
        <w:rPr>
          <w:rFonts w:ascii="Times New Roman" w:hAnsi="Times New Roman" w:cs="Times New Roman"/>
          <w:lang w:val="en-US"/>
        </w:rPr>
        <w:t xml:space="preserve">of </w:t>
      </w:r>
      <w:r w:rsidR="00EA35A9">
        <w:rPr>
          <w:rFonts w:ascii="Times New Roman" w:hAnsi="Times New Roman" w:cs="Times New Roman"/>
          <w:lang w:val="en-US"/>
        </w:rPr>
        <w:t>Zn</w:t>
      </w:r>
      <w:r w:rsidR="002256DB">
        <w:rPr>
          <w:rFonts w:ascii="Times New Roman" w:hAnsi="Times New Roman" w:cs="Times New Roman"/>
          <w:lang w:val="en-US"/>
        </w:rPr>
        <w:t xml:space="preserve"> per</w:t>
      </w:r>
      <w:r w:rsidR="00EA35A9">
        <w:rPr>
          <w:rFonts w:ascii="Times New Roman" w:hAnsi="Times New Roman" w:cs="Times New Roman"/>
          <w:lang w:val="en-US"/>
        </w:rPr>
        <w:t xml:space="preserve"> kg of soil</w:t>
      </w:r>
      <w:r w:rsidR="00221DF7">
        <w:rPr>
          <w:rFonts w:ascii="Times New Roman" w:eastAsia="Times New Roman" w:hAnsi="Times New Roman" w:cs="Times New Roman"/>
          <w:color w:val="000000"/>
          <w:lang w:val="en-US" w:eastAsia="pt-PT"/>
        </w:rPr>
        <w:t xml:space="preserve"> (mean </w:t>
      </w:r>
      <w:r w:rsidR="00221DF7" w:rsidRPr="003A4AE7">
        <w:rPr>
          <w:rFonts w:ascii="Times New Roman" w:eastAsia="Times New Roman" w:hAnsi="Times New Roman" w:cs="Times New Roman"/>
          <w:color w:val="000000"/>
          <w:lang w:val="en-US" w:eastAsia="pt-PT"/>
        </w:rPr>
        <w:t>±</w:t>
      </w:r>
      <w:r w:rsidR="00221DF7">
        <w:rPr>
          <w:rFonts w:ascii="Times New Roman" w:eastAsia="Times New Roman" w:hAnsi="Times New Roman" w:cs="Times New Roman"/>
          <w:color w:val="000000"/>
          <w:lang w:val="en-US" w:eastAsia="pt-PT"/>
        </w:rPr>
        <w:t xml:space="preserve"> standard error)</w:t>
      </w:r>
      <w:bookmarkEnd w:id="16"/>
      <w:bookmarkEnd w:id="17"/>
      <w:r w:rsidR="00E1694E">
        <w:rPr>
          <w:rFonts w:ascii="Times New Roman" w:eastAsia="Times New Roman" w:hAnsi="Times New Roman" w:cs="Times New Roman"/>
          <w:color w:val="000000"/>
          <w:lang w:val="en-US" w:eastAsia="pt-PT"/>
        </w:rPr>
        <w:t>.</w:t>
      </w:r>
    </w:p>
    <w:bookmarkEnd w:id="3"/>
    <w:p w14:paraId="69A5EB7D" w14:textId="6D3954BC" w:rsidR="007A0368" w:rsidRDefault="001F4D5B" w:rsidP="005462C1">
      <w:pPr>
        <w:spacing w:after="0" w:line="480" w:lineRule="auto"/>
        <w:jc w:val="both"/>
        <w:rPr>
          <w:rFonts w:ascii="Times New Roman" w:hAnsi="Times New Roman" w:cs="Times New Roman"/>
          <w:lang w:val="en-US"/>
        </w:rPr>
      </w:pPr>
      <w:r w:rsidRPr="0067680B">
        <w:rPr>
          <w:rFonts w:ascii="Times New Roman" w:hAnsi="Times New Roman" w:cs="Times New Roman"/>
          <w:lang w:val="en-US"/>
        </w:rPr>
        <w:t xml:space="preserve"> </w:t>
      </w:r>
    </w:p>
    <w:p w14:paraId="02AFDA3F" w14:textId="3C81FBA6" w:rsidR="008C47C3" w:rsidRDefault="005462C1" w:rsidP="005462C1">
      <w:pPr>
        <w:spacing w:line="480" w:lineRule="auto"/>
        <w:jc w:val="both"/>
        <w:rPr>
          <w:rFonts w:ascii="Times New Roman" w:hAnsi="Times New Roman" w:cs="Times New Roman"/>
          <w:sz w:val="20"/>
          <w:szCs w:val="20"/>
          <w:lang w:val="en-US"/>
        </w:rPr>
      </w:pPr>
      <w:r w:rsidRPr="0067680B">
        <w:rPr>
          <w:rFonts w:ascii="Times New Roman" w:hAnsi="Times New Roman" w:cs="Times New Roman"/>
          <w:b/>
          <w:bCs/>
          <w:sz w:val="20"/>
          <w:szCs w:val="20"/>
          <w:lang w:val="en-US"/>
        </w:rPr>
        <w:t>Table 1</w:t>
      </w:r>
      <w:r w:rsidRPr="0067680B">
        <w:rPr>
          <w:rFonts w:ascii="Times New Roman" w:hAnsi="Times New Roman" w:cs="Times New Roman"/>
          <w:sz w:val="20"/>
          <w:szCs w:val="20"/>
          <w:lang w:val="en-US"/>
        </w:rPr>
        <w:t>. A) Micronutrient concentration in the extractable fraction of the soil after four-month growth of grapevine plants inoculated or not</w:t>
      </w:r>
      <w:r w:rsidRPr="0067680B">
        <w:rPr>
          <w:rFonts w:ascii="Times New Roman" w:hAnsi="Times New Roman" w:cs="Times New Roman"/>
          <w:b/>
          <w:bCs/>
          <w:sz w:val="20"/>
          <w:szCs w:val="20"/>
          <w:lang w:val="en-US"/>
        </w:rPr>
        <w:t xml:space="preserve"> </w:t>
      </w:r>
      <w:r w:rsidRPr="0067680B">
        <w:rPr>
          <w:rFonts w:ascii="Times New Roman" w:hAnsi="Times New Roman" w:cs="Times New Roman"/>
          <w:sz w:val="20"/>
          <w:szCs w:val="20"/>
          <w:lang w:val="en-US"/>
        </w:rPr>
        <w:t xml:space="preserve">with </w:t>
      </w:r>
      <w:r w:rsidRPr="0067680B">
        <w:rPr>
          <w:rFonts w:ascii="Times New Roman" w:hAnsi="Times New Roman" w:cs="Times New Roman"/>
          <w:i/>
          <w:iCs/>
          <w:sz w:val="20"/>
          <w:szCs w:val="20"/>
          <w:lang w:val="en-US"/>
        </w:rPr>
        <w:t>Rhizoglomus irregulare</w:t>
      </w:r>
      <w:r w:rsidRPr="0067680B">
        <w:rPr>
          <w:rFonts w:ascii="Times New Roman" w:hAnsi="Times New Roman" w:cs="Times New Roman"/>
          <w:sz w:val="20"/>
          <w:szCs w:val="20"/>
          <w:lang w:val="en-US"/>
        </w:rPr>
        <w:t xml:space="preserve"> (Ri) or </w:t>
      </w:r>
      <w:r w:rsidRPr="0067680B">
        <w:rPr>
          <w:rFonts w:ascii="Times New Roman" w:hAnsi="Times New Roman" w:cs="Times New Roman"/>
          <w:i/>
          <w:iCs/>
          <w:sz w:val="20"/>
          <w:szCs w:val="20"/>
          <w:lang w:val="en-US"/>
        </w:rPr>
        <w:t>Funneliformis mosseae</w:t>
      </w:r>
      <w:r w:rsidRPr="0067680B">
        <w:rPr>
          <w:rFonts w:ascii="Times New Roman" w:hAnsi="Times New Roman" w:cs="Times New Roman"/>
          <w:sz w:val="20"/>
          <w:szCs w:val="20"/>
          <w:lang w:val="en-US"/>
        </w:rPr>
        <w:t xml:space="preserve"> (Fm) in </w:t>
      </w:r>
      <w:r w:rsidR="003E5176">
        <w:rPr>
          <w:rFonts w:ascii="Times New Roman" w:hAnsi="Times New Roman" w:cs="Times New Roman"/>
          <w:sz w:val="20"/>
          <w:szCs w:val="20"/>
          <w:lang w:val="en-US"/>
        </w:rPr>
        <w:t>the</w:t>
      </w:r>
      <w:r w:rsidR="003E5176" w:rsidRPr="0067680B">
        <w:rPr>
          <w:rFonts w:ascii="Times New Roman" w:hAnsi="Times New Roman" w:cs="Times New Roman"/>
          <w:sz w:val="20"/>
          <w:szCs w:val="20"/>
          <w:lang w:val="en-US"/>
        </w:rPr>
        <w:t xml:space="preserve"> </w:t>
      </w:r>
      <w:r w:rsidR="0083298F">
        <w:rPr>
          <w:rFonts w:ascii="Times New Roman" w:hAnsi="Times New Roman" w:cs="Times New Roman"/>
          <w:sz w:val="20"/>
          <w:szCs w:val="20"/>
          <w:lang w:val="en-US"/>
        </w:rPr>
        <w:t>control</w:t>
      </w:r>
      <w:r w:rsidRPr="0067680B">
        <w:rPr>
          <w:rFonts w:ascii="Times New Roman" w:hAnsi="Times New Roman" w:cs="Times New Roman"/>
          <w:sz w:val="20"/>
          <w:szCs w:val="20"/>
          <w:lang w:val="en-US"/>
        </w:rPr>
        <w:t xml:space="preserve"> soil, </w:t>
      </w:r>
      <w:r w:rsidR="003E5176">
        <w:rPr>
          <w:rFonts w:ascii="Times New Roman" w:hAnsi="Times New Roman" w:cs="Times New Roman"/>
          <w:sz w:val="20"/>
          <w:szCs w:val="20"/>
          <w:lang w:val="en-US"/>
        </w:rPr>
        <w:t xml:space="preserve">and in the </w:t>
      </w:r>
      <w:r w:rsidRPr="0067680B">
        <w:rPr>
          <w:rFonts w:ascii="Times New Roman" w:hAnsi="Times New Roman" w:cs="Times New Roman"/>
          <w:sz w:val="20"/>
          <w:szCs w:val="20"/>
          <w:lang w:val="en-US"/>
        </w:rPr>
        <w:t>Cu</w:t>
      </w:r>
      <w:r w:rsidR="005B014C">
        <w:rPr>
          <w:rFonts w:ascii="Times New Roman" w:hAnsi="Times New Roman" w:cs="Times New Roman"/>
          <w:sz w:val="20"/>
          <w:szCs w:val="20"/>
          <w:lang w:val="en-US"/>
        </w:rPr>
        <w:t>-</w:t>
      </w:r>
      <w:r w:rsidRPr="0067680B">
        <w:rPr>
          <w:rFonts w:ascii="Times New Roman" w:hAnsi="Times New Roman" w:cs="Times New Roman"/>
          <w:sz w:val="20"/>
          <w:szCs w:val="20"/>
          <w:lang w:val="en-US"/>
        </w:rPr>
        <w:t xml:space="preserve"> </w:t>
      </w:r>
      <w:r w:rsidR="005B014C">
        <w:rPr>
          <w:rFonts w:ascii="Times New Roman" w:hAnsi="Times New Roman" w:cs="Times New Roman"/>
          <w:sz w:val="20"/>
          <w:szCs w:val="20"/>
          <w:lang w:val="en-US"/>
        </w:rPr>
        <w:t>and</w:t>
      </w:r>
      <w:r w:rsidR="005B014C" w:rsidRPr="0067680B">
        <w:rPr>
          <w:rFonts w:ascii="Times New Roman" w:hAnsi="Times New Roman" w:cs="Times New Roman"/>
          <w:sz w:val="20"/>
          <w:szCs w:val="20"/>
          <w:lang w:val="en-US"/>
        </w:rPr>
        <w:t xml:space="preserve"> </w:t>
      </w:r>
      <w:r w:rsidRPr="0067680B">
        <w:rPr>
          <w:rFonts w:ascii="Times New Roman" w:hAnsi="Times New Roman" w:cs="Times New Roman"/>
          <w:sz w:val="20"/>
          <w:szCs w:val="20"/>
          <w:lang w:val="en-US"/>
        </w:rPr>
        <w:t>Cu</w:t>
      </w:r>
      <w:r w:rsidR="003E5176">
        <w:rPr>
          <w:rFonts w:ascii="Times New Roman" w:hAnsi="Times New Roman" w:cs="Times New Roman"/>
          <w:sz w:val="20"/>
          <w:szCs w:val="20"/>
          <w:lang w:val="en-US"/>
        </w:rPr>
        <w:t>+FeNaEDTA-treated</w:t>
      </w:r>
      <w:r w:rsidRPr="0067680B">
        <w:rPr>
          <w:rFonts w:ascii="Times New Roman" w:hAnsi="Times New Roman" w:cs="Times New Roman"/>
          <w:sz w:val="20"/>
          <w:szCs w:val="20"/>
          <w:lang w:val="en-US"/>
        </w:rPr>
        <w:t xml:space="preserve"> soil</w:t>
      </w:r>
      <w:r w:rsidR="003E5176">
        <w:rPr>
          <w:rFonts w:ascii="Times New Roman" w:hAnsi="Times New Roman" w:cs="Times New Roman"/>
          <w:sz w:val="20"/>
          <w:szCs w:val="20"/>
          <w:lang w:val="en-US"/>
        </w:rPr>
        <w:t>s</w:t>
      </w:r>
      <w:r w:rsidRPr="0067680B">
        <w:rPr>
          <w:rFonts w:ascii="Times New Roman" w:hAnsi="Times New Roman" w:cs="Times New Roman"/>
          <w:sz w:val="20"/>
          <w:szCs w:val="20"/>
          <w:lang w:val="en-US"/>
        </w:rPr>
        <w:t xml:space="preserve">. Data represent average values (n = 3-4) ± standard error. Different letters indicate significant differences among the different experimental treatments, according to Duncan </w:t>
      </w:r>
      <w:r w:rsidR="005B014C">
        <w:rPr>
          <w:rFonts w:ascii="Times New Roman" w:hAnsi="Times New Roman" w:cs="Times New Roman"/>
          <w:i/>
          <w:iCs/>
          <w:lang w:val="en-US"/>
        </w:rPr>
        <w:t>post hoc</w:t>
      </w:r>
      <w:r w:rsidR="005B014C" w:rsidRPr="0067680B" w:rsidDel="005B014C">
        <w:rPr>
          <w:rFonts w:ascii="Times New Roman" w:hAnsi="Times New Roman" w:cs="Times New Roman"/>
          <w:i/>
          <w:iCs/>
          <w:sz w:val="20"/>
          <w:szCs w:val="20"/>
          <w:lang w:val="en-US"/>
        </w:rPr>
        <w:t xml:space="preserve"> </w:t>
      </w:r>
      <w:r w:rsidRPr="0067680B">
        <w:rPr>
          <w:rFonts w:ascii="Times New Roman" w:hAnsi="Times New Roman" w:cs="Times New Roman"/>
          <w:sz w:val="20"/>
          <w:szCs w:val="20"/>
          <w:lang w:val="en-US"/>
        </w:rPr>
        <w:t xml:space="preserve">tests. B) P-values of the two-way ANOVA test for the effects of the factors “Soil treatment” and “Mycorrhizal treatment” and their interaction; Significant effect: p-value ≤ 0.05. </w:t>
      </w:r>
    </w:p>
    <w:tbl>
      <w:tblPr>
        <w:tblW w:w="5000" w:type="pct"/>
        <w:jc w:val="center"/>
        <w:tblCellMar>
          <w:left w:w="0" w:type="dxa"/>
          <w:right w:w="0" w:type="dxa"/>
        </w:tblCellMar>
        <w:tblLook w:val="04A0" w:firstRow="1" w:lastRow="0" w:firstColumn="1" w:lastColumn="0" w:noHBand="0" w:noVBand="1"/>
      </w:tblPr>
      <w:tblGrid>
        <w:gridCol w:w="541"/>
        <w:gridCol w:w="1520"/>
        <w:gridCol w:w="194"/>
        <w:gridCol w:w="1248"/>
        <w:gridCol w:w="65"/>
        <w:gridCol w:w="339"/>
        <w:gridCol w:w="1090"/>
        <w:gridCol w:w="336"/>
        <w:gridCol w:w="811"/>
        <w:gridCol w:w="230"/>
        <w:gridCol w:w="1348"/>
        <w:gridCol w:w="1348"/>
      </w:tblGrid>
      <w:tr w:rsidR="005462C1" w:rsidRPr="005C3C09" w14:paraId="7D6CBD2C" w14:textId="77777777" w:rsidTr="00970ED1">
        <w:trPr>
          <w:trHeight w:val="255"/>
          <w:jc w:val="center"/>
        </w:trPr>
        <w:tc>
          <w:tcPr>
            <w:tcW w:w="298" w:type="pct"/>
            <w:tcBorders>
              <w:top w:val="nil"/>
              <w:left w:val="nil"/>
              <w:bottom w:val="nil"/>
              <w:right w:val="nil"/>
            </w:tcBorders>
            <w:shd w:val="clear" w:color="000000" w:fill="FFFFFF"/>
            <w:noWrap/>
            <w:vAlign w:val="bottom"/>
            <w:hideMark/>
          </w:tcPr>
          <w:p w14:paraId="415C81DF" w14:textId="77777777" w:rsidR="005462C1" w:rsidRPr="005C3C09" w:rsidRDefault="005462C1" w:rsidP="00F3546A">
            <w:pPr>
              <w:jc w:val="right"/>
              <w:rPr>
                <w:rFonts w:ascii="Times New Roman" w:hAnsi="Times New Roman" w:cs="Times New Roman"/>
                <w:b/>
                <w:bCs/>
                <w:sz w:val="18"/>
                <w:szCs w:val="18"/>
              </w:rPr>
            </w:pPr>
            <w:r w:rsidRPr="005C3C09">
              <w:rPr>
                <w:rFonts w:ascii="Times New Roman" w:hAnsi="Times New Roman" w:cs="Times New Roman"/>
                <w:b/>
                <w:bCs/>
                <w:sz w:val="18"/>
                <w:szCs w:val="18"/>
              </w:rPr>
              <w:lastRenderedPageBreak/>
              <w:t>A)</w:t>
            </w:r>
          </w:p>
        </w:tc>
        <w:tc>
          <w:tcPr>
            <w:tcW w:w="945" w:type="pct"/>
            <w:gridSpan w:val="2"/>
            <w:tcBorders>
              <w:top w:val="nil"/>
              <w:left w:val="nil"/>
              <w:bottom w:val="nil"/>
              <w:right w:val="nil"/>
            </w:tcBorders>
            <w:shd w:val="clear" w:color="000000" w:fill="FFFFFF"/>
            <w:noWrap/>
            <w:vAlign w:val="bottom"/>
            <w:hideMark/>
          </w:tcPr>
          <w:p w14:paraId="14EF2513" w14:textId="77777777" w:rsidR="005462C1" w:rsidRPr="005C3C09" w:rsidRDefault="005462C1" w:rsidP="00F3546A">
            <w:pPr>
              <w:rPr>
                <w:rFonts w:ascii="Times New Roman" w:hAnsi="Times New Roman" w:cs="Times New Roman"/>
                <w:sz w:val="18"/>
                <w:szCs w:val="18"/>
              </w:rPr>
            </w:pPr>
            <w:r w:rsidRPr="005C3C09">
              <w:rPr>
                <w:rFonts w:ascii="Times New Roman" w:hAnsi="Times New Roman" w:cs="Times New Roman"/>
                <w:sz w:val="18"/>
                <w:szCs w:val="18"/>
              </w:rPr>
              <w:t> </w:t>
            </w:r>
          </w:p>
        </w:tc>
        <w:tc>
          <w:tcPr>
            <w:tcW w:w="911" w:type="pct"/>
            <w:gridSpan w:val="3"/>
            <w:tcBorders>
              <w:top w:val="nil"/>
              <w:left w:val="nil"/>
              <w:bottom w:val="nil"/>
              <w:right w:val="nil"/>
            </w:tcBorders>
            <w:shd w:val="clear" w:color="000000" w:fill="FFFFFF"/>
            <w:noWrap/>
            <w:vAlign w:val="bottom"/>
            <w:hideMark/>
          </w:tcPr>
          <w:p w14:paraId="356E144F" w14:textId="77777777" w:rsidR="005462C1" w:rsidRPr="005C3C09" w:rsidRDefault="005462C1" w:rsidP="00F3546A">
            <w:pPr>
              <w:rPr>
                <w:rFonts w:ascii="Times New Roman" w:hAnsi="Times New Roman" w:cs="Times New Roman"/>
                <w:sz w:val="18"/>
                <w:szCs w:val="18"/>
              </w:rPr>
            </w:pPr>
            <w:r w:rsidRPr="005C3C09">
              <w:rPr>
                <w:rFonts w:ascii="Times New Roman" w:hAnsi="Times New Roman" w:cs="Times New Roman"/>
                <w:sz w:val="18"/>
                <w:szCs w:val="18"/>
              </w:rPr>
              <w:t> </w:t>
            </w:r>
          </w:p>
        </w:tc>
        <w:tc>
          <w:tcPr>
            <w:tcW w:w="786" w:type="pct"/>
            <w:gridSpan w:val="2"/>
            <w:tcBorders>
              <w:top w:val="nil"/>
              <w:left w:val="nil"/>
              <w:bottom w:val="nil"/>
              <w:right w:val="nil"/>
            </w:tcBorders>
            <w:shd w:val="clear" w:color="000000" w:fill="FFFFFF"/>
            <w:noWrap/>
            <w:vAlign w:val="bottom"/>
            <w:hideMark/>
          </w:tcPr>
          <w:p w14:paraId="5B0DDC56" w14:textId="77777777" w:rsidR="005462C1" w:rsidRPr="005C3C09" w:rsidRDefault="005462C1" w:rsidP="00F3546A">
            <w:pPr>
              <w:rPr>
                <w:rFonts w:ascii="Times New Roman" w:hAnsi="Times New Roman" w:cs="Times New Roman"/>
                <w:sz w:val="18"/>
                <w:szCs w:val="18"/>
              </w:rPr>
            </w:pPr>
            <w:r w:rsidRPr="005C3C09">
              <w:rPr>
                <w:rFonts w:ascii="Times New Roman" w:hAnsi="Times New Roman" w:cs="Times New Roman"/>
                <w:sz w:val="18"/>
                <w:szCs w:val="18"/>
              </w:rPr>
              <w:t> </w:t>
            </w:r>
          </w:p>
        </w:tc>
        <w:tc>
          <w:tcPr>
            <w:tcW w:w="574" w:type="pct"/>
            <w:gridSpan w:val="2"/>
            <w:tcBorders>
              <w:top w:val="nil"/>
              <w:left w:val="nil"/>
              <w:bottom w:val="nil"/>
              <w:right w:val="nil"/>
            </w:tcBorders>
            <w:shd w:val="clear" w:color="000000" w:fill="FFFFFF"/>
            <w:noWrap/>
            <w:vAlign w:val="bottom"/>
            <w:hideMark/>
          </w:tcPr>
          <w:p w14:paraId="3DCAAD94" w14:textId="77777777" w:rsidR="005462C1" w:rsidRPr="005C3C09" w:rsidRDefault="005462C1" w:rsidP="00F3546A">
            <w:pPr>
              <w:rPr>
                <w:rFonts w:ascii="Times New Roman" w:hAnsi="Times New Roman" w:cs="Times New Roman"/>
                <w:sz w:val="18"/>
                <w:szCs w:val="18"/>
              </w:rPr>
            </w:pPr>
            <w:r w:rsidRPr="005C3C09">
              <w:rPr>
                <w:rFonts w:ascii="Times New Roman" w:hAnsi="Times New Roman" w:cs="Times New Roman"/>
                <w:sz w:val="18"/>
                <w:szCs w:val="18"/>
              </w:rPr>
              <w:t> </w:t>
            </w:r>
          </w:p>
        </w:tc>
        <w:tc>
          <w:tcPr>
            <w:tcW w:w="743" w:type="pct"/>
            <w:tcBorders>
              <w:top w:val="nil"/>
              <w:left w:val="nil"/>
              <w:bottom w:val="nil"/>
              <w:right w:val="nil"/>
            </w:tcBorders>
            <w:shd w:val="clear" w:color="000000" w:fill="FFFFFF"/>
            <w:noWrap/>
            <w:vAlign w:val="bottom"/>
            <w:hideMark/>
          </w:tcPr>
          <w:p w14:paraId="2371D48B" w14:textId="77777777" w:rsidR="005462C1" w:rsidRPr="005C3C09" w:rsidRDefault="005462C1" w:rsidP="00F3546A">
            <w:pPr>
              <w:rPr>
                <w:rFonts w:ascii="Times New Roman" w:hAnsi="Times New Roman" w:cs="Times New Roman"/>
                <w:sz w:val="18"/>
                <w:szCs w:val="18"/>
              </w:rPr>
            </w:pPr>
            <w:r w:rsidRPr="005C3C09">
              <w:rPr>
                <w:rFonts w:ascii="Times New Roman" w:hAnsi="Times New Roman" w:cs="Times New Roman"/>
                <w:sz w:val="18"/>
                <w:szCs w:val="18"/>
              </w:rPr>
              <w:t> </w:t>
            </w:r>
          </w:p>
        </w:tc>
        <w:tc>
          <w:tcPr>
            <w:tcW w:w="744" w:type="pct"/>
            <w:tcBorders>
              <w:top w:val="nil"/>
              <w:left w:val="nil"/>
              <w:bottom w:val="nil"/>
              <w:right w:val="nil"/>
            </w:tcBorders>
            <w:shd w:val="clear" w:color="000000" w:fill="FFFFFF"/>
            <w:noWrap/>
            <w:vAlign w:val="bottom"/>
            <w:hideMark/>
          </w:tcPr>
          <w:p w14:paraId="60F3A0CD" w14:textId="77777777" w:rsidR="005462C1" w:rsidRPr="005C3C09" w:rsidRDefault="005462C1" w:rsidP="00F3546A">
            <w:pPr>
              <w:rPr>
                <w:rFonts w:ascii="Times New Roman" w:hAnsi="Times New Roman" w:cs="Times New Roman"/>
                <w:sz w:val="18"/>
                <w:szCs w:val="18"/>
              </w:rPr>
            </w:pPr>
            <w:r w:rsidRPr="005C3C09">
              <w:rPr>
                <w:rFonts w:ascii="Times New Roman" w:hAnsi="Times New Roman" w:cs="Times New Roman"/>
                <w:sz w:val="18"/>
                <w:szCs w:val="18"/>
              </w:rPr>
              <w:t> </w:t>
            </w:r>
          </w:p>
        </w:tc>
      </w:tr>
      <w:tr w:rsidR="005462C1" w:rsidRPr="005C3C09" w14:paraId="5587FEB4" w14:textId="77777777" w:rsidTr="00970ED1">
        <w:trPr>
          <w:trHeight w:val="289"/>
          <w:jc w:val="center"/>
        </w:trPr>
        <w:tc>
          <w:tcPr>
            <w:tcW w:w="298" w:type="pct"/>
            <w:tcBorders>
              <w:top w:val="nil"/>
              <w:left w:val="nil"/>
              <w:bottom w:val="nil"/>
              <w:right w:val="nil"/>
            </w:tcBorders>
            <w:shd w:val="clear" w:color="000000" w:fill="FFFFFF"/>
            <w:noWrap/>
            <w:vAlign w:val="bottom"/>
            <w:hideMark/>
          </w:tcPr>
          <w:p w14:paraId="4FA245FB" w14:textId="77777777" w:rsidR="005462C1" w:rsidRPr="005C3C09" w:rsidRDefault="005462C1" w:rsidP="00F3546A">
            <w:pPr>
              <w:jc w:val="right"/>
              <w:rPr>
                <w:rFonts w:ascii="Times New Roman" w:hAnsi="Times New Roman" w:cs="Times New Roman"/>
                <w:b/>
                <w:bCs/>
                <w:sz w:val="18"/>
                <w:szCs w:val="18"/>
              </w:rPr>
            </w:pPr>
            <w:r w:rsidRPr="005C3C09">
              <w:rPr>
                <w:rFonts w:ascii="Times New Roman" w:hAnsi="Times New Roman" w:cs="Times New Roman"/>
                <w:b/>
                <w:bCs/>
                <w:sz w:val="18"/>
                <w:szCs w:val="18"/>
              </w:rPr>
              <w:t> </w:t>
            </w:r>
          </w:p>
        </w:tc>
        <w:tc>
          <w:tcPr>
            <w:tcW w:w="838" w:type="pct"/>
            <w:vMerge w:val="restart"/>
            <w:tcBorders>
              <w:top w:val="nil"/>
              <w:left w:val="nil"/>
              <w:bottom w:val="single" w:sz="4" w:space="0" w:color="000000"/>
              <w:right w:val="nil"/>
            </w:tcBorders>
            <w:shd w:val="clear" w:color="000000" w:fill="FFFFFF"/>
            <w:noWrap/>
            <w:vAlign w:val="center"/>
            <w:hideMark/>
          </w:tcPr>
          <w:p w14:paraId="1F6397E9" w14:textId="77777777" w:rsidR="005462C1" w:rsidRPr="005C3C09" w:rsidRDefault="005462C1" w:rsidP="00F3546A">
            <w:pPr>
              <w:jc w:val="center"/>
              <w:rPr>
                <w:rFonts w:ascii="Times New Roman" w:hAnsi="Times New Roman" w:cs="Times New Roman"/>
                <w:b/>
                <w:bCs/>
                <w:sz w:val="18"/>
                <w:szCs w:val="18"/>
              </w:rPr>
            </w:pPr>
            <w:r w:rsidRPr="005C3C09">
              <w:rPr>
                <w:rFonts w:ascii="Times New Roman" w:hAnsi="Times New Roman" w:cs="Times New Roman"/>
                <w:b/>
                <w:bCs/>
                <w:sz w:val="18"/>
                <w:szCs w:val="18"/>
              </w:rPr>
              <w:t>Soil treatment</w:t>
            </w:r>
          </w:p>
        </w:tc>
        <w:tc>
          <w:tcPr>
            <w:tcW w:w="795" w:type="pct"/>
            <w:gridSpan w:val="2"/>
            <w:vMerge w:val="restart"/>
            <w:tcBorders>
              <w:top w:val="nil"/>
              <w:left w:val="nil"/>
              <w:bottom w:val="single" w:sz="4" w:space="0" w:color="000000"/>
              <w:right w:val="nil"/>
            </w:tcBorders>
            <w:shd w:val="clear" w:color="000000" w:fill="FFFFFF"/>
            <w:vAlign w:val="center"/>
            <w:hideMark/>
          </w:tcPr>
          <w:p w14:paraId="4AC7846F" w14:textId="77777777" w:rsidR="005462C1" w:rsidRPr="005C3C09" w:rsidRDefault="005462C1" w:rsidP="00F3546A">
            <w:pPr>
              <w:jc w:val="center"/>
              <w:rPr>
                <w:rFonts w:ascii="Times New Roman" w:hAnsi="Times New Roman" w:cs="Times New Roman"/>
                <w:b/>
                <w:bCs/>
                <w:sz w:val="18"/>
                <w:szCs w:val="18"/>
              </w:rPr>
            </w:pPr>
            <w:r w:rsidRPr="005C3C09">
              <w:rPr>
                <w:rFonts w:ascii="Times New Roman" w:hAnsi="Times New Roman" w:cs="Times New Roman"/>
                <w:b/>
                <w:bCs/>
                <w:sz w:val="18"/>
                <w:szCs w:val="18"/>
              </w:rPr>
              <w:t>Mycorrhizal treatment</w:t>
            </w:r>
          </w:p>
        </w:tc>
        <w:tc>
          <w:tcPr>
            <w:tcW w:w="3069" w:type="pct"/>
            <w:gridSpan w:val="8"/>
            <w:tcBorders>
              <w:top w:val="nil"/>
              <w:left w:val="nil"/>
              <w:bottom w:val="single" w:sz="8" w:space="0" w:color="auto"/>
              <w:right w:val="nil"/>
            </w:tcBorders>
            <w:shd w:val="clear" w:color="000000" w:fill="FFFFFF"/>
            <w:noWrap/>
            <w:vAlign w:val="center"/>
            <w:hideMark/>
          </w:tcPr>
          <w:p w14:paraId="63307867" w14:textId="77777777" w:rsidR="005462C1" w:rsidRPr="005C3C09" w:rsidRDefault="005462C1" w:rsidP="00F3546A">
            <w:pPr>
              <w:jc w:val="center"/>
              <w:rPr>
                <w:rFonts w:ascii="Times New Roman" w:hAnsi="Times New Roman" w:cs="Times New Roman"/>
                <w:b/>
                <w:bCs/>
                <w:sz w:val="18"/>
                <w:szCs w:val="18"/>
              </w:rPr>
            </w:pPr>
            <w:r w:rsidRPr="005C3C09">
              <w:rPr>
                <w:rFonts w:ascii="Times New Roman" w:hAnsi="Times New Roman" w:cs="Times New Roman"/>
                <w:b/>
                <w:bCs/>
                <w:sz w:val="18"/>
                <w:szCs w:val="18"/>
              </w:rPr>
              <w:t>Micronutrient concentration (mg/kg)</w:t>
            </w:r>
          </w:p>
        </w:tc>
      </w:tr>
      <w:tr w:rsidR="005462C1" w:rsidRPr="005C3C09" w14:paraId="1D0B0D21" w14:textId="77777777" w:rsidTr="00970ED1">
        <w:trPr>
          <w:trHeight w:val="300"/>
          <w:jc w:val="center"/>
        </w:trPr>
        <w:tc>
          <w:tcPr>
            <w:tcW w:w="298" w:type="pct"/>
            <w:tcBorders>
              <w:top w:val="nil"/>
              <w:left w:val="nil"/>
              <w:bottom w:val="nil"/>
              <w:right w:val="nil"/>
            </w:tcBorders>
            <w:shd w:val="clear" w:color="000000" w:fill="FFFFFF"/>
            <w:noWrap/>
            <w:vAlign w:val="bottom"/>
            <w:hideMark/>
          </w:tcPr>
          <w:p w14:paraId="5D431FD2" w14:textId="77777777" w:rsidR="005462C1" w:rsidRPr="005C3C09" w:rsidRDefault="005462C1" w:rsidP="00F3546A">
            <w:pPr>
              <w:jc w:val="right"/>
              <w:rPr>
                <w:rFonts w:ascii="Times New Roman" w:hAnsi="Times New Roman" w:cs="Times New Roman"/>
                <w:b/>
                <w:bCs/>
                <w:sz w:val="18"/>
                <w:szCs w:val="18"/>
              </w:rPr>
            </w:pPr>
            <w:r w:rsidRPr="005C3C09">
              <w:rPr>
                <w:rFonts w:ascii="Times New Roman" w:hAnsi="Times New Roman" w:cs="Times New Roman"/>
                <w:b/>
                <w:bCs/>
                <w:sz w:val="18"/>
                <w:szCs w:val="18"/>
              </w:rPr>
              <w:t> </w:t>
            </w:r>
          </w:p>
        </w:tc>
        <w:tc>
          <w:tcPr>
            <w:tcW w:w="838" w:type="pct"/>
            <w:vMerge/>
            <w:tcBorders>
              <w:top w:val="nil"/>
              <w:left w:val="nil"/>
              <w:bottom w:val="single" w:sz="4" w:space="0" w:color="000000"/>
              <w:right w:val="nil"/>
            </w:tcBorders>
            <w:vAlign w:val="center"/>
            <w:hideMark/>
          </w:tcPr>
          <w:p w14:paraId="7328B2B9" w14:textId="77777777" w:rsidR="005462C1" w:rsidRPr="005C3C09" w:rsidRDefault="005462C1" w:rsidP="00F3546A">
            <w:pPr>
              <w:rPr>
                <w:rFonts w:ascii="Times New Roman" w:hAnsi="Times New Roman" w:cs="Times New Roman"/>
                <w:b/>
                <w:bCs/>
                <w:sz w:val="18"/>
                <w:szCs w:val="18"/>
              </w:rPr>
            </w:pPr>
          </w:p>
        </w:tc>
        <w:tc>
          <w:tcPr>
            <w:tcW w:w="795" w:type="pct"/>
            <w:gridSpan w:val="2"/>
            <w:vMerge/>
            <w:tcBorders>
              <w:top w:val="nil"/>
              <w:left w:val="nil"/>
              <w:bottom w:val="single" w:sz="4" w:space="0" w:color="000000"/>
              <w:right w:val="nil"/>
            </w:tcBorders>
            <w:vAlign w:val="center"/>
            <w:hideMark/>
          </w:tcPr>
          <w:p w14:paraId="7B5D5193" w14:textId="77777777" w:rsidR="005462C1" w:rsidRPr="005C3C09" w:rsidRDefault="005462C1" w:rsidP="00F3546A">
            <w:pPr>
              <w:rPr>
                <w:rFonts w:ascii="Times New Roman" w:hAnsi="Times New Roman" w:cs="Times New Roman"/>
                <w:b/>
                <w:bCs/>
                <w:sz w:val="18"/>
                <w:szCs w:val="18"/>
              </w:rPr>
            </w:pPr>
          </w:p>
        </w:tc>
        <w:tc>
          <w:tcPr>
            <w:tcW w:w="824" w:type="pct"/>
            <w:gridSpan w:val="3"/>
            <w:tcBorders>
              <w:top w:val="nil"/>
              <w:left w:val="nil"/>
              <w:bottom w:val="single" w:sz="4" w:space="0" w:color="auto"/>
              <w:right w:val="nil"/>
            </w:tcBorders>
            <w:shd w:val="clear" w:color="000000" w:fill="FFFFFF"/>
            <w:noWrap/>
            <w:vAlign w:val="center"/>
            <w:hideMark/>
          </w:tcPr>
          <w:p w14:paraId="460F63AC" w14:textId="77777777" w:rsidR="005462C1" w:rsidRPr="005C3C09" w:rsidRDefault="005462C1" w:rsidP="00F3546A">
            <w:pPr>
              <w:jc w:val="center"/>
              <w:rPr>
                <w:rFonts w:ascii="Times New Roman" w:hAnsi="Times New Roman" w:cs="Times New Roman"/>
                <w:b/>
                <w:bCs/>
                <w:sz w:val="18"/>
                <w:szCs w:val="18"/>
              </w:rPr>
            </w:pPr>
            <w:r w:rsidRPr="005C3C09">
              <w:rPr>
                <w:rFonts w:ascii="Times New Roman" w:hAnsi="Times New Roman" w:cs="Times New Roman"/>
                <w:b/>
                <w:bCs/>
                <w:sz w:val="18"/>
                <w:szCs w:val="18"/>
              </w:rPr>
              <w:t xml:space="preserve">Cu </w:t>
            </w:r>
          </w:p>
        </w:tc>
        <w:tc>
          <w:tcPr>
            <w:tcW w:w="632" w:type="pct"/>
            <w:gridSpan w:val="2"/>
            <w:tcBorders>
              <w:top w:val="nil"/>
              <w:left w:val="nil"/>
              <w:bottom w:val="single" w:sz="4" w:space="0" w:color="auto"/>
              <w:right w:val="nil"/>
            </w:tcBorders>
            <w:shd w:val="clear" w:color="000000" w:fill="FFFFFF"/>
            <w:noWrap/>
            <w:vAlign w:val="center"/>
            <w:hideMark/>
          </w:tcPr>
          <w:p w14:paraId="576F8D48" w14:textId="77777777" w:rsidR="005462C1" w:rsidRPr="005C3C09" w:rsidRDefault="005462C1" w:rsidP="00F3546A">
            <w:pPr>
              <w:jc w:val="center"/>
              <w:rPr>
                <w:rFonts w:ascii="Times New Roman" w:hAnsi="Times New Roman" w:cs="Times New Roman"/>
                <w:b/>
                <w:bCs/>
                <w:sz w:val="18"/>
                <w:szCs w:val="18"/>
              </w:rPr>
            </w:pPr>
            <w:r w:rsidRPr="005C3C09">
              <w:rPr>
                <w:rFonts w:ascii="Times New Roman" w:hAnsi="Times New Roman" w:cs="Times New Roman"/>
                <w:b/>
                <w:bCs/>
                <w:sz w:val="18"/>
                <w:szCs w:val="18"/>
              </w:rPr>
              <w:t xml:space="preserve">Zn </w:t>
            </w:r>
          </w:p>
        </w:tc>
        <w:tc>
          <w:tcPr>
            <w:tcW w:w="869" w:type="pct"/>
            <w:gridSpan w:val="2"/>
            <w:tcBorders>
              <w:top w:val="nil"/>
              <w:left w:val="nil"/>
              <w:bottom w:val="single" w:sz="4" w:space="0" w:color="auto"/>
              <w:right w:val="nil"/>
            </w:tcBorders>
            <w:shd w:val="clear" w:color="000000" w:fill="FFFFFF"/>
            <w:noWrap/>
            <w:vAlign w:val="center"/>
            <w:hideMark/>
          </w:tcPr>
          <w:p w14:paraId="6D8BEE27" w14:textId="77777777" w:rsidR="005462C1" w:rsidRPr="005C3C09" w:rsidRDefault="005462C1" w:rsidP="00F3546A">
            <w:pPr>
              <w:jc w:val="center"/>
              <w:rPr>
                <w:rFonts w:ascii="Times New Roman" w:hAnsi="Times New Roman" w:cs="Times New Roman"/>
                <w:b/>
                <w:bCs/>
                <w:sz w:val="18"/>
                <w:szCs w:val="18"/>
              </w:rPr>
            </w:pPr>
            <w:r w:rsidRPr="005C3C09">
              <w:rPr>
                <w:rFonts w:ascii="Times New Roman" w:hAnsi="Times New Roman" w:cs="Times New Roman"/>
                <w:b/>
                <w:bCs/>
                <w:sz w:val="18"/>
                <w:szCs w:val="18"/>
              </w:rPr>
              <w:t>Mn</w:t>
            </w:r>
          </w:p>
        </w:tc>
        <w:tc>
          <w:tcPr>
            <w:tcW w:w="744" w:type="pct"/>
            <w:tcBorders>
              <w:top w:val="nil"/>
              <w:left w:val="nil"/>
              <w:bottom w:val="single" w:sz="4" w:space="0" w:color="auto"/>
              <w:right w:val="nil"/>
            </w:tcBorders>
            <w:shd w:val="clear" w:color="000000" w:fill="FFFFFF"/>
            <w:noWrap/>
            <w:vAlign w:val="center"/>
            <w:hideMark/>
          </w:tcPr>
          <w:p w14:paraId="2C3C36B2" w14:textId="0E261577" w:rsidR="005462C1" w:rsidRPr="005C3C09" w:rsidRDefault="005462C1" w:rsidP="00F3546A">
            <w:pPr>
              <w:jc w:val="center"/>
              <w:rPr>
                <w:rFonts w:ascii="Times New Roman" w:hAnsi="Times New Roman" w:cs="Times New Roman"/>
                <w:b/>
                <w:bCs/>
                <w:sz w:val="18"/>
                <w:szCs w:val="18"/>
              </w:rPr>
            </w:pPr>
            <w:r w:rsidRPr="005C3C09">
              <w:rPr>
                <w:rFonts w:ascii="Times New Roman" w:hAnsi="Times New Roman" w:cs="Times New Roman"/>
                <w:b/>
                <w:bCs/>
                <w:sz w:val="18"/>
                <w:szCs w:val="18"/>
              </w:rPr>
              <w:t>Fe</w:t>
            </w:r>
            <w:r w:rsidR="00A30999" w:rsidRPr="006A2E63">
              <w:rPr>
                <w:rFonts w:ascii="Times New Roman" w:hAnsi="Times New Roman" w:cs="Times New Roman"/>
                <w:b/>
                <w:bCs/>
                <w:sz w:val="18"/>
                <w:szCs w:val="18"/>
                <w:vertAlign w:val="superscript"/>
              </w:rPr>
              <w:t>1</w:t>
            </w:r>
            <w:r w:rsidRPr="005C3C09">
              <w:rPr>
                <w:rFonts w:ascii="Times New Roman" w:hAnsi="Times New Roman" w:cs="Times New Roman"/>
                <w:b/>
                <w:bCs/>
                <w:sz w:val="18"/>
                <w:szCs w:val="18"/>
              </w:rPr>
              <w:t xml:space="preserve"> </w:t>
            </w:r>
          </w:p>
        </w:tc>
      </w:tr>
      <w:tr w:rsidR="005462C1" w:rsidRPr="005C3C09" w14:paraId="377A80A2" w14:textId="77777777" w:rsidTr="00970ED1">
        <w:trPr>
          <w:trHeight w:val="300"/>
          <w:jc w:val="center"/>
        </w:trPr>
        <w:tc>
          <w:tcPr>
            <w:tcW w:w="298" w:type="pct"/>
            <w:tcBorders>
              <w:top w:val="nil"/>
              <w:left w:val="nil"/>
              <w:bottom w:val="nil"/>
              <w:right w:val="nil"/>
            </w:tcBorders>
            <w:shd w:val="clear" w:color="000000" w:fill="FFFFFF"/>
            <w:noWrap/>
            <w:vAlign w:val="bottom"/>
            <w:hideMark/>
          </w:tcPr>
          <w:p w14:paraId="4C0362E2" w14:textId="77777777" w:rsidR="005462C1" w:rsidRPr="005C3C09" w:rsidRDefault="005462C1" w:rsidP="00F3546A">
            <w:pPr>
              <w:jc w:val="right"/>
              <w:rPr>
                <w:rFonts w:ascii="Times New Roman" w:hAnsi="Times New Roman" w:cs="Times New Roman"/>
                <w:b/>
                <w:bCs/>
                <w:sz w:val="18"/>
                <w:szCs w:val="18"/>
              </w:rPr>
            </w:pPr>
            <w:r w:rsidRPr="005C3C09">
              <w:rPr>
                <w:rFonts w:ascii="Times New Roman" w:hAnsi="Times New Roman" w:cs="Times New Roman"/>
                <w:b/>
                <w:bCs/>
                <w:sz w:val="18"/>
                <w:szCs w:val="18"/>
              </w:rPr>
              <w:t> </w:t>
            </w:r>
          </w:p>
        </w:tc>
        <w:tc>
          <w:tcPr>
            <w:tcW w:w="838" w:type="pct"/>
            <w:vMerge w:val="restart"/>
            <w:tcBorders>
              <w:top w:val="nil"/>
              <w:left w:val="nil"/>
              <w:bottom w:val="single" w:sz="4" w:space="0" w:color="000000"/>
              <w:right w:val="nil"/>
            </w:tcBorders>
            <w:shd w:val="clear" w:color="000000" w:fill="FFFFFF"/>
            <w:vAlign w:val="center"/>
            <w:hideMark/>
          </w:tcPr>
          <w:p w14:paraId="38F56546" w14:textId="619FF4E8" w:rsidR="005462C1" w:rsidRPr="005C3C09" w:rsidRDefault="0083298F" w:rsidP="00F3546A">
            <w:pPr>
              <w:jc w:val="center"/>
              <w:rPr>
                <w:rFonts w:ascii="Times New Roman" w:hAnsi="Times New Roman" w:cs="Times New Roman"/>
                <w:sz w:val="18"/>
                <w:szCs w:val="18"/>
              </w:rPr>
            </w:pPr>
            <w:r>
              <w:rPr>
                <w:rFonts w:ascii="Times New Roman" w:hAnsi="Times New Roman" w:cs="Times New Roman"/>
                <w:sz w:val="18"/>
                <w:szCs w:val="18"/>
              </w:rPr>
              <w:t>Control</w:t>
            </w:r>
          </w:p>
        </w:tc>
        <w:tc>
          <w:tcPr>
            <w:tcW w:w="795" w:type="pct"/>
            <w:gridSpan w:val="2"/>
            <w:tcBorders>
              <w:top w:val="nil"/>
              <w:left w:val="nil"/>
              <w:bottom w:val="nil"/>
              <w:right w:val="nil"/>
            </w:tcBorders>
            <w:shd w:val="clear" w:color="000000" w:fill="FFFFFF"/>
            <w:noWrap/>
            <w:vAlign w:val="center"/>
            <w:hideMark/>
          </w:tcPr>
          <w:p w14:paraId="393AFADB" w14:textId="77777777" w:rsidR="005462C1" w:rsidRPr="005C3C09" w:rsidRDefault="005462C1" w:rsidP="00F3546A">
            <w:pPr>
              <w:jc w:val="center"/>
              <w:rPr>
                <w:rFonts w:ascii="Times New Roman" w:hAnsi="Times New Roman" w:cs="Times New Roman"/>
                <w:sz w:val="18"/>
                <w:szCs w:val="18"/>
              </w:rPr>
            </w:pPr>
            <w:r w:rsidRPr="005C3C09">
              <w:rPr>
                <w:rFonts w:ascii="Times New Roman" w:hAnsi="Times New Roman" w:cs="Times New Roman"/>
                <w:sz w:val="18"/>
                <w:szCs w:val="18"/>
              </w:rPr>
              <w:t>Non-inoculated</w:t>
            </w:r>
          </w:p>
        </w:tc>
        <w:tc>
          <w:tcPr>
            <w:tcW w:w="824" w:type="pct"/>
            <w:gridSpan w:val="3"/>
            <w:tcBorders>
              <w:top w:val="nil"/>
              <w:left w:val="nil"/>
              <w:bottom w:val="nil"/>
              <w:right w:val="nil"/>
            </w:tcBorders>
            <w:shd w:val="clear" w:color="000000" w:fill="FFFFFF"/>
            <w:noWrap/>
            <w:vAlign w:val="center"/>
            <w:hideMark/>
          </w:tcPr>
          <w:p w14:paraId="26B687E4" w14:textId="77777777" w:rsidR="005462C1" w:rsidRPr="005C3C09" w:rsidRDefault="005462C1" w:rsidP="00F3546A">
            <w:pPr>
              <w:jc w:val="center"/>
              <w:rPr>
                <w:rFonts w:ascii="Times New Roman" w:hAnsi="Times New Roman" w:cs="Times New Roman"/>
                <w:sz w:val="18"/>
                <w:szCs w:val="18"/>
              </w:rPr>
            </w:pPr>
            <w:r w:rsidRPr="005C3C09">
              <w:rPr>
                <w:rFonts w:ascii="Times New Roman" w:hAnsi="Times New Roman" w:cs="Times New Roman"/>
                <w:sz w:val="18"/>
                <w:szCs w:val="18"/>
              </w:rPr>
              <w:t>8.63 ± 0.28 b</w:t>
            </w:r>
          </w:p>
        </w:tc>
        <w:tc>
          <w:tcPr>
            <w:tcW w:w="632" w:type="pct"/>
            <w:gridSpan w:val="2"/>
            <w:tcBorders>
              <w:top w:val="nil"/>
              <w:left w:val="nil"/>
              <w:bottom w:val="nil"/>
              <w:right w:val="nil"/>
            </w:tcBorders>
            <w:shd w:val="clear" w:color="000000" w:fill="FFFFFF"/>
            <w:noWrap/>
            <w:vAlign w:val="center"/>
            <w:hideMark/>
          </w:tcPr>
          <w:p w14:paraId="4387F19F" w14:textId="77777777" w:rsidR="005462C1" w:rsidRPr="005C3C09" w:rsidRDefault="005462C1" w:rsidP="00F3546A">
            <w:pPr>
              <w:jc w:val="center"/>
              <w:rPr>
                <w:rFonts w:ascii="Times New Roman" w:hAnsi="Times New Roman" w:cs="Times New Roman"/>
                <w:sz w:val="18"/>
                <w:szCs w:val="18"/>
              </w:rPr>
            </w:pPr>
            <w:r w:rsidRPr="005C3C09">
              <w:rPr>
                <w:rFonts w:ascii="Times New Roman" w:hAnsi="Times New Roman" w:cs="Times New Roman"/>
                <w:sz w:val="18"/>
                <w:szCs w:val="18"/>
              </w:rPr>
              <w:t>1.13 ± 0.202 a</w:t>
            </w:r>
          </w:p>
        </w:tc>
        <w:tc>
          <w:tcPr>
            <w:tcW w:w="869" w:type="pct"/>
            <w:gridSpan w:val="2"/>
            <w:tcBorders>
              <w:top w:val="nil"/>
              <w:left w:val="nil"/>
              <w:bottom w:val="nil"/>
              <w:right w:val="nil"/>
            </w:tcBorders>
            <w:shd w:val="clear" w:color="000000" w:fill="FFFFFF"/>
            <w:noWrap/>
            <w:vAlign w:val="center"/>
            <w:hideMark/>
          </w:tcPr>
          <w:p w14:paraId="514D38A7" w14:textId="77777777" w:rsidR="005462C1" w:rsidRPr="005C3C09" w:rsidRDefault="005462C1" w:rsidP="00F3546A">
            <w:pPr>
              <w:jc w:val="center"/>
              <w:rPr>
                <w:rFonts w:ascii="Times New Roman" w:hAnsi="Times New Roman" w:cs="Times New Roman"/>
                <w:sz w:val="18"/>
                <w:szCs w:val="18"/>
              </w:rPr>
            </w:pPr>
            <w:r w:rsidRPr="005C3C09">
              <w:rPr>
                <w:rFonts w:ascii="Times New Roman" w:hAnsi="Times New Roman" w:cs="Times New Roman"/>
                <w:sz w:val="18"/>
                <w:szCs w:val="18"/>
              </w:rPr>
              <w:t>7.85 ± 0.855 cd</w:t>
            </w:r>
          </w:p>
        </w:tc>
        <w:tc>
          <w:tcPr>
            <w:tcW w:w="744" w:type="pct"/>
            <w:tcBorders>
              <w:top w:val="nil"/>
              <w:left w:val="nil"/>
              <w:bottom w:val="nil"/>
              <w:right w:val="nil"/>
            </w:tcBorders>
            <w:shd w:val="clear" w:color="000000" w:fill="FFFFFF"/>
            <w:noWrap/>
            <w:vAlign w:val="center"/>
            <w:hideMark/>
          </w:tcPr>
          <w:p w14:paraId="1A833AFB" w14:textId="77777777" w:rsidR="005462C1" w:rsidRPr="005C3C09" w:rsidRDefault="005462C1" w:rsidP="00F3546A">
            <w:pPr>
              <w:jc w:val="center"/>
              <w:rPr>
                <w:rFonts w:ascii="Times New Roman" w:hAnsi="Times New Roman" w:cs="Times New Roman"/>
                <w:sz w:val="18"/>
                <w:szCs w:val="18"/>
              </w:rPr>
            </w:pPr>
            <w:r w:rsidRPr="005C3C09">
              <w:rPr>
                <w:rFonts w:ascii="Times New Roman" w:hAnsi="Times New Roman" w:cs="Times New Roman"/>
                <w:sz w:val="18"/>
                <w:szCs w:val="18"/>
              </w:rPr>
              <w:t>20.40 ± 0.971 c</w:t>
            </w:r>
          </w:p>
        </w:tc>
      </w:tr>
      <w:tr w:rsidR="005462C1" w:rsidRPr="005C3C09" w14:paraId="3C7CE252" w14:textId="77777777" w:rsidTr="00970ED1">
        <w:trPr>
          <w:trHeight w:val="300"/>
          <w:jc w:val="center"/>
        </w:trPr>
        <w:tc>
          <w:tcPr>
            <w:tcW w:w="298" w:type="pct"/>
            <w:tcBorders>
              <w:top w:val="nil"/>
              <w:left w:val="nil"/>
              <w:bottom w:val="nil"/>
              <w:right w:val="nil"/>
            </w:tcBorders>
            <w:shd w:val="clear" w:color="000000" w:fill="FFFFFF"/>
            <w:noWrap/>
            <w:vAlign w:val="bottom"/>
            <w:hideMark/>
          </w:tcPr>
          <w:p w14:paraId="71A58B55" w14:textId="77777777" w:rsidR="005462C1" w:rsidRPr="005C3C09" w:rsidRDefault="005462C1" w:rsidP="00F3546A">
            <w:pPr>
              <w:jc w:val="right"/>
              <w:rPr>
                <w:rFonts w:ascii="Times New Roman" w:hAnsi="Times New Roman" w:cs="Times New Roman"/>
                <w:b/>
                <w:bCs/>
                <w:sz w:val="18"/>
                <w:szCs w:val="18"/>
              </w:rPr>
            </w:pPr>
            <w:r w:rsidRPr="005C3C09">
              <w:rPr>
                <w:rFonts w:ascii="Times New Roman" w:hAnsi="Times New Roman" w:cs="Times New Roman"/>
                <w:b/>
                <w:bCs/>
                <w:sz w:val="18"/>
                <w:szCs w:val="18"/>
              </w:rPr>
              <w:t> </w:t>
            </w:r>
          </w:p>
        </w:tc>
        <w:tc>
          <w:tcPr>
            <w:tcW w:w="838" w:type="pct"/>
            <w:vMerge/>
            <w:tcBorders>
              <w:top w:val="nil"/>
              <w:left w:val="nil"/>
              <w:bottom w:val="single" w:sz="4" w:space="0" w:color="000000"/>
              <w:right w:val="nil"/>
            </w:tcBorders>
            <w:vAlign w:val="center"/>
            <w:hideMark/>
          </w:tcPr>
          <w:p w14:paraId="76DF3CD4" w14:textId="77777777" w:rsidR="005462C1" w:rsidRPr="005C3C09" w:rsidRDefault="005462C1" w:rsidP="00F3546A">
            <w:pPr>
              <w:rPr>
                <w:rFonts w:ascii="Times New Roman" w:hAnsi="Times New Roman" w:cs="Times New Roman"/>
                <w:sz w:val="18"/>
                <w:szCs w:val="18"/>
              </w:rPr>
            </w:pPr>
          </w:p>
        </w:tc>
        <w:tc>
          <w:tcPr>
            <w:tcW w:w="795" w:type="pct"/>
            <w:gridSpan w:val="2"/>
            <w:tcBorders>
              <w:top w:val="nil"/>
              <w:left w:val="nil"/>
              <w:bottom w:val="nil"/>
              <w:right w:val="nil"/>
            </w:tcBorders>
            <w:shd w:val="clear" w:color="000000" w:fill="FFFFFF"/>
            <w:noWrap/>
            <w:vAlign w:val="center"/>
            <w:hideMark/>
          </w:tcPr>
          <w:p w14:paraId="6D2D8214" w14:textId="77777777" w:rsidR="005462C1" w:rsidRPr="005C3C09" w:rsidRDefault="005462C1" w:rsidP="00F3546A">
            <w:pPr>
              <w:jc w:val="center"/>
              <w:rPr>
                <w:rFonts w:ascii="Times New Roman" w:hAnsi="Times New Roman" w:cs="Times New Roman"/>
                <w:sz w:val="18"/>
                <w:szCs w:val="18"/>
              </w:rPr>
            </w:pPr>
            <w:r w:rsidRPr="005C3C09">
              <w:rPr>
                <w:rFonts w:ascii="Times New Roman" w:hAnsi="Times New Roman" w:cs="Times New Roman"/>
                <w:sz w:val="18"/>
                <w:szCs w:val="18"/>
              </w:rPr>
              <w:t>Inoculated with Ri</w:t>
            </w:r>
          </w:p>
        </w:tc>
        <w:tc>
          <w:tcPr>
            <w:tcW w:w="824" w:type="pct"/>
            <w:gridSpan w:val="3"/>
            <w:tcBorders>
              <w:top w:val="nil"/>
              <w:left w:val="nil"/>
              <w:bottom w:val="nil"/>
              <w:right w:val="nil"/>
            </w:tcBorders>
            <w:shd w:val="clear" w:color="000000" w:fill="FFFFFF"/>
            <w:noWrap/>
            <w:vAlign w:val="center"/>
            <w:hideMark/>
          </w:tcPr>
          <w:p w14:paraId="05E43D38" w14:textId="77777777" w:rsidR="005462C1" w:rsidRPr="005C3C09" w:rsidRDefault="005462C1" w:rsidP="00F3546A">
            <w:pPr>
              <w:jc w:val="center"/>
              <w:rPr>
                <w:rFonts w:ascii="Times New Roman" w:hAnsi="Times New Roman" w:cs="Times New Roman"/>
                <w:color w:val="000000"/>
                <w:sz w:val="18"/>
                <w:szCs w:val="18"/>
              </w:rPr>
            </w:pPr>
            <w:r w:rsidRPr="005C3C09">
              <w:rPr>
                <w:rFonts w:ascii="Times New Roman" w:hAnsi="Times New Roman" w:cs="Times New Roman"/>
                <w:color w:val="000000"/>
                <w:sz w:val="18"/>
                <w:szCs w:val="18"/>
              </w:rPr>
              <w:t>8.68 ± 0.559 b</w:t>
            </w:r>
          </w:p>
        </w:tc>
        <w:tc>
          <w:tcPr>
            <w:tcW w:w="632" w:type="pct"/>
            <w:gridSpan w:val="2"/>
            <w:tcBorders>
              <w:top w:val="nil"/>
              <w:left w:val="nil"/>
              <w:bottom w:val="nil"/>
              <w:right w:val="nil"/>
            </w:tcBorders>
            <w:shd w:val="clear" w:color="000000" w:fill="FFFFFF"/>
            <w:noWrap/>
            <w:vAlign w:val="center"/>
            <w:hideMark/>
          </w:tcPr>
          <w:p w14:paraId="200D3BE0" w14:textId="77777777" w:rsidR="005462C1" w:rsidRPr="005C3C09" w:rsidRDefault="005462C1" w:rsidP="00F3546A">
            <w:pPr>
              <w:jc w:val="center"/>
              <w:rPr>
                <w:rFonts w:ascii="Times New Roman" w:hAnsi="Times New Roman" w:cs="Times New Roman"/>
                <w:sz w:val="18"/>
                <w:szCs w:val="18"/>
              </w:rPr>
            </w:pPr>
            <w:r w:rsidRPr="005C3C09">
              <w:rPr>
                <w:rFonts w:ascii="Times New Roman" w:hAnsi="Times New Roman" w:cs="Times New Roman"/>
                <w:sz w:val="18"/>
                <w:szCs w:val="18"/>
              </w:rPr>
              <w:t>0.98 ± 0.240 a</w:t>
            </w:r>
          </w:p>
        </w:tc>
        <w:tc>
          <w:tcPr>
            <w:tcW w:w="869" w:type="pct"/>
            <w:gridSpan w:val="2"/>
            <w:tcBorders>
              <w:top w:val="nil"/>
              <w:left w:val="nil"/>
              <w:bottom w:val="nil"/>
              <w:right w:val="nil"/>
            </w:tcBorders>
            <w:shd w:val="clear" w:color="000000" w:fill="FFFFFF"/>
            <w:noWrap/>
            <w:vAlign w:val="center"/>
            <w:hideMark/>
          </w:tcPr>
          <w:p w14:paraId="36BED27F" w14:textId="77777777" w:rsidR="005462C1" w:rsidRPr="005C3C09" w:rsidRDefault="005462C1" w:rsidP="00F3546A">
            <w:pPr>
              <w:jc w:val="center"/>
              <w:rPr>
                <w:rFonts w:ascii="Times New Roman" w:hAnsi="Times New Roman" w:cs="Times New Roman"/>
                <w:sz w:val="18"/>
                <w:szCs w:val="18"/>
              </w:rPr>
            </w:pPr>
            <w:r w:rsidRPr="005C3C09">
              <w:rPr>
                <w:rFonts w:ascii="Times New Roman" w:hAnsi="Times New Roman" w:cs="Times New Roman"/>
                <w:sz w:val="18"/>
                <w:szCs w:val="18"/>
              </w:rPr>
              <w:t>6.45 ± 0.244 d</w:t>
            </w:r>
          </w:p>
        </w:tc>
        <w:tc>
          <w:tcPr>
            <w:tcW w:w="744" w:type="pct"/>
            <w:tcBorders>
              <w:top w:val="nil"/>
              <w:left w:val="nil"/>
              <w:bottom w:val="nil"/>
              <w:right w:val="nil"/>
            </w:tcBorders>
            <w:shd w:val="clear" w:color="000000" w:fill="FFFFFF"/>
            <w:noWrap/>
            <w:vAlign w:val="center"/>
            <w:hideMark/>
          </w:tcPr>
          <w:p w14:paraId="519E2EF9" w14:textId="77777777" w:rsidR="005462C1" w:rsidRPr="005C3C09" w:rsidRDefault="005462C1" w:rsidP="00F3546A">
            <w:pPr>
              <w:jc w:val="center"/>
              <w:rPr>
                <w:rFonts w:ascii="Times New Roman" w:hAnsi="Times New Roman" w:cs="Times New Roman"/>
                <w:sz w:val="18"/>
                <w:szCs w:val="18"/>
              </w:rPr>
            </w:pPr>
            <w:r w:rsidRPr="005C3C09">
              <w:rPr>
                <w:rFonts w:ascii="Times New Roman" w:hAnsi="Times New Roman" w:cs="Times New Roman"/>
                <w:sz w:val="18"/>
                <w:szCs w:val="18"/>
              </w:rPr>
              <w:t>26.21 ± 0.262 bc</w:t>
            </w:r>
          </w:p>
        </w:tc>
      </w:tr>
      <w:tr w:rsidR="005462C1" w:rsidRPr="005C3C09" w14:paraId="1CAFE801" w14:textId="77777777" w:rsidTr="00970ED1">
        <w:trPr>
          <w:trHeight w:val="300"/>
          <w:jc w:val="center"/>
        </w:trPr>
        <w:tc>
          <w:tcPr>
            <w:tcW w:w="298" w:type="pct"/>
            <w:tcBorders>
              <w:top w:val="nil"/>
              <w:left w:val="nil"/>
              <w:bottom w:val="nil"/>
              <w:right w:val="nil"/>
            </w:tcBorders>
            <w:shd w:val="clear" w:color="000000" w:fill="FFFFFF"/>
            <w:noWrap/>
            <w:vAlign w:val="center"/>
            <w:hideMark/>
          </w:tcPr>
          <w:p w14:paraId="1E0331CB" w14:textId="77777777" w:rsidR="005462C1" w:rsidRPr="005C3C09" w:rsidRDefault="005462C1" w:rsidP="00F3546A">
            <w:pPr>
              <w:jc w:val="center"/>
              <w:rPr>
                <w:rFonts w:ascii="Times New Roman" w:hAnsi="Times New Roman" w:cs="Times New Roman"/>
                <w:color w:val="000000"/>
                <w:sz w:val="18"/>
                <w:szCs w:val="18"/>
              </w:rPr>
            </w:pPr>
            <w:r w:rsidRPr="005C3C09">
              <w:rPr>
                <w:rFonts w:ascii="Times New Roman" w:hAnsi="Times New Roman" w:cs="Times New Roman"/>
                <w:color w:val="000000"/>
                <w:sz w:val="18"/>
                <w:szCs w:val="18"/>
              </w:rPr>
              <w:t> </w:t>
            </w:r>
          </w:p>
        </w:tc>
        <w:tc>
          <w:tcPr>
            <w:tcW w:w="838" w:type="pct"/>
            <w:vMerge/>
            <w:tcBorders>
              <w:top w:val="nil"/>
              <w:left w:val="nil"/>
              <w:bottom w:val="single" w:sz="4" w:space="0" w:color="000000"/>
              <w:right w:val="nil"/>
            </w:tcBorders>
            <w:vAlign w:val="center"/>
            <w:hideMark/>
          </w:tcPr>
          <w:p w14:paraId="7B99EF97" w14:textId="77777777" w:rsidR="005462C1" w:rsidRPr="005C3C09" w:rsidRDefault="005462C1" w:rsidP="00F3546A">
            <w:pPr>
              <w:rPr>
                <w:rFonts w:ascii="Times New Roman" w:hAnsi="Times New Roman" w:cs="Times New Roman"/>
                <w:sz w:val="18"/>
                <w:szCs w:val="18"/>
              </w:rPr>
            </w:pPr>
          </w:p>
        </w:tc>
        <w:tc>
          <w:tcPr>
            <w:tcW w:w="795" w:type="pct"/>
            <w:gridSpan w:val="2"/>
            <w:tcBorders>
              <w:top w:val="nil"/>
              <w:left w:val="nil"/>
              <w:bottom w:val="single" w:sz="4" w:space="0" w:color="auto"/>
              <w:right w:val="nil"/>
            </w:tcBorders>
            <w:shd w:val="clear" w:color="000000" w:fill="FFFFFF"/>
            <w:noWrap/>
            <w:vAlign w:val="center"/>
            <w:hideMark/>
          </w:tcPr>
          <w:p w14:paraId="5B89728F" w14:textId="77777777" w:rsidR="005462C1" w:rsidRPr="005C3C09" w:rsidRDefault="005462C1" w:rsidP="00F3546A">
            <w:pPr>
              <w:jc w:val="center"/>
              <w:rPr>
                <w:rFonts w:ascii="Times New Roman" w:hAnsi="Times New Roman" w:cs="Times New Roman"/>
                <w:sz w:val="18"/>
                <w:szCs w:val="18"/>
              </w:rPr>
            </w:pPr>
            <w:r w:rsidRPr="005C3C09">
              <w:rPr>
                <w:rFonts w:ascii="Times New Roman" w:hAnsi="Times New Roman" w:cs="Times New Roman"/>
                <w:sz w:val="18"/>
                <w:szCs w:val="18"/>
              </w:rPr>
              <w:t>Inoculated with Fm</w:t>
            </w:r>
          </w:p>
        </w:tc>
        <w:tc>
          <w:tcPr>
            <w:tcW w:w="824" w:type="pct"/>
            <w:gridSpan w:val="3"/>
            <w:tcBorders>
              <w:top w:val="nil"/>
              <w:left w:val="nil"/>
              <w:bottom w:val="single" w:sz="4" w:space="0" w:color="auto"/>
              <w:right w:val="nil"/>
            </w:tcBorders>
            <w:shd w:val="clear" w:color="000000" w:fill="FFFFFF"/>
            <w:noWrap/>
            <w:vAlign w:val="center"/>
            <w:hideMark/>
          </w:tcPr>
          <w:p w14:paraId="42FCB7C8" w14:textId="77777777" w:rsidR="005462C1" w:rsidRPr="005C3C09" w:rsidRDefault="005462C1" w:rsidP="00F3546A">
            <w:pPr>
              <w:jc w:val="center"/>
              <w:rPr>
                <w:rFonts w:ascii="Times New Roman" w:hAnsi="Times New Roman" w:cs="Times New Roman"/>
                <w:color w:val="000000"/>
                <w:sz w:val="18"/>
                <w:szCs w:val="18"/>
              </w:rPr>
            </w:pPr>
            <w:r w:rsidRPr="005C3C09">
              <w:rPr>
                <w:rFonts w:ascii="Times New Roman" w:hAnsi="Times New Roman" w:cs="Times New Roman"/>
                <w:color w:val="000000"/>
                <w:sz w:val="18"/>
                <w:szCs w:val="18"/>
              </w:rPr>
              <w:t>8.58 ± 0.667 b</w:t>
            </w:r>
          </w:p>
        </w:tc>
        <w:tc>
          <w:tcPr>
            <w:tcW w:w="632" w:type="pct"/>
            <w:gridSpan w:val="2"/>
            <w:tcBorders>
              <w:top w:val="nil"/>
              <w:left w:val="nil"/>
              <w:bottom w:val="single" w:sz="4" w:space="0" w:color="auto"/>
              <w:right w:val="nil"/>
            </w:tcBorders>
            <w:shd w:val="clear" w:color="000000" w:fill="FFFFFF"/>
            <w:noWrap/>
            <w:vAlign w:val="center"/>
            <w:hideMark/>
          </w:tcPr>
          <w:p w14:paraId="742359B5" w14:textId="77777777" w:rsidR="005462C1" w:rsidRPr="005C3C09" w:rsidRDefault="005462C1" w:rsidP="00F3546A">
            <w:pPr>
              <w:jc w:val="center"/>
              <w:rPr>
                <w:rFonts w:ascii="Times New Roman" w:hAnsi="Times New Roman" w:cs="Times New Roman"/>
                <w:sz w:val="18"/>
                <w:szCs w:val="18"/>
              </w:rPr>
            </w:pPr>
            <w:r w:rsidRPr="005C3C09">
              <w:rPr>
                <w:rFonts w:ascii="Times New Roman" w:hAnsi="Times New Roman" w:cs="Times New Roman"/>
                <w:sz w:val="18"/>
                <w:szCs w:val="18"/>
              </w:rPr>
              <w:t>1.15 ± 0.349 a</w:t>
            </w:r>
          </w:p>
        </w:tc>
        <w:tc>
          <w:tcPr>
            <w:tcW w:w="869" w:type="pct"/>
            <w:gridSpan w:val="2"/>
            <w:tcBorders>
              <w:top w:val="nil"/>
              <w:left w:val="nil"/>
              <w:bottom w:val="single" w:sz="4" w:space="0" w:color="auto"/>
              <w:right w:val="nil"/>
            </w:tcBorders>
            <w:shd w:val="clear" w:color="000000" w:fill="FFFFFF"/>
            <w:noWrap/>
            <w:vAlign w:val="center"/>
            <w:hideMark/>
          </w:tcPr>
          <w:p w14:paraId="0B355DBB" w14:textId="77777777" w:rsidR="005462C1" w:rsidRPr="005C3C09" w:rsidRDefault="005462C1" w:rsidP="00F3546A">
            <w:pPr>
              <w:jc w:val="center"/>
              <w:rPr>
                <w:rFonts w:ascii="Times New Roman" w:hAnsi="Times New Roman" w:cs="Times New Roman"/>
                <w:sz w:val="18"/>
                <w:szCs w:val="18"/>
              </w:rPr>
            </w:pPr>
            <w:r w:rsidRPr="005C3C09">
              <w:rPr>
                <w:rFonts w:ascii="Times New Roman" w:hAnsi="Times New Roman" w:cs="Times New Roman"/>
                <w:sz w:val="18"/>
                <w:szCs w:val="18"/>
              </w:rPr>
              <w:t>9.62 ± 0.841 abc</w:t>
            </w:r>
          </w:p>
        </w:tc>
        <w:tc>
          <w:tcPr>
            <w:tcW w:w="744" w:type="pct"/>
            <w:tcBorders>
              <w:top w:val="nil"/>
              <w:left w:val="nil"/>
              <w:bottom w:val="single" w:sz="4" w:space="0" w:color="auto"/>
              <w:right w:val="nil"/>
            </w:tcBorders>
            <w:shd w:val="clear" w:color="000000" w:fill="FFFFFF"/>
            <w:noWrap/>
            <w:vAlign w:val="center"/>
            <w:hideMark/>
          </w:tcPr>
          <w:p w14:paraId="195994D8" w14:textId="77777777" w:rsidR="005462C1" w:rsidRPr="005C3C09" w:rsidRDefault="005462C1" w:rsidP="00F3546A">
            <w:pPr>
              <w:jc w:val="center"/>
              <w:rPr>
                <w:rFonts w:ascii="Times New Roman" w:hAnsi="Times New Roman" w:cs="Times New Roman"/>
                <w:sz w:val="18"/>
                <w:szCs w:val="18"/>
              </w:rPr>
            </w:pPr>
            <w:r w:rsidRPr="005C3C09">
              <w:rPr>
                <w:rFonts w:ascii="Times New Roman" w:hAnsi="Times New Roman" w:cs="Times New Roman"/>
                <w:sz w:val="18"/>
                <w:szCs w:val="18"/>
              </w:rPr>
              <w:t>35.1 ± 0.031 a</w:t>
            </w:r>
          </w:p>
        </w:tc>
      </w:tr>
      <w:tr w:rsidR="005462C1" w:rsidRPr="005C3C09" w14:paraId="620140C9" w14:textId="77777777" w:rsidTr="00970ED1">
        <w:trPr>
          <w:trHeight w:val="300"/>
          <w:jc w:val="center"/>
        </w:trPr>
        <w:tc>
          <w:tcPr>
            <w:tcW w:w="298" w:type="pct"/>
            <w:tcBorders>
              <w:top w:val="nil"/>
              <w:left w:val="nil"/>
              <w:bottom w:val="nil"/>
              <w:right w:val="nil"/>
            </w:tcBorders>
            <w:shd w:val="clear" w:color="000000" w:fill="FFFFFF"/>
            <w:noWrap/>
            <w:vAlign w:val="bottom"/>
            <w:hideMark/>
          </w:tcPr>
          <w:p w14:paraId="2364376C" w14:textId="77777777" w:rsidR="005462C1" w:rsidRPr="005C3C09" w:rsidRDefault="005462C1" w:rsidP="00F3546A">
            <w:pPr>
              <w:jc w:val="right"/>
              <w:rPr>
                <w:rFonts w:ascii="Times New Roman" w:hAnsi="Times New Roman" w:cs="Times New Roman"/>
                <w:b/>
                <w:bCs/>
                <w:sz w:val="18"/>
                <w:szCs w:val="18"/>
              </w:rPr>
            </w:pPr>
            <w:r w:rsidRPr="005C3C09">
              <w:rPr>
                <w:rFonts w:ascii="Times New Roman" w:hAnsi="Times New Roman" w:cs="Times New Roman"/>
                <w:b/>
                <w:bCs/>
                <w:sz w:val="18"/>
                <w:szCs w:val="18"/>
              </w:rPr>
              <w:t> </w:t>
            </w:r>
          </w:p>
        </w:tc>
        <w:tc>
          <w:tcPr>
            <w:tcW w:w="838" w:type="pct"/>
            <w:vMerge w:val="restart"/>
            <w:tcBorders>
              <w:top w:val="nil"/>
              <w:left w:val="nil"/>
              <w:bottom w:val="single" w:sz="4" w:space="0" w:color="000000"/>
              <w:right w:val="nil"/>
            </w:tcBorders>
            <w:shd w:val="clear" w:color="000000" w:fill="FFFFFF"/>
            <w:vAlign w:val="center"/>
            <w:hideMark/>
          </w:tcPr>
          <w:p w14:paraId="56AEE188" w14:textId="77777777" w:rsidR="005462C1" w:rsidRPr="005C3C09" w:rsidRDefault="005462C1" w:rsidP="00F3546A">
            <w:pPr>
              <w:jc w:val="center"/>
              <w:rPr>
                <w:rFonts w:ascii="Times New Roman" w:hAnsi="Times New Roman" w:cs="Times New Roman"/>
                <w:sz w:val="18"/>
                <w:szCs w:val="18"/>
              </w:rPr>
            </w:pPr>
            <w:r w:rsidRPr="005C3C09">
              <w:rPr>
                <w:rFonts w:ascii="Times New Roman" w:hAnsi="Times New Roman" w:cs="Times New Roman"/>
                <w:sz w:val="18"/>
                <w:szCs w:val="18"/>
              </w:rPr>
              <w:t xml:space="preserve">Cu </w:t>
            </w:r>
          </w:p>
        </w:tc>
        <w:tc>
          <w:tcPr>
            <w:tcW w:w="795" w:type="pct"/>
            <w:gridSpan w:val="2"/>
            <w:tcBorders>
              <w:top w:val="nil"/>
              <w:left w:val="nil"/>
              <w:bottom w:val="nil"/>
              <w:right w:val="nil"/>
            </w:tcBorders>
            <w:shd w:val="clear" w:color="000000" w:fill="FFFFFF"/>
            <w:noWrap/>
            <w:vAlign w:val="center"/>
            <w:hideMark/>
          </w:tcPr>
          <w:p w14:paraId="0E0EFA32" w14:textId="77777777" w:rsidR="005462C1" w:rsidRPr="005C3C09" w:rsidRDefault="005462C1" w:rsidP="00F3546A">
            <w:pPr>
              <w:jc w:val="center"/>
              <w:rPr>
                <w:rFonts w:ascii="Times New Roman" w:hAnsi="Times New Roman" w:cs="Times New Roman"/>
                <w:sz w:val="18"/>
                <w:szCs w:val="18"/>
              </w:rPr>
            </w:pPr>
            <w:r w:rsidRPr="005C3C09">
              <w:rPr>
                <w:rFonts w:ascii="Times New Roman" w:hAnsi="Times New Roman" w:cs="Times New Roman"/>
                <w:sz w:val="18"/>
                <w:szCs w:val="18"/>
              </w:rPr>
              <w:t>Non-inoculated</w:t>
            </w:r>
          </w:p>
        </w:tc>
        <w:tc>
          <w:tcPr>
            <w:tcW w:w="824" w:type="pct"/>
            <w:gridSpan w:val="3"/>
            <w:tcBorders>
              <w:top w:val="nil"/>
              <w:left w:val="nil"/>
              <w:bottom w:val="nil"/>
              <w:right w:val="nil"/>
            </w:tcBorders>
            <w:shd w:val="clear" w:color="000000" w:fill="FFFFFF"/>
            <w:noWrap/>
            <w:vAlign w:val="center"/>
            <w:hideMark/>
          </w:tcPr>
          <w:p w14:paraId="6FA11732" w14:textId="77777777" w:rsidR="005462C1" w:rsidRPr="005C3C09" w:rsidRDefault="005462C1" w:rsidP="00F3546A">
            <w:pPr>
              <w:jc w:val="center"/>
              <w:rPr>
                <w:rFonts w:ascii="Times New Roman" w:hAnsi="Times New Roman" w:cs="Times New Roman"/>
                <w:color w:val="000000"/>
                <w:sz w:val="18"/>
                <w:szCs w:val="18"/>
              </w:rPr>
            </w:pPr>
            <w:r w:rsidRPr="005C3C09">
              <w:rPr>
                <w:rFonts w:ascii="Times New Roman" w:hAnsi="Times New Roman" w:cs="Times New Roman"/>
                <w:color w:val="000000"/>
                <w:sz w:val="18"/>
                <w:szCs w:val="18"/>
              </w:rPr>
              <w:t>186.69 ± 21.892 a</w:t>
            </w:r>
          </w:p>
        </w:tc>
        <w:tc>
          <w:tcPr>
            <w:tcW w:w="632" w:type="pct"/>
            <w:gridSpan w:val="2"/>
            <w:tcBorders>
              <w:top w:val="nil"/>
              <w:left w:val="nil"/>
              <w:bottom w:val="nil"/>
              <w:right w:val="nil"/>
            </w:tcBorders>
            <w:shd w:val="clear" w:color="000000" w:fill="FFFFFF"/>
            <w:noWrap/>
            <w:vAlign w:val="center"/>
            <w:hideMark/>
          </w:tcPr>
          <w:p w14:paraId="1203BA80" w14:textId="77777777" w:rsidR="005462C1" w:rsidRPr="005C3C09" w:rsidRDefault="005462C1" w:rsidP="00F3546A">
            <w:pPr>
              <w:jc w:val="center"/>
              <w:rPr>
                <w:rFonts w:ascii="Times New Roman" w:hAnsi="Times New Roman" w:cs="Times New Roman"/>
                <w:sz w:val="18"/>
                <w:szCs w:val="18"/>
              </w:rPr>
            </w:pPr>
            <w:r w:rsidRPr="005C3C09">
              <w:rPr>
                <w:rFonts w:ascii="Times New Roman" w:hAnsi="Times New Roman" w:cs="Times New Roman"/>
                <w:sz w:val="18"/>
                <w:szCs w:val="18"/>
              </w:rPr>
              <w:t>1.59 ± 0.355 a</w:t>
            </w:r>
          </w:p>
        </w:tc>
        <w:tc>
          <w:tcPr>
            <w:tcW w:w="869" w:type="pct"/>
            <w:gridSpan w:val="2"/>
            <w:tcBorders>
              <w:top w:val="nil"/>
              <w:left w:val="nil"/>
              <w:bottom w:val="nil"/>
              <w:right w:val="nil"/>
            </w:tcBorders>
            <w:shd w:val="clear" w:color="000000" w:fill="FFFFFF"/>
            <w:noWrap/>
            <w:vAlign w:val="center"/>
            <w:hideMark/>
          </w:tcPr>
          <w:p w14:paraId="3416722E" w14:textId="77777777" w:rsidR="005462C1" w:rsidRPr="005C3C09" w:rsidRDefault="005462C1" w:rsidP="00F3546A">
            <w:pPr>
              <w:jc w:val="center"/>
              <w:rPr>
                <w:rFonts w:ascii="Times New Roman" w:hAnsi="Times New Roman" w:cs="Times New Roman"/>
                <w:sz w:val="18"/>
                <w:szCs w:val="18"/>
              </w:rPr>
            </w:pPr>
            <w:r w:rsidRPr="005C3C09">
              <w:rPr>
                <w:rFonts w:ascii="Times New Roman" w:hAnsi="Times New Roman" w:cs="Times New Roman"/>
                <w:sz w:val="18"/>
                <w:szCs w:val="18"/>
              </w:rPr>
              <w:t>24.75 ± 9.336 a</w:t>
            </w:r>
          </w:p>
        </w:tc>
        <w:tc>
          <w:tcPr>
            <w:tcW w:w="744" w:type="pct"/>
            <w:tcBorders>
              <w:top w:val="nil"/>
              <w:left w:val="nil"/>
              <w:bottom w:val="nil"/>
              <w:right w:val="nil"/>
            </w:tcBorders>
            <w:shd w:val="clear" w:color="000000" w:fill="FFFFFF"/>
            <w:noWrap/>
            <w:vAlign w:val="center"/>
            <w:hideMark/>
          </w:tcPr>
          <w:p w14:paraId="5C271298" w14:textId="77777777" w:rsidR="005462C1" w:rsidRPr="005C3C09" w:rsidRDefault="005462C1" w:rsidP="00F3546A">
            <w:pPr>
              <w:jc w:val="center"/>
              <w:rPr>
                <w:rFonts w:ascii="Times New Roman" w:hAnsi="Times New Roman" w:cs="Times New Roman"/>
                <w:sz w:val="18"/>
                <w:szCs w:val="18"/>
              </w:rPr>
            </w:pPr>
            <w:r w:rsidRPr="005C3C09">
              <w:rPr>
                <w:rFonts w:ascii="Times New Roman" w:hAnsi="Times New Roman" w:cs="Times New Roman"/>
                <w:sz w:val="18"/>
                <w:szCs w:val="18"/>
              </w:rPr>
              <w:t>29.25 ± 3.147 abc</w:t>
            </w:r>
          </w:p>
        </w:tc>
      </w:tr>
      <w:tr w:rsidR="005462C1" w:rsidRPr="005C3C09" w14:paraId="595D54BF" w14:textId="77777777" w:rsidTr="00970ED1">
        <w:trPr>
          <w:trHeight w:val="300"/>
          <w:jc w:val="center"/>
        </w:trPr>
        <w:tc>
          <w:tcPr>
            <w:tcW w:w="298" w:type="pct"/>
            <w:tcBorders>
              <w:top w:val="nil"/>
              <w:left w:val="nil"/>
              <w:bottom w:val="nil"/>
              <w:right w:val="nil"/>
            </w:tcBorders>
            <w:shd w:val="clear" w:color="000000" w:fill="FFFFFF"/>
            <w:noWrap/>
            <w:vAlign w:val="bottom"/>
            <w:hideMark/>
          </w:tcPr>
          <w:p w14:paraId="651F4A9D" w14:textId="77777777" w:rsidR="005462C1" w:rsidRPr="005C3C09" w:rsidRDefault="005462C1" w:rsidP="00F3546A">
            <w:pPr>
              <w:rPr>
                <w:rFonts w:ascii="Times New Roman" w:hAnsi="Times New Roman" w:cs="Times New Roman"/>
                <w:color w:val="000000"/>
                <w:sz w:val="18"/>
                <w:szCs w:val="18"/>
              </w:rPr>
            </w:pPr>
            <w:r w:rsidRPr="005C3C09">
              <w:rPr>
                <w:rFonts w:ascii="Times New Roman" w:hAnsi="Times New Roman" w:cs="Times New Roman"/>
                <w:color w:val="000000"/>
                <w:sz w:val="18"/>
                <w:szCs w:val="18"/>
              </w:rPr>
              <w:t> </w:t>
            </w:r>
          </w:p>
        </w:tc>
        <w:tc>
          <w:tcPr>
            <w:tcW w:w="838" w:type="pct"/>
            <w:vMerge/>
            <w:tcBorders>
              <w:top w:val="nil"/>
              <w:left w:val="nil"/>
              <w:bottom w:val="single" w:sz="4" w:space="0" w:color="000000"/>
              <w:right w:val="nil"/>
            </w:tcBorders>
            <w:vAlign w:val="center"/>
            <w:hideMark/>
          </w:tcPr>
          <w:p w14:paraId="7C7E62F1" w14:textId="77777777" w:rsidR="005462C1" w:rsidRPr="005C3C09" w:rsidRDefault="005462C1" w:rsidP="00F3546A">
            <w:pPr>
              <w:rPr>
                <w:rFonts w:ascii="Times New Roman" w:hAnsi="Times New Roman" w:cs="Times New Roman"/>
                <w:sz w:val="18"/>
                <w:szCs w:val="18"/>
              </w:rPr>
            </w:pPr>
          </w:p>
        </w:tc>
        <w:tc>
          <w:tcPr>
            <w:tcW w:w="795" w:type="pct"/>
            <w:gridSpan w:val="2"/>
            <w:tcBorders>
              <w:top w:val="nil"/>
              <w:left w:val="nil"/>
              <w:bottom w:val="nil"/>
              <w:right w:val="nil"/>
            </w:tcBorders>
            <w:shd w:val="clear" w:color="000000" w:fill="FFFFFF"/>
            <w:noWrap/>
            <w:vAlign w:val="center"/>
            <w:hideMark/>
          </w:tcPr>
          <w:p w14:paraId="17A6A5B3" w14:textId="77777777" w:rsidR="005462C1" w:rsidRPr="005C3C09" w:rsidRDefault="005462C1" w:rsidP="00F3546A">
            <w:pPr>
              <w:jc w:val="center"/>
              <w:rPr>
                <w:rFonts w:ascii="Times New Roman" w:hAnsi="Times New Roman" w:cs="Times New Roman"/>
                <w:sz w:val="18"/>
                <w:szCs w:val="18"/>
              </w:rPr>
            </w:pPr>
            <w:r w:rsidRPr="005C3C09">
              <w:rPr>
                <w:rFonts w:ascii="Times New Roman" w:hAnsi="Times New Roman" w:cs="Times New Roman"/>
                <w:sz w:val="18"/>
                <w:szCs w:val="18"/>
              </w:rPr>
              <w:t>Inoculated with Ri</w:t>
            </w:r>
          </w:p>
        </w:tc>
        <w:tc>
          <w:tcPr>
            <w:tcW w:w="824" w:type="pct"/>
            <w:gridSpan w:val="3"/>
            <w:tcBorders>
              <w:top w:val="nil"/>
              <w:left w:val="nil"/>
              <w:bottom w:val="nil"/>
              <w:right w:val="nil"/>
            </w:tcBorders>
            <w:shd w:val="clear" w:color="000000" w:fill="FFFFFF"/>
            <w:noWrap/>
            <w:vAlign w:val="center"/>
            <w:hideMark/>
          </w:tcPr>
          <w:p w14:paraId="6F2F781A" w14:textId="77777777" w:rsidR="005462C1" w:rsidRPr="005C3C09" w:rsidRDefault="005462C1" w:rsidP="00F3546A">
            <w:pPr>
              <w:jc w:val="center"/>
              <w:rPr>
                <w:rFonts w:ascii="Times New Roman" w:hAnsi="Times New Roman" w:cs="Times New Roman"/>
                <w:color w:val="000000"/>
                <w:sz w:val="18"/>
                <w:szCs w:val="18"/>
              </w:rPr>
            </w:pPr>
            <w:r w:rsidRPr="005C3C09">
              <w:rPr>
                <w:rFonts w:ascii="Times New Roman" w:hAnsi="Times New Roman" w:cs="Times New Roman"/>
                <w:color w:val="000000"/>
                <w:sz w:val="18"/>
                <w:szCs w:val="18"/>
              </w:rPr>
              <w:t>175.25 ± 22.573 a</w:t>
            </w:r>
          </w:p>
        </w:tc>
        <w:tc>
          <w:tcPr>
            <w:tcW w:w="632" w:type="pct"/>
            <w:gridSpan w:val="2"/>
            <w:tcBorders>
              <w:top w:val="nil"/>
              <w:left w:val="nil"/>
              <w:bottom w:val="nil"/>
              <w:right w:val="nil"/>
            </w:tcBorders>
            <w:shd w:val="clear" w:color="000000" w:fill="FFFFFF"/>
            <w:noWrap/>
            <w:vAlign w:val="center"/>
            <w:hideMark/>
          </w:tcPr>
          <w:p w14:paraId="0B1F6081" w14:textId="77777777" w:rsidR="005462C1" w:rsidRPr="005C3C09" w:rsidRDefault="005462C1" w:rsidP="00F3546A">
            <w:pPr>
              <w:jc w:val="center"/>
              <w:rPr>
                <w:rFonts w:ascii="Times New Roman" w:hAnsi="Times New Roman" w:cs="Times New Roman"/>
                <w:sz w:val="18"/>
                <w:szCs w:val="18"/>
              </w:rPr>
            </w:pPr>
            <w:r w:rsidRPr="005C3C09">
              <w:rPr>
                <w:rFonts w:ascii="Times New Roman" w:hAnsi="Times New Roman" w:cs="Times New Roman"/>
                <w:sz w:val="18"/>
                <w:szCs w:val="18"/>
              </w:rPr>
              <w:t>1.58 ± 0.233 a</w:t>
            </w:r>
          </w:p>
        </w:tc>
        <w:tc>
          <w:tcPr>
            <w:tcW w:w="869" w:type="pct"/>
            <w:gridSpan w:val="2"/>
            <w:tcBorders>
              <w:top w:val="nil"/>
              <w:left w:val="nil"/>
              <w:bottom w:val="nil"/>
              <w:right w:val="nil"/>
            </w:tcBorders>
            <w:shd w:val="clear" w:color="000000" w:fill="FFFFFF"/>
            <w:noWrap/>
            <w:vAlign w:val="center"/>
            <w:hideMark/>
          </w:tcPr>
          <w:p w14:paraId="4DC5ED6F" w14:textId="77777777" w:rsidR="005462C1" w:rsidRPr="005C3C09" w:rsidRDefault="005462C1" w:rsidP="00F3546A">
            <w:pPr>
              <w:jc w:val="center"/>
              <w:rPr>
                <w:rFonts w:ascii="Times New Roman" w:hAnsi="Times New Roman" w:cs="Times New Roman"/>
                <w:sz w:val="18"/>
                <w:szCs w:val="18"/>
              </w:rPr>
            </w:pPr>
            <w:r w:rsidRPr="005C3C09">
              <w:rPr>
                <w:rFonts w:ascii="Times New Roman" w:hAnsi="Times New Roman" w:cs="Times New Roman"/>
                <w:sz w:val="18"/>
                <w:szCs w:val="18"/>
              </w:rPr>
              <w:t>10.43 ± 1.600 abc</w:t>
            </w:r>
          </w:p>
        </w:tc>
        <w:tc>
          <w:tcPr>
            <w:tcW w:w="744" w:type="pct"/>
            <w:tcBorders>
              <w:top w:val="nil"/>
              <w:left w:val="nil"/>
              <w:bottom w:val="nil"/>
              <w:right w:val="nil"/>
            </w:tcBorders>
            <w:shd w:val="clear" w:color="000000" w:fill="FFFFFF"/>
            <w:noWrap/>
            <w:vAlign w:val="center"/>
            <w:hideMark/>
          </w:tcPr>
          <w:p w14:paraId="3D329A7C" w14:textId="77777777" w:rsidR="005462C1" w:rsidRPr="005C3C09" w:rsidRDefault="005462C1" w:rsidP="00F3546A">
            <w:pPr>
              <w:jc w:val="center"/>
              <w:rPr>
                <w:rFonts w:ascii="Times New Roman" w:hAnsi="Times New Roman" w:cs="Times New Roman"/>
                <w:sz w:val="18"/>
                <w:szCs w:val="18"/>
              </w:rPr>
            </w:pPr>
            <w:r w:rsidRPr="005C3C09">
              <w:rPr>
                <w:rFonts w:ascii="Times New Roman" w:hAnsi="Times New Roman" w:cs="Times New Roman"/>
                <w:sz w:val="18"/>
                <w:szCs w:val="18"/>
              </w:rPr>
              <w:t>32.56 ± 1.431 ab</w:t>
            </w:r>
          </w:p>
        </w:tc>
      </w:tr>
      <w:tr w:rsidR="005462C1" w:rsidRPr="005C3C09" w14:paraId="7BA4B33F" w14:textId="77777777" w:rsidTr="00970ED1">
        <w:trPr>
          <w:trHeight w:val="300"/>
          <w:jc w:val="center"/>
        </w:trPr>
        <w:tc>
          <w:tcPr>
            <w:tcW w:w="298" w:type="pct"/>
            <w:tcBorders>
              <w:top w:val="nil"/>
              <w:left w:val="nil"/>
              <w:bottom w:val="nil"/>
              <w:right w:val="nil"/>
            </w:tcBorders>
            <w:shd w:val="clear" w:color="000000" w:fill="FFFFFF"/>
            <w:noWrap/>
            <w:vAlign w:val="bottom"/>
            <w:hideMark/>
          </w:tcPr>
          <w:p w14:paraId="6C890B16" w14:textId="77777777" w:rsidR="005462C1" w:rsidRPr="005C3C09" w:rsidRDefault="005462C1" w:rsidP="00F3546A">
            <w:pPr>
              <w:rPr>
                <w:rFonts w:ascii="Times New Roman" w:hAnsi="Times New Roman" w:cs="Times New Roman"/>
                <w:color w:val="000000"/>
                <w:sz w:val="18"/>
                <w:szCs w:val="18"/>
              </w:rPr>
            </w:pPr>
            <w:r w:rsidRPr="005C3C09">
              <w:rPr>
                <w:rFonts w:ascii="Times New Roman" w:hAnsi="Times New Roman" w:cs="Times New Roman"/>
                <w:color w:val="000000"/>
                <w:sz w:val="18"/>
                <w:szCs w:val="18"/>
              </w:rPr>
              <w:t> </w:t>
            </w:r>
          </w:p>
        </w:tc>
        <w:tc>
          <w:tcPr>
            <w:tcW w:w="838" w:type="pct"/>
            <w:vMerge/>
            <w:tcBorders>
              <w:top w:val="nil"/>
              <w:left w:val="nil"/>
              <w:bottom w:val="single" w:sz="4" w:space="0" w:color="000000"/>
              <w:right w:val="nil"/>
            </w:tcBorders>
            <w:vAlign w:val="center"/>
            <w:hideMark/>
          </w:tcPr>
          <w:p w14:paraId="607B33D1" w14:textId="77777777" w:rsidR="005462C1" w:rsidRPr="005C3C09" w:rsidRDefault="005462C1" w:rsidP="00F3546A">
            <w:pPr>
              <w:rPr>
                <w:rFonts w:ascii="Times New Roman" w:hAnsi="Times New Roman" w:cs="Times New Roman"/>
                <w:sz w:val="18"/>
                <w:szCs w:val="18"/>
              </w:rPr>
            </w:pPr>
          </w:p>
        </w:tc>
        <w:tc>
          <w:tcPr>
            <w:tcW w:w="795" w:type="pct"/>
            <w:gridSpan w:val="2"/>
            <w:tcBorders>
              <w:top w:val="nil"/>
              <w:left w:val="nil"/>
              <w:bottom w:val="single" w:sz="4" w:space="0" w:color="auto"/>
              <w:right w:val="nil"/>
            </w:tcBorders>
            <w:shd w:val="clear" w:color="000000" w:fill="FFFFFF"/>
            <w:noWrap/>
            <w:vAlign w:val="center"/>
            <w:hideMark/>
          </w:tcPr>
          <w:p w14:paraId="717FB742" w14:textId="77777777" w:rsidR="005462C1" w:rsidRPr="005C3C09" w:rsidRDefault="005462C1" w:rsidP="00F3546A">
            <w:pPr>
              <w:jc w:val="center"/>
              <w:rPr>
                <w:rFonts w:ascii="Times New Roman" w:hAnsi="Times New Roman" w:cs="Times New Roman"/>
                <w:sz w:val="18"/>
                <w:szCs w:val="18"/>
              </w:rPr>
            </w:pPr>
            <w:r w:rsidRPr="005C3C09">
              <w:rPr>
                <w:rFonts w:ascii="Times New Roman" w:hAnsi="Times New Roman" w:cs="Times New Roman"/>
                <w:sz w:val="18"/>
                <w:szCs w:val="18"/>
              </w:rPr>
              <w:t>Inoculated with Fm</w:t>
            </w:r>
          </w:p>
        </w:tc>
        <w:tc>
          <w:tcPr>
            <w:tcW w:w="824" w:type="pct"/>
            <w:gridSpan w:val="3"/>
            <w:tcBorders>
              <w:top w:val="nil"/>
              <w:left w:val="nil"/>
              <w:bottom w:val="single" w:sz="4" w:space="0" w:color="auto"/>
              <w:right w:val="nil"/>
            </w:tcBorders>
            <w:shd w:val="clear" w:color="000000" w:fill="FFFFFF"/>
            <w:noWrap/>
            <w:vAlign w:val="center"/>
            <w:hideMark/>
          </w:tcPr>
          <w:p w14:paraId="4BA6531D" w14:textId="77777777" w:rsidR="005462C1" w:rsidRPr="005C3C09" w:rsidRDefault="005462C1" w:rsidP="00F3546A">
            <w:pPr>
              <w:jc w:val="center"/>
              <w:rPr>
                <w:rFonts w:ascii="Times New Roman" w:hAnsi="Times New Roman" w:cs="Times New Roman"/>
                <w:color w:val="000000"/>
                <w:sz w:val="18"/>
                <w:szCs w:val="18"/>
              </w:rPr>
            </w:pPr>
            <w:r w:rsidRPr="005C3C09">
              <w:rPr>
                <w:rFonts w:ascii="Times New Roman" w:hAnsi="Times New Roman" w:cs="Times New Roman"/>
                <w:color w:val="000000"/>
                <w:sz w:val="18"/>
                <w:szCs w:val="18"/>
              </w:rPr>
              <w:t>154.18 ± 18.535 a</w:t>
            </w:r>
          </w:p>
        </w:tc>
        <w:tc>
          <w:tcPr>
            <w:tcW w:w="632" w:type="pct"/>
            <w:gridSpan w:val="2"/>
            <w:tcBorders>
              <w:top w:val="nil"/>
              <w:left w:val="nil"/>
              <w:bottom w:val="single" w:sz="4" w:space="0" w:color="auto"/>
              <w:right w:val="nil"/>
            </w:tcBorders>
            <w:shd w:val="clear" w:color="000000" w:fill="FFFFFF"/>
            <w:noWrap/>
            <w:vAlign w:val="center"/>
            <w:hideMark/>
          </w:tcPr>
          <w:p w14:paraId="46CF6E5B" w14:textId="77777777" w:rsidR="005462C1" w:rsidRPr="005C3C09" w:rsidRDefault="005462C1" w:rsidP="00F3546A">
            <w:pPr>
              <w:jc w:val="center"/>
              <w:rPr>
                <w:rFonts w:ascii="Times New Roman" w:hAnsi="Times New Roman" w:cs="Times New Roman"/>
                <w:sz w:val="18"/>
                <w:szCs w:val="18"/>
              </w:rPr>
            </w:pPr>
            <w:r w:rsidRPr="005C3C09">
              <w:rPr>
                <w:rFonts w:ascii="Times New Roman" w:hAnsi="Times New Roman" w:cs="Times New Roman"/>
                <w:sz w:val="18"/>
                <w:szCs w:val="18"/>
              </w:rPr>
              <w:t>1.08 ± 0.025 a</w:t>
            </w:r>
          </w:p>
        </w:tc>
        <w:tc>
          <w:tcPr>
            <w:tcW w:w="869" w:type="pct"/>
            <w:gridSpan w:val="2"/>
            <w:tcBorders>
              <w:top w:val="nil"/>
              <w:left w:val="nil"/>
              <w:bottom w:val="single" w:sz="4" w:space="0" w:color="auto"/>
              <w:right w:val="nil"/>
            </w:tcBorders>
            <w:shd w:val="clear" w:color="000000" w:fill="FFFFFF"/>
            <w:noWrap/>
            <w:vAlign w:val="center"/>
            <w:hideMark/>
          </w:tcPr>
          <w:p w14:paraId="1EC96557" w14:textId="5025C1C8" w:rsidR="005462C1" w:rsidRPr="005C3C09" w:rsidRDefault="005462C1" w:rsidP="00F3546A">
            <w:pPr>
              <w:jc w:val="center"/>
              <w:rPr>
                <w:rFonts w:ascii="Times New Roman" w:hAnsi="Times New Roman" w:cs="Times New Roman"/>
                <w:sz w:val="18"/>
                <w:szCs w:val="18"/>
              </w:rPr>
            </w:pPr>
            <w:r w:rsidRPr="005C3C09">
              <w:rPr>
                <w:rFonts w:ascii="Times New Roman" w:hAnsi="Times New Roman" w:cs="Times New Roman"/>
                <w:sz w:val="18"/>
                <w:szCs w:val="18"/>
              </w:rPr>
              <w:t>14.55 ± 4.406 ab</w:t>
            </w:r>
          </w:p>
        </w:tc>
        <w:tc>
          <w:tcPr>
            <w:tcW w:w="744" w:type="pct"/>
            <w:tcBorders>
              <w:top w:val="nil"/>
              <w:left w:val="nil"/>
              <w:bottom w:val="single" w:sz="4" w:space="0" w:color="auto"/>
              <w:right w:val="nil"/>
            </w:tcBorders>
            <w:shd w:val="clear" w:color="000000" w:fill="FFFFFF"/>
            <w:noWrap/>
            <w:vAlign w:val="center"/>
            <w:hideMark/>
          </w:tcPr>
          <w:p w14:paraId="2F416AA3" w14:textId="77777777" w:rsidR="005462C1" w:rsidRPr="005C3C09" w:rsidRDefault="005462C1" w:rsidP="00F3546A">
            <w:pPr>
              <w:jc w:val="center"/>
              <w:rPr>
                <w:rFonts w:ascii="Times New Roman" w:hAnsi="Times New Roman" w:cs="Times New Roman"/>
                <w:sz w:val="18"/>
                <w:szCs w:val="18"/>
              </w:rPr>
            </w:pPr>
            <w:r w:rsidRPr="005C3C09">
              <w:rPr>
                <w:rFonts w:ascii="Times New Roman" w:hAnsi="Times New Roman" w:cs="Times New Roman"/>
                <w:sz w:val="18"/>
                <w:szCs w:val="18"/>
              </w:rPr>
              <w:t>27.82 ± 0.667 abc</w:t>
            </w:r>
          </w:p>
        </w:tc>
      </w:tr>
      <w:tr w:rsidR="005462C1" w:rsidRPr="005C3C09" w14:paraId="3C51D707" w14:textId="77777777" w:rsidTr="00970ED1">
        <w:trPr>
          <w:trHeight w:val="300"/>
          <w:jc w:val="center"/>
        </w:trPr>
        <w:tc>
          <w:tcPr>
            <w:tcW w:w="298" w:type="pct"/>
            <w:tcBorders>
              <w:top w:val="nil"/>
              <w:left w:val="nil"/>
              <w:bottom w:val="nil"/>
              <w:right w:val="nil"/>
            </w:tcBorders>
            <w:shd w:val="clear" w:color="000000" w:fill="FFFFFF"/>
            <w:noWrap/>
            <w:vAlign w:val="bottom"/>
            <w:hideMark/>
          </w:tcPr>
          <w:p w14:paraId="787D7563" w14:textId="77777777" w:rsidR="005462C1" w:rsidRPr="005C3C09" w:rsidRDefault="005462C1" w:rsidP="00F3546A">
            <w:pPr>
              <w:rPr>
                <w:rFonts w:ascii="Times New Roman" w:hAnsi="Times New Roman" w:cs="Times New Roman"/>
                <w:color w:val="000000"/>
                <w:sz w:val="18"/>
                <w:szCs w:val="18"/>
              </w:rPr>
            </w:pPr>
            <w:r w:rsidRPr="005C3C09">
              <w:rPr>
                <w:rFonts w:ascii="Times New Roman" w:hAnsi="Times New Roman" w:cs="Times New Roman"/>
                <w:color w:val="000000"/>
                <w:sz w:val="18"/>
                <w:szCs w:val="18"/>
              </w:rPr>
              <w:t> </w:t>
            </w:r>
          </w:p>
        </w:tc>
        <w:tc>
          <w:tcPr>
            <w:tcW w:w="838" w:type="pct"/>
            <w:vMerge w:val="restart"/>
            <w:tcBorders>
              <w:top w:val="nil"/>
              <w:left w:val="nil"/>
              <w:bottom w:val="single" w:sz="8" w:space="0" w:color="000000"/>
              <w:right w:val="nil"/>
            </w:tcBorders>
            <w:shd w:val="clear" w:color="000000" w:fill="FFFFFF"/>
            <w:vAlign w:val="center"/>
            <w:hideMark/>
          </w:tcPr>
          <w:p w14:paraId="000D60C3" w14:textId="77777777" w:rsidR="005462C1" w:rsidRPr="005C3C09" w:rsidRDefault="005462C1" w:rsidP="00F3546A">
            <w:pPr>
              <w:jc w:val="center"/>
              <w:rPr>
                <w:rFonts w:ascii="Times New Roman" w:hAnsi="Times New Roman" w:cs="Times New Roman"/>
                <w:sz w:val="18"/>
                <w:szCs w:val="18"/>
              </w:rPr>
            </w:pPr>
            <w:r w:rsidRPr="005C3C09">
              <w:rPr>
                <w:rFonts w:ascii="Times New Roman" w:hAnsi="Times New Roman" w:cs="Times New Roman"/>
                <w:sz w:val="18"/>
                <w:szCs w:val="18"/>
              </w:rPr>
              <w:t xml:space="preserve">Cu + FeNaEDTA </w:t>
            </w:r>
          </w:p>
        </w:tc>
        <w:tc>
          <w:tcPr>
            <w:tcW w:w="795" w:type="pct"/>
            <w:gridSpan w:val="2"/>
            <w:tcBorders>
              <w:top w:val="nil"/>
              <w:left w:val="nil"/>
              <w:bottom w:val="nil"/>
              <w:right w:val="nil"/>
            </w:tcBorders>
            <w:shd w:val="clear" w:color="000000" w:fill="FFFFFF"/>
            <w:noWrap/>
            <w:vAlign w:val="center"/>
            <w:hideMark/>
          </w:tcPr>
          <w:p w14:paraId="1C45CDD1" w14:textId="77777777" w:rsidR="005462C1" w:rsidRPr="005C3C09" w:rsidRDefault="005462C1" w:rsidP="00F3546A">
            <w:pPr>
              <w:jc w:val="center"/>
              <w:rPr>
                <w:rFonts w:ascii="Times New Roman" w:hAnsi="Times New Roman" w:cs="Times New Roman"/>
                <w:sz w:val="18"/>
                <w:szCs w:val="18"/>
              </w:rPr>
            </w:pPr>
            <w:r w:rsidRPr="005C3C09">
              <w:rPr>
                <w:rFonts w:ascii="Times New Roman" w:hAnsi="Times New Roman" w:cs="Times New Roman"/>
                <w:sz w:val="18"/>
                <w:szCs w:val="18"/>
              </w:rPr>
              <w:t>Non-inoculated</w:t>
            </w:r>
          </w:p>
        </w:tc>
        <w:tc>
          <w:tcPr>
            <w:tcW w:w="824" w:type="pct"/>
            <w:gridSpan w:val="3"/>
            <w:tcBorders>
              <w:top w:val="nil"/>
              <w:left w:val="nil"/>
              <w:bottom w:val="nil"/>
              <w:right w:val="nil"/>
            </w:tcBorders>
            <w:shd w:val="clear" w:color="000000" w:fill="FFFFFF"/>
            <w:noWrap/>
            <w:vAlign w:val="center"/>
            <w:hideMark/>
          </w:tcPr>
          <w:p w14:paraId="3CF58E83" w14:textId="77777777" w:rsidR="005462C1" w:rsidRPr="005C3C09" w:rsidRDefault="005462C1" w:rsidP="00F3546A">
            <w:pPr>
              <w:jc w:val="center"/>
              <w:rPr>
                <w:rFonts w:ascii="Times New Roman" w:hAnsi="Times New Roman" w:cs="Times New Roman"/>
                <w:color w:val="000000"/>
                <w:sz w:val="18"/>
                <w:szCs w:val="18"/>
              </w:rPr>
            </w:pPr>
            <w:r w:rsidRPr="005C3C09">
              <w:rPr>
                <w:rFonts w:ascii="Times New Roman" w:hAnsi="Times New Roman" w:cs="Times New Roman"/>
                <w:color w:val="000000"/>
                <w:sz w:val="18"/>
                <w:szCs w:val="18"/>
              </w:rPr>
              <w:t>146.52 ± 18.937 a</w:t>
            </w:r>
          </w:p>
        </w:tc>
        <w:tc>
          <w:tcPr>
            <w:tcW w:w="632" w:type="pct"/>
            <w:gridSpan w:val="2"/>
            <w:tcBorders>
              <w:top w:val="nil"/>
              <w:left w:val="nil"/>
              <w:bottom w:val="nil"/>
              <w:right w:val="nil"/>
            </w:tcBorders>
            <w:shd w:val="clear" w:color="000000" w:fill="FFFFFF"/>
            <w:noWrap/>
            <w:vAlign w:val="center"/>
            <w:hideMark/>
          </w:tcPr>
          <w:p w14:paraId="336918EC" w14:textId="77777777" w:rsidR="005462C1" w:rsidRPr="005C3C09" w:rsidRDefault="005462C1" w:rsidP="00F3546A">
            <w:pPr>
              <w:jc w:val="center"/>
              <w:rPr>
                <w:rFonts w:ascii="Times New Roman" w:hAnsi="Times New Roman" w:cs="Times New Roman"/>
                <w:sz w:val="18"/>
                <w:szCs w:val="18"/>
              </w:rPr>
            </w:pPr>
            <w:r w:rsidRPr="005C3C09">
              <w:rPr>
                <w:rFonts w:ascii="Times New Roman" w:hAnsi="Times New Roman" w:cs="Times New Roman"/>
                <w:sz w:val="18"/>
                <w:szCs w:val="18"/>
              </w:rPr>
              <w:t>1.16 ± 0.125 a</w:t>
            </w:r>
          </w:p>
        </w:tc>
        <w:tc>
          <w:tcPr>
            <w:tcW w:w="869" w:type="pct"/>
            <w:gridSpan w:val="2"/>
            <w:tcBorders>
              <w:top w:val="nil"/>
              <w:left w:val="nil"/>
              <w:bottom w:val="nil"/>
              <w:right w:val="nil"/>
            </w:tcBorders>
            <w:shd w:val="clear" w:color="000000" w:fill="FFFFFF"/>
            <w:noWrap/>
            <w:vAlign w:val="center"/>
            <w:hideMark/>
          </w:tcPr>
          <w:p w14:paraId="61EDEDB3" w14:textId="77777777" w:rsidR="005462C1" w:rsidRPr="005C3C09" w:rsidRDefault="005462C1" w:rsidP="00F3546A">
            <w:pPr>
              <w:jc w:val="center"/>
              <w:rPr>
                <w:rFonts w:ascii="Times New Roman" w:hAnsi="Times New Roman" w:cs="Times New Roman"/>
                <w:sz w:val="18"/>
                <w:szCs w:val="18"/>
              </w:rPr>
            </w:pPr>
            <w:r w:rsidRPr="005C3C09">
              <w:rPr>
                <w:rFonts w:ascii="Times New Roman" w:hAnsi="Times New Roman" w:cs="Times New Roman"/>
                <w:sz w:val="18"/>
                <w:szCs w:val="18"/>
              </w:rPr>
              <w:t>8.32 ± 0.426 bcd</w:t>
            </w:r>
          </w:p>
        </w:tc>
        <w:tc>
          <w:tcPr>
            <w:tcW w:w="744" w:type="pct"/>
            <w:tcBorders>
              <w:top w:val="nil"/>
              <w:left w:val="nil"/>
              <w:bottom w:val="nil"/>
              <w:right w:val="nil"/>
            </w:tcBorders>
            <w:shd w:val="clear" w:color="000000" w:fill="FFFFFF"/>
            <w:noWrap/>
            <w:vAlign w:val="center"/>
            <w:hideMark/>
          </w:tcPr>
          <w:p w14:paraId="7FC4CF4E" w14:textId="77777777" w:rsidR="005462C1" w:rsidRPr="005C3C09" w:rsidRDefault="005462C1" w:rsidP="00F3546A">
            <w:pPr>
              <w:jc w:val="center"/>
              <w:rPr>
                <w:rFonts w:ascii="Times New Roman" w:hAnsi="Times New Roman" w:cs="Times New Roman"/>
                <w:sz w:val="18"/>
                <w:szCs w:val="18"/>
              </w:rPr>
            </w:pPr>
            <w:r w:rsidRPr="005C3C09">
              <w:rPr>
                <w:rFonts w:ascii="Times New Roman" w:hAnsi="Times New Roman" w:cs="Times New Roman"/>
                <w:sz w:val="18"/>
                <w:szCs w:val="18"/>
              </w:rPr>
              <w:t>29.95 ± 3.855 ab</w:t>
            </w:r>
          </w:p>
        </w:tc>
      </w:tr>
      <w:tr w:rsidR="005462C1" w:rsidRPr="005C3C09" w14:paraId="61E7660D" w14:textId="77777777" w:rsidTr="00970ED1">
        <w:trPr>
          <w:trHeight w:val="300"/>
          <w:jc w:val="center"/>
        </w:trPr>
        <w:tc>
          <w:tcPr>
            <w:tcW w:w="298" w:type="pct"/>
            <w:tcBorders>
              <w:top w:val="nil"/>
              <w:left w:val="nil"/>
              <w:bottom w:val="nil"/>
              <w:right w:val="nil"/>
            </w:tcBorders>
            <w:shd w:val="clear" w:color="000000" w:fill="FFFFFF"/>
            <w:noWrap/>
            <w:vAlign w:val="bottom"/>
            <w:hideMark/>
          </w:tcPr>
          <w:p w14:paraId="2AB2EC67" w14:textId="77777777" w:rsidR="005462C1" w:rsidRPr="005C3C09" w:rsidRDefault="005462C1" w:rsidP="00F3546A">
            <w:pPr>
              <w:rPr>
                <w:rFonts w:ascii="Times New Roman" w:hAnsi="Times New Roman" w:cs="Times New Roman"/>
                <w:color w:val="000000"/>
                <w:sz w:val="18"/>
                <w:szCs w:val="18"/>
              </w:rPr>
            </w:pPr>
            <w:r w:rsidRPr="005C3C09">
              <w:rPr>
                <w:rFonts w:ascii="Times New Roman" w:hAnsi="Times New Roman" w:cs="Times New Roman"/>
                <w:color w:val="000000"/>
                <w:sz w:val="18"/>
                <w:szCs w:val="18"/>
              </w:rPr>
              <w:t> </w:t>
            </w:r>
          </w:p>
        </w:tc>
        <w:tc>
          <w:tcPr>
            <w:tcW w:w="838" w:type="pct"/>
            <w:vMerge/>
            <w:tcBorders>
              <w:top w:val="nil"/>
              <w:left w:val="nil"/>
              <w:bottom w:val="single" w:sz="8" w:space="0" w:color="000000"/>
              <w:right w:val="nil"/>
            </w:tcBorders>
            <w:vAlign w:val="center"/>
            <w:hideMark/>
          </w:tcPr>
          <w:p w14:paraId="2D24027C" w14:textId="77777777" w:rsidR="005462C1" w:rsidRPr="005C3C09" w:rsidRDefault="005462C1" w:rsidP="00F3546A">
            <w:pPr>
              <w:rPr>
                <w:rFonts w:ascii="Times New Roman" w:hAnsi="Times New Roman" w:cs="Times New Roman"/>
                <w:sz w:val="18"/>
                <w:szCs w:val="18"/>
              </w:rPr>
            </w:pPr>
          </w:p>
        </w:tc>
        <w:tc>
          <w:tcPr>
            <w:tcW w:w="795" w:type="pct"/>
            <w:gridSpan w:val="2"/>
            <w:tcBorders>
              <w:top w:val="nil"/>
              <w:left w:val="nil"/>
              <w:bottom w:val="nil"/>
              <w:right w:val="nil"/>
            </w:tcBorders>
            <w:shd w:val="clear" w:color="000000" w:fill="FFFFFF"/>
            <w:noWrap/>
            <w:vAlign w:val="center"/>
            <w:hideMark/>
          </w:tcPr>
          <w:p w14:paraId="59802B6F" w14:textId="77777777" w:rsidR="005462C1" w:rsidRPr="005C3C09" w:rsidRDefault="005462C1" w:rsidP="00F3546A">
            <w:pPr>
              <w:jc w:val="center"/>
              <w:rPr>
                <w:rFonts w:ascii="Times New Roman" w:hAnsi="Times New Roman" w:cs="Times New Roman"/>
                <w:sz w:val="18"/>
                <w:szCs w:val="18"/>
              </w:rPr>
            </w:pPr>
            <w:r w:rsidRPr="005C3C09">
              <w:rPr>
                <w:rFonts w:ascii="Times New Roman" w:hAnsi="Times New Roman" w:cs="Times New Roman"/>
                <w:sz w:val="18"/>
                <w:szCs w:val="18"/>
              </w:rPr>
              <w:t>Inoculated with Ri</w:t>
            </w:r>
          </w:p>
        </w:tc>
        <w:tc>
          <w:tcPr>
            <w:tcW w:w="824" w:type="pct"/>
            <w:gridSpan w:val="3"/>
            <w:tcBorders>
              <w:top w:val="nil"/>
              <w:left w:val="nil"/>
              <w:bottom w:val="nil"/>
              <w:right w:val="nil"/>
            </w:tcBorders>
            <w:shd w:val="clear" w:color="000000" w:fill="FFFFFF"/>
            <w:noWrap/>
            <w:vAlign w:val="center"/>
            <w:hideMark/>
          </w:tcPr>
          <w:p w14:paraId="250F19BE" w14:textId="77777777" w:rsidR="005462C1" w:rsidRPr="005C3C09" w:rsidRDefault="005462C1" w:rsidP="00F3546A">
            <w:pPr>
              <w:jc w:val="center"/>
              <w:rPr>
                <w:rFonts w:ascii="Times New Roman" w:hAnsi="Times New Roman" w:cs="Times New Roman"/>
                <w:color w:val="000000"/>
                <w:sz w:val="18"/>
                <w:szCs w:val="18"/>
              </w:rPr>
            </w:pPr>
            <w:r w:rsidRPr="005C3C09">
              <w:rPr>
                <w:rFonts w:ascii="Times New Roman" w:hAnsi="Times New Roman" w:cs="Times New Roman"/>
                <w:color w:val="000000"/>
                <w:sz w:val="18"/>
                <w:szCs w:val="18"/>
              </w:rPr>
              <w:t>161.59 ± 11.637 a</w:t>
            </w:r>
          </w:p>
        </w:tc>
        <w:tc>
          <w:tcPr>
            <w:tcW w:w="632" w:type="pct"/>
            <w:gridSpan w:val="2"/>
            <w:tcBorders>
              <w:top w:val="nil"/>
              <w:left w:val="nil"/>
              <w:bottom w:val="nil"/>
              <w:right w:val="nil"/>
            </w:tcBorders>
            <w:shd w:val="clear" w:color="000000" w:fill="FFFFFF"/>
            <w:noWrap/>
            <w:vAlign w:val="center"/>
            <w:hideMark/>
          </w:tcPr>
          <w:p w14:paraId="4F5B4E63" w14:textId="77777777" w:rsidR="005462C1" w:rsidRPr="005C3C09" w:rsidRDefault="005462C1" w:rsidP="00F3546A">
            <w:pPr>
              <w:jc w:val="center"/>
              <w:rPr>
                <w:rFonts w:ascii="Times New Roman" w:hAnsi="Times New Roman" w:cs="Times New Roman"/>
                <w:sz w:val="18"/>
                <w:szCs w:val="18"/>
              </w:rPr>
            </w:pPr>
            <w:r w:rsidRPr="005C3C09">
              <w:rPr>
                <w:rFonts w:ascii="Times New Roman" w:hAnsi="Times New Roman" w:cs="Times New Roman"/>
                <w:sz w:val="18"/>
                <w:szCs w:val="18"/>
              </w:rPr>
              <w:t>1.74 ± 0.164 a</w:t>
            </w:r>
          </w:p>
        </w:tc>
        <w:tc>
          <w:tcPr>
            <w:tcW w:w="869" w:type="pct"/>
            <w:gridSpan w:val="2"/>
            <w:tcBorders>
              <w:top w:val="nil"/>
              <w:left w:val="nil"/>
              <w:bottom w:val="nil"/>
              <w:right w:val="nil"/>
            </w:tcBorders>
            <w:shd w:val="clear" w:color="000000" w:fill="FFFFFF"/>
            <w:noWrap/>
            <w:vAlign w:val="center"/>
            <w:hideMark/>
          </w:tcPr>
          <w:p w14:paraId="7CDB06ED" w14:textId="77777777" w:rsidR="005462C1" w:rsidRPr="005C3C09" w:rsidRDefault="005462C1" w:rsidP="00F3546A">
            <w:pPr>
              <w:jc w:val="center"/>
              <w:rPr>
                <w:rFonts w:ascii="Times New Roman" w:hAnsi="Times New Roman" w:cs="Times New Roman"/>
                <w:sz w:val="18"/>
                <w:szCs w:val="18"/>
              </w:rPr>
            </w:pPr>
            <w:r w:rsidRPr="005C3C09">
              <w:rPr>
                <w:rFonts w:ascii="Times New Roman" w:hAnsi="Times New Roman" w:cs="Times New Roman"/>
                <w:sz w:val="18"/>
                <w:szCs w:val="18"/>
              </w:rPr>
              <w:t>9.45 ± 0.417 abc</w:t>
            </w:r>
          </w:p>
        </w:tc>
        <w:tc>
          <w:tcPr>
            <w:tcW w:w="744" w:type="pct"/>
            <w:tcBorders>
              <w:top w:val="nil"/>
              <w:left w:val="nil"/>
              <w:bottom w:val="nil"/>
              <w:right w:val="nil"/>
            </w:tcBorders>
            <w:shd w:val="clear" w:color="000000" w:fill="FFFFFF"/>
            <w:noWrap/>
            <w:vAlign w:val="center"/>
            <w:hideMark/>
          </w:tcPr>
          <w:p w14:paraId="79A59F91" w14:textId="77777777" w:rsidR="005462C1" w:rsidRPr="005C3C09" w:rsidRDefault="005462C1" w:rsidP="00F3546A">
            <w:pPr>
              <w:jc w:val="center"/>
              <w:rPr>
                <w:rFonts w:ascii="Times New Roman" w:hAnsi="Times New Roman" w:cs="Times New Roman"/>
                <w:sz w:val="18"/>
                <w:szCs w:val="18"/>
              </w:rPr>
            </w:pPr>
            <w:r w:rsidRPr="005C3C09">
              <w:rPr>
                <w:rFonts w:ascii="Times New Roman" w:hAnsi="Times New Roman" w:cs="Times New Roman"/>
                <w:sz w:val="18"/>
                <w:szCs w:val="18"/>
              </w:rPr>
              <w:t>31.92 ± 0.339 ab</w:t>
            </w:r>
          </w:p>
        </w:tc>
      </w:tr>
      <w:tr w:rsidR="005462C1" w:rsidRPr="005C3C09" w14:paraId="635AD782" w14:textId="77777777" w:rsidTr="00970ED1">
        <w:trPr>
          <w:trHeight w:val="300"/>
          <w:jc w:val="center"/>
        </w:trPr>
        <w:tc>
          <w:tcPr>
            <w:tcW w:w="298" w:type="pct"/>
            <w:tcBorders>
              <w:top w:val="nil"/>
              <w:left w:val="nil"/>
              <w:bottom w:val="nil"/>
              <w:right w:val="nil"/>
            </w:tcBorders>
            <w:shd w:val="clear" w:color="000000" w:fill="FFFFFF"/>
            <w:noWrap/>
            <w:vAlign w:val="bottom"/>
            <w:hideMark/>
          </w:tcPr>
          <w:p w14:paraId="0542DB9D" w14:textId="77777777" w:rsidR="005462C1" w:rsidRPr="005C3C09" w:rsidRDefault="005462C1" w:rsidP="00F3546A">
            <w:pPr>
              <w:rPr>
                <w:rFonts w:ascii="Times New Roman" w:hAnsi="Times New Roman" w:cs="Times New Roman"/>
                <w:color w:val="000000"/>
                <w:sz w:val="18"/>
                <w:szCs w:val="18"/>
              </w:rPr>
            </w:pPr>
            <w:r w:rsidRPr="005C3C09">
              <w:rPr>
                <w:rFonts w:ascii="Times New Roman" w:hAnsi="Times New Roman" w:cs="Times New Roman"/>
                <w:color w:val="000000"/>
                <w:sz w:val="18"/>
                <w:szCs w:val="18"/>
              </w:rPr>
              <w:t> </w:t>
            </w:r>
          </w:p>
        </w:tc>
        <w:tc>
          <w:tcPr>
            <w:tcW w:w="838" w:type="pct"/>
            <w:vMerge/>
            <w:tcBorders>
              <w:top w:val="nil"/>
              <w:left w:val="nil"/>
              <w:bottom w:val="single" w:sz="8" w:space="0" w:color="000000"/>
              <w:right w:val="nil"/>
            </w:tcBorders>
            <w:vAlign w:val="center"/>
            <w:hideMark/>
          </w:tcPr>
          <w:p w14:paraId="70EFD62C" w14:textId="77777777" w:rsidR="005462C1" w:rsidRPr="005C3C09" w:rsidRDefault="005462C1" w:rsidP="00F3546A">
            <w:pPr>
              <w:rPr>
                <w:rFonts w:ascii="Times New Roman" w:hAnsi="Times New Roman" w:cs="Times New Roman"/>
                <w:sz w:val="18"/>
                <w:szCs w:val="18"/>
              </w:rPr>
            </w:pPr>
          </w:p>
        </w:tc>
        <w:tc>
          <w:tcPr>
            <w:tcW w:w="795" w:type="pct"/>
            <w:gridSpan w:val="2"/>
            <w:tcBorders>
              <w:top w:val="nil"/>
              <w:left w:val="nil"/>
              <w:bottom w:val="single" w:sz="8" w:space="0" w:color="auto"/>
              <w:right w:val="nil"/>
            </w:tcBorders>
            <w:shd w:val="clear" w:color="000000" w:fill="FFFFFF"/>
            <w:noWrap/>
            <w:vAlign w:val="center"/>
            <w:hideMark/>
          </w:tcPr>
          <w:p w14:paraId="3BF84268" w14:textId="77777777" w:rsidR="005462C1" w:rsidRPr="005C3C09" w:rsidRDefault="005462C1" w:rsidP="00F3546A">
            <w:pPr>
              <w:jc w:val="center"/>
              <w:rPr>
                <w:rFonts w:ascii="Times New Roman" w:hAnsi="Times New Roman" w:cs="Times New Roman"/>
                <w:sz w:val="18"/>
                <w:szCs w:val="18"/>
              </w:rPr>
            </w:pPr>
            <w:r w:rsidRPr="005C3C09">
              <w:rPr>
                <w:rFonts w:ascii="Times New Roman" w:hAnsi="Times New Roman" w:cs="Times New Roman"/>
                <w:sz w:val="18"/>
                <w:szCs w:val="18"/>
              </w:rPr>
              <w:t>Inoculated with Fm</w:t>
            </w:r>
          </w:p>
        </w:tc>
        <w:tc>
          <w:tcPr>
            <w:tcW w:w="824" w:type="pct"/>
            <w:gridSpan w:val="3"/>
            <w:tcBorders>
              <w:top w:val="nil"/>
              <w:left w:val="nil"/>
              <w:bottom w:val="single" w:sz="8" w:space="0" w:color="auto"/>
              <w:right w:val="nil"/>
            </w:tcBorders>
            <w:shd w:val="clear" w:color="000000" w:fill="FFFFFF"/>
            <w:noWrap/>
            <w:vAlign w:val="center"/>
            <w:hideMark/>
          </w:tcPr>
          <w:p w14:paraId="3E186354" w14:textId="77777777" w:rsidR="005462C1" w:rsidRPr="005C3C09" w:rsidRDefault="005462C1" w:rsidP="00F3546A">
            <w:pPr>
              <w:jc w:val="center"/>
              <w:rPr>
                <w:rFonts w:ascii="Times New Roman" w:hAnsi="Times New Roman" w:cs="Times New Roman"/>
                <w:color w:val="000000"/>
                <w:sz w:val="18"/>
                <w:szCs w:val="18"/>
              </w:rPr>
            </w:pPr>
            <w:r w:rsidRPr="005C3C09">
              <w:rPr>
                <w:rFonts w:ascii="Times New Roman" w:hAnsi="Times New Roman" w:cs="Times New Roman"/>
                <w:color w:val="000000"/>
                <w:sz w:val="18"/>
                <w:szCs w:val="18"/>
              </w:rPr>
              <w:t>148.06 ± 8.931 a</w:t>
            </w:r>
          </w:p>
        </w:tc>
        <w:tc>
          <w:tcPr>
            <w:tcW w:w="632" w:type="pct"/>
            <w:gridSpan w:val="2"/>
            <w:tcBorders>
              <w:top w:val="nil"/>
              <w:left w:val="nil"/>
              <w:bottom w:val="single" w:sz="8" w:space="0" w:color="auto"/>
              <w:right w:val="nil"/>
            </w:tcBorders>
            <w:shd w:val="clear" w:color="000000" w:fill="FFFFFF"/>
            <w:noWrap/>
            <w:vAlign w:val="center"/>
            <w:hideMark/>
          </w:tcPr>
          <w:p w14:paraId="48A7554C" w14:textId="77777777" w:rsidR="005462C1" w:rsidRPr="005C3C09" w:rsidRDefault="005462C1" w:rsidP="00F3546A">
            <w:pPr>
              <w:jc w:val="center"/>
              <w:rPr>
                <w:rFonts w:ascii="Times New Roman" w:hAnsi="Times New Roman" w:cs="Times New Roman"/>
                <w:sz w:val="18"/>
                <w:szCs w:val="18"/>
              </w:rPr>
            </w:pPr>
            <w:r w:rsidRPr="005C3C09">
              <w:rPr>
                <w:rFonts w:ascii="Times New Roman" w:hAnsi="Times New Roman" w:cs="Times New Roman"/>
                <w:sz w:val="18"/>
                <w:szCs w:val="18"/>
              </w:rPr>
              <w:t>1.16 ± 0.221 a</w:t>
            </w:r>
          </w:p>
        </w:tc>
        <w:tc>
          <w:tcPr>
            <w:tcW w:w="869" w:type="pct"/>
            <w:gridSpan w:val="2"/>
            <w:tcBorders>
              <w:top w:val="nil"/>
              <w:left w:val="nil"/>
              <w:bottom w:val="single" w:sz="8" w:space="0" w:color="auto"/>
              <w:right w:val="nil"/>
            </w:tcBorders>
            <w:shd w:val="clear" w:color="000000" w:fill="FFFFFF"/>
            <w:noWrap/>
            <w:vAlign w:val="center"/>
            <w:hideMark/>
          </w:tcPr>
          <w:p w14:paraId="56801EE6" w14:textId="77777777" w:rsidR="005462C1" w:rsidRPr="005C3C09" w:rsidRDefault="005462C1" w:rsidP="00F3546A">
            <w:pPr>
              <w:jc w:val="center"/>
              <w:rPr>
                <w:rFonts w:ascii="Times New Roman" w:hAnsi="Times New Roman" w:cs="Times New Roman"/>
                <w:sz w:val="18"/>
                <w:szCs w:val="18"/>
              </w:rPr>
            </w:pPr>
            <w:r w:rsidRPr="005C3C09">
              <w:rPr>
                <w:rFonts w:ascii="Times New Roman" w:hAnsi="Times New Roman" w:cs="Times New Roman"/>
                <w:sz w:val="18"/>
                <w:szCs w:val="18"/>
              </w:rPr>
              <w:t>8.51 ± 0.615 bcd</w:t>
            </w:r>
          </w:p>
        </w:tc>
        <w:tc>
          <w:tcPr>
            <w:tcW w:w="744" w:type="pct"/>
            <w:tcBorders>
              <w:top w:val="nil"/>
              <w:left w:val="nil"/>
              <w:bottom w:val="single" w:sz="8" w:space="0" w:color="auto"/>
              <w:right w:val="nil"/>
            </w:tcBorders>
            <w:shd w:val="clear" w:color="000000" w:fill="FFFFFF"/>
            <w:noWrap/>
            <w:vAlign w:val="center"/>
            <w:hideMark/>
          </w:tcPr>
          <w:p w14:paraId="0C2E32AD" w14:textId="77777777" w:rsidR="005462C1" w:rsidRPr="005C3C09" w:rsidRDefault="005462C1" w:rsidP="00F3546A">
            <w:pPr>
              <w:jc w:val="center"/>
              <w:rPr>
                <w:rFonts w:ascii="Times New Roman" w:hAnsi="Times New Roman" w:cs="Times New Roman"/>
                <w:sz w:val="18"/>
                <w:szCs w:val="18"/>
              </w:rPr>
            </w:pPr>
            <w:r w:rsidRPr="005C3C09">
              <w:rPr>
                <w:rFonts w:ascii="Times New Roman" w:hAnsi="Times New Roman" w:cs="Times New Roman"/>
                <w:sz w:val="18"/>
                <w:szCs w:val="18"/>
              </w:rPr>
              <w:t>27.45 ± 0.727 abc</w:t>
            </w:r>
          </w:p>
        </w:tc>
      </w:tr>
      <w:tr w:rsidR="005462C1" w:rsidRPr="005C3C09" w14:paraId="2893070B" w14:textId="77777777" w:rsidTr="00970ED1">
        <w:trPr>
          <w:trHeight w:val="300"/>
          <w:jc w:val="center"/>
        </w:trPr>
        <w:tc>
          <w:tcPr>
            <w:tcW w:w="298" w:type="pct"/>
            <w:tcBorders>
              <w:top w:val="nil"/>
              <w:left w:val="nil"/>
              <w:bottom w:val="nil"/>
              <w:right w:val="nil"/>
            </w:tcBorders>
            <w:shd w:val="clear" w:color="000000" w:fill="FFFFFF"/>
            <w:noWrap/>
            <w:vAlign w:val="bottom"/>
            <w:hideMark/>
          </w:tcPr>
          <w:p w14:paraId="2F0A8D10" w14:textId="77777777" w:rsidR="005462C1" w:rsidRPr="005C3C09" w:rsidRDefault="005462C1" w:rsidP="00F3546A">
            <w:pPr>
              <w:rPr>
                <w:rFonts w:ascii="Times New Roman" w:hAnsi="Times New Roman" w:cs="Times New Roman"/>
                <w:color w:val="000000"/>
                <w:sz w:val="18"/>
                <w:szCs w:val="18"/>
              </w:rPr>
            </w:pPr>
            <w:r w:rsidRPr="005C3C09">
              <w:rPr>
                <w:rFonts w:ascii="Times New Roman" w:hAnsi="Times New Roman" w:cs="Times New Roman"/>
                <w:color w:val="000000"/>
                <w:sz w:val="18"/>
                <w:szCs w:val="18"/>
              </w:rPr>
              <w:t> </w:t>
            </w:r>
          </w:p>
        </w:tc>
        <w:tc>
          <w:tcPr>
            <w:tcW w:w="945" w:type="pct"/>
            <w:gridSpan w:val="2"/>
            <w:tcBorders>
              <w:top w:val="nil"/>
              <w:left w:val="nil"/>
              <w:bottom w:val="nil"/>
              <w:right w:val="nil"/>
            </w:tcBorders>
            <w:shd w:val="clear" w:color="000000" w:fill="FFFFFF"/>
            <w:noWrap/>
            <w:vAlign w:val="center"/>
            <w:hideMark/>
          </w:tcPr>
          <w:p w14:paraId="42D27BCC" w14:textId="77777777" w:rsidR="005462C1" w:rsidRPr="005C3C09" w:rsidRDefault="005462C1" w:rsidP="00F3546A">
            <w:pPr>
              <w:rPr>
                <w:rFonts w:ascii="Times New Roman" w:hAnsi="Times New Roman" w:cs="Times New Roman"/>
                <w:b/>
                <w:bCs/>
                <w:color w:val="000000"/>
                <w:sz w:val="18"/>
                <w:szCs w:val="18"/>
              </w:rPr>
            </w:pPr>
            <w:r w:rsidRPr="005C3C09">
              <w:rPr>
                <w:rFonts w:ascii="Times New Roman" w:hAnsi="Times New Roman" w:cs="Times New Roman"/>
                <w:b/>
                <w:bCs/>
                <w:color w:val="000000"/>
                <w:sz w:val="18"/>
                <w:szCs w:val="18"/>
              </w:rPr>
              <w:t> </w:t>
            </w:r>
          </w:p>
        </w:tc>
        <w:tc>
          <w:tcPr>
            <w:tcW w:w="911" w:type="pct"/>
            <w:gridSpan w:val="3"/>
            <w:tcBorders>
              <w:top w:val="nil"/>
              <w:left w:val="nil"/>
              <w:bottom w:val="nil"/>
              <w:right w:val="nil"/>
            </w:tcBorders>
            <w:shd w:val="clear" w:color="000000" w:fill="FFFFFF"/>
            <w:noWrap/>
            <w:vAlign w:val="center"/>
            <w:hideMark/>
          </w:tcPr>
          <w:p w14:paraId="1FE42AE9" w14:textId="77777777" w:rsidR="005462C1" w:rsidRPr="005C3C09" w:rsidRDefault="005462C1" w:rsidP="00F3546A">
            <w:pPr>
              <w:rPr>
                <w:rFonts w:ascii="Times New Roman" w:hAnsi="Times New Roman" w:cs="Times New Roman"/>
                <w:b/>
                <w:bCs/>
                <w:color w:val="000000"/>
                <w:sz w:val="18"/>
                <w:szCs w:val="18"/>
              </w:rPr>
            </w:pPr>
            <w:r w:rsidRPr="005C3C09">
              <w:rPr>
                <w:rFonts w:ascii="Times New Roman" w:hAnsi="Times New Roman" w:cs="Times New Roman"/>
                <w:b/>
                <w:bCs/>
                <w:color w:val="000000"/>
                <w:sz w:val="18"/>
                <w:szCs w:val="18"/>
              </w:rPr>
              <w:t> </w:t>
            </w:r>
          </w:p>
        </w:tc>
        <w:tc>
          <w:tcPr>
            <w:tcW w:w="786" w:type="pct"/>
            <w:gridSpan w:val="2"/>
            <w:tcBorders>
              <w:top w:val="nil"/>
              <w:left w:val="nil"/>
              <w:bottom w:val="nil"/>
              <w:right w:val="nil"/>
            </w:tcBorders>
            <w:shd w:val="clear" w:color="000000" w:fill="FFFFFF"/>
            <w:noWrap/>
            <w:vAlign w:val="center"/>
            <w:hideMark/>
          </w:tcPr>
          <w:p w14:paraId="0F4EF268" w14:textId="77777777" w:rsidR="005462C1" w:rsidRPr="005C3C09" w:rsidRDefault="005462C1" w:rsidP="00F3546A">
            <w:pPr>
              <w:rPr>
                <w:rFonts w:ascii="Times New Roman" w:hAnsi="Times New Roman" w:cs="Times New Roman"/>
                <w:b/>
                <w:bCs/>
                <w:color w:val="000000"/>
                <w:sz w:val="18"/>
                <w:szCs w:val="18"/>
              </w:rPr>
            </w:pPr>
            <w:r w:rsidRPr="005C3C09">
              <w:rPr>
                <w:rFonts w:ascii="Times New Roman" w:hAnsi="Times New Roman" w:cs="Times New Roman"/>
                <w:b/>
                <w:bCs/>
                <w:color w:val="000000"/>
                <w:sz w:val="18"/>
                <w:szCs w:val="18"/>
              </w:rPr>
              <w:t> </w:t>
            </w:r>
          </w:p>
        </w:tc>
        <w:tc>
          <w:tcPr>
            <w:tcW w:w="574" w:type="pct"/>
            <w:gridSpan w:val="2"/>
            <w:tcBorders>
              <w:top w:val="nil"/>
              <w:left w:val="nil"/>
              <w:bottom w:val="nil"/>
              <w:right w:val="nil"/>
            </w:tcBorders>
            <w:shd w:val="clear" w:color="000000" w:fill="FFFFFF"/>
            <w:noWrap/>
            <w:vAlign w:val="center"/>
            <w:hideMark/>
          </w:tcPr>
          <w:p w14:paraId="62B63760" w14:textId="77777777" w:rsidR="005462C1" w:rsidRPr="005C3C09" w:rsidRDefault="005462C1" w:rsidP="00F3546A">
            <w:pPr>
              <w:rPr>
                <w:rFonts w:ascii="Times New Roman" w:hAnsi="Times New Roman" w:cs="Times New Roman"/>
                <w:b/>
                <w:bCs/>
                <w:color w:val="000000"/>
                <w:sz w:val="18"/>
                <w:szCs w:val="18"/>
              </w:rPr>
            </w:pPr>
            <w:r w:rsidRPr="005C3C09">
              <w:rPr>
                <w:rFonts w:ascii="Times New Roman" w:hAnsi="Times New Roman" w:cs="Times New Roman"/>
                <w:b/>
                <w:bCs/>
                <w:color w:val="000000"/>
                <w:sz w:val="18"/>
                <w:szCs w:val="18"/>
              </w:rPr>
              <w:t> </w:t>
            </w:r>
          </w:p>
        </w:tc>
        <w:tc>
          <w:tcPr>
            <w:tcW w:w="743" w:type="pct"/>
            <w:tcBorders>
              <w:top w:val="nil"/>
              <w:left w:val="nil"/>
              <w:bottom w:val="nil"/>
              <w:right w:val="nil"/>
            </w:tcBorders>
            <w:shd w:val="clear" w:color="000000" w:fill="FFFFFF"/>
            <w:noWrap/>
            <w:vAlign w:val="center"/>
            <w:hideMark/>
          </w:tcPr>
          <w:p w14:paraId="0377558A" w14:textId="77777777" w:rsidR="005462C1" w:rsidRPr="005C3C09" w:rsidRDefault="005462C1" w:rsidP="00F3546A">
            <w:pPr>
              <w:rPr>
                <w:rFonts w:ascii="Times New Roman" w:hAnsi="Times New Roman" w:cs="Times New Roman"/>
                <w:b/>
                <w:bCs/>
                <w:color w:val="000000"/>
                <w:sz w:val="18"/>
                <w:szCs w:val="18"/>
              </w:rPr>
            </w:pPr>
            <w:r w:rsidRPr="005C3C09">
              <w:rPr>
                <w:rFonts w:ascii="Times New Roman" w:hAnsi="Times New Roman" w:cs="Times New Roman"/>
                <w:b/>
                <w:bCs/>
                <w:color w:val="000000"/>
                <w:sz w:val="18"/>
                <w:szCs w:val="18"/>
              </w:rPr>
              <w:t> </w:t>
            </w:r>
          </w:p>
        </w:tc>
        <w:tc>
          <w:tcPr>
            <w:tcW w:w="744" w:type="pct"/>
            <w:tcBorders>
              <w:top w:val="nil"/>
              <w:left w:val="nil"/>
              <w:bottom w:val="nil"/>
              <w:right w:val="nil"/>
            </w:tcBorders>
            <w:shd w:val="clear" w:color="000000" w:fill="FFFFFF"/>
            <w:noWrap/>
            <w:vAlign w:val="center"/>
            <w:hideMark/>
          </w:tcPr>
          <w:p w14:paraId="141945AF" w14:textId="77777777" w:rsidR="005462C1" w:rsidRPr="005C3C09" w:rsidRDefault="005462C1" w:rsidP="00F3546A">
            <w:pPr>
              <w:rPr>
                <w:rFonts w:ascii="Times New Roman" w:hAnsi="Times New Roman" w:cs="Times New Roman"/>
                <w:b/>
                <w:bCs/>
                <w:color w:val="000000"/>
                <w:sz w:val="18"/>
                <w:szCs w:val="18"/>
              </w:rPr>
            </w:pPr>
            <w:r w:rsidRPr="005C3C09">
              <w:rPr>
                <w:rFonts w:ascii="Times New Roman" w:hAnsi="Times New Roman" w:cs="Times New Roman"/>
                <w:b/>
                <w:bCs/>
                <w:color w:val="000000"/>
                <w:sz w:val="18"/>
                <w:szCs w:val="18"/>
              </w:rPr>
              <w:t> </w:t>
            </w:r>
          </w:p>
        </w:tc>
      </w:tr>
      <w:tr w:rsidR="005462C1" w:rsidRPr="005C3C09" w14:paraId="553E23E1" w14:textId="77777777" w:rsidTr="00970ED1">
        <w:trPr>
          <w:trHeight w:val="300"/>
          <w:jc w:val="center"/>
        </w:trPr>
        <w:tc>
          <w:tcPr>
            <w:tcW w:w="298" w:type="pct"/>
            <w:tcBorders>
              <w:top w:val="nil"/>
              <w:left w:val="nil"/>
              <w:bottom w:val="nil"/>
              <w:right w:val="nil"/>
            </w:tcBorders>
            <w:shd w:val="clear" w:color="000000" w:fill="FFFFFF"/>
            <w:noWrap/>
            <w:vAlign w:val="bottom"/>
            <w:hideMark/>
          </w:tcPr>
          <w:p w14:paraId="2B81FAE1" w14:textId="77777777" w:rsidR="005462C1" w:rsidRPr="005C3C09" w:rsidRDefault="005462C1" w:rsidP="00F3546A">
            <w:pPr>
              <w:jc w:val="right"/>
              <w:rPr>
                <w:rFonts w:ascii="Times New Roman" w:hAnsi="Times New Roman" w:cs="Times New Roman"/>
                <w:b/>
                <w:bCs/>
                <w:sz w:val="18"/>
                <w:szCs w:val="18"/>
              </w:rPr>
            </w:pPr>
            <w:r w:rsidRPr="005C3C09">
              <w:rPr>
                <w:rFonts w:ascii="Times New Roman" w:hAnsi="Times New Roman" w:cs="Times New Roman"/>
                <w:b/>
                <w:bCs/>
                <w:sz w:val="18"/>
                <w:szCs w:val="18"/>
              </w:rPr>
              <w:t>B)</w:t>
            </w:r>
          </w:p>
        </w:tc>
        <w:tc>
          <w:tcPr>
            <w:tcW w:w="1669" w:type="pct"/>
            <w:gridSpan w:val="4"/>
            <w:tcBorders>
              <w:top w:val="nil"/>
              <w:left w:val="nil"/>
              <w:bottom w:val="single" w:sz="8" w:space="0" w:color="auto"/>
              <w:right w:val="nil"/>
            </w:tcBorders>
            <w:shd w:val="clear" w:color="000000" w:fill="FFFFFF"/>
            <w:noWrap/>
            <w:vAlign w:val="center"/>
            <w:hideMark/>
          </w:tcPr>
          <w:p w14:paraId="348240F6" w14:textId="77777777" w:rsidR="005462C1" w:rsidRPr="005C3C09" w:rsidRDefault="005462C1" w:rsidP="00F3546A">
            <w:pPr>
              <w:jc w:val="center"/>
              <w:rPr>
                <w:rFonts w:ascii="Times New Roman" w:hAnsi="Times New Roman" w:cs="Times New Roman"/>
                <w:b/>
                <w:bCs/>
                <w:color w:val="000000"/>
                <w:sz w:val="18"/>
                <w:szCs w:val="18"/>
              </w:rPr>
            </w:pPr>
            <w:r w:rsidRPr="005C3C09">
              <w:rPr>
                <w:rFonts w:ascii="Times New Roman" w:hAnsi="Times New Roman" w:cs="Times New Roman"/>
                <w:b/>
                <w:bCs/>
                <w:color w:val="000000"/>
                <w:sz w:val="18"/>
                <w:szCs w:val="18"/>
              </w:rPr>
              <w:t>Factor</w:t>
            </w:r>
          </w:p>
        </w:tc>
        <w:tc>
          <w:tcPr>
            <w:tcW w:w="788" w:type="pct"/>
            <w:gridSpan w:val="2"/>
            <w:tcBorders>
              <w:top w:val="nil"/>
              <w:left w:val="nil"/>
              <w:bottom w:val="single" w:sz="8" w:space="0" w:color="auto"/>
              <w:right w:val="nil"/>
            </w:tcBorders>
            <w:shd w:val="clear" w:color="000000" w:fill="FFFFFF"/>
            <w:vAlign w:val="center"/>
            <w:hideMark/>
          </w:tcPr>
          <w:p w14:paraId="0402F231" w14:textId="77777777" w:rsidR="005462C1" w:rsidRPr="005C3C09" w:rsidRDefault="005462C1" w:rsidP="00F3546A">
            <w:pPr>
              <w:jc w:val="center"/>
              <w:rPr>
                <w:rFonts w:ascii="Times New Roman" w:hAnsi="Times New Roman" w:cs="Times New Roman"/>
                <w:b/>
                <w:bCs/>
                <w:sz w:val="18"/>
                <w:szCs w:val="18"/>
              </w:rPr>
            </w:pPr>
            <w:r w:rsidRPr="005C3C09">
              <w:rPr>
                <w:rFonts w:ascii="Times New Roman" w:hAnsi="Times New Roman" w:cs="Times New Roman"/>
                <w:b/>
                <w:bCs/>
                <w:sz w:val="18"/>
                <w:szCs w:val="18"/>
              </w:rPr>
              <w:t>Cu</w:t>
            </w:r>
          </w:p>
        </w:tc>
        <w:tc>
          <w:tcPr>
            <w:tcW w:w="758" w:type="pct"/>
            <w:gridSpan w:val="3"/>
            <w:tcBorders>
              <w:top w:val="nil"/>
              <w:left w:val="nil"/>
              <w:bottom w:val="single" w:sz="8" w:space="0" w:color="auto"/>
              <w:right w:val="nil"/>
            </w:tcBorders>
            <w:shd w:val="clear" w:color="000000" w:fill="FFFFFF"/>
            <w:vAlign w:val="center"/>
            <w:hideMark/>
          </w:tcPr>
          <w:p w14:paraId="0011E698" w14:textId="77777777" w:rsidR="005462C1" w:rsidRPr="005C3C09" w:rsidRDefault="005462C1" w:rsidP="00F3546A">
            <w:pPr>
              <w:jc w:val="center"/>
              <w:rPr>
                <w:rFonts w:ascii="Times New Roman" w:hAnsi="Times New Roman" w:cs="Times New Roman"/>
                <w:b/>
                <w:bCs/>
                <w:sz w:val="18"/>
                <w:szCs w:val="18"/>
              </w:rPr>
            </w:pPr>
            <w:r w:rsidRPr="005C3C09">
              <w:rPr>
                <w:rFonts w:ascii="Times New Roman" w:hAnsi="Times New Roman" w:cs="Times New Roman"/>
                <w:b/>
                <w:bCs/>
                <w:sz w:val="18"/>
                <w:szCs w:val="18"/>
              </w:rPr>
              <w:t>Zn</w:t>
            </w:r>
          </w:p>
        </w:tc>
        <w:tc>
          <w:tcPr>
            <w:tcW w:w="743" w:type="pct"/>
            <w:tcBorders>
              <w:top w:val="nil"/>
              <w:left w:val="nil"/>
              <w:bottom w:val="single" w:sz="8" w:space="0" w:color="auto"/>
              <w:right w:val="nil"/>
            </w:tcBorders>
            <w:shd w:val="clear" w:color="000000" w:fill="FFFFFF"/>
            <w:vAlign w:val="center"/>
            <w:hideMark/>
          </w:tcPr>
          <w:p w14:paraId="49C80FD0" w14:textId="77777777" w:rsidR="005462C1" w:rsidRPr="005C3C09" w:rsidRDefault="005462C1" w:rsidP="00F3546A">
            <w:pPr>
              <w:jc w:val="center"/>
              <w:rPr>
                <w:rFonts w:ascii="Times New Roman" w:hAnsi="Times New Roman" w:cs="Times New Roman"/>
                <w:b/>
                <w:bCs/>
                <w:sz w:val="18"/>
                <w:szCs w:val="18"/>
              </w:rPr>
            </w:pPr>
            <w:r w:rsidRPr="005C3C09">
              <w:rPr>
                <w:rFonts w:ascii="Times New Roman" w:hAnsi="Times New Roman" w:cs="Times New Roman"/>
                <w:b/>
                <w:bCs/>
                <w:sz w:val="18"/>
                <w:szCs w:val="18"/>
              </w:rPr>
              <w:t>Mn</w:t>
            </w:r>
          </w:p>
        </w:tc>
        <w:tc>
          <w:tcPr>
            <w:tcW w:w="744" w:type="pct"/>
            <w:tcBorders>
              <w:top w:val="nil"/>
              <w:left w:val="nil"/>
              <w:bottom w:val="single" w:sz="8" w:space="0" w:color="auto"/>
              <w:right w:val="nil"/>
            </w:tcBorders>
            <w:shd w:val="clear" w:color="000000" w:fill="FFFFFF"/>
            <w:vAlign w:val="center"/>
            <w:hideMark/>
          </w:tcPr>
          <w:p w14:paraId="1B137A0E" w14:textId="63ED7E5F" w:rsidR="005462C1" w:rsidRPr="005C3C09" w:rsidRDefault="005462C1" w:rsidP="00F3546A">
            <w:pPr>
              <w:jc w:val="center"/>
              <w:rPr>
                <w:rFonts w:ascii="Times New Roman" w:hAnsi="Times New Roman" w:cs="Times New Roman"/>
                <w:b/>
                <w:bCs/>
                <w:sz w:val="18"/>
                <w:szCs w:val="18"/>
              </w:rPr>
            </w:pPr>
            <w:r w:rsidRPr="005C3C09">
              <w:rPr>
                <w:rFonts w:ascii="Times New Roman" w:hAnsi="Times New Roman" w:cs="Times New Roman"/>
                <w:b/>
                <w:bCs/>
                <w:sz w:val="18"/>
                <w:szCs w:val="18"/>
              </w:rPr>
              <w:t>Fe</w:t>
            </w:r>
            <w:r w:rsidR="00A30999" w:rsidRPr="006A2E63">
              <w:rPr>
                <w:rFonts w:ascii="Times New Roman" w:hAnsi="Times New Roman" w:cs="Times New Roman"/>
                <w:b/>
                <w:bCs/>
                <w:sz w:val="18"/>
                <w:szCs w:val="18"/>
                <w:vertAlign w:val="superscript"/>
              </w:rPr>
              <w:t>2</w:t>
            </w:r>
          </w:p>
        </w:tc>
      </w:tr>
      <w:tr w:rsidR="005462C1" w:rsidRPr="005C3C09" w14:paraId="2CD014C3" w14:textId="77777777" w:rsidTr="00970ED1">
        <w:trPr>
          <w:trHeight w:val="300"/>
          <w:jc w:val="center"/>
        </w:trPr>
        <w:tc>
          <w:tcPr>
            <w:tcW w:w="298" w:type="pct"/>
            <w:tcBorders>
              <w:top w:val="nil"/>
              <w:left w:val="nil"/>
              <w:bottom w:val="nil"/>
              <w:right w:val="nil"/>
            </w:tcBorders>
            <w:shd w:val="clear" w:color="000000" w:fill="FFFFFF"/>
            <w:noWrap/>
            <w:vAlign w:val="bottom"/>
            <w:hideMark/>
          </w:tcPr>
          <w:p w14:paraId="4BF362CD" w14:textId="77777777" w:rsidR="005462C1" w:rsidRPr="005C3C09" w:rsidRDefault="005462C1" w:rsidP="00F3546A">
            <w:pPr>
              <w:rPr>
                <w:rFonts w:ascii="Times New Roman" w:hAnsi="Times New Roman" w:cs="Times New Roman"/>
                <w:color w:val="000000"/>
                <w:sz w:val="18"/>
                <w:szCs w:val="18"/>
              </w:rPr>
            </w:pPr>
            <w:r w:rsidRPr="005C3C09">
              <w:rPr>
                <w:rFonts w:ascii="Times New Roman" w:hAnsi="Times New Roman" w:cs="Times New Roman"/>
                <w:color w:val="000000"/>
                <w:sz w:val="18"/>
                <w:szCs w:val="18"/>
              </w:rPr>
              <w:t> </w:t>
            </w:r>
          </w:p>
        </w:tc>
        <w:tc>
          <w:tcPr>
            <w:tcW w:w="1669" w:type="pct"/>
            <w:gridSpan w:val="4"/>
            <w:tcBorders>
              <w:top w:val="nil"/>
              <w:left w:val="nil"/>
              <w:bottom w:val="nil"/>
              <w:right w:val="nil"/>
            </w:tcBorders>
            <w:shd w:val="clear" w:color="000000" w:fill="FFFFFF"/>
            <w:noWrap/>
            <w:vAlign w:val="center"/>
            <w:hideMark/>
          </w:tcPr>
          <w:p w14:paraId="53223A2C" w14:textId="77777777" w:rsidR="005462C1" w:rsidRPr="005C3C09" w:rsidRDefault="005462C1" w:rsidP="00F3546A">
            <w:pPr>
              <w:jc w:val="center"/>
              <w:rPr>
                <w:rFonts w:ascii="Times New Roman" w:hAnsi="Times New Roman" w:cs="Times New Roman"/>
                <w:color w:val="000000"/>
                <w:sz w:val="18"/>
                <w:szCs w:val="18"/>
              </w:rPr>
            </w:pPr>
            <w:r w:rsidRPr="005C3C09">
              <w:rPr>
                <w:rFonts w:ascii="Times New Roman" w:hAnsi="Times New Roman" w:cs="Times New Roman"/>
                <w:color w:val="000000"/>
                <w:sz w:val="18"/>
                <w:szCs w:val="18"/>
              </w:rPr>
              <w:t>Mycorrhizal treatment</w:t>
            </w:r>
          </w:p>
        </w:tc>
        <w:tc>
          <w:tcPr>
            <w:tcW w:w="788" w:type="pct"/>
            <w:gridSpan w:val="2"/>
            <w:tcBorders>
              <w:top w:val="nil"/>
              <w:left w:val="nil"/>
              <w:bottom w:val="nil"/>
              <w:right w:val="nil"/>
            </w:tcBorders>
            <w:shd w:val="clear" w:color="000000" w:fill="FFFFFF"/>
            <w:noWrap/>
            <w:vAlign w:val="center"/>
            <w:hideMark/>
          </w:tcPr>
          <w:p w14:paraId="631E92CF" w14:textId="77777777" w:rsidR="005462C1" w:rsidRPr="005C3C09" w:rsidRDefault="005462C1" w:rsidP="00F3546A">
            <w:pPr>
              <w:jc w:val="center"/>
              <w:rPr>
                <w:rFonts w:ascii="Times New Roman" w:hAnsi="Times New Roman" w:cs="Times New Roman"/>
                <w:color w:val="000000"/>
                <w:sz w:val="18"/>
                <w:szCs w:val="18"/>
              </w:rPr>
            </w:pPr>
            <w:r w:rsidRPr="005C3C09">
              <w:rPr>
                <w:rFonts w:ascii="Times New Roman" w:hAnsi="Times New Roman" w:cs="Times New Roman"/>
                <w:color w:val="000000"/>
                <w:sz w:val="18"/>
                <w:szCs w:val="18"/>
              </w:rPr>
              <w:t>0.688</w:t>
            </w:r>
          </w:p>
        </w:tc>
        <w:tc>
          <w:tcPr>
            <w:tcW w:w="758" w:type="pct"/>
            <w:gridSpan w:val="3"/>
            <w:tcBorders>
              <w:top w:val="nil"/>
              <w:left w:val="nil"/>
              <w:bottom w:val="nil"/>
              <w:right w:val="nil"/>
            </w:tcBorders>
            <w:shd w:val="clear" w:color="000000" w:fill="FFFFFF"/>
            <w:noWrap/>
            <w:vAlign w:val="center"/>
            <w:hideMark/>
          </w:tcPr>
          <w:p w14:paraId="26F2ED76" w14:textId="77777777" w:rsidR="005462C1" w:rsidRPr="005C3C09" w:rsidRDefault="005462C1" w:rsidP="00F3546A">
            <w:pPr>
              <w:jc w:val="center"/>
              <w:rPr>
                <w:rFonts w:ascii="Times New Roman" w:hAnsi="Times New Roman" w:cs="Times New Roman"/>
                <w:color w:val="000000"/>
                <w:sz w:val="18"/>
                <w:szCs w:val="18"/>
              </w:rPr>
            </w:pPr>
            <w:r w:rsidRPr="005C3C09">
              <w:rPr>
                <w:rFonts w:ascii="Times New Roman" w:hAnsi="Times New Roman" w:cs="Times New Roman"/>
                <w:color w:val="000000"/>
                <w:sz w:val="18"/>
                <w:szCs w:val="18"/>
              </w:rPr>
              <w:t>0.882</w:t>
            </w:r>
          </w:p>
        </w:tc>
        <w:tc>
          <w:tcPr>
            <w:tcW w:w="743" w:type="pct"/>
            <w:tcBorders>
              <w:top w:val="nil"/>
              <w:left w:val="nil"/>
              <w:bottom w:val="nil"/>
              <w:right w:val="nil"/>
            </w:tcBorders>
            <w:shd w:val="clear" w:color="000000" w:fill="FFFFFF"/>
            <w:noWrap/>
            <w:vAlign w:val="center"/>
            <w:hideMark/>
          </w:tcPr>
          <w:p w14:paraId="508C8EAC" w14:textId="77777777" w:rsidR="005462C1" w:rsidRPr="005C3C09" w:rsidRDefault="005462C1" w:rsidP="00F3546A">
            <w:pPr>
              <w:jc w:val="center"/>
              <w:rPr>
                <w:rFonts w:ascii="Times New Roman" w:hAnsi="Times New Roman" w:cs="Times New Roman"/>
                <w:color w:val="000000"/>
                <w:sz w:val="18"/>
                <w:szCs w:val="18"/>
              </w:rPr>
            </w:pPr>
            <w:r w:rsidRPr="005C3C09">
              <w:rPr>
                <w:rFonts w:ascii="Times New Roman" w:hAnsi="Times New Roman" w:cs="Times New Roman"/>
                <w:color w:val="000000"/>
                <w:sz w:val="18"/>
                <w:szCs w:val="18"/>
              </w:rPr>
              <w:t>0.301</w:t>
            </w:r>
          </w:p>
        </w:tc>
        <w:tc>
          <w:tcPr>
            <w:tcW w:w="744" w:type="pct"/>
            <w:tcBorders>
              <w:top w:val="nil"/>
              <w:left w:val="nil"/>
              <w:bottom w:val="nil"/>
              <w:right w:val="nil"/>
            </w:tcBorders>
            <w:shd w:val="clear" w:color="000000" w:fill="FFFFFF"/>
            <w:noWrap/>
            <w:vAlign w:val="center"/>
            <w:hideMark/>
          </w:tcPr>
          <w:p w14:paraId="3B4A4F46" w14:textId="50835946" w:rsidR="005462C1" w:rsidRPr="005C3C09" w:rsidRDefault="00A30999" w:rsidP="00F3546A">
            <w:pPr>
              <w:jc w:val="center"/>
              <w:rPr>
                <w:rFonts w:ascii="Times New Roman" w:hAnsi="Times New Roman" w:cs="Times New Roman"/>
                <w:color w:val="000000"/>
                <w:sz w:val="18"/>
                <w:szCs w:val="18"/>
              </w:rPr>
            </w:pPr>
            <w:r>
              <w:rPr>
                <w:rFonts w:ascii="Times New Roman" w:hAnsi="Times New Roman" w:cs="Times New Roman"/>
                <w:color w:val="000000"/>
                <w:sz w:val="18"/>
                <w:szCs w:val="18"/>
              </w:rPr>
              <w:t>-</w:t>
            </w:r>
          </w:p>
        </w:tc>
      </w:tr>
      <w:tr w:rsidR="005462C1" w:rsidRPr="005C3C09" w14:paraId="7644A10A" w14:textId="77777777" w:rsidTr="00970ED1">
        <w:trPr>
          <w:trHeight w:val="300"/>
          <w:jc w:val="center"/>
        </w:trPr>
        <w:tc>
          <w:tcPr>
            <w:tcW w:w="298" w:type="pct"/>
            <w:tcBorders>
              <w:top w:val="nil"/>
              <w:left w:val="nil"/>
              <w:bottom w:val="nil"/>
              <w:right w:val="nil"/>
            </w:tcBorders>
            <w:shd w:val="clear" w:color="000000" w:fill="FFFFFF"/>
            <w:noWrap/>
            <w:vAlign w:val="bottom"/>
            <w:hideMark/>
          </w:tcPr>
          <w:p w14:paraId="45B938A2" w14:textId="77777777" w:rsidR="005462C1" w:rsidRPr="005C3C09" w:rsidRDefault="005462C1" w:rsidP="00F3546A">
            <w:pPr>
              <w:rPr>
                <w:rFonts w:ascii="Times New Roman" w:hAnsi="Times New Roman" w:cs="Times New Roman"/>
                <w:color w:val="000000"/>
                <w:sz w:val="18"/>
                <w:szCs w:val="18"/>
              </w:rPr>
            </w:pPr>
            <w:r w:rsidRPr="005C3C09">
              <w:rPr>
                <w:rFonts w:ascii="Times New Roman" w:hAnsi="Times New Roman" w:cs="Times New Roman"/>
                <w:color w:val="000000"/>
                <w:sz w:val="18"/>
                <w:szCs w:val="18"/>
              </w:rPr>
              <w:t> </w:t>
            </w:r>
          </w:p>
        </w:tc>
        <w:tc>
          <w:tcPr>
            <w:tcW w:w="1669" w:type="pct"/>
            <w:gridSpan w:val="4"/>
            <w:tcBorders>
              <w:top w:val="nil"/>
              <w:left w:val="nil"/>
              <w:bottom w:val="nil"/>
              <w:right w:val="nil"/>
            </w:tcBorders>
            <w:shd w:val="clear" w:color="000000" w:fill="FFFFFF"/>
            <w:noWrap/>
            <w:vAlign w:val="center"/>
            <w:hideMark/>
          </w:tcPr>
          <w:p w14:paraId="6DBE76BD" w14:textId="77777777" w:rsidR="005462C1" w:rsidRPr="005C3C09" w:rsidRDefault="005462C1" w:rsidP="00F3546A">
            <w:pPr>
              <w:jc w:val="center"/>
              <w:rPr>
                <w:rFonts w:ascii="Times New Roman" w:hAnsi="Times New Roman" w:cs="Times New Roman"/>
                <w:color w:val="000000"/>
                <w:sz w:val="18"/>
                <w:szCs w:val="18"/>
              </w:rPr>
            </w:pPr>
            <w:r w:rsidRPr="005C3C09">
              <w:rPr>
                <w:rFonts w:ascii="Times New Roman" w:hAnsi="Times New Roman" w:cs="Times New Roman"/>
                <w:color w:val="000000"/>
                <w:sz w:val="18"/>
                <w:szCs w:val="18"/>
              </w:rPr>
              <w:t>Soil treatment</w:t>
            </w:r>
          </w:p>
        </w:tc>
        <w:tc>
          <w:tcPr>
            <w:tcW w:w="788" w:type="pct"/>
            <w:gridSpan w:val="2"/>
            <w:tcBorders>
              <w:top w:val="nil"/>
              <w:left w:val="nil"/>
              <w:bottom w:val="nil"/>
              <w:right w:val="nil"/>
            </w:tcBorders>
            <w:shd w:val="clear" w:color="000000" w:fill="FFFFFF"/>
            <w:noWrap/>
            <w:vAlign w:val="center"/>
            <w:hideMark/>
          </w:tcPr>
          <w:p w14:paraId="3EDE3356" w14:textId="77777777" w:rsidR="005462C1" w:rsidRPr="005C3C09" w:rsidRDefault="005462C1" w:rsidP="00F3546A">
            <w:pPr>
              <w:jc w:val="center"/>
              <w:rPr>
                <w:rFonts w:ascii="Times New Roman" w:hAnsi="Times New Roman" w:cs="Times New Roman"/>
                <w:sz w:val="18"/>
                <w:szCs w:val="18"/>
              </w:rPr>
            </w:pPr>
            <w:r w:rsidRPr="005C3C09">
              <w:rPr>
                <w:rFonts w:ascii="Times New Roman" w:hAnsi="Times New Roman" w:cs="Times New Roman"/>
                <w:sz w:val="18"/>
                <w:szCs w:val="18"/>
              </w:rPr>
              <w:t>&lt;0.0001</w:t>
            </w:r>
          </w:p>
        </w:tc>
        <w:tc>
          <w:tcPr>
            <w:tcW w:w="758" w:type="pct"/>
            <w:gridSpan w:val="3"/>
            <w:tcBorders>
              <w:top w:val="nil"/>
              <w:left w:val="nil"/>
              <w:bottom w:val="nil"/>
              <w:right w:val="nil"/>
            </w:tcBorders>
            <w:shd w:val="clear" w:color="000000" w:fill="FFFFFF"/>
            <w:noWrap/>
            <w:vAlign w:val="center"/>
            <w:hideMark/>
          </w:tcPr>
          <w:p w14:paraId="6D643BB0" w14:textId="77777777" w:rsidR="005462C1" w:rsidRPr="005C3C09" w:rsidRDefault="005462C1" w:rsidP="00F3546A">
            <w:pPr>
              <w:jc w:val="center"/>
              <w:rPr>
                <w:rFonts w:ascii="Times New Roman" w:hAnsi="Times New Roman" w:cs="Times New Roman"/>
                <w:color w:val="000000"/>
                <w:sz w:val="18"/>
                <w:szCs w:val="18"/>
              </w:rPr>
            </w:pPr>
            <w:r w:rsidRPr="005C3C09">
              <w:rPr>
                <w:rFonts w:ascii="Times New Roman" w:hAnsi="Times New Roman" w:cs="Times New Roman"/>
                <w:color w:val="000000"/>
                <w:sz w:val="18"/>
                <w:szCs w:val="18"/>
              </w:rPr>
              <w:t>0.108</w:t>
            </w:r>
          </w:p>
        </w:tc>
        <w:tc>
          <w:tcPr>
            <w:tcW w:w="743" w:type="pct"/>
            <w:tcBorders>
              <w:top w:val="nil"/>
              <w:left w:val="nil"/>
              <w:bottom w:val="nil"/>
              <w:right w:val="nil"/>
            </w:tcBorders>
            <w:shd w:val="clear" w:color="000000" w:fill="FFFFFF"/>
            <w:noWrap/>
            <w:vAlign w:val="center"/>
            <w:hideMark/>
          </w:tcPr>
          <w:p w14:paraId="3952B9C9" w14:textId="77777777" w:rsidR="005462C1" w:rsidRPr="005C3C09" w:rsidRDefault="005462C1" w:rsidP="00F3546A">
            <w:pPr>
              <w:jc w:val="center"/>
              <w:rPr>
                <w:rFonts w:ascii="Times New Roman" w:hAnsi="Times New Roman" w:cs="Times New Roman"/>
                <w:color w:val="000000"/>
                <w:sz w:val="18"/>
                <w:szCs w:val="18"/>
              </w:rPr>
            </w:pPr>
            <w:r w:rsidRPr="005C3C09">
              <w:rPr>
                <w:rFonts w:ascii="Times New Roman" w:hAnsi="Times New Roman" w:cs="Times New Roman"/>
                <w:color w:val="000000"/>
                <w:sz w:val="18"/>
                <w:szCs w:val="18"/>
              </w:rPr>
              <w:t>0.001</w:t>
            </w:r>
          </w:p>
        </w:tc>
        <w:tc>
          <w:tcPr>
            <w:tcW w:w="744" w:type="pct"/>
            <w:tcBorders>
              <w:top w:val="nil"/>
              <w:left w:val="nil"/>
              <w:bottom w:val="nil"/>
              <w:right w:val="nil"/>
            </w:tcBorders>
            <w:shd w:val="clear" w:color="000000" w:fill="FFFFFF"/>
            <w:noWrap/>
            <w:vAlign w:val="center"/>
            <w:hideMark/>
          </w:tcPr>
          <w:p w14:paraId="35AE2EC2" w14:textId="5A04A8F8" w:rsidR="005462C1" w:rsidRPr="005C3C09" w:rsidRDefault="00A30999" w:rsidP="00F3546A">
            <w:pPr>
              <w:jc w:val="center"/>
              <w:rPr>
                <w:rFonts w:ascii="Times New Roman" w:hAnsi="Times New Roman" w:cs="Times New Roman"/>
                <w:color w:val="000000"/>
                <w:sz w:val="18"/>
                <w:szCs w:val="18"/>
              </w:rPr>
            </w:pPr>
            <w:r>
              <w:rPr>
                <w:rFonts w:ascii="Times New Roman" w:hAnsi="Times New Roman" w:cs="Times New Roman"/>
                <w:color w:val="000000"/>
                <w:sz w:val="18"/>
                <w:szCs w:val="18"/>
              </w:rPr>
              <w:t>-</w:t>
            </w:r>
          </w:p>
        </w:tc>
      </w:tr>
      <w:tr w:rsidR="005462C1" w:rsidRPr="005C3C09" w14:paraId="29844444" w14:textId="77777777" w:rsidTr="00970ED1">
        <w:trPr>
          <w:trHeight w:val="300"/>
          <w:jc w:val="center"/>
        </w:trPr>
        <w:tc>
          <w:tcPr>
            <w:tcW w:w="298" w:type="pct"/>
            <w:tcBorders>
              <w:top w:val="nil"/>
              <w:left w:val="nil"/>
              <w:bottom w:val="nil"/>
              <w:right w:val="nil"/>
            </w:tcBorders>
            <w:shd w:val="clear" w:color="000000" w:fill="FFFFFF"/>
            <w:noWrap/>
            <w:vAlign w:val="bottom"/>
            <w:hideMark/>
          </w:tcPr>
          <w:p w14:paraId="41E2F14C" w14:textId="77777777" w:rsidR="005462C1" w:rsidRPr="005C3C09" w:rsidRDefault="005462C1" w:rsidP="00F3546A">
            <w:pPr>
              <w:rPr>
                <w:rFonts w:ascii="Times New Roman" w:hAnsi="Times New Roman" w:cs="Times New Roman"/>
                <w:color w:val="000000"/>
                <w:sz w:val="18"/>
                <w:szCs w:val="18"/>
              </w:rPr>
            </w:pPr>
            <w:r w:rsidRPr="005C3C09">
              <w:rPr>
                <w:rFonts w:ascii="Times New Roman" w:hAnsi="Times New Roman" w:cs="Times New Roman"/>
                <w:color w:val="000000"/>
                <w:sz w:val="18"/>
                <w:szCs w:val="18"/>
              </w:rPr>
              <w:t> </w:t>
            </w:r>
          </w:p>
        </w:tc>
        <w:tc>
          <w:tcPr>
            <w:tcW w:w="1669" w:type="pct"/>
            <w:gridSpan w:val="4"/>
            <w:tcBorders>
              <w:top w:val="nil"/>
              <w:left w:val="nil"/>
              <w:bottom w:val="single" w:sz="8" w:space="0" w:color="auto"/>
              <w:right w:val="nil"/>
            </w:tcBorders>
            <w:shd w:val="clear" w:color="000000" w:fill="FFFFFF"/>
            <w:noWrap/>
            <w:vAlign w:val="center"/>
            <w:hideMark/>
          </w:tcPr>
          <w:p w14:paraId="3A4FC368" w14:textId="77777777" w:rsidR="005462C1" w:rsidRPr="005C3C09" w:rsidRDefault="005462C1" w:rsidP="00F3546A">
            <w:pPr>
              <w:jc w:val="center"/>
              <w:rPr>
                <w:rFonts w:ascii="Times New Roman" w:hAnsi="Times New Roman" w:cs="Times New Roman"/>
                <w:color w:val="000000"/>
                <w:sz w:val="18"/>
                <w:szCs w:val="18"/>
              </w:rPr>
            </w:pPr>
            <w:r w:rsidRPr="005C3C09">
              <w:rPr>
                <w:rFonts w:ascii="Times New Roman" w:hAnsi="Times New Roman" w:cs="Times New Roman"/>
                <w:color w:val="000000"/>
                <w:sz w:val="18"/>
                <w:szCs w:val="18"/>
              </w:rPr>
              <w:t>Interaction</w:t>
            </w:r>
          </w:p>
        </w:tc>
        <w:tc>
          <w:tcPr>
            <w:tcW w:w="788" w:type="pct"/>
            <w:gridSpan w:val="2"/>
            <w:tcBorders>
              <w:top w:val="nil"/>
              <w:left w:val="nil"/>
              <w:bottom w:val="single" w:sz="8" w:space="0" w:color="auto"/>
              <w:right w:val="nil"/>
            </w:tcBorders>
            <w:shd w:val="clear" w:color="000000" w:fill="FFFFFF"/>
            <w:noWrap/>
            <w:vAlign w:val="center"/>
            <w:hideMark/>
          </w:tcPr>
          <w:p w14:paraId="21083B9C" w14:textId="77777777" w:rsidR="005462C1" w:rsidRPr="005C3C09" w:rsidRDefault="005462C1" w:rsidP="00F3546A">
            <w:pPr>
              <w:jc w:val="center"/>
              <w:rPr>
                <w:rFonts w:ascii="Times New Roman" w:hAnsi="Times New Roman" w:cs="Times New Roman"/>
                <w:color w:val="000000"/>
                <w:sz w:val="18"/>
                <w:szCs w:val="18"/>
              </w:rPr>
            </w:pPr>
            <w:r w:rsidRPr="005C3C09">
              <w:rPr>
                <w:rFonts w:ascii="Times New Roman" w:hAnsi="Times New Roman" w:cs="Times New Roman"/>
                <w:color w:val="000000"/>
                <w:sz w:val="18"/>
                <w:szCs w:val="18"/>
              </w:rPr>
              <w:t>0.407</w:t>
            </w:r>
          </w:p>
        </w:tc>
        <w:tc>
          <w:tcPr>
            <w:tcW w:w="758" w:type="pct"/>
            <w:gridSpan w:val="3"/>
            <w:tcBorders>
              <w:top w:val="nil"/>
              <w:left w:val="nil"/>
              <w:bottom w:val="single" w:sz="8" w:space="0" w:color="auto"/>
              <w:right w:val="nil"/>
            </w:tcBorders>
            <w:shd w:val="clear" w:color="000000" w:fill="FFFFFF"/>
            <w:noWrap/>
            <w:vAlign w:val="center"/>
            <w:hideMark/>
          </w:tcPr>
          <w:p w14:paraId="53E38672" w14:textId="77777777" w:rsidR="005462C1" w:rsidRPr="005C3C09" w:rsidRDefault="005462C1" w:rsidP="00F3546A">
            <w:pPr>
              <w:jc w:val="center"/>
              <w:rPr>
                <w:rFonts w:ascii="Times New Roman" w:hAnsi="Times New Roman" w:cs="Times New Roman"/>
                <w:color w:val="000000"/>
                <w:sz w:val="18"/>
                <w:szCs w:val="18"/>
              </w:rPr>
            </w:pPr>
            <w:r w:rsidRPr="005C3C09">
              <w:rPr>
                <w:rFonts w:ascii="Times New Roman" w:hAnsi="Times New Roman" w:cs="Times New Roman"/>
                <w:color w:val="000000"/>
                <w:sz w:val="18"/>
                <w:szCs w:val="18"/>
              </w:rPr>
              <w:t>0.497</w:t>
            </w:r>
          </w:p>
        </w:tc>
        <w:tc>
          <w:tcPr>
            <w:tcW w:w="743" w:type="pct"/>
            <w:tcBorders>
              <w:top w:val="nil"/>
              <w:left w:val="nil"/>
              <w:bottom w:val="single" w:sz="8" w:space="0" w:color="auto"/>
              <w:right w:val="nil"/>
            </w:tcBorders>
            <w:shd w:val="clear" w:color="000000" w:fill="FFFFFF"/>
            <w:noWrap/>
            <w:vAlign w:val="center"/>
            <w:hideMark/>
          </w:tcPr>
          <w:p w14:paraId="5AA994C9" w14:textId="77777777" w:rsidR="005462C1" w:rsidRPr="005C3C09" w:rsidRDefault="005462C1" w:rsidP="00F3546A">
            <w:pPr>
              <w:jc w:val="center"/>
              <w:rPr>
                <w:rFonts w:ascii="Times New Roman" w:hAnsi="Times New Roman" w:cs="Times New Roman"/>
                <w:color w:val="000000"/>
                <w:sz w:val="18"/>
                <w:szCs w:val="18"/>
              </w:rPr>
            </w:pPr>
            <w:r w:rsidRPr="005C3C09">
              <w:rPr>
                <w:rFonts w:ascii="Times New Roman" w:hAnsi="Times New Roman" w:cs="Times New Roman"/>
                <w:color w:val="000000"/>
                <w:sz w:val="18"/>
                <w:szCs w:val="18"/>
              </w:rPr>
              <w:t>0.141</w:t>
            </w:r>
          </w:p>
        </w:tc>
        <w:tc>
          <w:tcPr>
            <w:tcW w:w="744" w:type="pct"/>
            <w:tcBorders>
              <w:top w:val="nil"/>
              <w:left w:val="nil"/>
              <w:bottom w:val="single" w:sz="8" w:space="0" w:color="auto"/>
              <w:right w:val="nil"/>
            </w:tcBorders>
            <w:shd w:val="clear" w:color="000000" w:fill="FFFFFF"/>
            <w:noWrap/>
            <w:vAlign w:val="center"/>
            <w:hideMark/>
          </w:tcPr>
          <w:p w14:paraId="36BDC6E6" w14:textId="7FD32A6D" w:rsidR="005462C1" w:rsidRPr="005C3C09" w:rsidRDefault="00A30999" w:rsidP="00F3546A">
            <w:pPr>
              <w:jc w:val="center"/>
              <w:rPr>
                <w:rFonts w:ascii="Times New Roman" w:hAnsi="Times New Roman" w:cs="Times New Roman"/>
                <w:color w:val="000000"/>
                <w:sz w:val="18"/>
                <w:szCs w:val="18"/>
              </w:rPr>
            </w:pPr>
            <w:r>
              <w:rPr>
                <w:rFonts w:ascii="Times New Roman" w:hAnsi="Times New Roman" w:cs="Times New Roman"/>
                <w:color w:val="000000"/>
                <w:sz w:val="18"/>
                <w:szCs w:val="18"/>
              </w:rPr>
              <w:t>-</w:t>
            </w:r>
          </w:p>
        </w:tc>
      </w:tr>
    </w:tbl>
    <w:p w14:paraId="4D56EF26" w14:textId="088EC9F1" w:rsidR="00A30999" w:rsidRDefault="00A30999" w:rsidP="00A30999">
      <w:pPr>
        <w:spacing w:after="0" w:line="480" w:lineRule="auto"/>
        <w:ind w:left="360"/>
        <w:jc w:val="both"/>
        <w:rPr>
          <w:rFonts w:ascii="Times New Roman" w:hAnsi="Times New Roman" w:cs="Times New Roman"/>
          <w:sz w:val="18"/>
          <w:szCs w:val="18"/>
          <w:vertAlign w:val="superscript"/>
          <w:lang w:val="en-US"/>
        </w:rPr>
      </w:pPr>
      <w:r>
        <w:rPr>
          <w:rFonts w:ascii="Times New Roman" w:hAnsi="Times New Roman" w:cs="Times New Roman"/>
          <w:sz w:val="18"/>
          <w:szCs w:val="18"/>
          <w:vertAlign w:val="superscript"/>
          <w:lang w:val="en-US"/>
        </w:rPr>
        <w:t xml:space="preserve">1 </w:t>
      </w:r>
      <w:r w:rsidRPr="006A2E63">
        <w:rPr>
          <w:rFonts w:ascii="Times New Roman" w:hAnsi="Times New Roman" w:cs="Times New Roman"/>
          <w:sz w:val="18"/>
          <w:szCs w:val="18"/>
          <w:lang w:val="en-US"/>
        </w:rPr>
        <w:t>Group means</w:t>
      </w:r>
      <w:r>
        <w:rPr>
          <w:rFonts w:ascii="Times New Roman" w:hAnsi="Times New Roman" w:cs="Times New Roman"/>
          <w:sz w:val="18"/>
          <w:szCs w:val="18"/>
          <w:lang w:val="en-US"/>
        </w:rPr>
        <w:t xml:space="preserve"> were compared by a Dunn-Bonferroni test.</w:t>
      </w:r>
    </w:p>
    <w:p w14:paraId="1F8113F7" w14:textId="1265E579" w:rsidR="00E1694E" w:rsidRPr="006A2E63" w:rsidRDefault="00A30999" w:rsidP="006A2E63">
      <w:pPr>
        <w:spacing w:after="0" w:line="480" w:lineRule="auto"/>
        <w:ind w:left="360"/>
        <w:jc w:val="both"/>
        <w:rPr>
          <w:rFonts w:ascii="Times New Roman" w:hAnsi="Times New Roman" w:cs="Times New Roman"/>
          <w:sz w:val="18"/>
          <w:szCs w:val="18"/>
          <w:lang w:val="en-US"/>
        </w:rPr>
      </w:pPr>
      <w:r w:rsidRPr="006A2E63">
        <w:rPr>
          <w:rFonts w:ascii="Times New Roman" w:hAnsi="Times New Roman" w:cs="Times New Roman"/>
          <w:sz w:val="18"/>
          <w:szCs w:val="18"/>
          <w:vertAlign w:val="superscript"/>
          <w:lang w:val="en-US"/>
        </w:rPr>
        <w:t>2</w:t>
      </w:r>
      <w:r>
        <w:rPr>
          <w:rFonts w:ascii="Times New Roman" w:hAnsi="Times New Roman" w:cs="Times New Roman"/>
          <w:sz w:val="18"/>
          <w:szCs w:val="18"/>
          <w:vertAlign w:val="superscript"/>
          <w:lang w:val="en-US"/>
        </w:rPr>
        <w:t xml:space="preserve"> </w:t>
      </w:r>
      <w:r w:rsidRPr="006A2E63">
        <w:rPr>
          <w:rFonts w:ascii="Times New Roman" w:hAnsi="Times New Roman" w:cs="Times New Roman"/>
          <w:sz w:val="18"/>
          <w:szCs w:val="18"/>
          <w:lang w:val="en-US"/>
        </w:rPr>
        <w:t>Data were not analyzed by a two-way ANOVA as data did not fulfill variance homogeneity conditions.</w:t>
      </w:r>
    </w:p>
    <w:p w14:paraId="583F9747" w14:textId="77777777" w:rsidR="00A30999" w:rsidRDefault="00A30999" w:rsidP="007F71B8">
      <w:pPr>
        <w:spacing w:after="0" w:line="480" w:lineRule="auto"/>
        <w:jc w:val="both"/>
        <w:rPr>
          <w:rFonts w:ascii="Times New Roman" w:hAnsi="Times New Roman" w:cs="Times New Roman"/>
          <w:lang w:val="en-US"/>
        </w:rPr>
      </w:pPr>
    </w:p>
    <w:p w14:paraId="6D261841" w14:textId="630F8CDC" w:rsidR="00EA1AF4" w:rsidRPr="0067680B" w:rsidRDefault="00F570E8" w:rsidP="007F71B8">
      <w:pPr>
        <w:spacing w:after="0" w:line="480" w:lineRule="auto"/>
        <w:jc w:val="both"/>
        <w:rPr>
          <w:rFonts w:ascii="Times New Roman" w:hAnsi="Times New Roman" w:cs="Times New Roman"/>
          <w:lang w:val="en-US"/>
        </w:rPr>
      </w:pPr>
      <w:bookmarkStart w:id="18" w:name="_Hlk73605022"/>
      <w:r w:rsidRPr="0067680B">
        <w:rPr>
          <w:rFonts w:ascii="Times New Roman" w:hAnsi="Times New Roman" w:cs="Times New Roman"/>
          <w:lang w:val="en-US"/>
        </w:rPr>
        <w:t xml:space="preserve">By the end of the experiment, </w:t>
      </w:r>
      <w:r w:rsidRPr="0067680B">
        <w:rPr>
          <w:rFonts w:ascii="Times New Roman" w:hAnsi="Times New Roman" w:cs="Times New Roman"/>
          <w:bCs/>
          <w:lang w:val="en-US"/>
        </w:rPr>
        <w:t>four months after the application of soil treatments,</w:t>
      </w:r>
      <w:r w:rsidRPr="0067680B">
        <w:rPr>
          <w:rFonts w:ascii="Times New Roman" w:hAnsi="Times New Roman" w:cs="Times New Roman"/>
          <w:lang w:val="en-US"/>
        </w:rPr>
        <w:t xml:space="preserve"> all plants were colonized by AMF, including the non-inoculated ones</w:t>
      </w:r>
      <w:r w:rsidR="00890CA2" w:rsidRPr="0067680B">
        <w:rPr>
          <w:rFonts w:ascii="Times New Roman" w:hAnsi="Times New Roman" w:cs="Times New Roman"/>
          <w:lang w:val="en-US"/>
        </w:rPr>
        <w:t xml:space="preserve"> (Fig</w:t>
      </w:r>
      <w:r w:rsidR="0041546E" w:rsidRPr="0067680B">
        <w:rPr>
          <w:rFonts w:ascii="Times New Roman" w:hAnsi="Times New Roman" w:cs="Times New Roman"/>
          <w:lang w:val="en-US"/>
        </w:rPr>
        <w:t>ure</w:t>
      </w:r>
      <w:r w:rsidR="00890CA2" w:rsidRPr="0067680B">
        <w:rPr>
          <w:rFonts w:ascii="Times New Roman" w:hAnsi="Times New Roman" w:cs="Times New Roman"/>
          <w:lang w:val="en-US"/>
        </w:rPr>
        <w:t xml:space="preserve"> 1)</w:t>
      </w:r>
      <w:r w:rsidR="00563C6D" w:rsidRPr="0067680B">
        <w:rPr>
          <w:rFonts w:ascii="Times New Roman" w:hAnsi="Times New Roman" w:cs="Times New Roman"/>
          <w:lang w:val="en-US"/>
        </w:rPr>
        <w:t xml:space="preserve">. </w:t>
      </w:r>
      <w:r w:rsidR="00EA1AF4" w:rsidRPr="0067680B">
        <w:rPr>
          <w:rFonts w:ascii="Times New Roman" w:hAnsi="Times New Roman" w:cs="Times New Roman"/>
          <w:lang w:val="en-US"/>
        </w:rPr>
        <w:t>The a</w:t>
      </w:r>
      <w:r w:rsidR="009A1443" w:rsidRPr="0067680B">
        <w:rPr>
          <w:rFonts w:ascii="Times New Roman" w:hAnsi="Times New Roman" w:cs="Times New Roman"/>
          <w:lang w:val="en-US"/>
        </w:rPr>
        <w:t xml:space="preserve">ddition of Cu to the soil led to an increase in root colonization in non-inoculated and in </w:t>
      </w:r>
      <w:r w:rsidR="009A1443" w:rsidRPr="0067680B">
        <w:rPr>
          <w:rFonts w:ascii="Times New Roman" w:hAnsi="Times New Roman" w:cs="Times New Roman"/>
          <w:i/>
          <w:iCs/>
          <w:lang w:val="en-US"/>
        </w:rPr>
        <w:t>F. mosseae</w:t>
      </w:r>
      <w:r w:rsidR="009A1443" w:rsidRPr="0067680B">
        <w:rPr>
          <w:rFonts w:ascii="Times New Roman" w:hAnsi="Times New Roman" w:cs="Times New Roman"/>
          <w:lang w:val="en-US"/>
        </w:rPr>
        <w:t xml:space="preserve">-inoculated plants, and the addition of Cu </w:t>
      </w:r>
      <w:r w:rsidR="00EA1AF4" w:rsidRPr="0067680B">
        <w:rPr>
          <w:rFonts w:ascii="Times New Roman" w:hAnsi="Times New Roman" w:cs="Times New Roman"/>
          <w:lang w:val="en-US"/>
        </w:rPr>
        <w:t>together with</w:t>
      </w:r>
      <w:r w:rsidR="009A1443" w:rsidRPr="0067680B">
        <w:rPr>
          <w:rFonts w:ascii="Times New Roman" w:hAnsi="Times New Roman" w:cs="Times New Roman"/>
          <w:lang w:val="en-US"/>
        </w:rPr>
        <w:t xml:space="preserve"> FeNaEDTA led to an increase </w:t>
      </w:r>
      <w:r w:rsidR="00C352EC">
        <w:rPr>
          <w:rFonts w:ascii="Times New Roman" w:hAnsi="Times New Roman" w:cs="Times New Roman"/>
          <w:lang w:val="en-US"/>
        </w:rPr>
        <w:t>in</w:t>
      </w:r>
      <w:r w:rsidR="00C352EC" w:rsidRPr="0067680B">
        <w:rPr>
          <w:rFonts w:ascii="Times New Roman" w:hAnsi="Times New Roman" w:cs="Times New Roman"/>
          <w:lang w:val="en-US"/>
        </w:rPr>
        <w:t xml:space="preserve"> </w:t>
      </w:r>
      <w:r w:rsidR="009A1443" w:rsidRPr="0067680B">
        <w:rPr>
          <w:rFonts w:ascii="Times New Roman" w:hAnsi="Times New Roman" w:cs="Times New Roman"/>
          <w:lang w:val="en-US"/>
        </w:rPr>
        <w:t xml:space="preserve">root colonization only in </w:t>
      </w:r>
      <w:r w:rsidR="009A1443" w:rsidRPr="0067680B">
        <w:rPr>
          <w:rFonts w:ascii="Times New Roman" w:hAnsi="Times New Roman" w:cs="Times New Roman"/>
          <w:i/>
          <w:iCs/>
          <w:lang w:val="en-US"/>
        </w:rPr>
        <w:t xml:space="preserve">R. </w:t>
      </w:r>
      <w:r w:rsidR="00B92074" w:rsidRPr="0067680B">
        <w:rPr>
          <w:rFonts w:ascii="Times New Roman" w:hAnsi="Times New Roman" w:cs="Times New Roman"/>
          <w:i/>
          <w:iCs/>
          <w:lang w:val="en-US"/>
        </w:rPr>
        <w:t>irregulare</w:t>
      </w:r>
      <w:r w:rsidR="00C352EC">
        <w:rPr>
          <w:rFonts w:ascii="Times New Roman" w:hAnsi="Times New Roman" w:cs="Times New Roman"/>
          <w:i/>
          <w:iCs/>
          <w:lang w:val="en-US"/>
        </w:rPr>
        <w:t>-</w:t>
      </w:r>
      <w:r w:rsidR="009A1443" w:rsidRPr="0067680B">
        <w:rPr>
          <w:rFonts w:ascii="Times New Roman" w:hAnsi="Times New Roman" w:cs="Times New Roman"/>
          <w:lang w:val="en-US"/>
        </w:rPr>
        <w:t xml:space="preserve"> inoculated plants (Fig</w:t>
      </w:r>
      <w:r w:rsidR="0041546E" w:rsidRPr="0067680B">
        <w:rPr>
          <w:rFonts w:ascii="Times New Roman" w:hAnsi="Times New Roman" w:cs="Times New Roman"/>
          <w:lang w:val="en-US"/>
        </w:rPr>
        <w:t>ure</w:t>
      </w:r>
      <w:r w:rsidR="009A1443" w:rsidRPr="0067680B">
        <w:rPr>
          <w:rFonts w:ascii="Times New Roman" w:hAnsi="Times New Roman" w:cs="Times New Roman"/>
          <w:lang w:val="en-US"/>
        </w:rPr>
        <w:t xml:space="preserve"> 1</w:t>
      </w:r>
      <w:r w:rsidR="007F71B8" w:rsidRPr="0067680B">
        <w:rPr>
          <w:rFonts w:ascii="Times New Roman" w:hAnsi="Times New Roman" w:cs="Times New Roman"/>
          <w:lang w:val="en-US"/>
        </w:rPr>
        <w:t>A</w:t>
      </w:r>
      <w:r w:rsidR="009A1443" w:rsidRPr="0067680B">
        <w:rPr>
          <w:rFonts w:ascii="Times New Roman" w:hAnsi="Times New Roman" w:cs="Times New Roman"/>
          <w:lang w:val="en-US"/>
        </w:rPr>
        <w:t xml:space="preserve">). </w:t>
      </w:r>
    </w:p>
    <w:p w14:paraId="09BCF487" w14:textId="4901DE47" w:rsidR="00E103A3" w:rsidRPr="0067680B" w:rsidRDefault="00FA4D7B" w:rsidP="007F71B8">
      <w:pPr>
        <w:spacing w:after="0" w:line="480" w:lineRule="auto"/>
        <w:jc w:val="both"/>
        <w:rPr>
          <w:lang w:val="en-US"/>
        </w:rPr>
      </w:pPr>
      <w:r w:rsidRPr="0067680B">
        <w:rPr>
          <w:rFonts w:ascii="Times New Roman" w:hAnsi="Times New Roman" w:cs="Times New Roman"/>
          <w:lang w:val="en-US"/>
        </w:rPr>
        <w:t xml:space="preserve">The addition of Cu to the soil </w:t>
      </w:r>
      <w:r w:rsidR="00563C6D" w:rsidRPr="0067680B">
        <w:rPr>
          <w:rFonts w:ascii="Times New Roman" w:hAnsi="Times New Roman" w:cs="Times New Roman"/>
          <w:lang w:val="en-US"/>
        </w:rPr>
        <w:t xml:space="preserve">did not affect plant root biomass, </w:t>
      </w:r>
      <w:r w:rsidR="000C42D0" w:rsidRPr="0067680B">
        <w:rPr>
          <w:rFonts w:ascii="Times New Roman" w:hAnsi="Times New Roman" w:cs="Times New Roman"/>
          <w:lang w:val="en-US"/>
        </w:rPr>
        <w:t xml:space="preserve">but in such conditions, </w:t>
      </w:r>
      <w:r w:rsidRPr="0067680B">
        <w:rPr>
          <w:rFonts w:ascii="Times New Roman" w:hAnsi="Times New Roman" w:cs="Times New Roman"/>
          <w:i/>
          <w:iCs/>
          <w:lang w:val="en-US"/>
        </w:rPr>
        <w:t xml:space="preserve">R. </w:t>
      </w:r>
      <w:r w:rsidR="00B92074" w:rsidRPr="0067680B">
        <w:rPr>
          <w:rFonts w:ascii="Times New Roman" w:hAnsi="Times New Roman" w:cs="Times New Roman"/>
          <w:i/>
          <w:iCs/>
          <w:lang w:val="en-US"/>
        </w:rPr>
        <w:t>irregulare</w:t>
      </w:r>
      <w:r w:rsidR="00C352EC">
        <w:rPr>
          <w:rFonts w:ascii="Times New Roman" w:hAnsi="Times New Roman" w:cs="Times New Roman"/>
          <w:i/>
          <w:iCs/>
          <w:lang w:val="en-US"/>
        </w:rPr>
        <w:t>-</w:t>
      </w:r>
      <w:r w:rsidRPr="0067680B">
        <w:rPr>
          <w:rFonts w:ascii="Times New Roman" w:hAnsi="Times New Roman" w:cs="Times New Roman"/>
          <w:lang w:val="en-US"/>
        </w:rPr>
        <w:t xml:space="preserve"> and </w:t>
      </w:r>
      <w:r w:rsidRPr="0067680B">
        <w:rPr>
          <w:rFonts w:ascii="Times New Roman" w:hAnsi="Times New Roman" w:cs="Times New Roman"/>
          <w:i/>
          <w:iCs/>
          <w:lang w:val="en-US"/>
        </w:rPr>
        <w:t>F. mosseae-</w:t>
      </w:r>
      <w:r w:rsidRPr="0067680B">
        <w:rPr>
          <w:rFonts w:ascii="Times New Roman" w:hAnsi="Times New Roman" w:cs="Times New Roman"/>
          <w:lang w:val="en-US"/>
        </w:rPr>
        <w:t xml:space="preserve">inoculated plants had significantly higher root dry weight than </w:t>
      </w:r>
      <w:r w:rsidR="000C42D0" w:rsidRPr="0067680B">
        <w:rPr>
          <w:rFonts w:ascii="Times New Roman" w:hAnsi="Times New Roman" w:cs="Times New Roman"/>
          <w:lang w:val="en-US"/>
        </w:rPr>
        <w:t>non-inoculated plants</w:t>
      </w:r>
      <w:r w:rsidR="00932837" w:rsidRPr="0067680B">
        <w:rPr>
          <w:rFonts w:ascii="Times New Roman" w:hAnsi="Times New Roman" w:cs="Times New Roman"/>
          <w:lang w:val="en-US"/>
        </w:rPr>
        <w:t xml:space="preserve"> </w:t>
      </w:r>
      <w:r w:rsidR="000C42D0" w:rsidRPr="0067680B">
        <w:rPr>
          <w:rFonts w:ascii="Times New Roman" w:hAnsi="Times New Roman" w:cs="Times New Roman"/>
          <w:lang w:val="en-US"/>
        </w:rPr>
        <w:t>(</w:t>
      </w:r>
      <w:r w:rsidR="0041546E" w:rsidRPr="0067680B">
        <w:rPr>
          <w:rFonts w:ascii="Times New Roman" w:hAnsi="Times New Roman" w:cs="Times New Roman"/>
          <w:lang w:val="en-US"/>
        </w:rPr>
        <w:t>Figure</w:t>
      </w:r>
      <w:r w:rsidR="000C42D0" w:rsidRPr="0067680B">
        <w:rPr>
          <w:rFonts w:ascii="Times New Roman" w:hAnsi="Times New Roman" w:cs="Times New Roman"/>
          <w:lang w:val="en-US"/>
        </w:rPr>
        <w:t xml:space="preserve"> 1</w:t>
      </w:r>
      <w:r w:rsidR="007F71B8" w:rsidRPr="0067680B">
        <w:rPr>
          <w:rFonts w:ascii="Times New Roman" w:hAnsi="Times New Roman" w:cs="Times New Roman"/>
          <w:lang w:val="en-US"/>
        </w:rPr>
        <w:t>B</w:t>
      </w:r>
      <w:r w:rsidR="000C42D0" w:rsidRPr="0067680B">
        <w:rPr>
          <w:rFonts w:ascii="Times New Roman" w:hAnsi="Times New Roman" w:cs="Times New Roman"/>
          <w:lang w:val="en-US"/>
        </w:rPr>
        <w:t xml:space="preserve">). </w:t>
      </w:r>
      <w:r w:rsidR="002C41EC" w:rsidRPr="0067680B">
        <w:rPr>
          <w:rFonts w:ascii="Times New Roman" w:hAnsi="Times New Roman" w:cs="Times New Roman"/>
          <w:lang w:val="en-US"/>
        </w:rPr>
        <w:t xml:space="preserve">However, </w:t>
      </w:r>
      <w:r w:rsidR="000A134C" w:rsidRPr="0067680B">
        <w:rPr>
          <w:rFonts w:ascii="Times New Roman" w:hAnsi="Times New Roman" w:cs="Times New Roman"/>
          <w:lang w:val="en-US"/>
        </w:rPr>
        <w:t xml:space="preserve">in the soil where </w:t>
      </w:r>
      <w:r w:rsidR="002C41EC" w:rsidRPr="0067680B">
        <w:rPr>
          <w:rFonts w:ascii="Times New Roman" w:hAnsi="Times New Roman" w:cs="Times New Roman"/>
          <w:lang w:val="en-US"/>
        </w:rPr>
        <w:t>FeNaEDTA was added together with Cu</w:t>
      </w:r>
      <w:r w:rsidR="000C42D0" w:rsidRPr="0067680B">
        <w:rPr>
          <w:rFonts w:ascii="Times New Roman" w:hAnsi="Times New Roman" w:cs="Times New Roman"/>
          <w:lang w:val="en-US"/>
        </w:rPr>
        <w:t>,</w:t>
      </w:r>
      <w:r w:rsidR="00E103A3" w:rsidRPr="0067680B">
        <w:rPr>
          <w:rFonts w:ascii="Times New Roman" w:hAnsi="Times New Roman" w:cs="Times New Roman"/>
          <w:lang w:val="en-US"/>
        </w:rPr>
        <w:t xml:space="preserve"> a </w:t>
      </w:r>
      <w:r w:rsidR="00932C46" w:rsidRPr="0067680B">
        <w:rPr>
          <w:rFonts w:ascii="Times New Roman" w:hAnsi="Times New Roman" w:cs="Times New Roman"/>
          <w:lang w:val="en-US"/>
        </w:rPr>
        <w:t xml:space="preserve">general root biomass </w:t>
      </w:r>
      <w:r w:rsidR="00E103A3" w:rsidRPr="0067680B">
        <w:rPr>
          <w:rFonts w:ascii="Times New Roman" w:hAnsi="Times New Roman" w:cs="Times New Roman"/>
          <w:lang w:val="en-US"/>
        </w:rPr>
        <w:t>decrease</w:t>
      </w:r>
      <w:r w:rsidR="002C41EC" w:rsidRPr="0067680B">
        <w:rPr>
          <w:rFonts w:ascii="Times New Roman" w:hAnsi="Times New Roman" w:cs="Times New Roman"/>
          <w:lang w:val="en-US"/>
        </w:rPr>
        <w:t xml:space="preserve"> was observed in all plants</w:t>
      </w:r>
      <w:r w:rsidR="00E103A3" w:rsidRPr="0067680B">
        <w:rPr>
          <w:rFonts w:ascii="Times New Roman" w:hAnsi="Times New Roman" w:cs="Times New Roman"/>
          <w:lang w:val="en-US"/>
        </w:rPr>
        <w:t>.</w:t>
      </w:r>
      <w:r w:rsidR="00E103A3" w:rsidRPr="0067680B">
        <w:rPr>
          <w:lang w:val="en-US"/>
        </w:rPr>
        <w:t xml:space="preserve"> </w:t>
      </w:r>
    </w:p>
    <w:p w14:paraId="4D11AA47" w14:textId="3C0F9FBE" w:rsidR="007F71B8" w:rsidRDefault="007F71B8" w:rsidP="00E25541">
      <w:pPr>
        <w:spacing w:after="0"/>
        <w:jc w:val="both"/>
        <w:rPr>
          <w:lang w:val="en-US"/>
        </w:rPr>
      </w:pPr>
    </w:p>
    <w:bookmarkEnd w:id="18"/>
    <w:p w14:paraId="51F822E5" w14:textId="3E6FFD83" w:rsidR="007F71B8" w:rsidRDefault="00A961A4" w:rsidP="00E85217">
      <w:pPr>
        <w:spacing w:after="0"/>
        <w:jc w:val="right"/>
        <w:rPr>
          <w:lang w:val="en-US"/>
        </w:rPr>
      </w:pPr>
      <w:r w:rsidRPr="00A961A4">
        <w:rPr>
          <w:noProof/>
          <w:lang w:val="pt-PT" w:eastAsia="pt-PT"/>
        </w:rPr>
        <w:lastRenderedPageBreak/>
        <w:drawing>
          <wp:anchor distT="0" distB="0" distL="114300" distR="114300" simplePos="0" relativeHeight="251664384" behindDoc="0" locked="0" layoutInCell="1" allowOverlap="1" wp14:anchorId="238E9FD3" wp14:editId="0B2C9567">
            <wp:simplePos x="0" y="0"/>
            <wp:positionH relativeFrom="column">
              <wp:posOffset>657860</wp:posOffset>
            </wp:positionH>
            <wp:positionV relativeFrom="paragraph">
              <wp:posOffset>25400</wp:posOffset>
            </wp:positionV>
            <wp:extent cx="4706620" cy="5458460"/>
            <wp:effectExtent l="0" t="0" r="0" b="0"/>
            <wp:wrapSquare wrapText="bothSides"/>
            <wp:docPr id="16"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706620" cy="5458460"/>
                    </a:xfrm>
                    <a:prstGeom prst="rect">
                      <a:avLst/>
                    </a:prstGeom>
                    <a:noFill/>
                    <a:ln>
                      <a:noFill/>
                    </a:ln>
                  </pic:spPr>
                </pic:pic>
              </a:graphicData>
            </a:graphic>
            <wp14:sizeRelH relativeFrom="page">
              <wp14:pctWidth>0</wp14:pctWidth>
            </wp14:sizeRelH>
            <wp14:sizeRelV relativeFrom="page">
              <wp14:pctHeight>0</wp14:pctHeight>
            </wp14:sizeRelV>
          </wp:anchor>
        </w:drawing>
      </w:r>
      <w:r w:rsidR="00126138" w:rsidRPr="007F71B8">
        <w:rPr>
          <w:noProof/>
          <w:lang w:val="pt-PT" w:eastAsia="pt-PT"/>
        </w:rPr>
        <mc:AlternateContent>
          <mc:Choice Requires="wps">
            <w:drawing>
              <wp:anchor distT="45720" distB="45720" distL="114300" distR="114300" simplePos="0" relativeHeight="251659264" behindDoc="0" locked="0" layoutInCell="1" allowOverlap="1" wp14:anchorId="7E82B115" wp14:editId="70D5988A">
                <wp:simplePos x="0" y="0"/>
                <wp:positionH relativeFrom="column">
                  <wp:posOffset>149225</wp:posOffset>
                </wp:positionH>
                <wp:positionV relativeFrom="paragraph">
                  <wp:posOffset>26035</wp:posOffset>
                </wp:positionV>
                <wp:extent cx="347980" cy="272415"/>
                <wp:effectExtent l="0" t="0" r="0" b="0"/>
                <wp:wrapSquare wrapText="bothSides"/>
                <wp:docPr id="217"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980" cy="272415"/>
                        </a:xfrm>
                        <a:prstGeom prst="rect">
                          <a:avLst/>
                        </a:prstGeom>
                        <a:solidFill>
                          <a:srgbClr val="FFFFFF"/>
                        </a:solidFill>
                        <a:ln w="9525">
                          <a:noFill/>
                          <a:miter lim="800000"/>
                          <a:headEnd/>
                          <a:tailEnd/>
                        </a:ln>
                      </wps:spPr>
                      <wps:txbx>
                        <w:txbxContent>
                          <w:p w14:paraId="31AA3B2E" w14:textId="4465CA56" w:rsidR="00F3546A" w:rsidRPr="008C47C3" w:rsidRDefault="00F3546A">
                            <w:pPr>
                              <w:rPr>
                                <w:rFonts w:ascii="Times New Roman" w:hAnsi="Times New Roman" w:cs="Times New Roman"/>
                                <w:sz w:val="20"/>
                                <w:szCs w:val="20"/>
                                <w:lang w:val="pt-PT"/>
                              </w:rPr>
                            </w:pPr>
                            <w:r w:rsidRPr="008C47C3">
                              <w:rPr>
                                <w:rFonts w:ascii="Times New Roman" w:hAnsi="Times New Roman" w:cs="Times New Roman"/>
                                <w:sz w:val="20"/>
                                <w:szCs w:val="20"/>
                              </w:rP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7E82B115" id="_x0000_t202" coordsize="21600,21600" o:spt="202" path="m,l,21600r21600,l21600,xe">
                <v:stroke joinstyle="miter"/>
                <v:path gradientshapeok="t" o:connecttype="rect"/>
              </v:shapetype>
              <v:shape id="Caixa de Texto 2" o:spid="_x0000_s1026" type="#_x0000_t202" style="position:absolute;left:0;text-align:left;margin-left:11.75pt;margin-top:2.05pt;width:27.4pt;height:21.4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" stroked="f">
                <v:textbox>
                  <w:txbxContent>
                    <w:p w14:paraId="31AA3B2E" w14:textId="4465CA56" w:rsidR="00F3546A" w:rsidRPr="008C47C3" w:rsidRDefault="00F3546A">
                      <w:pPr>
                        <w:rPr>
                          <w:rFonts w:ascii="Times New Roman" w:hAnsi="Times New Roman" w:cs="Times New Roman"/>
                          <w:sz w:val="20"/>
                          <w:szCs w:val="20"/>
                          <w:lang w:val="pt-PT"/>
                        </w:rPr>
                      </w:pPr>
                      <w:r w:rsidRPr="008C47C3">
                        <w:rPr>
                          <w:rFonts w:ascii="Times New Roman" w:hAnsi="Times New Roman" w:cs="Times New Roman"/>
                          <w:sz w:val="20"/>
                          <w:szCs w:val="20"/>
                        </w:rPr>
                        <w:t>A)</w:t>
                      </w:r>
                    </w:p>
                  </w:txbxContent>
                </v:textbox>
                <w10:wrap type="square"/>
              </v:shape>
            </w:pict>
          </mc:Fallback>
        </mc:AlternateContent>
      </w:r>
      <w:r w:rsidR="00126138" w:rsidRPr="00E85217" w:rsidDel="00126138">
        <w:rPr>
          <w:lang w:val="en-US"/>
        </w:rPr>
        <w:t xml:space="preserve"> </w:t>
      </w:r>
    </w:p>
    <w:p w14:paraId="67232E34" w14:textId="686D68EC" w:rsidR="007F71B8" w:rsidRDefault="007F71B8" w:rsidP="007F71B8">
      <w:pPr>
        <w:spacing w:after="0" w:line="480" w:lineRule="auto"/>
        <w:jc w:val="both"/>
        <w:rPr>
          <w:lang w:val="en-US"/>
        </w:rPr>
      </w:pPr>
    </w:p>
    <w:p w14:paraId="6FFAA7D5" w14:textId="66804F00" w:rsidR="002C7ADD" w:rsidRDefault="002C7ADD" w:rsidP="007F71B8">
      <w:pPr>
        <w:spacing w:after="0" w:line="480" w:lineRule="auto"/>
        <w:jc w:val="both"/>
        <w:rPr>
          <w:rFonts w:ascii="Times New Roman" w:hAnsi="Times New Roman" w:cs="Times New Roman"/>
          <w:b/>
          <w:bCs/>
          <w:sz w:val="20"/>
          <w:szCs w:val="20"/>
          <w:lang w:val="en-US"/>
        </w:rPr>
      </w:pPr>
    </w:p>
    <w:p w14:paraId="32ABDAB6" w14:textId="7C604DE8" w:rsidR="002C7ADD" w:rsidRDefault="002C7ADD" w:rsidP="007F71B8">
      <w:pPr>
        <w:spacing w:after="0" w:line="480" w:lineRule="auto"/>
        <w:jc w:val="both"/>
        <w:rPr>
          <w:rFonts w:ascii="Times New Roman" w:hAnsi="Times New Roman" w:cs="Times New Roman"/>
          <w:b/>
          <w:bCs/>
          <w:sz w:val="20"/>
          <w:szCs w:val="20"/>
          <w:lang w:val="en-US"/>
        </w:rPr>
      </w:pPr>
    </w:p>
    <w:p w14:paraId="3AA1084D" w14:textId="3097C60D" w:rsidR="002C7ADD" w:rsidRDefault="00A961A4" w:rsidP="007F71B8">
      <w:pPr>
        <w:spacing w:after="0" w:line="480" w:lineRule="auto"/>
        <w:jc w:val="both"/>
        <w:rPr>
          <w:rFonts w:ascii="Times New Roman" w:hAnsi="Times New Roman" w:cs="Times New Roman"/>
          <w:b/>
          <w:bCs/>
          <w:sz w:val="20"/>
          <w:szCs w:val="20"/>
          <w:lang w:val="en-US"/>
        </w:rPr>
      </w:pPr>
      <w:r w:rsidRPr="007F71B8">
        <w:rPr>
          <w:noProof/>
          <w:lang w:val="pt-PT" w:eastAsia="pt-PT"/>
        </w:rPr>
        <mc:AlternateContent>
          <mc:Choice Requires="wps">
            <w:drawing>
              <wp:anchor distT="45720" distB="45720" distL="114300" distR="114300" simplePos="0" relativeHeight="251661312" behindDoc="0" locked="0" layoutInCell="1" allowOverlap="1" wp14:anchorId="0A9DCCB3" wp14:editId="0CB66EC9">
                <wp:simplePos x="0" y="0"/>
                <wp:positionH relativeFrom="column">
                  <wp:posOffset>151765</wp:posOffset>
                </wp:positionH>
                <wp:positionV relativeFrom="paragraph">
                  <wp:posOffset>354634</wp:posOffset>
                </wp:positionV>
                <wp:extent cx="347980" cy="272415"/>
                <wp:effectExtent l="0" t="0" r="0" b="0"/>
                <wp:wrapSquare wrapText="bothSides"/>
                <wp:docPr id="2"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980" cy="272415"/>
                        </a:xfrm>
                        <a:prstGeom prst="rect">
                          <a:avLst/>
                        </a:prstGeom>
                        <a:solidFill>
                          <a:srgbClr val="FFFFFF"/>
                        </a:solidFill>
                        <a:ln w="9525">
                          <a:noFill/>
                          <a:miter lim="800000"/>
                          <a:headEnd/>
                          <a:tailEnd/>
                        </a:ln>
                      </wps:spPr>
                      <wps:txbx>
                        <w:txbxContent>
                          <w:p w14:paraId="62D866F5" w14:textId="14696F99" w:rsidR="00F3546A" w:rsidRPr="008C47C3" w:rsidRDefault="00F3546A" w:rsidP="007F71B8">
                            <w:pPr>
                              <w:rPr>
                                <w:rFonts w:ascii="Times New Roman" w:hAnsi="Times New Roman" w:cs="Times New Roman"/>
                                <w:sz w:val="20"/>
                                <w:szCs w:val="20"/>
                                <w:lang w:val="pt-PT"/>
                              </w:rPr>
                            </w:pPr>
                            <w:r w:rsidRPr="008C47C3">
                              <w:rPr>
                                <w:rFonts w:ascii="Times New Roman" w:hAnsi="Times New Roman" w:cs="Times New Roman"/>
                                <w:sz w:val="20"/>
                                <w:szCs w:val="20"/>
                              </w:rP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0A9DCCB3" id="_x0000_s1027" type="#_x0000_t202" style="position:absolute;left:0;text-align:left;margin-left:11.95pt;margin-top:27.9pt;width:27.4pt;height:21.4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" stroked="f">
                <v:textbox>
                  <w:txbxContent>
                    <w:p w14:paraId="62D866F5" w14:textId="14696F99" w:rsidR="00F3546A" w:rsidRPr="008C47C3" w:rsidRDefault="00F3546A" w:rsidP="007F71B8">
                      <w:pPr>
                        <w:rPr>
                          <w:rFonts w:ascii="Times New Roman" w:hAnsi="Times New Roman" w:cs="Times New Roman"/>
                          <w:sz w:val="20"/>
                          <w:szCs w:val="20"/>
                          <w:lang w:val="pt-PT"/>
                        </w:rPr>
                      </w:pPr>
                      <w:r w:rsidRPr="008C47C3">
                        <w:rPr>
                          <w:rFonts w:ascii="Times New Roman" w:hAnsi="Times New Roman" w:cs="Times New Roman"/>
                          <w:sz w:val="20"/>
                          <w:szCs w:val="20"/>
                        </w:rPr>
                        <w:t>B)</w:t>
                      </w:r>
                    </w:p>
                  </w:txbxContent>
                </v:textbox>
                <w10:wrap type="square"/>
              </v:shape>
            </w:pict>
          </mc:Fallback>
        </mc:AlternateContent>
      </w:r>
    </w:p>
    <w:p w14:paraId="71F2202F" w14:textId="43E7D9B5" w:rsidR="002C7ADD" w:rsidRDefault="002C7ADD" w:rsidP="007F71B8">
      <w:pPr>
        <w:spacing w:after="0" w:line="480" w:lineRule="auto"/>
        <w:jc w:val="both"/>
        <w:rPr>
          <w:rFonts w:ascii="Times New Roman" w:hAnsi="Times New Roman" w:cs="Times New Roman"/>
          <w:b/>
          <w:bCs/>
          <w:sz w:val="20"/>
          <w:szCs w:val="20"/>
          <w:lang w:val="en-US"/>
        </w:rPr>
      </w:pPr>
    </w:p>
    <w:p w14:paraId="02E21E5F" w14:textId="30E5986F" w:rsidR="002C7ADD" w:rsidRDefault="002C7ADD" w:rsidP="007F71B8">
      <w:pPr>
        <w:spacing w:after="0" w:line="480" w:lineRule="auto"/>
        <w:jc w:val="both"/>
        <w:rPr>
          <w:rFonts w:ascii="Times New Roman" w:hAnsi="Times New Roman" w:cs="Times New Roman"/>
          <w:b/>
          <w:bCs/>
          <w:sz w:val="20"/>
          <w:szCs w:val="20"/>
          <w:lang w:val="en-US"/>
        </w:rPr>
      </w:pPr>
    </w:p>
    <w:p w14:paraId="0B138658" w14:textId="1A6FF480" w:rsidR="002C7ADD" w:rsidRDefault="002C7ADD" w:rsidP="007F71B8">
      <w:pPr>
        <w:spacing w:after="0" w:line="480" w:lineRule="auto"/>
        <w:jc w:val="both"/>
        <w:rPr>
          <w:rFonts w:ascii="Times New Roman" w:hAnsi="Times New Roman" w:cs="Times New Roman"/>
          <w:b/>
          <w:bCs/>
          <w:sz w:val="20"/>
          <w:szCs w:val="20"/>
          <w:lang w:val="en-US"/>
        </w:rPr>
      </w:pPr>
    </w:p>
    <w:p w14:paraId="621D6CB6" w14:textId="5FDF6C49" w:rsidR="002C7ADD" w:rsidRDefault="002C7ADD" w:rsidP="007F71B8">
      <w:pPr>
        <w:spacing w:after="0" w:line="480" w:lineRule="auto"/>
        <w:jc w:val="both"/>
        <w:rPr>
          <w:rFonts w:ascii="Times New Roman" w:hAnsi="Times New Roman" w:cs="Times New Roman"/>
          <w:b/>
          <w:bCs/>
          <w:sz w:val="20"/>
          <w:szCs w:val="20"/>
          <w:lang w:val="en-US"/>
        </w:rPr>
      </w:pPr>
    </w:p>
    <w:p w14:paraId="482DFE62" w14:textId="792D719B" w:rsidR="002C7ADD" w:rsidRDefault="002C7ADD" w:rsidP="007F71B8">
      <w:pPr>
        <w:spacing w:after="0" w:line="480" w:lineRule="auto"/>
        <w:jc w:val="both"/>
        <w:rPr>
          <w:rFonts w:ascii="Times New Roman" w:hAnsi="Times New Roman" w:cs="Times New Roman"/>
          <w:b/>
          <w:bCs/>
          <w:sz w:val="20"/>
          <w:szCs w:val="20"/>
          <w:lang w:val="en-US"/>
        </w:rPr>
      </w:pPr>
    </w:p>
    <w:p w14:paraId="2F643936" w14:textId="5F6C3A06" w:rsidR="002C7ADD" w:rsidRDefault="00A961A4" w:rsidP="007F71B8">
      <w:pPr>
        <w:spacing w:after="0" w:line="480" w:lineRule="auto"/>
        <w:jc w:val="both"/>
        <w:rPr>
          <w:rFonts w:ascii="Times New Roman" w:hAnsi="Times New Roman" w:cs="Times New Roman"/>
          <w:b/>
          <w:bCs/>
          <w:sz w:val="20"/>
          <w:szCs w:val="20"/>
          <w:lang w:val="en-US"/>
        </w:rPr>
      </w:pPr>
      <w:r w:rsidRPr="007F71B8">
        <w:rPr>
          <w:noProof/>
          <w:lang w:val="pt-PT" w:eastAsia="pt-PT"/>
        </w:rPr>
        <mc:AlternateContent>
          <mc:Choice Requires="wps">
            <w:drawing>
              <wp:anchor distT="45720" distB="45720" distL="114300" distR="114300" simplePos="0" relativeHeight="251663360" behindDoc="0" locked="0" layoutInCell="1" allowOverlap="1" wp14:anchorId="11A312D2" wp14:editId="71685E28">
                <wp:simplePos x="0" y="0"/>
                <wp:positionH relativeFrom="column">
                  <wp:posOffset>151765</wp:posOffset>
                </wp:positionH>
                <wp:positionV relativeFrom="paragraph">
                  <wp:posOffset>96851</wp:posOffset>
                </wp:positionV>
                <wp:extent cx="347980" cy="272415"/>
                <wp:effectExtent l="0" t="0" r="0" b="0"/>
                <wp:wrapSquare wrapText="bothSides"/>
                <wp:docPr id="3"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980" cy="272415"/>
                        </a:xfrm>
                        <a:prstGeom prst="rect">
                          <a:avLst/>
                        </a:prstGeom>
                        <a:solidFill>
                          <a:srgbClr val="FFFFFF"/>
                        </a:solidFill>
                        <a:ln w="9525">
                          <a:noFill/>
                          <a:miter lim="800000"/>
                          <a:headEnd/>
                          <a:tailEnd/>
                        </a:ln>
                      </wps:spPr>
                      <wps:txbx>
                        <w:txbxContent>
                          <w:p w14:paraId="56EC8880" w14:textId="77777777" w:rsidR="00F3546A" w:rsidRPr="008C47C3" w:rsidRDefault="00F3546A" w:rsidP="007F71B8">
                            <w:pPr>
                              <w:rPr>
                                <w:rFonts w:ascii="Times New Roman" w:hAnsi="Times New Roman" w:cs="Times New Roman"/>
                                <w:sz w:val="20"/>
                                <w:szCs w:val="20"/>
                                <w:lang w:val="pt-PT"/>
                              </w:rPr>
                            </w:pPr>
                            <w:r w:rsidRPr="008C47C3">
                              <w:rPr>
                                <w:rFonts w:ascii="Times New Roman" w:hAnsi="Times New Roman" w:cs="Times New Roman"/>
                                <w:sz w:val="20"/>
                                <w:szCs w:val="20"/>
                              </w:rPr>
                              <w:t>C)</w:t>
                            </w:r>
                          </w:p>
                          <w:p w14:paraId="2C9879C3" w14:textId="7A9F938D" w:rsidR="00F3546A" w:rsidRPr="008C47C3" w:rsidRDefault="00F3546A" w:rsidP="007F71B8">
                            <w:pPr>
                              <w:rPr>
                                <w:rFonts w:ascii="Times New Roman" w:hAnsi="Times New Roman" w:cs="Times New Roman"/>
                                <w:sz w:val="20"/>
                                <w:szCs w:val="20"/>
                                <w:lang w:val="pt-PT"/>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1A312D2" id="_x0000_s1028" type="#_x0000_t202" style="position:absolute;left:0;text-align:left;margin-left:11.95pt;margin-top:7.65pt;width:27.4pt;height:21.45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" stroked="f">
                <v:textbox>
                  <w:txbxContent>
                    <w:p w14:paraId="56EC8880" w14:textId="77777777" w:rsidR="00F3546A" w:rsidRPr="008C47C3" w:rsidRDefault="00F3546A" w:rsidP="007F71B8">
                      <w:pPr>
                        <w:rPr>
                          <w:rFonts w:ascii="Times New Roman" w:hAnsi="Times New Roman" w:cs="Times New Roman"/>
                          <w:sz w:val="20"/>
                          <w:szCs w:val="20"/>
                          <w:lang w:val="pt-PT"/>
                        </w:rPr>
                      </w:pPr>
                      <w:r w:rsidRPr="008C47C3">
                        <w:rPr>
                          <w:rFonts w:ascii="Times New Roman" w:hAnsi="Times New Roman" w:cs="Times New Roman"/>
                          <w:sz w:val="20"/>
                          <w:szCs w:val="20"/>
                        </w:rPr>
                        <w:t>C)</w:t>
                      </w:r>
                    </w:p>
                    <w:p w14:paraId="2C9879C3" w14:textId="7A9F938D" w:rsidR="00F3546A" w:rsidRPr="008C47C3" w:rsidRDefault="00F3546A" w:rsidP="007F71B8">
                      <w:pPr>
                        <w:rPr>
                          <w:rFonts w:ascii="Times New Roman" w:hAnsi="Times New Roman" w:cs="Times New Roman"/>
                          <w:sz w:val="20"/>
                          <w:szCs w:val="20"/>
                          <w:lang w:val="pt-PT"/>
                        </w:rPr>
                      </w:pPr>
                    </w:p>
                  </w:txbxContent>
                </v:textbox>
                <w10:wrap type="square"/>
              </v:shape>
            </w:pict>
          </mc:Fallback>
        </mc:AlternateContent>
      </w:r>
    </w:p>
    <w:p w14:paraId="4814CA60" w14:textId="77777777" w:rsidR="002C7ADD" w:rsidRDefault="002C7ADD" w:rsidP="007F71B8">
      <w:pPr>
        <w:spacing w:after="0" w:line="480" w:lineRule="auto"/>
        <w:jc w:val="both"/>
        <w:rPr>
          <w:rFonts w:ascii="Times New Roman" w:hAnsi="Times New Roman" w:cs="Times New Roman"/>
          <w:b/>
          <w:bCs/>
          <w:sz w:val="20"/>
          <w:szCs w:val="20"/>
          <w:lang w:val="en-US"/>
        </w:rPr>
      </w:pPr>
    </w:p>
    <w:p w14:paraId="185BE0D4" w14:textId="77777777" w:rsidR="002C7ADD" w:rsidRDefault="002C7ADD" w:rsidP="007F71B8">
      <w:pPr>
        <w:spacing w:after="0" w:line="480" w:lineRule="auto"/>
        <w:jc w:val="both"/>
        <w:rPr>
          <w:rFonts w:ascii="Times New Roman" w:hAnsi="Times New Roman" w:cs="Times New Roman"/>
          <w:b/>
          <w:bCs/>
          <w:sz w:val="20"/>
          <w:szCs w:val="20"/>
          <w:lang w:val="en-US"/>
        </w:rPr>
      </w:pPr>
    </w:p>
    <w:p w14:paraId="20B4F67E" w14:textId="77777777" w:rsidR="00AC2BB2" w:rsidRDefault="00AC2BB2" w:rsidP="007F71B8">
      <w:pPr>
        <w:spacing w:after="0" w:line="480" w:lineRule="auto"/>
        <w:jc w:val="both"/>
        <w:rPr>
          <w:rFonts w:ascii="Times New Roman" w:hAnsi="Times New Roman" w:cs="Times New Roman"/>
          <w:b/>
          <w:bCs/>
          <w:sz w:val="20"/>
          <w:szCs w:val="20"/>
          <w:lang w:val="en-US"/>
        </w:rPr>
      </w:pPr>
    </w:p>
    <w:p w14:paraId="0D1F54F2" w14:textId="77777777" w:rsidR="00AC2BB2" w:rsidRDefault="00AC2BB2" w:rsidP="007F71B8">
      <w:pPr>
        <w:spacing w:after="0" w:line="480" w:lineRule="auto"/>
        <w:jc w:val="both"/>
        <w:rPr>
          <w:rFonts w:ascii="Times New Roman" w:hAnsi="Times New Roman" w:cs="Times New Roman"/>
          <w:b/>
          <w:bCs/>
          <w:sz w:val="20"/>
          <w:szCs w:val="20"/>
          <w:lang w:val="en-US"/>
        </w:rPr>
      </w:pPr>
    </w:p>
    <w:p w14:paraId="626E4469" w14:textId="77777777" w:rsidR="00AC2BB2" w:rsidRDefault="00AC2BB2" w:rsidP="007F71B8">
      <w:pPr>
        <w:spacing w:after="0" w:line="480" w:lineRule="auto"/>
        <w:jc w:val="both"/>
        <w:rPr>
          <w:rFonts w:ascii="Times New Roman" w:hAnsi="Times New Roman" w:cs="Times New Roman"/>
          <w:b/>
          <w:bCs/>
          <w:sz w:val="20"/>
          <w:szCs w:val="20"/>
          <w:lang w:val="en-US"/>
        </w:rPr>
      </w:pPr>
    </w:p>
    <w:p w14:paraId="1CC383FC" w14:textId="77777777" w:rsidR="00AC2BB2" w:rsidRDefault="00AC2BB2" w:rsidP="007F71B8">
      <w:pPr>
        <w:spacing w:after="0" w:line="480" w:lineRule="auto"/>
        <w:jc w:val="both"/>
        <w:rPr>
          <w:rFonts w:ascii="Times New Roman" w:hAnsi="Times New Roman" w:cs="Times New Roman"/>
          <w:b/>
          <w:bCs/>
          <w:sz w:val="20"/>
          <w:szCs w:val="20"/>
          <w:lang w:val="en-US"/>
        </w:rPr>
      </w:pPr>
    </w:p>
    <w:p w14:paraId="3C3191C7" w14:textId="77777777" w:rsidR="00AC2BB2" w:rsidRDefault="00AC2BB2" w:rsidP="007F71B8">
      <w:pPr>
        <w:spacing w:after="0" w:line="480" w:lineRule="auto"/>
        <w:jc w:val="both"/>
        <w:rPr>
          <w:rFonts w:ascii="Times New Roman" w:hAnsi="Times New Roman" w:cs="Times New Roman"/>
          <w:b/>
          <w:bCs/>
          <w:sz w:val="20"/>
          <w:szCs w:val="20"/>
          <w:lang w:val="en-US"/>
        </w:rPr>
      </w:pPr>
    </w:p>
    <w:p w14:paraId="4957EDDE" w14:textId="77777777" w:rsidR="00A961A4" w:rsidRDefault="00A961A4" w:rsidP="007F71B8">
      <w:pPr>
        <w:spacing w:after="0" w:line="480" w:lineRule="auto"/>
        <w:jc w:val="both"/>
        <w:rPr>
          <w:rFonts w:ascii="Times New Roman" w:hAnsi="Times New Roman" w:cs="Times New Roman"/>
          <w:b/>
          <w:bCs/>
          <w:sz w:val="20"/>
          <w:szCs w:val="20"/>
          <w:lang w:val="en-US"/>
        </w:rPr>
      </w:pPr>
    </w:p>
    <w:p w14:paraId="5B6C5030" w14:textId="77777777" w:rsidR="00A961A4" w:rsidRDefault="00A961A4" w:rsidP="007F71B8">
      <w:pPr>
        <w:spacing w:after="0" w:line="480" w:lineRule="auto"/>
        <w:jc w:val="both"/>
        <w:rPr>
          <w:rFonts w:ascii="Times New Roman" w:hAnsi="Times New Roman" w:cs="Times New Roman"/>
          <w:b/>
          <w:bCs/>
          <w:sz w:val="20"/>
          <w:szCs w:val="20"/>
          <w:lang w:val="en-US"/>
        </w:rPr>
      </w:pPr>
    </w:p>
    <w:p w14:paraId="66E94F6B" w14:textId="669BB819" w:rsidR="007F71B8" w:rsidRDefault="007F71B8" w:rsidP="007F71B8">
      <w:pPr>
        <w:spacing w:after="0" w:line="480" w:lineRule="auto"/>
        <w:jc w:val="both"/>
        <w:rPr>
          <w:rFonts w:ascii="Times New Roman" w:hAnsi="Times New Roman" w:cs="Times New Roman"/>
          <w:sz w:val="20"/>
          <w:szCs w:val="20"/>
          <w:lang w:val="en-US"/>
        </w:rPr>
      </w:pPr>
      <w:r w:rsidRPr="0067680B">
        <w:rPr>
          <w:rFonts w:ascii="Times New Roman" w:hAnsi="Times New Roman" w:cs="Times New Roman"/>
          <w:b/>
          <w:bCs/>
          <w:sz w:val="20"/>
          <w:szCs w:val="20"/>
          <w:lang w:val="en-US"/>
        </w:rPr>
        <w:t xml:space="preserve">Figure 1. </w:t>
      </w:r>
      <w:r w:rsidR="00331307">
        <w:rPr>
          <w:rFonts w:ascii="Times New Roman" w:hAnsi="Times New Roman" w:cs="Times New Roman"/>
          <w:sz w:val="20"/>
          <w:szCs w:val="20"/>
          <w:lang w:val="en-US"/>
        </w:rPr>
        <w:t xml:space="preserve">A) </w:t>
      </w:r>
      <w:r w:rsidRPr="0067680B">
        <w:rPr>
          <w:rFonts w:ascii="Times New Roman" w:hAnsi="Times New Roman" w:cs="Times New Roman"/>
          <w:sz w:val="20"/>
          <w:szCs w:val="20"/>
          <w:lang w:val="en-US"/>
        </w:rPr>
        <w:t>Root colonization,</w:t>
      </w:r>
      <w:r w:rsidRPr="0067680B">
        <w:rPr>
          <w:rFonts w:ascii="Times New Roman" w:hAnsi="Times New Roman" w:cs="Times New Roman"/>
          <w:b/>
          <w:bCs/>
          <w:sz w:val="20"/>
          <w:szCs w:val="20"/>
          <w:lang w:val="en-US"/>
        </w:rPr>
        <w:t xml:space="preserve"> </w:t>
      </w:r>
      <w:r w:rsidR="00331307" w:rsidRPr="006A2E63">
        <w:rPr>
          <w:rFonts w:ascii="Times New Roman" w:hAnsi="Times New Roman" w:cs="Times New Roman"/>
          <w:sz w:val="20"/>
          <w:szCs w:val="20"/>
          <w:lang w:val="en-US"/>
        </w:rPr>
        <w:t>B)</w:t>
      </w:r>
      <w:r w:rsidR="00331307">
        <w:rPr>
          <w:rFonts w:ascii="Times New Roman" w:hAnsi="Times New Roman" w:cs="Times New Roman"/>
          <w:b/>
          <w:bCs/>
          <w:sz w:val="20"/>
          <w:szCs w:val="20"/>
          <w:lang w:val="en-US"/>
        </w:rPr>
        <w:t xml:space="preserve"> </w:t>
      </w:r>
      <w:r w:rsidRPr="0067680B">
        <w:rPr>
          <w:rFonts w:ascii="Times New Roman" w:hAnsi="Times New Roman" w:cs="Times New Roman"/>
          <w:sz w:val="20"/>
          <w:szCs w:val="20"/>
          <w:lang w:val="en-US"/>
        </w:rPr>
        <w:t xml:space="preserve">root dry weight, </w:t>
      </w:r>
      <w:r w:rsidR="00F636CF">
        <w:rPr>
          <w:rFonts w:ascii="Times New Roman" w:hAnsi="Times New Roman" w:cs="Times New Roman"/>
          <w:sz w:val="20"/>
          <w:szCs w:val="20"/>
          <w:lang w:val="en-US"/>
        </w:rPr>
        <w:t xml:space="preserve">and </w:t>
      </w:r>
      <w:r w:rsidR="00331307">
        <w:rPr>
          <w:rFonts w:ascii="Times New Roman" w:hAnsi="Times New Roman" w:cs="Times New Roman"/>
          <w:sz w:val="20"/>
          <w:szCs w:val="20"/>
          <w:lang w:val="en-US"/>
        </w:rPr>
        <w:t xml:space="preserve">C) </w:t>
      </w:r>
      <w:r w:rsidR="00C352EC">
        <w:rPr>
          <w:rFonts w:ascii="Times New Roman" w:hAnsi="Times New Roman" w:cs="Times New Roman"/>
          <w:sz w:val="20"/>
          <w:szCs w:val="20"/>
          <w:lang w:val="en-US"/>
        </w:rPr>
        <w:t xml:space="preserve">Leaf </w:t>
      </w:r>
      <w:r w:rsidRPr="0067680B">
        <w:rPr>
          <w:rFonts w:ascii="Times New Roman" w:hAnsi="Times New Roman" w:cs="Times New Roman"/>
          <w:sz w:val="20"/>
          <w:szCs w:val="20"/>
          <w:lang w:val="en-US"/>
        </w:rPr>
        <w:t>normalized difference vegetation index (NDVI) measured in grapevine plants inoculated or not</w:t>
      </w:r>
      <w:r w:rsidRPr="0067680B">
        <w:rPr>
          <w:rFonts w:ascii="Times New Roman" w:hAnsi="Times New Roman" w:cs="Times New Roman"/>
          <w:b/>
          <w:bCs/>
          <w:sz w:val="20"/>
          <w:szCs w:val="20"/>
          <w:lang w:val="en-US"/>
        </w:rPr>
        <w:t xml:space="preserve"> </w:t>
      </w:r>
      <w:r w:rsidRPr="0067680B">
        <w:rPr>
          <w:rFonts w:ascii="Times New Roman" w:hAnsi="Times New Roman" w:cs="Times New Roman"/>
          <w:sz w:val="20"/>
          <w:szCs w:val="20"/>
          <w:lang w:val="en-US"/>
        </w:rPr>
        <w:t xml:space="preserve">with </w:t>
      </w:r>
      <w:r w:rsidRPr="0067680B">
        <w:rPr>
          <w:rFonts w:ascii="Times New Roman" w:hAnsi="Times New Roman" w:cs="Times New Roman"/>
          <w:i/>
          <w:iCs/>
          <w:sz w:val="20"/>
          <w:szCs w:val="20"/>
          <w:lang w:val="en-US"/>
        </w:rPr>
        <w:t>Rhizoglomus irregulare</w:t>
      </w:r>
      <w:r w:rsidRPr="0067680B">
        <w:rPr>
          <w:rFonts w:ascii="Times New Roman" w:hAnsi="Times New Roman" w:cs="Times New Roman"/>
          <w:sz w:val="20"/>
          <w:szCs w:val="20"/>
          <w:lang w:val="en-US"/>
        </w:rPr>
        <w:t xml:space="preserve"> (Ri) or </w:t>
      </w:r>
      <w:r w:rsidRPr="0067680B">
        <w:rPr>
          <w:rFonts w:ascii="Times New Roman" w:hAnsi="Times New Roman" w:cs="Times New Roman"/>
          <w:i/>
          <w:iCs/>
          <w:sz w:val="20"/>
          <w:szCs w:val="20"/>
          <w:lang w:val="en-US"/>
        </w:rPr>
        <w:t>Funneliformis mosseae</w:t>
      </w:r>
      <w:r w:rsidRPr="0067680B">
        <w:rPr>
          <w:rFonts w:ascii="Times New Roman" w:hAnsi="Times New Roman" w:cs="Times New Roman"/>
          <w:sz w:val="20"/>
          <w:szCs w:val="20"/>
          <w:lang w:val="en-US"/>
        </w:rPr>
        <w:t xml:space="preserve"> (Fm)</w:t>
      </w:r>
      <w:r w:rsidRPr="0067680B">
        <w:rPr>
          <w:rFonts w:ascii="Times New Roman" w:hAnsi="Times New Roman" w:cs="Times New Roman"/>
          <w:b/>
          <w:bCs/>
          <w:sz w:val="20"/>
          <w:szCs w:val="20"/>
          <w:lang w:val="en-US"/>
        </w:rPr>
        <w:t xml:space="preserve"> </w:t>
      </w:r>
      <w:r w:rsidRPr="0067680B">
        <w:rPr>
          <w:rFonts w:ascii="Times New Roman" w:hAnsi="Times New Roman" w:cs="Times New Roman"/>
          <w:sz w:val="20"/>
          <w:szCs w:val="20"/>
          <w:lang w:val="en-US"/>
        </w:rPr>
        <w:t>grown in pots filled with an Arenosol that was watered with a CuSO</w:t>
      </w:r>
      <w:r w:rsidRPr="0067680B">
        <w:rPr>
          <w:rFonts w:ascii="Times New Roman" w:hAnsi="Times New Roman" w:cs="Times New Roman"/>
          <w:sz w:val="20"/>
          <w:szCs w:val="20"/>
          <w:vertAlign w:val="subscript"/>
          <w:lang w:val="en-US"/>
        </w:rPr>
        <w:t>4</w:t>
      </w:r>
      <w:r w:rsidRPr="0067680B">
        <w:rPr>
          <w:rFonts w:ascii="Times New Roman" w:hAnsi="Times New Roman" w:cs="Times New Roman"/>
          <w:sz w:val="20"/>
          <w:szCs w:val="20"/>
          <w:lang w:val="en-US"/>
        </w:rPr>
        <w:t xml:space="preserve"> solution, with a CuSO</w:t>
      </w:r>
      <w:r w:rsidRPr="0067680B">
        <w:rPr>
          <w:rFonts w:ascii="Times New Roman" w:hAnsi="Times New Roman" w:cs="Times New Roman"/>
          <w:sz w:val="20"/>
          <w:szCs w:val="20"/>
          <w:vertAlign w:val="subscript"/>
          <w:lang w:val="en-US"/>
        </w:rPr>
        <w:t>4</w:t>
      </w:r>
      <w:r w:rsidRPr="0067680B">
        <w:rPr>
          <w:rFonts w:ascii="Times New Roman" w:hAnsi="Times New Roman" w:cs="Times New Roman"/>
          <w:sz w:val="20"/>
          <w:szCs w:val="20"/>
          <w:lang w:val="en-US"/>
        </w:rPr>
        <w:t xml:space="preserve">+FeNaEDTA solution, or watered just with deionized water. Bars indicate the average of 3-4 plants </w:t>
      </w:r>
      <w:r w:rsidRPr="0067680B">
        <w:rPr>
          <w:rFonts w:ascii="Times New Roman" w:eastAsia="MTSY" w:hAnsi="Times New Roman" w:cs="Times New Roman"/>
          <w:sz w:val="20"/>
          <w:szCs w:val="20"/>
          <w:lang w:val="en-US"/>
        </w:rPr>
        <w:t xml:space="preserve">± </w:t>
      </w:r>
      <w:r w:rsidRPr="0067680B">
        <w:rPr>
          <w:rFonts w:ascii="Times New Roman" w:hAnsi="Times New Roman" w:cs="Times New Roman"/>
          <w:sz w:val="20"/>
          <w:szCs w:val="20"/>
          <w:lang w:val="en-US"/>
        </w:rPr>
        <w:t xml:space="preserve">standard deviation. Different letters indicate significant differences according to Duncan </w:t>
      </w:r>
      <w:r w:rsidR="00C352EC" w:rsidRPr="00C352EC">
        <w:rPr>
          <w:rFonts w:ascii="Times New Roman" w:hAnsi="Times New Roman" w:cs="Times New Roman"/>
          <w:i/>
          <w:iCs/>
          <w:sz w:val="20"/>
          <w:szCs w:val="20"/>
          <w:lang w:val="en-US"/>
        </w:rPr>
        <w:t>post hoc</w:t>
      </w:r>
      <w:r w:rsidR="00C352EC">
        <w:rPr>
          <w:rFonts w:ascii="Times New Roman" w:hAnsi="Times New Roman" w:cs="Times New Roman"/>
          <w:sz w:val="20"/>
          <w:szCs w:val="20"/>
          <w:lang w:val="en-US"/>
        </w:rPr>
        <w:t xml:space="preserve"> </w:t>
      </w:r>
      <w:r w:rsidRPr="0067680B">
        <w:rPr>
          <w:rFonts w:ascii="Times New Roman" w:hAnsi="Times New Roman" w:cs="Times New Roman"/>
          <w:sz w:val="20"/>
          <w:szCs w:val="20"/>
          <w:lang w:val="en-US"/>
        </w:rPr>
        <w:t>test. The box next to each graphic represents the result of the two-way factorial ANOVA where Mycorrhizal treatment and Soil treatment were considered as main factors.</w:t>
      </w:r>
    </w:p>
    <w:p w14:paraId="37D75E1C" w14:textId="77777777" w:rsidR="00970ED1" w:rsidRPr="0067680B" w:rsidRDefault="00970ED1" w:rsidP="007F71B8">
      <w:pPr>
        <w:spacing w:after="0" w:line="480" w:lineRule="auto"/>
        <w:jc w:val="both"/>
        <w:rPr>
          <w:rFonts w:ascii="Times New Roman" w:hAnsi="Times New Roman" w:cs="Times New Roman"/>
          <w:sz w:val="20"/>
          <w:szCs w:val="20"/>
          <w:lang w:val="en-US"/>
        </w:rPr>
      </w:pPr>
    </w:p>
    <w:p w14:paraId="3B2C9A72" w14:textId="68EB8A07" w:rsidR="00882BC7" w:rsidRDefault="00450287" w:rsidP="0067680B">
      <w:pPr>
        <w:spacing w:after="0" w:line="480" w:lineRule="auto"/>
        <w:jc w:val="both"/>
        <w:rPr>
          <w:rFonts w:ascii="Times New Roman" w:hAnsi="Times New Roman" w:cs="Times New Roman"/>
          <w:color w:val="000000" w:themeColor="text1"/>
          <w:lang w:val="en-US"/>
        </w:rPr>
      </w:pPr>
      <w:bookmarkStart w:id="19" w:name="_Hlk73605050"/>
      <w:r>
        <w:rPr>
          <w:rFonts w:ascii="Times New Roman" w:hAnsi="Times New Roman" w:cs="Times New Roman"/>
          <w:lang w:val="en-US"/>
        </w:rPr>
        <w:t>S</w:t>
      </w:r>
      <w:r w:rsidRPr="0067680B">
        <w:rPr>
          <w:rFonts w:ascii="Times New Roman" w:hAnsi="Times New Roman" w:cs="Times New Roman"/>
          <w:lang w:val="en-US"/>
        </w:rPr>
        <w:t xml:space="preserve">hoot </w:t>
      </w:r>
      <w:r w:rsidR="0067680B" w:rsidRPr="0067680B">
        <w:rPr>
          <w:rFonts w:ascii="Times New Roman" w:hAnsi="Times New Roman" w:cs="Times New Roman"/>
          <w:lang w:val="en-US"/>
        </w:rPr>
        <w:t>length was not affected by the soil treatment or by the mycorrhizal treatment</w:t>
      </w:r>
      <w:r w:rsidR="00331307">
        <w:rPr>
          <w:rFonts w:ascii="Times New Roman" w:hAnsi="Times New Roman" w:cs="Times New Roman"/>
          <w:lang w:val="en-US"/>
        </w:rPr>
        <w:t xml:space="preserve">, and was </w:t>
      </w:r>
      <w:r w:rsidR="00D815BD">
        <w:rPr>
          <w:rFonts w:ascii="Times New Roman" w:hAnsi="Times New Roman" w:cs="Times New Roman"/>
          <w:lang w:val="en-US"/>
        </w:rPr>
        <w:t>106 cm on average (</w:t>
      </w:r>
      <w:r w:rsidR="0067680B" w:rsidRPr="0067680B">
        <w:rPr>
          <w:rFonts w:ascii="Times New Roman" w:hAnsi="Times New Roman" w:cs="Times New Roman"/>
          <w:lang w:val="en-US"/>
        </w:rPr>
        <w:t xml:space="preserve"> </w:t>
      </w:r>
      <w:r w:rsidR="00D815BD">
        <w:rPr>
          <w:rFonts w:ascii="Times New Roman" w:hAnsi="Times New Roman" w:cs="Times New Roman"/>
          <w:lang w:val="en-US"/>
        </w:rPr>
        <w:t>± 3.2, standard error)</w:t>
      </w:r>
      <w:r w:rsidR="005F550E">
        <w:rPr>
          <w:rFonts w:ascii="Times New Roman" w:hAnsi="Times New Roman" w:cs="Times New Roman"/>
          <w:lang w:val="en-US"/>
        </w:rPr>
        <w:t>. However,</w:t>
      </w:r>
      <w:r w:rsidR="0067680B" w:rsidRPr="0067680B">
        <w:rPr>
          <w:rFonts w:ascii="Times New Roman" w:hAnsi="Times New Roman" w:cs="Times New Roman"/>
          <w:lang w:val="en-US"/>
        </w:rPr>
        <w:t xml:space="preserve"> a significant effect of the mycorrhizal treatment was observed </w:t>
      </w:r>
      <w:r w:rsidR="0067680B" w:rsidRPr="0067680B">
        <w:rPr>
          <w:rFonts w:ascii="Times New Roman" w:hAnsi="Times New Roman" w:cs="Times New Roman"/>
          <w:lang w:val="en-US"/>
        </w:rPr>
        <w:lastRenderedPageBreak/>
        <w:t xml:space="preserve">in </w:t>
      </w:r>
      <w:r w:rsidR="00970ED1">
        <w:rPr>
          <w:rFonts w:ascii="Times New Roman" w:hAnsi="Times New Roman" w:cs="Times New Roman"/>
          <w:lang w:val="en-US"/>
        </w:rPr>
        <w:t xml:space="preserve">leaf </w:t>
      </w:r>
      <w:r w:rsidR="0067680B" w:rsidRPr="0067680B">
        <w:rPr>
          <w:rFonts w:ascii="Times New Roman" w:hAnsi="Times New Roman" w:cs="Times New Roman"/>
          <w:lang w:val="en-US"/>
        </w:rPr>
        <w:t xml:space="preserve">NDVI index, being in general plants inoculated with </w:t>
      </w:r>
      <w:r w:rsidR="0067680B" w:rsidRPr="0067680B">
        <w:rPr>
          <w:rFonts w:ascii="Times New Roman" w:hAnsi="Times New Roman" w:cs="Times New Roman"/>
          <w:i/>
          <w:iCs/>
          <w:lang w:val="en-US"/>
        </w:rPr>
        <w:t xml:space="preserve">R. </w:t>
      </w:r>
      <w:r w:rsidR="0067680B" w:rsidRPr="0067680B">
        <w:rPr>
          <w:rFonts w:ascii="Times New Roman" w:hAnsi="Times New Roman" w:cs="Times New Roman"/>
          <w:i/>
          <w:iCs/>
          <w:color w:val="000000" w:themeColor="text1"/>
          <w:lang w:val="en-US"/>
        </w:rPr>
        <w:t>irregulare</w:t>
      </w:r>
      <w:r w:rsidR="0067680B" w:rsidRPr="0067680B">
        <w:rPr>
          <w:rFonts w:ascii="Times New Roman" w:hAnsi="Times New Roman" w:cs="Times New Roman"/>
          <w:color w:val="000000" w:themeColor="text1"/>
          <w:lang w:val="en-US"/>
        </w:rPr>
        <w:t xml:space="preserve"> the ones with the highest values </w:t>
      </w:r>
      <w:r w:rsidR="0067680B" w:rsidRPr="0067680B">
        <w:rPr>
          <w:rFonts w:ascii="Times New Roman" w:hAnsi="Times New Roman" w:cs="Times New Roman"/>
          <w:lang w:val="en-US"/>
        </w:rPr>
        <w:t xml:space="preserve">(Figure </w:t>
      </w:r>
      <w:r w:rsidR="00331307" w:rsidRPr="0067680B">
        <w:rPr>
          <w:rFonts w:ascii="Times New Roman" w:hAnsi="Times New Roman" w:cs="Times New Roman"/>
          <w:lang w:val="en-US"/>
        </w:rPr>
        <w:t>1</w:t>
      </w:r>
      <w:r w:rsidR="00331307">
        <w:rPr>
          <w:rFonts w:ascii="Times New Roman" w:hAnsi="Times New Roman" w:cs="Times New Roman"/>
          <w:lang w:val="en-US"/>
        </w:rPr>
        <w:t>C</w:t>
      </w:r>
      <w:r w:rsidR="0067680B" w:rsidRPr="0067680B">
        <w:rPr>
          <w:rFonts w:ascii="Times New Roman" w:hAnsi="Times New Roman" w:cs="Times New Roman"/>
          <w:lang w:val="en-US"/>
        </w:rPr>
        <w:t>)</w:t>
      </w:r>
      <w:r w:rsidR="0067680B" w:rsidRPr="0067680B">
        <w:rPr>
          <w:rFonts w:ascii="Times New Roman" w:hAnsi="Times New Roman" w:cs="Times New Roman"/>
          <w:color w:val="000000" w:themeColor="text1"/>
          <w:lang w:val="en-US"/>
        </w:rPr>
        <w:t xml:space="preserve">. </w:t>
      </w:r>
      <w:r w:rsidR="00B52D69">
        <w:rPr>
          <w:rFonts w:ascii="Times New Roman" w:hAnsi="Times New Roman" w:cs="Times New Roman"/>
          <w:color w:val="000000" w:themeColor="text1"/>
          <w:lang w:val="en-US"/>
        </w:rPr>
        <w:t xml:space="preserve">Similarly, </w:t>
      </w:r>
      <w:r w:rsidR="00970ED1">
        <w:rPr>
          <w:rFonts w:ascii="Times New Roman" w:hAnsi="Times New Roman" w:cs="Times New Roman"/>
          <w:color w:val="000000" w:themeColor="text1"/>
          <w:lang w:val="en-US"/>
        </w:rPr>
        <w:t xml:space="preserve">the </w:t>
      </w:r>
      <w:r w:rsidR="00B52D69" w:rsidRPr="0067680B">
        <w:rPr>
          <w:rFonts w:ascii="Times New Roman" w:hAnsi="Times New Roman" w:cs="Times New Roman"/>
          <w:lang w:val="en-US"/>
        </w:rPr>
        <w:t xml:space="preserve">mycorrhizal treatment </w:t>
      </w:r>
      <w:r w:rsidR="00B52D69">
        <w:rPr>
          <w:rFonts w:ascii="Times New Roman" w:hAnsi="Times New Roman" w:cs="Times New Roman"/>
          <w:lang w:val="en-US"/>
        </w:rPr>
        <w:t xml:space="preserve">had a significant effect on </w:t>
      </w:r>
      <w:r w:rsidR="00B52D69">
        <w:rPr>
          <w:rFonts w:ascii="Times New Roman" w:hAnsi="Times New Roman" w:cs="Times New Roman"/>
          <w:color w:val="000000" w:themeColor="text1"/>
          <w:lang w:val="en-US"/>
        </w:rPr>
        <w:t>root N concentration</w:t>
      </w:r>
      <w:r w:rsidR="00882BC7">
        <w:rPr>
          <w:rFonts w:ascii="Times New Roman" w:hAnsi="Times New Roman" w:cs="Times New Roman"/>
          <w:color w:val="000000" w:themeColor="text1"/>
          <w:lang w:val="en-US"/>
        </w:rPr>
        <w:t xml:space="preserve"> and </w:t>
      </w:r>
      <w:r w:rsidR="00882BC7" w:rsidRPr="00F3546A">
        <w:rPr>
          <w:rFonts w:ascii="Times New Roman" w:hAnsi="Times New Roman" w:cs="Times New Roman"/>
          <w:i/>
          <w:iCs/>
          <w:color w:val="000000" w:themeColor="text1"/>
          <w:lang w:val="en-US"/>
        </w:rPr>
        <w:t>R. irregulare-</w:t>
      </w:r>
      <w:r w:rsidR="00882BC7" w:rsidRPr="00F3546A">
        <w:rPr>
          <w:rFonts w:ascii="Times New Roman" w:hAnsi="Times New Roman" w:cs="Times New Roman"/>
          <w:color w:val="000000" w:themeColor="text1"/>
          <w:lang w:val="en-US"/>
        </w:rPr>
        <w:t>inoculated plants</w:t>
      </w:r>
      <w:r w:rsidR="00882BC7">
        <w:rPr>
          <w:rFonts w:ascii="Times New Roman" w:hAnsi="Times New Roman" w:cs="Times New Roman"/>
          <w:color w:val="000000" w:themeColor="text1"/>
          <w:lang w:val="en-US"/>
        </w:rPr>
        <w:t xml:space="preserve"> presented the highest mean values </w:t>
      </w:r>
      <w:r w:rsidR="00882BC7" w:rsidRPr="00F3546A">
        <w:rPr>
          <w:rFonts w:ascii="Times New Roman" w:hAnsi="Times New Roman" w:cs="Times New Roman"/>
          <w:color w:val="000000" w:themeColor="text1"/>
          <w:lang w:val="en-US"/>
        </w:rPr>
        <w:t>(Table 2A and B)</w:t>
      </w:r>
      <w:r w:rsidR="00882BC7">
        <w:rPr>
          <w:rFonts w:ascii="Times New Roman" w:hAnsi="Times New Roman" w:cs="Times New Roman"/>
          <w:color w:val="000000" w:themeColor="text1"/>
          <w:lang w:val="en-US"/>
        </w:rPr>
        <w:t>.</w:t>
      </w:r>
    </w:p>
    <w:p w14:paraId="7B248416" w14:textId="61BEA855" w:rsidR="009D54B7" w:rsidRDefault="0056239C" w:rsidP="00DD1D56">
      <w:pPr>
        <w:spacing w:after="0" w:line="480" w:lineRule="auto"/>
        <w:jc w:val="both"/>
        <w:rPr>
          <w:rFonts w:ascii="Times New Roman" w:hAnsi="Times New Roman" w:cs="Times New Roman"/>
          <w:lang w:val="en-US"/>
        </w:rPr>
      </w:pPr>
      <w:r>
        <w:rPr>
          <w:rFonts w:ascii="Times New Roman" w:hAnsi="Times New Roman" w:cs="Times New Roman"/>
          <w:color w:val="000000" w:themeColor="text1"/>
          <w:lang w:val="en-US"/>
        </w:rPr>
        <w:t>Root P concentration showed a significant interaction between soil treatment and mycorrhizal treatment factors</w:t>
      </w:r>
      <w:r w:rsidR="00F25CAD" w:rsidRPr="00F3546A">
        <w:rPr>
          <w:rFonts w:ascii="Times New Roman" w:hAnsi="Times New Roman" w:cs="Times New Roman"/>
          <w:color w:val="000000" w:themeColor="text1"/>
          <w:lang w:val="en-US"/>
        </w:rPr>
        <w:t xml:space="preserve"> (Table 2B)</w:t>
      </w:r>
      <w:r w:rsidR="002C41EC" w:rsidRPr="00F3546A">
        <w:rPr>
          <w:rFonts w:ascii="Times New Roman" w:hAnsi="Times New Roman" w:cs="Times New Roman"/>
          <w:color w:val="000000" w:themeColor="text1"/>
          <w:lang w:val="en-US"/>
        </w:rPr>
        <w:t xml:space="preserve">. </w:t>
      </w:r>
      <w:r w:rsidR="00F25CAD" w:rsidRPr="00F3546A">
        <w:rPr>
          <w:rFonts w:ascii="Times New Roman" w:hAnsi="Times New Roman" w:cs="Times New Roman"/>
          <w:color w:val="000000" w:themeColor="text1"/>
          <w:lang w:val="en-US"/>
        </w:rPr>
        <w:t>W</w:t>
      </w:r>
      <w:r w:rsidR="009D54B7" w:rsidRPr="00F3546A">
        <w:rPr>
          <w:rFonts w:ascii="Times New Roman" w:hAnsi="Times New Roman" w:cs="Times New Roman"/>
          <w:color w:val="000000" w:themeColor="text1"/>
          <w:lang w:val="en-US"/>
        </w:rPr>
        <w:t xml:space="preserve">hen </w:t>
      </w:r>
      <w:r w:rsidR="00EA66A9">
        <w:rPr>
          <w:rFonts w:ascii="Times New Roman" w:hAnsi="Times New Roman" w:cs="Times New Roman"/>
          <w:color w:val="000000" w:themeColor="text1"/>
          <w:lang w:val="en-US"/>
        </w:rPr>
        <w:t xml:space="preserve">Cu was added to </w:t>
      </w:r>
      <w:r w:rsidR="009D54B7" w:rsidRPr="00F3546A">
        <w:rPr>
          <w:rFonts w:ascii="Times New Roman" w:hAnsi="Times New Roman" w:cs="Times New Roman"/>
          <w:color w:val="000000" w:themeColor="text1"/>
          <w:lang w:val="en-US"/>
        </w:rPr>
        <w:t xml:space="preserve">the soil, in the presence or in the absence </w:t>
      </w:r>
      <w:r w:rsidR="009527F3" w:rsidRPr="00F3546A">
        <w:rPr>
          <w:rFonts w:ascii="Times New Roman" w:hAnsi="Times New Roman" w:cs="Times New Roman"/>
          <w:color w:val="000000" w:themeColor="text1"/>
          <w:lang w:val="en-US"/>
        </w:rPr>
        <w:t>of FeNaEDTA</w:t>
      </w:r>
      <w:r w:rsidR="009D54B7" w:rsidRPr="00F3546A">
        <w:rPr>
          <w:rFonts w:ascii="Times New Roman" w:hAnsi="Times New Roman" w:cs="Times New Roman"/>
          <w:color w:val="000000" w:themeColor="text1"/>
          <w:lang w:val="en-US"/>
        </w:rPr>
        <w:t xml:space="preserve">, a significant decrease was observed </w:t>
      </w:r>
      <w:r w:rsidR="000606FF" w:rsidRPr="00F3546A">
        <w:rPr>
          <w:rFonts w:ascii="Times New Roman" w:hAnsi="Times New Roman" w:cs="Times New Roman"/>
          <w:color w:val="000000" w:themeColor="text1"/>
          <w:lang w:val="en-US"/>
        </w:rPr>
        <w:t xml:space="preserve">in root P concentration </w:t>
      </w:r>
      <w:r w:rsidR="009D54B7" w:rsidRPr="00F3546A">
        <w:rPr>
          <w:rFonts w:ascii="Times New Roman" w:hAnsi="Times New Roman" w:cs="Times New Roman"/>
          <w:color w:val="000000" w:themeColor="text1"/>
          <w:lang w:val="en-US"/>
        </w:rPr>
        <w:t>in non-inoculated</w:t>
      </w:r>
      <w:r w:rsidR="00970ED1" w:rsidRPr="00970ED1">
        <w:rPr>
          <w:rFonts w:ascii="Times New Roman" w:hAnsi="Times New Roman" w:cs="Times New Roman"/>
          <w:color w:val="000000" w:themeColor="text1"/>
          <w:lang w:val="en-US"/>
        </w:rPr>
        <w:t xml:space="preserve"> </w:t>
      </w:r>
      <w:r w:rsidR="00970ED1" w:rsidRPr="002173F5">
        <w:rPr>
          <w:rFonts w:ascii="Times New Roman" w:hAnsi="Times New Roman" w:cs="Times New Roman"/>
          <w:color w:val="000000" w:themeColor="text1"/>
          <w:lang w:val="en-US"/>
        </w:rPr>
        <w:t>plants (from</w:t>
      </w:r>
      <w:r w:rsidR="00970ED1" w:rsidRPr="0023489B">
        <w:rPr>
          <w:rFonts w:ascii="Times New Roman" w:hAnsi="Times New Roman" w:cs="Times New Roman"/>
          <w:color w:val="000000" w:themeColor="text1"/>
          <w:lang w:val="en-US"/>
        </w:rPr>
        <w:t xml:space="preserve">  </w:t>
      </w:r>
      <w:r w:rsidR="00970ED1" w:rsidRPr="002173F5">
        <w:rPr>
          <w:rFonts w:ascii="Times New Roman" w:eastAsia="Times New Roman" w:hAnsi="Times New Roman" w:cs="Times New Roman"/>
          <w:lang w:val="en-US" w:eastAsia="pt-PT"/>
        </w:rPr>
        <w:t>1.19 ± 0.048 mg kg</w:t>
      </w:r>
      <w:r w:rsidR="00970ED1" w:rsidRPr="002173F5">
        <w:rPr>
          <w:rFonts w:ascii="Times New Roman" w:eastAsia="Times New Roman" w:hAnsi="Times New Roman" w:cs="Times New Roman"/>
          <w:vertAlign w:val="superscript"/>
          <w:lang w:val="en-US" w:eastAsia="pt-PT"/>
        </w:rPr>
        <w:t>-1</w:t>
      </w:r>
      <w:r w:rsidR="00970ED1" w:rsidRPr="002173F5">
        <w:rPr>
          <w:rFonts w:ascii="Times New Roman" w:eastAsia="Times New Roman" w:hAnsi="Times New Roman" w:cs="Times New Roman"/>
          <w:lang w:val="en-US" w:eastAsia="pt-PT"/>
        </w:rPr>
        <w:t xml:space="preserve"> in the </w:t>
      </w:r>
      <w:r w:rsidR="00970ED1">
        <w:rPr>
          <w:rFonts w:ascii="Times New Roman" w:eastAsia="Times New Roman" w:hAnsi="Times New Roman" w:cs="Times New Roman"/>
          <w:lang w:val="en-US" w:eastAsia="pt-PT"/>
        </w:rPr>
        <w:t>control</w:t>
      </w:r>
      <w:r w:rsidR="00970ED1" w:rsidRPr="002173F5">
        <w:rPr>
          <w:rFonts w:ascii="Times New Roman" w:eastAsia="Times New Roman" w:hAnsi="Times New Roman" w:cs="Times New Roman"/>
          <w:lang w:val="en-US" w:eastAsia="pt-PT"/>
        </w:rPr>
        <w:t xml:space="preserve"> soil</w:t>
      </w:r>
      <w:r w:rsidR="00970ED1">
        <w:rPr>
          <w:rFonts w:ascii="Times New Roman" w:eastAsia="Times New Roman" w:hAnsi="Times New Roman" w:cs="Times New Roman"/>
          <w:lang w:val="en-US" w:eastAsia="pt-PT"/>
        </w:rPr>
        <w:t>,</w:t>
      </w:r>
      <w:r w:rsidR="00970ED1" w:rsidRPr="002173F5">
        <w:rPr>
          <w:rFonts w:ascii="Times New Roman" w:eastAsia="Times New Roman" w:hAnsi="Times New Roman" w:cs="Times New Roman"/>
          <w:lang w:val="en-US" w:eastAsia="pt-PT"/>
        </w:rPr>
        <w:t xml:space="preserve"> to 1.00 ± 0.024 and 0.90 ± 0.050</w:t>
      </w:r>
      <w:r w:rsidR="00970ED1">
        <w:rPr>
          <w:rFonts w:ascii="Times New Roman" w:eastAsia="Times New Roman" w:hAnsi="Times New Roman" w:cs="Times New Roman"/>
          <w:lang w:val="en-US" w:eastAsia="pt-PT"/>
        </w:rPr>
        <w:t xml:space="preserve"> </w:t>
      </w:r>
      <w:r w:rsidR="00970ED1" w:rsidRPr="002173F5">
        <w:rPr>
          <w:rFonts w:ascii="Times New Roman" w:eastAsia="Times New Roman" w:hAnsi="Times New Roman" w:cs="Times New Roman"/>
          <w:lang w:val="en-US" w:eastAsia="pt-PT"/>
        </w:rPr>
        <w:t>mg kg</w:t>
      </w:r>
      <w:r w:rsidR="00970ED1" w:rsidRPr="002173F5">
        <w:rPr>
          <w:rFonts w:ascii="Times New Roman" w:eastAsia="Times New Roman" w:hAnsi="Times New Roman" w:cs="Times New Roman"/>
          <w:vertAlign w:val="superscript"/>
          <w:lang w:val="en-US" w:eastAsia="pt-PT"/>
        </w:rPr>
        <w:t>-1</w:t>
      </w:r>
      <w:r w:rsidR="00970ED1" w:rsidRPr="002173F5">
        <w:rPr>
          <w:rFonts w:ascii="Times New Roman" w:eastAsia="Times New Roman" w:hAnsi="Times New Roman" w:cs="Times New Roman"/>
          <w:lang w:val="en-US" w:eastAsia="pt-PT"/>
        </w:rPr>
        <w:t xml:space="preserve"> and in the </w:t>
      </w:r>
      <w:r w:rsidR="00970ED1">
        <w:rPr>
          <w:rFonts w:ascii="Times New Roman" w:eastAsia="Times New Roman" w:hAnsi="Times New Roman" w:cs="Times New Roman"/>
          <w:lang w:val="en-US" w:eastAsia="pt-PT"/>
        </w:rPr>
        <w:t>Cu and Cu+FeNaEDTA treated soils</w:t>
      </w:r>
      <w:r w:rsidR="00970ED1" w:rsidRPr="002173F5">
        <w:rPr>
          <w:rFonts w:ascii="Times New Roman" w:eastAsia="Times New Roman" w:hAnsi="Times New Roman" w:cs="Times New Roman"/>
          <w:lang w:val="en-US" w:eastAsia="pt-PT"/>
        </w:rPr>
        <w:t>, respectively)</w:t>
      </w:r>
      <w:r w:rsidR="009D54B7" w:rsidRPr="002173F5">
        <w:rPr>
          <w:rFonts w:ascii="Times New Roman" w:hAnsi="Times New Roman" w:cs="Times New Roman"/>
          <w:color w:val="000000" w:themeColor="text1"/>
          <w:lang w:val="en-US"/>
        </w:rPr>
        <w:t>, w</w:t>
      </w:r>
      <w:r w:rsidR="009D54B7" w:rsidRPr="00F3546A">
        <w:rPr>
          <w:rFonts w:ascii="Times New Roman" w:hAnsi="Times New Roman" w:cs="Times New Roman"/>
          <w:color w:val="000000" w:themeColor="text1"/>
          <w:lang w:val="en-US"/>
        </w:rPr>
        <w:t xml:space="preserve">hile in </w:t>
      </w:r>
      <w:r w:rsidR="009D54B7" w:rsidRPr="00F3546A">
        <w:rPr>
          <w:rFonts w:ascii="Times New Roman" w:hAnsi="Times New Roman" w:cs="Times New Roman"/>
          <w:i/>
          <w:iCs/>
          <w:color w:val="000000" w:themeColor="text1"/>
          <w:lang w:val="en-US"/>
        </w:rPr>
        <w:t xml:space="preserve">R. irregulare- </w:t>
      </w:r>
      <w:r w:rsidR="009D54B7" w:rsidRPr="00F3546A">
        <w:rPr>
          <w:rFonts w:ascii="Times New Roman" w:hAnsi="Times New Roman" w:cs="Times New Roman"/>
          <w:color w:val="000000" w:themeColor="text1"/>
          <w:lang w:val="en-US"/>
        </w:rPr>
        <w:t>in</w:t>
      </w:r>
      <w:r w:rsidR="009D54B7" w:rsidRPr="00F3546A">
        <w:rPr>
          <w:rFonts w:ascii="Times New Roman" w:hAnsi="Times New Roman" w:cs="Times New Roman"/>
          <w:i/>
          <w:iCs/>
          <w:color w:val="000000" w:themeColor="text1"/>
          <w:lang w:val="en-US"/>
        </w:rPr>
        <w:t xml:space="preserve"> F. mosseae</w:t>
      </w:r>
      <w:r w:rsidR="000606FF" w:rsidRPr="00F3546A">
        <w:rPr>
          <w:rFonts w:ascii="Times New Roman" w:hAnsi="Times New Roman" w:cs="Times New Roman"/>
          <w:i/>
          <w:iCs/>
          <w:color w:val="000000" w:themeColor="text1"/>
          <w:lang w:val="en-US"/>
        </w:rPr>
        <w:t>-</w:t>
      </w:r>
      <w:r w:rsidR="009D54B7" w:rsidRPr="00F3546A">
        <w:rPr>
          <w:rFonts w:ascii="Times New Roman" w:hAnsi="Times New Roman" w:cs="Times New Roman"/>
          <w:color w:val="000000" w:themeColor="text1"/>
          <w:lang w:val="en-US"/>
        </w:rPr>
        <w:t xml:space="preserve">inoculated plants its concentration remained </w:t>
      </w:r>
      <w:r w:rsidR="009527F3" w:rsidRPr="00F3546A">
        <w:rPr>
          <w:rFonts w:ascii="Times New Roman" w:hAnsi="Times New Roman" w:cs="Times New Roman"/>
          <w:color w:val="000000" w:themeColor="text1"/>
          <w:lang w:val="en-US"/>
        </w:rPr>
        <w:t>unaltered</w:t>
      </w:r>
      <w:r w:rsidR="009D54B7" w:rsidRPr="00F3546A">
        <w:rPr>
          <w:rFonts w:ascii="Times New Roman" w:hAnsi="Times New Roman" w:cs="Times New Roman"/>
          <w:color w:val="000000" w:themeColor="text1"/>
          <w:lang w:val="en-US"/>
        </w:rPr>
        <w:t xml:space="preserve">. </w:t>
      </w:r>
      <w:r w:rsidR="00095ED7" w:rsidRPr="00F3546A">
        <w:rPr>
          <w:rFonts w:ascii="Times New Roman" w:hAnsi="Times New Roman" w:cs="Times New Roman"/>
          <w:color w:val="000000" w:themeColor="text1"/>
          <w:lang w:val="en-US"/>
        </w:rPr>
        <w:t>Furthermore, in the Cu</w:t>
      </w:r>
      <w:r w:rsidR="00DB2F66">
        <w:rPr>
          <w:rFonts w:ascii="Times New Roman" w:hAnsi="Times New Roman" w:cs="Times New Roman"/>
          <w:color w:val="000000" w:themeColor="text1"/>
          <w:lang w:val="en-US"/>
        </w:rPr>
        <w:t>-treated soil</w:t>
      </w:r>
      <w:r w:rsidR="00095ED7" w:rsidRPr="00F3546A">
        <w:rPr>
          <w:rFonts w:ascii="Times New Roman" w:hAnsi="Times New Roman" w:cs="Times New Roman"/>
          <w:color w:val="000000" w:themeColor="text1"/>
          <w:lang w:val="en-US"/>
        </w:rPr>
        <w:t xml:space="preserve">, in the absence of FeNaEDTA, </w:t>
      </w:r>
      <w:r w:rsidR="00095ED7" w:rsidRPr="00F3546A">
        <w:rPr>
          <w:rFonts w:ascii="Times New Roman" w:hAnsi="Times New Roman" w:cs="Times New Roman"/>
          <w:i/>
          <w:iCs/>
          <w:lang w:val="en-US"/>
        </w:rPr>
        <w:t>R. irregulare-</w:t>
      </w:r>
      <w:r w:rsidR="00095ED7" w:rsidRPr="00F3546A">
        <w:rPr>
          <w:rFonts w:ascii="Times New Roman" w:hAnsi="Times New Roman" w:cs="Times New Roman"/>
          <w:lang w:val="en-US"/>
        </w:rPr>
        <w:t xml:space="preserve">inoculated plants presented significantly higher root P concentration than the other plants. </w:t>
      </w:r>
      <w:r w:rsidR="00DB2F66">
        <w:rPr>
          <w:rFonts w:ascii="Times New Roman" w:hAnsi="Times New Roman" w:cs="Times New Roman"/>
          <w:lang w:val="en-US"/>
        </w:rPr>
        <w:t xml:space="preserve">On the other hand, </w:t>
      </w:r>
      <w:r w:rsidR="00DB2F66" w:rsidRPr="00F3546A">
        <w:rPr>
          <w:rFonts w:ascii="Times New Roman" w:hAnsi="Times New Roman" w:cs="Times New Roman"/>
          <w:lang w:val="en-US"/>
        </w:rPr>
        <w:t xml:space="preserve">neither the soil treatment nor the mycorrhizal treatment led to variations on </w:t>
      </w:r>
      <w:r w:rsidR="00DB2F66" w:rsidRPr="00F3546A">
        <w:rPr>
          <w:rFonts w:ascii="Times New Roman" w:hAnsi="Times New Roman" w:cs="Times New Roman"/>
          <w:color w:val="000000" w:themeColor="text1"/>
          <w:lang w:val="en-US"/>
        </w:rPr>
        <w:t>K</w:t>
      </w:r>
      <w:r w:rsidR="00DB2F66" w:rsidRPr="00F3546A">
        <w:rPr>
          <w:rFonts w:ascii="Times New Roman" w:hAnsi="Times New Roman" w:cs="Times New Roman"/>
          <w:lang w:val="en-US"/>
        </w:rPr>
        <w:t xml:space="preserve"> concentration in roots </w:t>
      </w:r>
      <w:r w:rsidR="00DB2F66" w:rsidRPr="00F3546A">
        <w:rPr>
          <w:rFonts w:ascii="Times New Roman" w:hAnsi="Times New Roman" w:cs="Times New Roman"/>
          <w:color w:val="000000" w:themeColor="text1"/>
          <w:lang w:val="en-US"/>
        </w:rPr>
        <w:t>(Table 2A and B).</w:t>
      </w:r>
    </w:p>
    <w:p w14:paraId="15C4623C" w14:textId="19B98CC4" w:rsidR="00255B0E" w:rsidRPr="00F3546A" w:rsidRDefault="00156A09" w:rsidP="00DD1D56">
      <w:pPr>
        <w:spacing w:after="0" w:line="480" w:lineRule="auto"/>
        <w:jc w:val="both"/>
        <w:rPr>
          <w:rFonts w:ascii="Times New Roman" w:hAnsi="Times New Roman" w:cs="Times New Roman"/>
          <w:color w:val="000000" w:themeColor="text1"/>
          <w:lang w:val="en-US"/>
        </w:rPr>
      </w:pPr>
      <w:r w:rsidRPr="00F3546A">
        <w:rPr>
          <w:rFonts w:ascii="Times New Roman" w:hAnsi="Times New Roman" w:cs="Times New Roman"/>
          <w:lang w:val="en-US"/>
        </w:rPr>
        <w:t xml:space="preserve">The soil treatment factor had a strong effect on </w:t>
      </w:r>
      <w:r w:rsidR="00D96FB8" w:rsidRPr="00F3546A">
        <w:rPr>
          <w:rFonts w:ascii="Times New Roman" w:hAnsi="Times New Roman" w:cs="Times New Roman"/>
          <w:lang w:val="en-US"/>
        </w:rPr>
        <w:t xml:space="preserve">the concentration of </w:t>
      </w:r>
      <w:r w:rsidR="002C41EC" w:rsidRPr="00F3546A">
        <w:rPr>
          <w:rFonts w:ascii="Times New Roman" w:hAnsi="Times New Roman" w:cs="Times New Roman"/>
          <w:lang w:val="en-US"/>
        </w:rPr>
        <w:t xml:space="preserve">root micronutrients </w:t>
      </w:r>
      <w:r w:rsidRPr="00F3546A">
        <w:rPr>
          <w:rFonts w:ascii="Times New Roman" w:hAnsi="Times New Roman" w:cs="Times New Roman"/>
          <w:lang w:val="en-US"/>
        </w:rPr>
        <w:t>(Table 2B)</w:t>
      </w:r>
      <w:r w:rsidR="002C41EC" w:rsidRPr="00F3546A">
        <w:rPr>
          <w:rFonts w:ascii="Times New Roman" w:hAnsi="Times New Roman" w:cs="Times New Roman"/>
          <w:lang w:val="en-US"/>
        </w:rPr>
        <w:t xml:space="preserve">. </w:t>
      </w:r>
      <w:r w:rsidR="00D96FB8" w:rsidRPr="00F3546A">
        <w:rPr>
          <w:rFonts w:ascii="Times New Roman" w:hAnsi="Times New Roman" w:cs="Times New Roman"/>
          <w:color w:val="000000" w:themeColor="text1"/>
          <w:lang w:val="en-US"/>
        </w:rPr>
        <w:t xml:space="preserve">Copper </w:t>
      </w:r>
      <w:r w:rsidR="009D54B7" w:rsidRPr="00F3546A">
        <w:rPr>
          <w:rFonts w:ascii="Times New Roman" w:hAnsi="Times New Roman" w:cs="Times New Roman"/>
          <w:color w:val="000000" w:themeColor="text1"/>
          <w:lang w:val="en-US"/>
        </w:rPr>
        <w:t xml:space="preserve">addition to the soil, with or without FeNaEDTA, led to a general increase in Cu concentration in roots </w:t>
      </w:r>
      <w:r w:rsidR="00723EEC" w:rsidRPr="00F3546A">
        <w:rPr>
          <w:rFonts w:ascii="Times New Roman" w:hAnsi="Times New Roman" w:cs="Times New Roman"/>
          <w:color w:val="000000" w:themeColor="text1"/>
          <w:lang w:val="en-US"/>
        </w:rPr>
        <w:t xml:space="preserve">(37.6-fold in average) </w:t>
      </w:r>
      <w:r w:rsidR="00A30A49" w:rsidRPr="00F3546A">
        <w:rPr>
          <w:rFonts w:ascii="Times New Roman" w:hAnsi="Times New Roman" w:cs="Times New Roman"/>
          <w:color w:val="000000" w:themeColor="text1"/>
          <w:lang w:val="en-US"/>
        </w:rPr>
        <w:t>and</w:t>
      </w:r>
      <w:r w:rsidR="009D54B7" w:rsidRPr="00F3546A">
        <w:rPr>
          <w:rFonts w:ascii="Times New Roman" w:hAnsi="Times New Roman" w:cs="Times New Roman"/>
          <w:color w:val="000000" w:themeColor="text1"/>
          <w:lang w:val="en-US"/>
        </w:rPr>
        <w:t xml:space="preserve"> no differences were observed among mycorrhizal treatments (Table 2). </w:t>
      </w:r>
      <w:r w:rsidR="00970ED1">
        <w:rPr>
          <w:rFonts w:ascii="Times New Roman" w:hAnsi="Times New Roman" w:cs="Times New Roman"/>
          <w:color w:val="000000" w:themeColor="text1"/>
          <w:lang w:val="en-US"/>
        </w:rPr>
        <w:t xml:space="preserve">However, </w:t>
      </w:r>
      <w:r w:rsidR="00FB246E">
        <w:rPr>
          <w:rFonts w:ascii="Times New Roman" w:hAnsi="Times New Roman" w:cs="Times New Roman"/>
          <w:color w:val="000000" w:themeColor="text1"/>
          <w:lang w:val="en-US"/>
        </w:rPr>
        <w:t xml:space="preserve">although </w:t>
      </w:r>
      <w:r w:rsidR="00970ED1">
        <w:rPr>
          <w:rFonts w:ascii="Times New Roman" w:hAnsi="Times New Roman" w:cs="Times New Roman"/>
          <w:lang w:val="en-US"/>
        </w:rPr>
        <w:t>r</w:t>
      </w:r>
      <w:r w:rsidR="00970ED1" w:rsidRPr="00F3546A">
        <w:rPr>
          <w:rFonts w:ascii="Times New Roman" w:hAnsi="Times New Roman" w:cs="Times New Roman"/>
          <w:lang w:val="en-US"/>
        </w:rPr>
        <w:t xml:space="preserve">oot </w:t>
      </w:r>
      <w:r w:rsidR="00A30A49" w:rsidRPr="00F3546A">
        <w:rPr>
          <w:rFonts w:ascii="Times New Roman" w:hAnsi="Times New Roman" w:cs="Times New Roman"/>
          <w:lang w:val="en-US"/>
        </w:rPr>
        <w:t xml:space="preserve">Mn </w:t>
      </w:r>
      <w:r w:rsidR="00A07DCE" w:rsidRPr="00F3546A">
        <w:rPr>
          <w:rFonts w:ascii="Times New Roman" w:hAnsi="Times New Roman" w:cs="Times New Roman"/>
          <w:lang w:val="en-US"/>
        </w:rPr>
        <w:t xml:space="preserve">and Zn concentrations </w:t>
      </w:r>
      <w:r w:rsidR="006728CC">
        <w:rPr>
          <w:rFonts w:ascii="Times New Roman" w:hAnsi="Times New Roman" w:cs="Times New Roman"/>
          <w:lang w:val="en-US"/>
        </w:rPr>
        <w:t xml:space="preserve">also </w:t>
      </w:r>
      <w:r w:rsidR="00FB246E" w:rsidRPr="00F3546A">
        <w:rPr>
          <w:rFonts w:ascii="Times New Roman" w:hAnsi="Times New Roman" w:cs="Times New Roman"/>
          <w:lang w:val="en-US"/>
        </w:rPr>
        <w:t>experienced a general increase in the Cu</w:t>
      </w:r>
      <w:r w:rsidR="00FB246E">
        <w:rPr>
          <w:rFonts w:ascii="Times New Roman" w:hAnsi="Times New Roman" w:cs="Times New Roman"/>
          <w:lang w:val="en-US"/>
        </w:rPr>
        <w:t>-treated</w:t>
      </w:r>
      <w:r w:rsidR="00FB246E" w:rsidRPr="00F3546A">
        <w:rPr>
          <w:rFonts w:ascii="Times New Roman" w:hAnsi="Times New Roman" w:cs="Times New Roman"/>
          <w:lang w:val="en-US"/>
        </w:rPr>
        <w:t xml:space="preserve"> soil</w:t>
      </w:r>
      <w:r w:rsidR="00FB246E">
        <w:rPr>
          <w:rFonts w:ascii="Times New Roman" w:hAnsi="Times New Roman" w:cs="Times New Roman"/>
          <w:lang w:val="en-US"/>
        </w:rPr>
        <w:t xml:space="preserve"> (19.2% and 24.8%, respectively), </w:t>
      </w:r>
      <w:r w:rsidR="00A30A49" w:rsidRPr="00F3546A">
        <w:rPr>
          <w:rFonts w:ascii="Times New Roman" w:hAnsi="Times New Roman" w:cs="Times New Roman"/>
          <w:lang w:val="en-US"/>
        </w:rPr>
        <w:t xml:space="preserve">when </w:t>
      </w:r>
      <w:r w:rsidR="000A134C" w:rsidRPr="00F3546A">
        <w:rPr>
          <w:rFonts w:ascii="Times New Roman" w:hAnsi="Times New Roman" w:cs="Times New Roman"/>
          <w:color w:val="000000" w:themeColor="text1"/>
          <w:lang w:val="en-US"/>
        </w:rPr>
        <w:t xml:space="preserve">FeNaEDTA </w:t>
      </w:r>
      <w:r w:rsidR="00A30A49" w:rsidRPr="00F3546A">
        <w:rPr>
          <w:rFonts w:ascii="Times New Roman" w:hAnsi="Times New Roman" w:cs="Times New Roman"/>
          <w:color w:val="000000" w:themeColor="text1"/>
          <w:lang w:val="en-US"/>
        </w:rPr>
        <w:t>was added together with</w:t>
      </w:r>
      <w:r w:rsidR="000A134C" w:rsidRPr="00F3546A">
        <w:rPr>
          <w:rFonts w:ascii="Times New Roman" w:hAnsi="Times New Roman" w:cs="Times New Roman"/>
          <w:color w:val="000000" w:themeColor="text1"/>
          <w:lang w:val="en-US"/>
        </w:rPr>
        <w:t xml:space="preserve"> Cu</w:t>
      </w:r>
      <w:r w:rsidR="00A30A49" w:rsidRPr="00F3546A">
        <w:rPr>
          <w:rFonts w:ascii="Times New Roman" w:hAnsi="Times New Roman" w:cs="Times New Roman"/>
          <w:color w:val="000000" w:themeColor="text1"/>
          <w:lang w:val="en-US"/>
        </w:rPr>
        <w:t xml:space="preserve">, </w:t>
      </w:r>
      <w:r w:rsidR="00FB246E">
        <w:rPr>
          <w:rFonts w:ascii="Times New Roman" w:hAnsi="Times New Roman" w:cs="Times New Roman"/>
          <w:color w:val="000000" w:themeColor="text1"/>
          <w:lang w:val="en-US"/>
        </w:rPr>
        <w:t>the</w:t>
      </w:r>
      <w:r w:rsidR="00FB246E" w:rsidRPr="00F3546A">
        <w:rPr>
          <w:rFonts w:ascii="Times New Roman" w:hAnsi="Times New Roman" w:cs="Times New Roman"/>
          <w:color w:val="000000" w:themeColor="text1"/>
          <w:lang w:val="en-US"/>
        </w:rPr>
        <w:t xml:space="preserve"> </w:t>
      </w:r>
      <w:r w:rsidR="00A30A49" w:rsidRPr="00F3546A">
        <w:rPr>
          <w:rFonts w:ascii="Times New Roman" w:hAnsi="Times New Roman" w:cs="Times New Roman"/>
          <w:color w:val="000000" w:themeColor="text1"/>
          <w:lang w:val="en-US"/>
        </w:rPr>
        <w:t>concentration</w:t>
      </w:r>
      <w:r w:rsidR="00F3546A" w:rsidRPr="00F3546A">
        <w:rPr>
          <w:rFonts w:ascii="Times New Roman" w:hAnsi="Times New Roman" w:cs="Times New Roman"/>
          <w:color w:val="000000" w:themeColor="text1"/>
          <w:lang w:val="en-US"/>
        </w:rPr>
        <w:t>s</w:t>
      </w:r>
      <w:r w:rsidR="00A30A49" w:rsidRPr="00F3546A">
        <w:rPr>
          <w:rFonts w:ascii="Times New Roman" w:hAnsi="Times New Roman" w:cs="Times New Roman"/>
          <w:color w:val="000000" w:themeColor="text1"/>
          <w:lang w:val="en-US"/>
        </w:rPr>
        <w:t xml:space="preserve"> </w:t>
      </w:r>
      <w:r w:rsidR="00FB246E">
        <w:rPr>
          <w:rFonts w:ascii="Times New Roman" w:hAnsi="Times New Roman" w:cs="Times New Roman"/>
          <w:color w:val="000000" w:themeColor="text1"/>
          <w:lang w:val="en-US"/>
        </w:rPr>
        <w:t xml:space="preserve">of </w:t>
      </w:r>
      <w:r w:rsidR="006D026B">
        <w:rPr>
          <w:rFonts w:ascii="Times New Roman" w:hAnsi="Times New Roman" w:cs="Times New Roman"/>
          <w:color w:val="000000" w:themeColor="text1"/>
          <w:lang w:val="en-US"/>
        </w:rPr>
        <w:t>both</w:t>
      </w:r>
      <w:r w:rsidR="00FB246E">
        <w:rPr>
          <w:rFonts w:ascii="Times New Roman" w:hAnsi="Times New Roman" w:cs="Times New Roman"/>
          <w:color w:val="000000" w:themeColor="text1"/>
          <w:lang w:val="en-US"/>
        </w:rPr>
        <w:t xml:space="preserve"> elements </w:t>
      </w:r>
      <w:r w:rsidR="00A30A49" w:rsidRPr="00F3546A">
        <w:rPr>
          <w:rFonts w:ascii="Times New Roman" w:hAnsi="Times New Roman" w:cs="Times New Roman"/>
          <w:color w:val="000000" w:themeColor="text1"/>
          <w:lang w:val="en-US"/>
        </w:rPr>
        <w:t xml:space="preserve">remained in the same levels as in the </w:t>
      </w:r>
      <w:r w:rsidR="0083298F">
        <w:rPr>
          <w:rFonts w:ascii="Times New Roman" w:hAnsi="Times New Roman" w:cs="Times New Roman"/>
          <w:color w:val="000000" w:themeColor="text1"/>
          <w:lang w:val="en-US"/>
        </w:rPr>
        <w:t>control</w:t>
      </w:r>
      <w:r w:rsidR="00A30A49" w:rsidRPr="00F3546A">
        <w:rPr>
          <w:rFonts w:ascii="Times New Roman" w:hAnsi="Times New Roman" w:cs="Times New Roman"/>
          <w:color w:val="000000" w:themeColor="text1"/>
          <w:lang w:val="en-US"/>
        </w:rPr>
        <w:t xml:space="preserve"> soil</w:t>
      </w:r>
      <w:r w:rsidR="006728CC">
        <w:rPr>
          <w:rFonts w:ascii="Times New Roman" w:hAnsi="Times New Roman" w:cs="Times New Roman"/>
          <w:color w:val="000000" w:themeColor="text1"/>
          <w:lang w:val="en-US"/>
        </w:rPr>
        <w:t>,</w:t>
      </w:r>
      <w:r w:rsidR="00A30A49" w:rsidRPr="00F3546A">
        <w:rPr>
          <w:rFonts w:ascii="Times New Roman" w:hAnsi="Times New Roman" w:cs="Times New Roman"/>
          <w:color w:val="000000" w:themeColor="text1"/>
          <w:lang w:val="en-US"/>
        </w:rPr>
        <w:t xml:space="preserve"> and no differences were detected regarding the different mycorrhizal treatments</w:t>
      </w:r>
      <w:r w:rsidR="00FB246E">
        <w:rPr>
          <w:rFonts w:ascii="Times New Roman" w:hAnsi="Times New Roman" w:cs="Times New Roman"/>
          <w:color w:val="000000" w:themeColor="text1"/>
          <w:lang w:val="en-US"/>
        </w:rPr>
        <w:t xml:space="preserve">. </w:t>
      </w:r>
      <w:r w:rsidR="00EB13B5">
        <w:rPr>
          <w:rFonts w:ascii="Times New Roman" w:hAnsi="Times New Roman" w:cs="Times New Roman"/>
          <w:color w:val="000000" w:themeColor="text1"/>
          <w:lang w:val="en-US"/>
        </w:rPr>
        <w:t xml:space="preserve">Indeed, </w:t>
      </w:r>
      <w:r w:rsidR="00BE16D4">
        <w:rPr>
          <w:rFonts w:ascii="Times New Roman" w:hAnsi="Times New Roman" w:cs="Times New Roman"/>
          <w:color w:val="000000" w:themeColor="text1"/>
          <w:lang w:val="en-US"/>
        </w:rPr>
        <w:t>both nutrient concentration</w:t>
      </w:r>
      <w:r w:rsidR="00863F62">
        <w:rPr>
          <w:rFonts w:ascii="Times New Roman" w:hAnsi="Times New Roman" w:cs="Times New Roman"/>
          <w:color w:val="000000" w:themeColor="text1"/>
          <w:lang w:val="en-US"/>
        </w:rPr>
        <w:t>s</w:t>
      </w:r>
      <w:r w:rsidR="00BE16D4">
        <w:rPr>
          <w:rFonts w:ascii="Times New Roman" w:hAnsi="Times New Roman" w:cs="Times New Roman"/>
          <w:color w:val="000000" w:themeColor="text1"/>
          <w:lang w:val="en-US"/>
        </w:rPr>
        <w:t xml:space="preserve"> w</w:t>
      </w:r>
      <w:r w:rsidR="00863F62">
        <w:rPr>
          <w:rFonts w:ascii="Times New Roman" w:hAnsi="Times New Roman" w:cs="Times New Roman"/>
          <w:color w:val="000000" w:themeColor="text1"/>
          <w:lang w:val="en-US"/>
        </w:rPr>
        <w:t>ere</w:t>
      </w:r>
      <w:r w:rsidR="00BE16D4">
        <w:rPr>
          <w:rFonts w:ascii="Times New Roman" w:hAnsi="Times New Roman" w:cs="Times New Roman"/>
          <w:color w:val="000000" w:themeColor="text1"/>
          <w:lang w:val="en-US"/>
        </w:rPr>
        <w:t xml:space="preserve"> </w:t>
      </w:r>
      <w:r w:rsidR="00FB246E" w:rsidRPr="00F3546A">
        <w:rPr>
          <w:rFonts w:ascii="Times New Roman" w:hAnsi="Times New Roman" w:cs="Times New Roman"/>
          <w:color w:val="000000" w:themeColor="text1"/>
          <w:lang w:val="en-US"/>
        </w:rPr>
        <w:t>positively correlated (</w:t>
      </w:r>
      <w:r w:rsidR="00FB246E" w:rsidRPr="00F3546A">
        <w:rPr>
          <w:rFonts w:ascii="Times New Roman" w:hAnsi="Times New Roman" w:cs="Times New Roman"/>
          <w:bCs/>
          <w:color w:val="000000" w:themeColor="text1"/>
          <w:lang w:val="en-US"/>
        </w:rPr>
        <w:t>R</w:t>
      </w:r>
      <w:r w:rsidR="00FB246E" w:rsidRPr="00F3546A">
        <w:rPr>
          <w:rFonts w:ascii="Times New Roman" w:hAnsi="Times New Roman" w:cs="Times New Roman"/>
          <w:bCs/>
          <w:color w:val="000000" w:themeColor="text1"/>
          <w:vertAlign w:val="superscript"/>
          <w:lang w:val="en-US"/>
        </w:rPr>
        <w:t>2</w:t>
      </w:r>
      <w:r w:rsidR="00FB246E" w:rsidRPr="00F3546A">
        <w:rPr>
          <w:rFonts w:ascii="Times New Roman" w:hAnsi="Times New Roman" w:cs="Times New Roman"/>
          <w:bCs/>
          <w:color w:val="000000" w:themeColor="text1"/>
          <w:lang w:val="en-US"/>
        </w:rPr>
        <w:t>= 0.733 p&lt; 0.02)</w:t>
      </w:r>
      <w:r w:rsidR="00A30A49" w:rsidRPr="00F3546A">
        <w:rPr>
          <w:rFonts w:ascii="Times New Roman" w:hAnsi="Times New Roman" w:cs="Times New Roman"/>
          <w:color w:val="000000" w:themeColor="text1"/>
          <w:lang w:val="en-US"/>
        </w:rPr>
        <w:t>.</w:t>
      </w:r>
      <w:r w:rsidR="00A30A49" w:rsidRPr="00F3546A">
        <w:rPr>
          <w:rFonts w:ascii="Times New Roman" w:hAnsi="Times New Roman" w:cs="Times New Roman"/>
          <w:lang w:val="en-US"/>
        </w:rPr>
        <w:t xml:space="preserve"> </w:t>
      </w:r>
    </w:p>
    <w:p w14:paraId="5660FA20" w14:textId="5BCC7AD3" w:rsidR="009D54B7" w:rsidRPr="00F3546A" w:rsidRDefault="004513EE" w:rsidP="00DD1D56">
      <w:pPr>
        <w:spacing w:after="0" w:line="480" w:lineRule="auto"/>
        <w:jc w:val="both"/>
        <w:rPr>
          <w:rFonts w:ascii="Times New Roman" w:hAnsi="Times New Roman" w:cs="Times New Roman"/>
          <w:color w:val="000000" w:themeColor="text1"/>
          <w:lang w:val="en-US"/>
        </w:rPr>
      </w:pPr>
      <w:r w:rsidRPr="00F3546A">
        <w:rPr>
          <w:rFonts w:ascii="Times New Roman" w:hAnsi="Times New Roman" w:cs="Times New Roman"/>
          <w:color w:val="000000" w:themeColor="text1"/>
          <w:lang w:val="en-US"/>
        </w:rPr>
        <w:t xml:space="preserve">Iron root </w:t>
      </w:r>
      <w:r w:rsidR="009D54B7" w:rsidRPr="00F3546A">
        <w:rPr>
          <w:rFonts w:ascii="Times New Roman" w:hAnsi="Times New Roman" w:cs="Times New Roman"/>
          <w:color w:val="000000" w:themeColor="text1"/>
          <w:lang w:val="en-US"/>
        </w:rPr>
        <w:t>concentration</w:t>
      </w:r>
      <w:r w:rsidR="00A30A49" w:rsidRPr="00F3546A">
        <w:rPr>
          <w:rFonts w:ascii="Times New Roman" w:hAnsi="Times New Roman" w:cs="Times New Roman"/>
          <w:color w:val="000000" w:themeColor="text1"/>
          <w:lang w:val="en-US"/>
        </w:rPr>
        <w:t>s</w:t>
      </w:r>
      <w:r w:rsidR="009D54B7" w:rsidRPr="00F3546A">
        <w:rPr>
          <w:rFonts w:ascii="Times New Roman" w:hAnsi="Times New Roman" w:cs="Times New Roman"/>
          <w:color w:val="000000" w:themeColor="text1"/>
          <w:lang w:val="en-US"/>
        </w:rPr>
        <w:t xml:space="preserve"> presented a different pattern</w:t>
      </w:r>
      <w:r w:rsidR="009C688B">
        <w:rPr>
          <w:rFonts w:ascii="Times New Roman" w:hAnsi="Times New Roman" w:cs="Times New Roman"/>
          <w:color w:val="000000" w:themeColor="text1"/>
          <w:lang w:val="en-US"/>
        </w:rPr>
        <w:t>:</w:t>
      </w:r>
      <w:r w:rsidR="009D54B7" w:rsidRPr="00F3546A">
        <w:rPr>
          <w:rFonts w:ascii="Times New Roman" w:hAnsi="Times New Roman" w:cs="Times New Roman"/>
          <w:color w:val="000000" w:themeColor="text1"/>
          <w:lang w:val="en-US"/>
        </w:rPr>
        <w:t xml:space="preserve"> </w:t>
      </w:r>
      <w:r w:rsidR="009C688B">
        <w:rPr>
          <w:rFonts w:ascii="Times New Roman" w:hAnsi="Times New Roman" w:cs="Times New Roman"/>
          <w:color w:val="000000" w:themeColor="text1"/>
          <w:lang w:val="en-US"/>
        </w:rPr>
        <w:t>w</w:t>
      </w:r>
      <w:r w:rsidR="009D54B7" w:rsidRPr="00F3546A">
        <w:rPr>
          <w:rFonts w:ascii="Times New Roman" w:hAnsi="Times New Roman" w:cs="Times New Roman"/>
          <w:color w:val="000000" w:themeColor="text1"/>
          <w:lang w:val="en-US"/>
        </w:rPr>
        <w:t xml:space="preserve">hile non-inoculated plants were not affected by the soil treatment, </w:t>
      </w:r>
      <w:r w:rsidR="00A30A49" w:rsidRPr="00F3546A">
        <w:rPr>
          <w:rFonts w:ascii="Times New Roman" w:hAnsi="Times New Roman" w:cs="Times New Roman"/>
          <w:color w:val="000000" w:themeColor="text1"/>
          <w:lang w:val="en-US"/>
        </w:rPr>
        <w:t xml:space="preserve">in </w:t>
      </w:r>
      <w:r w:rsidR="00A30A49" w:rsidRPr="00F3546A">
        <w:rPr>
          <w:rFonts w:ascii="Times New Roman" w:hAnsi="Times New Roman" w:cs="Times New Roman"/>
          <w:i/>
          <w:iCs/>
          <w:color w:val="000000" w:themeColor="text1"/>
          <w:lang w:val="en-US"/>
        </w:rPr>
        <w:t>R. irregulare</w:t>
      </w:r>
      <w:r w:rsidR="00A30A49" w:rsidRPr="00F3546A">
        <w:rPr>
          <w:rFonts w:ascii="Times New Roman" w:hAnsi="Times New Roman" w:cs="Times New Roman"/>
          <w:color w:val="000000" w:themeColor="text1"/>
          <w:lang w:val="en-US"/>
        </w:rPr>
        <w:t xml:space="preserve"> and </w:t>
      </w:r>
      <w:r w:rsidR="00A30A49" w:rsidRPr="00F3546A">
        <w:rPr>
          <w:rFonts w:ascii="Times New Roman" w:hAnsi="Times New Roman" w:cs="Times New Roman"/>
          <w:i/>
          <w:iCs/>
          <w:color w:val="000000" w:themeColor="text1"/>
          <w:lang w:val="en-US"/>
        </w:rPr>
        <w:t>F. mosseae-</w:t>
      </w:r>
      <w:r w:rsidR="00A30A49" w:rsidRPr="00F3546A">
        <w:rPr>
          <w:rFonts w:ascii="Times New Roman" w:hAnsi="Times New Roman" w:cs="Times New Roman"/>
          <w:color w:val="000000" w:themeColor="text1"/>
          <w:lang w:val="en-US"/>
        </w:rPr>
        <w:t xml:space="preserve"> inoculated plants an increase </w:t>
      </w:r>
      <w:r w:rsidR="00D96FB8" w:rsidRPr="00F3546A">
        <w:rPr>
          <w:rFonts w:ascii="Times New Roman" w:hAnsi="Times New Roman" w:cs="Times New Roman"/>
          <w:color w:val="000000" w:themeColor="text1"/>
          <w:lang w:val="en-US"/>
        </w:rPr>
        <w:t xml:space="preserve">in root Fe concentration </w:t>
      </w:r>
      <w:r w:rsidR="00A30A49" w:rsidRPr="00F3546A">
        <w:rPr>
          <w:rFonts w:ascii="Times New Roman" w:hAnsi="Times New Roman" w:cs="Times New Roman"/>
          <w:color w:val="000000" w:themeColor="text1"/>
          <w:lang w:val="en-US"/>
        </w:rPr>
        <w:t>was detected</w:t>
      </w:r>
      <w:r w:rsidR="005B7A3F" w:rsidRPr="00F3546A">
        <w:rPr>
          <w:rFonts w:ascii="Times New Roman" w:hAnsi="Times New Roman" w:cs="Times New Roman"/>
          <w:color w:val="000000" w:themeColor="text1"/>
          <w:lang w:val="en-US"/>
        </w:rPr>
        <w:t xml:space="preserve"> </w:t>
      </w:r>
      <w:r w:rsidR="009D54B7" w:rsidRPr="00F3546A">
        <w:rPr>
          <w:rFonts w:ascii="Times New Roman" w:hAnsi="Times New Roman" w:cs="Times New Roman"/>
          <w:color w:val="000000" w:themeColor="text1"/>
          <w:lang w:val="en-US"/>
        </w:rPr>
        <w:t xml:space="preserve">when Cu was applied to the soil, with or without FeNaEDTA.  </w:t>
      </w:r>
    </w:p>
    <w:p w14:paraId="4EBCCDCA" w14:textId="7ABEC47A" w:rsidR="00F3546A" w:rsidRPr="00F3546A" w:rsidRDefault="009C688B" w:rsidP="00DD1D56">
      <w:pPr>
        <w:spacing w:after="0" w:line="480" w:lineRule="auto"/>
        <w:jc w:val="both"/>
        <w:rPr>
          <w:rFonts w:ascii="Times New Roman" w:hAnsi="Times New Roman" w:cs="Times New Roman"/>
          <w:lang w:val="en-US"/>
        </w:rPr>
      </w:pPr>
      <w:r>
        <w:rPr>
          <w:rFonts w:ascii="Times New Roman" w:hAnsi="Times New Roman" w:cs="Times New Roman"/>
          <w:lang w:val="en-US"/>
        </w:rPr>
        <w:t>When leaf nutrient concentration</w:t>
      </w:r>
      <w:r w:rsidR="002D63C3">
        <w:rPr>
          <w:rFonts w:ascii="Times New Roman" w:hAnsi="Times New Roman" w:cs="Times New Roman"/>
          <w:lang w:val="en-US"/>
        </w:rPr>
        <w:t>s</w:t>
      </w:r>
      <w:r>
        <w:rPr>
          <w:rFonts w:ascii="Times New Roman" w:hAnsi="Times New Roman" w:cs="Times New Roman"/>
          <w:lang w:val="en-US"/>
        </w:rPr>
        <w:t xml:space="preserve"> w</w:t>
      </w:r>
      <w:r w:rsidR="002D63C3">
        <w:rPr>
          <w:rFonts w:ascii="Times New Roman" w:hAnsi="Times New Roman" w:cs="Times New Roman"/>
          <w:lang w:val="en-US"/>
        </w:rPr>
        <w:t>ere</w:t>
      </w:r>
      <w:r>
        <w:rPr>
          <w:rFonts w:ascii="Times New Roman" w:hAnsi="Times New Roman" w:cs="Times New Roman"/>
          <w:lang w:val="en-US"/>
        </w:rPr>
        <w:t xml:space="preserve"> analyzed,  a significant effect of the </w:t>
      </w:r>
      <w:r w:rsidR="00F3546A" w:rsidRPr="00F3546A">
        <w:rPr>
          <w:rFonts w:ascii="Times New Roman" w:hAnsi="Times New Roman" w:cs="Times New Roman"/>
          <w:lang w:val="en-US"/>
        </w:rPr>
        <w:t xml:space="preserve"> </w:t>
      </w:r>
      <w:r w:rsidRPr="00F3546A">
        <w:rPr>
          <w:rFonts w:ascii="Times New Roman" w:hAnsi="Times New Roman" w:cs="Times New Roman"/>
          <w:lang w:val="en-US"/>
        </w:rPr>
        <w:t xml:space="preserve">mycorrhizal treatment </w:t>
      </w:r>
      <w:r>
        <w:rPr>
          <w:rFonts w:ascii="Times New Roman" w:hAnsi="Times New Roman" w:cs="Times New Roman"/>
          <w:lang w:val="en-US"/>
        </w:rPr>
        <w:t xml:space="preserve">was observed in </w:t>
      </w:r>
      <w:r w:rsidR="00F3546A" w:rsidRPr="00F3546A">
        <w:rPr>
          <w:rFonts w:ascii="Times New Roman" w:hAnsi="Times New Roman" w:cs="Times New Roman"/>
          <w:lang w:val="en-US"/>
        </w:rPr>
        <w:t xml:space="preserve">P concentrations (Table 3), being in general non-inoculated plants the ones with the highest and </w:t>
      </w:r>
      <w:r w:rsidR="00F3546A" w:rsidRPr="00F3546A">
        <w:rPr>
          <w:rFonts w:ascii="Times New Roman" w:hAnsi="Times New Roman" w:cs="Times New Roman"/>
          <w:i/>
          <w:iCs/>
          <w:lang w:val="en-US"/>
        </w:rPr>
        <w:t>R. irregulare</w:t>
      </w:r>
      <w:r w:rsidR="00F3546A" w:rsidRPr="00F3546A">
        <w:rPr>
          <w:rFonts w:ascii="Times New Roman" w:hAnsi="Times New Roman" w:cs="Times New Roman"/>
          <w:lang w:val="en-US"/>
        </w:rPr>
        <w:t xml:space="preserve">-inoculated plants the ones with the lowest values, especially in the soils where Cu and FeNaEDTA were applied together. Leaf N concentrations were not affected by the mycorrhizal treatment, but </w:t>
      </w:r>
      <w:r w:rsidR="00F3546A" w:rsidRPr="00F3546A">
        <w:rPr>
          <w:rFonts w:ascii="Times New Roman" w:hAnsi="Times New Roman" w:cs="Times New Roman"/>
          <w:color w:val="000000" w:themeColor="text1"/>
          <w:lang w:val="en-US"/>
        </w:rPr>
        <w:t xml:space="preserve">a significant positive correlation was found between this element concentrations and </w:t>
      </w:r>
      <w:r w:rsidR="00F3546A" w:rsidRPr="00F3546A">
        <w:rPr>
          <w:rFonts w:ascii="Times New Roman" w:hAnsi="Times New Roman" w:cs="Times New Roman"/>
          <w:color w:val="000000" w:themeColor="text1"/>
          <w:lang w:val="en-US"/>
        </w:rPr>
        <w:lastRenderedPageBreak/>
        <w:t>NDVI index (</w:t>
      </w:r>
      <w:r w:rsidR="00F3546A" w:rsidRPr="00F3546A">
        <w:rPr>
          <w:rFonts w:ascii="Times New Roman" w:hAnsi="Times New Roman" w:cs="Times New Roman"/>
          <w:bCs/>
          <w:color w:val="000000" w:themeColor="text1"/>
          <w:lang w:val="en-US"/>
        </w:rPr>
        <w:t>R</w:t>
      </w:r>
      <w:r w:rsidR="00F3546A" w:rsidRPr="00F3546A">
        <w:rPr>
          <w:rFonts w:ascii="Times New Roman" w:hAnsi="Times New Roman" w:cs="Times New Roman"/>
          <w:bCs/>
          <w:color w:val="000000" w:themeColor="text1"/>
          <w:vertAlign w:val="superscript"/>
          <w:lang w:val="en-US"/>
        </w:rPr>
        <w:t>2</w:t>
      </w:r>
      <w:r w:rsidR="00F3546A" w:rsidRPr="00F3546A">
        <w:rPr>
          <w:rFonts w:ascii="Times New Roman" w:hAnsi="Times New Roman" w:cs="Times New Roman"/>
          <w:bCs/>
          <w:color w:val="000000" w:themeColor="text1"/>
          <w:lang w:val="en-US"/>
        </w:rPr>
        <w:t xml:space="preserve">= 0.439 p= 0.02) (Supplementary Figure 1). </w:t>
      </w:r>
      <w:r w:rsidR="00F3546A" w:rsidRPr="00F3546A">
        <w:rPr>
          <w:rFonts w:ascii="Times New Roman" w:hAnsi="Times New Roman" w:cs="Times New Roman"/>
          <w:lang w:val="en-US"/>
        </w:rPr>
        <w:t xml:space="preserve">On the contrary, K concentrations were not affected by the mycorrhizal treatment factor and responded only to the soil treatment. An average increase of 36.9% was detected on this macronutrient concentration in grapevine leaves when Cu and FeNaEDTA were applied together, in comparison to the </w:t>
      </w:r>
      <w:r w:rsidR="0083298F">
        <w:rPr>
          <w:rFonts w:ascii="Times New Roman" w:hAnsi="Times New Roman" w:cs="Times New Roman"/>
          <w:lang w:val="en-US"/>
        </w:rPr>
        <w:t>control</w:t>
      </w:r>
      <w:r w:rsidR="00F3546A" w:rsidRPr="00F3546A">
        <w:rPr>
          <w:rFonts w:ascii="Times New Roman" w:hAnsi="Times New Roman" w:cs="Times New Roman"/>
          <w:lang w:val="en-US"/>
        </w:rPr>
        <w:t xml:space="preserve"> soil (Table 3A). </w:t>
      </w:r>
    </w:p>
    <w:p w14:paraId="79689F2D" w14:textId="69A0EE01" w:rsidR="00256FDF" w:rsidRPr="00C45124" w:rsidRDefault="00F3546A" w:rsidP="00256FDF">
      <w:pPr>
        <w:autoSpaceDE w:val="0"/>
        <w:autoSpaceDN w:val="0"/>
        <w:adjustRightInd w:val="0"/>
        <w:spacing w:after="0" w:line="480" w:lineRule="auto"/>
        <w:jc w:val="both"/>
        <w:rPr>
          <w:rFonts w:ascii="Times New Roman" w:hAnsi="Times New Roman" w:cs="Times New Roman"/>
          <w:color w:val="000000" w:themeColor="text1"/>
          <w:lang w:val="en-US"/>
        </w:rPr>
      </w:pPr>
      <w:r w:rsidRPr="00C45124">
        <w:rPr>
          <w:rFonts w:ascii="Times New Roman" w:hAnsi="Times New Roman" w:cs="Times New Roman"/>
          <w:lang w:val="en-US"/>
        </w:rPr>
        <w:t>A</w:t>
      </w:r>
      <w:r w:rsidR="007B465D" w:rsidRPr="00C45124">
        <w:rPr>
          <w:rFonts w:ascii="Times New Roman" w:hAnsi="Times New Roman" w:cs="Times New Roman"/>
          <w:lang w:val="en-US"/>
        </w:rPr>
        <w:t>ll the analyzed micronutrients were affected by the soil treatment</w:t>
      </w:r>
      <w:r w:rsidR="005E11E2" w:rsidRPr="00C45124">
        <w:rPr>
          <w:rFonts w:ascii="Times New Roman" w:hAnsi="Times New Roman" w:cs="Times New Roman"/>
          <w:lang w:val="en-US"/>
        </w:rPr>
        <w:t xml:space="preserve"> (Table 3A and B)</w:t>
      </w:r>
      <w:r w:rsidR="007B465D" w:rsidRPr="00C45124">
        <w:rPr>
          <w:rFonts w:ascii="Times New Roman" w:hAnsi="Times New Roman" w:cs="Times New Roman"/>
          <w:lang w:val="en-US"/>
        </w:rPr>
        <w:t>. Application of</w:t>
      </w:r>
      <w:r w:rsidR="00466604" w:rsidRPr="00C45124">
        <w:rPr>
          <w:rFonts w:ascii="Times New Roman" w:hAnsi="Times New Roman" w:cs="Times New Roman"/>
          <w:lang w:val="en-US"/>
        </w:rPr>
        <w:t xml:space="preserve"> </w:t>
      </w:r>
      <w:r w:rsidR="007B465D" w:rsidRPr="00C45124">
        <w:rPr>
          <w:rFonts w:ascii="Times New Roman" w:hAnsi="Times New Roman" w:cs="Times New Roman"/>
          <w:lang w:val="en-US"/>
        </w:rPr>
        <w:t xml:space="preserve">Cu to the soil </w:t>
      </w:r>
      <w:r w:rsidR="00304C9C">
        <w:rPr>
          <w:rFonts w:ascii="Times New Roman" w:hAnsi="Times New Roman" w:cs="Times New Roman"/>
          <w:lang w:val="en-US"/>
        </w:rPr>
        <w:t xml:space="preserve">(without FeNaEDTA) </w:t>
      </w:r>
      <w:r w:rsidR="007B465D" w:rsidRPr="00C45124">
        <w:rPr>
          <w:rFonts w:ascii="Times New Roman" w:hAnsi="Times New Roman" w:cs="Times New Roman"/>
          <w:lang w:val="en-US"/>
        </w:rPr>
        <w:t>did not lead to significant overall changes on leaf Cu Zn, Mn and Fe concentrations</w:t>
      </w:r>
      <w:r w:rsidR="00A6072E" w:rsidRPr="00C45124">
        <w:rPr>
          <w:rFonts w:ascii="Times New Roman" w:hAnsi="Times New Roman" w:cs="Times New Roman"/>
          <w:lang w:val="en-US"/>
        </w:rPr>
        <w:t>,</w:t>
      </w:r>
      <w:r w:rsidR="007B465D" w:rsidRPr="00C45124">
        <w:rPr>
          <w:rFonts w:ascii="Times New Roman" w:hAnsi="Times New Roman" w:cs="Times New Roman"/>
          <w:lang w:val="en-US"/>
        </w:rPr>
        <w:t xml:space="preserve"> </w:t>
      </w:r>
      <w:r w:rsidR="00A6072E" w:rsidRPr="00C45124">
        <w:rPr>
          <w:rFonts w:ascii="Times New Roman" w:hAnsi="Times New Roman" w:cs="Times New Roman"/>
          <w:lang w:val="en-US"/>
        </w:rPr>
        <w:t>but</w:t>
      </w:r>
      <w:r w:rsidR="007B465D" w:rsidRPr="00C45124">
        <w:rPr>
          <w:rFonts w:ascii="Times New Roman" w:hAnsi="Times New Roman" w:cs="Times New Roman"/>
          <w:lang w:val="en-US"/>
        </w:rPr>
        <w:t xml:space="preserve"> when Cu </w:t>
      </w:r>
      <w:r w:rsidR="00FC552A">
        <w:rPr>
          <w:rFonts w:ascii="Times New Roman" w:hAnsi="Times New Roman" w:cs="Times New Roman"/>
          <w:lang w:val="en-US"/>
        </w:rPr>
        <w:t xml:space="preserve">and </w:t>
      </w:r>
      <w:r w:rsidR="00FC552A" w:rsidRPr="00C45124">
        <w:rPr>
          <w:rFonts w:ascii="Times New Roman" w:hAnsi="Times New Roman" w:cs="Times New Roman"/>
          <w:lang w:val="en-US"/>
        </w:rPr>
        <w:t>FeNaEDTA w</w:t>
      </w:r>
      <w:r w:rsidR="00FC552A">
        <w:rPr>
          <w:rFonts w:ascii="Times New Roman" w:hAnsi="Times New Roman" w:cs="Times New Roman"/>
          <w:lang w:val="en-US"/>
        </w:rPr>
        <w:t>ere</w:t>
      </w:r>
      <w:r w:rsidR="00FC552A" w:rsidRPr="00C45124">
        <w:rPr>
          <w:rFonts w:ascii="Times New Roman" w:hAnsi="Times New Roman" w:cs="Times New Roman"/>
          <w:lang w:val="en-US"/>
        </w:rPr>
        <w:t xml:space="preserve"> </w:t>
      </w:r>
      <w:r w:rsidR="007B465D" w:rsidRPr="00C45124">
        <w:rPr>
          <w:rFonts w:ascii="Times New Roman" w:hAnsi="Times New Roman" w:cs="Times New Roman"/>
          <w:lang w:val="en-US"/>
        </w:rPr>
        <w:t xml:space="preserve">applied together, an increase in Cu, Zn and Fe, and a decrease in </w:t>
      </w:r>
      <w:r w:rsidR="001879AA" w:rsidRPr="00C45124">
        <w:rPr>
          <w:rFonts w:ascii="Times New Roman" w:hAnsi="Times New Roman" w:cs="Times New Roman"/>
          <w:lang w:val="en-US"/>
        </w:rPr>
        <w:t>Mn</w:t>
      </w:r>
      <w:r w:rsidR="007B465D" w:rsidRPr="00C45124">
        <w:rPr>
          <w:rFonts w:ascii="Times New Roman" w:hAnsi="Times New Roman" w:cs="Times New Roman"/>
          <w:lang w:val="en-US"/>
        </w:rPr>
        <w:t xml:space="preserve"> concentrations were </w:t>
      </w:r>
      <w:r w:rsidRPr="00C45124">
        <w:rPr>
          <w:rFonts w:ascii="Times New Roman" w:hAnsi="Times New Roman" w:cs="Times New Roman"/>
          <w:lang w:val="en-US"/>
        </w:rPr>
        <w:t>found</w:t>
      </w:r>
      <w:r w:rsidR="004E7188" w:rsidRPr="00C45124">
        <w:rPr>
          <w:rFonts w:ascii="Times New Roman" w:hAnsi="Times New Roman" w:cs="Times New Roman"/>
          <w:lang w:val="en-US"/>
        </w:rPr>
        <w:t xml:space="preserve"> (Table 3B)</w:t>
      </w:r>
      <w:r w:rsidR="007B465D" w:rsidRPr="00C45124">
        <w:rPr>
          <w:rFonts w:ascii="Times New Roman" w:hAnsi="Times New Roman" w:cs="Times New Roman"/>
          <w:lang w:val="en-US"/>
        </w:rPr>
        <w:t xml:space="preserve">. </w:t>
      </w:r>
      <w:r w:rsidR="00256FDF">
        <w:rPr>
          <w:rFonts w:ascii="Times New Roman" w:hAnsi="Times New Roman" w:cs="Times New Roman"/>
          <w:lang w:val="en-US"/>
        </w:rPr>
        <w:t xml:space="preserve">In fact, </w:t>
      </w:r>
      <w:r w:rsidR="00256FDF">
        <w:rPr>
          <w:rFonts w:ascii="Times New Roman" w:hAnsi="Times New Roman" w:cs="Times New Roman"/>
          <w:color w:val="000000" w:themeColor="text1"/>
          <w:lang w:val="en-US"/>
        </w:rPr>
        <w:t>a</w:t>
      </w:r>
      <w:r w:rsidR="00256FDF" w:rsidRPr="00C45124">
        <w:rPr>
          <w:rFonts w:ascii="Times New Roman" w:hAnsi="Times New Roman" w:cs="Times New Roman"/>
          <w:color w:val="000000" w:themeColor="text1"/>
          <w:lang w:val="en-US"/>
        </w:rPr>
        <w:t xml:space="preserve"> significant </w:t>
      </w:r>
      <w:r w:rsidR="00256FDF" w:rsidRPr="00C45124">
        <w:rPr>
          <w:rFonts w:ascii="Times New Roman" w:hAnsi="Times New Roman" w:cs="Times New Roman"/>
          <w:bCs/>
          <w:color w:val="000000" w:themeColor="text1"/>
          <w:lang w:val="en-US"/>
        </w:rPr>
        <w:t xml:space="preserve">positive correlation </w:t>
      </w:r>
      <w:r w:rsidR="00256FDF">
        <w:rPr>
          <w:rFonts w:ascii="Times New Roman" w:hAnsi="Times New Roman" w:cs="Times New Roman"/>
          <w:bCs/>
          <w:color w:val="000000" w:themeColor="text1"/>
          <w:lang w:val="en-US"/>
        </w:rPr>
        <w:t xml:space="preserve">was detected </w:t>
      </w:r>
      <w:r w:rsidR="00256FDF" w:rsidRPr="00C45124">
        <w:rPr>
          <w:rFonts w:ascii="Times New Roman" w:hAnsi="Times New Roman" w:cs="Times New Roman"/>
          <w:bCs/>
          <w:color w:val="000000" w:themeColor="text1"/>
          <w:lang w:val="en-US"/>
        </w:rPr>
        <w:t xml:space="preserve">between </w:t>
      </w:r>
      <w:r w:rsidR="00256FDF" w:rsidRPr="00C45124">
        <w:rPr>
          <w:rFonts w:ascii="Times New Roman" w:hAnsi="Times New Roman" w:cs="Times New Roman"/>
          <w:color w:val="000000" w:themeColor="text1"/>
          <w:lang w:val="en-US"/>
        </w:rPr>
        <w:t>Cu and Zn in leaves</w:t>
      </w:r>
      <w:r w:rsidR="00256FDF" w:rsidRPr="00C45124">
        <w:rPr>
          <w:rFonts w:ascii="Times New Roman" w:hAnsi="Times New Roman" w:cs="Times New Roman"/>
          <w:bCs/>
          <w:color w:val="000000" w:themeColor="text1"/>
          <w:lang w:val="en-US"/>
        </w:rPr>
        <w:t xml:space="preserve"> (R</w:t>
      </w:r>
      <w:r w:rsidR="00256FDF" w:rsidRPr="00C45124">
        <w:rPr>
          <w:rFonts w:ascii="Times New Roman" w:hAnsi="Times New Roman" w:cs="Times New Roman"/>
          <w:bCs/>
          <w:color w:val="000000" w:themeColor="text1"/>
          <w:vertAlign w:val="superscript"/>
          <w:lang w:val="en-US"/>
        </w:rPr>
        <w:t>2</w:t>
      </w:r>
      <w:r w:rsidR="00256FDF" w:rsidRPr="00C45124">
        <w:rPr>
          <w:rFonts w:ascii="Times New Roman" w:hAnsi="Times New Roman" w:cs="Times New Roman"/>
          <w:bCs/>
          <w:color w:val="000000" w:themeColor="text1"/>
          <w:lang w:val="en-US"/>
        </w:rPr>
        <w:t xml:space="preserve">= 0.616 p &lt; 0.01) and between </w:t>
      </w:r>
      <w:r w:rsidR="00256FDF" w:rsidRPr="00C45124">
        <w:rPr>
          <w:rFonts w:ascii="Times New Roman" w:hAnsi="Times New Roman" w:cs="Times New Roman"/>
          <w:color w:val="000000" w:themeColor="text1"/>
          <w:lang w:val="en-US"/>
        </w:rPr>
        <w:t>Cu and Fe (</w:t>
      </w:r>
      <w:r w:rsidR="00256FDF" w:rsidRPr="00C45124">
        <w:rPr>
          <w:rFonts w:ascii="Times New Roman" w:hAnsi="Times New Roman" w:cs="Times New Roman"/>
          <w:bCs/>
          <w:color w:val="000000" w:themeColor="text1"/>
          <w:lang w:val="en-US"/>
        </w:rPr>
        <w:t>R</w:t>
      </w:r>
      <w:r w:rsidR="00256FDF" w:rsidRPr="00C45124">
        <w:rPr>
          <w:rFonts w:ascii="Times New Roman" w:hAnsi="Times New Roman" w:cs="Times New Roman"/>
          <w:bCs/>
          <w:color w:val="000000" w:themeColor="text1"/>
          <w:vertAlign w:val="superscript"/>
          <w:lang w:val="en-US"/>
        </w:rPr>
        <w:t>2</w:t>
      </w:r>
      <w:r w:rsidR="00256FDF" w:rsidRPr="00C45124">
        <w:rPr>
          <w:rFonts w:ascii="Times New Roman" w:hAnsi="Times New Roman" w:cs="Times New Roman"/>
          <w:bCs/>
          <w:color w:val="000000" w:themeColor="text1"/>
          <w:lang w:val="en-US"/>
        </w:rPr>
        <w:t>=0.405 p=0.03)</w:t>
      </w:r>
      <w:r w:rsidR="00387478">
        <w:rPr>
          <w:rFonts w:ascii="Times New Roman" w:hAnsi="Times New Roman" w:cs="Times New Roman"/>
          <w:bCs/>
          <w:color w:val="000000" w:themeColor="text1"/>
          <w:lang w:val="en-US"/>
        </w:rPr>
        <w:t xml:space="preserve">, and a </w:t>
      </w:r>
      <w:r w:rsidR="00256FDF" w:rsidRPr="00C45124">
        <w:rPr>
          <w:rFonts w:ascii="Times New Roman" w:hAnsi="Times New Roman" w:cs="Times New Roman"/>
          <w:color w:val="000000" w:themeColor="text1"/>
          <w:lang w:val="en-US"/>
        </w:rPr>
        <w:t>negative correlation between Cu and Mn (</w:t>
      </w:r>
      <w:r w:rsidR="00256FDF" w:rsidRPr="00C45124">
        <w:rPr>
          <w:rFonts w:ascii="Times New Roman" w:hAnsi="Times New Roman" w:cs="Times New Roman"/>
          <w:bCs/>
          <w:color w:val="000000" w:themeColor="text1"/>
          <w:lang w:val="en-US"/>
        </w:rPr>
        <w:t>R</w:t>
      </w:r>
      <w:r w:rsidR="00256FDF" w:rsidRPr="00C45124">
        <w:rPr>
          <w:rFonts w:ascii="Times New Roman" w:hAnsi="Times New Roman" w:cs="Times New Roman"/>
          <w:bCs/>
          <w:color w:val="000000" w:themeColor="text1"/>
          <w:vertAlign w:val="superscript"/>
          <w:lang w:val="en-US"/>
        </w:rPr>
        <w:t>2</w:t>
      </w:r>
      <w:r w:rsidR="00256FDF" w:rsidRPr="00C45124">
        <w:rPr>
          <w:rFonts w:ascii="Times New Roman" w:hAnsi="Times New Roman" w:cs="Times New Roman"/>
          <w:bCs/>
          <w:color w:val="000000" w:themeColor="text1"/>
          <w:lang w:val="en-US"/>
        </w:rPr>
        <w:t>= -0.471 p= 0.01) and between Mn and Fe (R</w:t>
      </w:r>
      <w:r w:rsidR="00256FDF" w:rsidRPr="00C45124">
        <w:rPr>
          <w:rFonts w:ascii="Times New Roman" w:hAnsi="Times New Roman" w:cs="Times New Roman"/>
          <w:bCs/>
          <w:color w:val="000000" w:themeColor="text1"/>
          <w:vertAlign w:val="superscript"/>
          <w:lang w:val="en-US"/>
        </w:rPr>
        <w:t>2</w:t>
      </w:r>
      <w:r w:rsidR="00256FDF" w:rsidRPr="00C45124">
        <w:rPr>
          <w:rFonts w:ascii="Times New Roman" w:hAnsi="Times New Roman" w:cs="Times New Roman"/>
          <w:bCs/>
          <w:color w:val="000000" w:themeColor="text1"/>
          <w:lang w:val="en-US"/>
        </w:rPr>
        <w:t xml:space="preserve">= -0.481 p &lt; 0.01), </w:t>
      </w:r>
    </w:p>
    <w:p w14:paraId="074603AE" w14:textId="42EF86B7" w:rsidR="007B465D" w:rsidRPr="00C45124" w:rsidRDefault="007B465D" w:rsidP="00DD1D56">
      <w:pPr>
        <w:spacing w:after="0" w:line="480" w:lineRule="auto"/>
        <w:jc w:val="both"/>
        <w:rPr>
          <w:rFonts w:ascii="Times New Roman" w:hAnsi="Times New Roman" w:cs="Times New Roman"/>
          <w:lang w:val="en-US"/>
        </w:rPr>
      </w:pPr>
      <w:r w:rsidRPr="00C45124">
        <w:rPr>
          <w:rFonts w:ascii="Times New Roman" w:hAnsi="Times New Roman" w:cs="Times New Roman"/>
          <w:lang w:val="en-US"/>
        </w:rPr>
        <w:t xml:space="preserve">The increase in Cu was especially high in non-inoculated and </w:t>
      </w:r>
      <w:r w:rsidRPr="00C45124">
        <w:rPr>
          <w:rFonts w:ascii="Times New Roman" w:hAnsi="Times New Roman" w:cs="Times New Roman"/>
          <w:i/>
          <w:iCs/>
          <w:lang w:val="en-US"/>
        </w:rPr>
        <w:t>R. irregulare</w:t>
      </w:r>
      <w:r w:rsidRPr="00C45124">
        <w:rPr>
          <w:rFonts w:ascii="Times New Roman" w:hAnsi="Times New Roman" w:cs="Times New Roman"/>
          <w:lang w:val="en-US"/>
        </w:rPr>
        <w:t>- inoculated plants: 3.3</w:t>
      </w:r>
      <w:r w:rsidR="00882C7C" w:rsidRPr="00C45124">
        <w:rPr>
          <w:rFonts w:ascii="Times New Roman" w:hAnsi="Times New Roman" w:cs="Times New Roman"/>
          <w:lang w:val="en-US"/>
        </w:rPr>
        <w:t>-</w:t>
      </w:r>
      <w:r w:rsidRPr="00C45124">
        <w:rPr>
          <w:rFonts w:ascii="Times New Roman" w:hAnsi="Times New Roman" w:cs="Times New Roman"/>
          <w:lang w:val="en-US"/>
        </w:rPr>
        <w:t xml:space="preserve"> and 3.7</w:t>
      </w:r>
      <w:r w:rsidR="001879AA" w:rsidRPr="00C45124">
        <w:rPr>
          <w:rFonts w:ascii="Times New Roman" w:hAnsi="Times New Roman" w:cs="Times New Roman"/>
          <w:lang w:val="en-US"/>
        </w:rPr>
        <w:t>-</w:t>
      </w:r>
      <w:r w:rsidRPr="00C45124">
        <w:rPr>
          <w:rFonts w:ascii="Times New Roman" w:hAnsi="Times New Roman" w:cs="Times New Roman"/>
          <w:lang w:val="en-US"/>
        </w:rPr>
        <w:t xml:space="preserve">fold increase, respectively, </w:t>
      </w:r>
      <w:r w:rsidR="001879AA" w:rsidRPr="00C45124">
        <w:rPr>
          <w:rFonts w:ascii="Times New Roman" w:hAnsi="Times New Roman" w:cs="Times New Roman"/>
          <w:lang w:val="en-US"/>
        </w:rPr>
        <w:t>compared to</w:t>
      </w:r>
      <w:r w:rsidRPr="00C45124">
        <w:rPr>
          <w:rFonts w:ascii="Times New Roman" w:hAnsi="Times New Roman" w:cs="Times New Roman"/>
          <w:lang w:val="en-US"/>
        </w:rPr>
        <w:t xml:space="preserve"> a </w:t>
      </w:r>
      <w:r w:rsidR="001879AA" w:rsidRPr="00C45124">
        <w:rPr>
          <w:rFonts w:ascii="Times New Roman" w:hAnsi="Times New Roman" w:cs="Times New Roman"/>
          <w:lang w:val="en-US"/>
        </w:rPr>
        <w:t xml:space="preserve">1.7-fold </w:t>
      </w:r>
      <w:r w:rsidRPr="00C45124">
        <w:rPr>
          <w:rFonts w:ascii="Times New Roman" w:hAnsi="Times New Roman" w:cs="Times New Roman"/>
          <w:lang w:val="en-US"/>
        </w:rPr>
        <w:t xml:space="preserve">increase in </w:t>
      </w:r>
      <w:r w:rsidRPr="00C45124">
        <w:rPr>
          <w:rFonts w:ascii="Times New Roman" w:hAnsi="Times New Roman" w:cs="Times New Roman"/>
          <w:i/>
          <w:iCs/>
          <w:lang w:val="en-US"/>
        </w:rPr>
        <w:t>F. mosseae</w:t>
      </w:r>
      <w:r w:rsidRPr="00C45124">
        <w:rPr>
          <w:rFonts w:ascii="Times New Roman" w:hAnsi="Times New Roman" w:cs="Times New Roman"/>
          <w:lang w:val="en-US"/>
        </w:rPr>
        <w:t xml:space="preserve"> inoculated plants. Contrastingly, the </w:t>
      </w:r>
      <w:r w:rsidR="00882C7C" w:rsidRPr="00C45124">
        <w:rPr>
          <w:rFonts w:ascii="Times New Roman" w:hAnsi="Times New Roman" w:cs="Times New Roman"/>
          <w:lang w:val="en-US"/>
        </w:rPr>
        <w:t xml:space="preserve">observed </w:t>
      </w:r>
      <w:r w:rsidRPr="00C45124">
        <w:rPr>
          <w:rFonts w:ascii="Times New Roman" w:hAnsi="Times New Roman" w:cs="Times New Roman"/>
          <w:lang w:val="en-US"/>
        </w:rPr>
        <w:t>decrease in Mn leaf concentration</w:t>
      </w:r>
      <w:r w:rsidR="00436194">
        <w:rPr>
          <w:rFonts w:ascii="Times New Roman" w:hAnsi="Times New Roman" w:cs="Times New Roman"/>
          <w:lang w:val="en-US"/>
        </w:rPr>
        <w:t>s</w:t>
      </w:r>
      <w:r w:rsidRPr="00C45124">
        <w:rPr>
          <w:rFonts w:ascii="Times New Roman" w:hAnsi="Times New Roman" w:cs="Times New Roman"/>
          <w:lang w:val="en-US"/>
        </w:rPr>
        <w:t xml:space="preserve"> </w:t>
      </w:r>
      <w:r w:rsidR="001879AA" w:rsidRPr="00C45124">
        <w:rPr>
          <w:rFonts w:ascii="Times New Roman" w:hAnsi="Times New Roman" w:cs="Times New Roman"/>
          <w:lang w:val="en-US"/>
        </w:rPr>
        <w:t xml:space="preserve">when Cu and FeNaEDTA were applied </w:t>
      </w:r>
      <w:r w:rsidRPr="00C45124">
        <w:rPr>
          <w:rFonts w:ascii="Times New Roman" w:hAnsi="Times New Roman" w:cs="Times New Roman"/>
          <w:lang w:val="en-US"/>
        </w:rPr>
        <w:t xml:space="preserve">was specially marked in </w:t>
      </w:r>
      <w:r w:rsidRPr="00C45124">
        <w:rPr>
          <w:rFonts w:ascii="Times New Roman" w:hAnsi="Times New Roman" w:cs="Times New Roman"/>
          <w:i/>
          <w:iCs/>
          <w:lang w:val="en-US"/>
        </w:rPr>
        <w:t>F. mosseae</w:t>
      </w:r>
      <w:r w:rsidRPr="00C45124">
        <w:rPr>
          <w:rFonts w:ascii="Times New Roman" w:hAnsi="Times New Roman" w:cs="Times New Roman"/>
          <w:lang w:val="en-US"/>
        </w:rPr>
        <w:t xml:space="preserve">-inoculated plants (52.9% decrease versus 31.3 and 32.9% decrease in non-inoculated and </w:t>
      </w:r>
      <w:r w:rsidRPr="00C45124">
        <w:rPr>
          <w:rFonts w:ascii="Times New Roman" w:hAnsi="Times New Roman" w:cs="Times New Roman"/>
          <w:i/>
          <w:iCs/>
          <w:lang w:val="en-US"/>
        </w:rPr>
        <w:t>R. irregulare</w:t>
      </w:r>
      <w:r w:rsidRPr="00C45124">
        <w:rPr>
          <w:rFonts w:ascii="Times New Roman" w:hAnsi="Times New Roman" w:cs="Times New Roman"/>
          <w:lang w:val="en-US"/>
        </w:rPr>
        <w:t>-inoculated plants).</w:t>
      </w:r>
    </w:p>
    <w:p w14:paraId="6CA252BF" w14:textId="5DD7796C" w:rsidR="004E7188" w:rsidRPr="00C45124" w:rsidRDefault="007B465D" w:rsidP="00CF5D83">
      <w:pPr>
        <w:spacing w:after="0" w:line="480" w:lineRule="auto"/>
        <w:jc w:val="both"/>
        <w:rPr>
          <w:rFonts w:ascii="Times New Roman" w:hAnsi="Times New Roman" w:cs="Times New Roman"/>
          <w:color w:val="000000" w:themeColor="text1"/>
          <w:lang w:val="en-US"/>
        </w:rPr>
      </w:pPr>
      <w:r w:rsidRPr="00C45124">
        <w:rPr>
          <w:rFonts w:ascii="Times New Roman" w:hAnsi="Times New Roman" w:cs="Times New Roman"/>
          <w:lang w:val="en-US"/>
        </w:rPr>
        <w:t>Z</w:t>
      </w:r>
      <w:r w:rsidR="00061788" w:rsidRPr="00C45124">
        <w:rPr>
          <w:rFonts w:ascii="Times New Roman" w:hAnsi="Times New Roman" w:cs="Times New Roman"/>
          <w:lang w:val="en-US"/>
        </w:rPr>
        <w:t>inc</w:t>
      </w:r>
      <w:r w:rsidRPr="00C45124">
        <w:rPr>
          <w:rFonts w:ascii="Times New Roman" w:hAnsi="Times New Roman" w:cs="Times New Roman"/>
          <w:lang w:val="en-US"/>
        </w:rPr>
        <w:t xml:space="preserve"> concentrations </w:t>
      </w:r>
      <w:r w:rsidR="00061788" w:rsidRPr="00C45124">
        <w:rPr>
          <w:rFonts w:ascii="Times New Roman" w:hAnsi="Times New Roman" w:cs="Times New Roman"/>
          <w:lang w:val="en-US"/>
        </w:rPr>
        <w:t>in lea</w:t>
      </w:r>
      <w:r w:rsidR="00B9766A" w:rsidRPr="00C45124">
        <w:rPr>
          <w:rFonts w:ascii="Times New Roman" w:hAnsi="Times New Roman" w:cs="Times New Roman"/>
          <w:lang w:val="en-US"/>
        </w:rPr>
        <w:t>ves</w:t>
      </w:r>
      <w:r w:rsidR="00061788" w:rsidRPr="00C45124">
        <w:rPr>
          <w:rFonts w:ascii="Times New Roman" w:hAnsi="Times New Roman" w:cs="Times New Roman"/>
          <w:lang w:val="en-US"/>
        </w:rPr>
        <w:t xml:space="preserve"> </w:t>
      </w:r>
      <w:r w:rsidRPr="00C45124">
        <w:rPr>
          <w:rFonts w:ascii="Times New Roman" w:hAnsi="Times New Roman" w:cs="Times New Roman"/>
          <w:lang w:val="en-US"/>
        </w:rPr>
        <w:t xml:space="preserve">were not affected by the mycorrhizal inoculation treatment, and leaf Fe concentration only differed among inoculation treatments in the </w:t>
      </w:r>
      <w:r w:rsidR="0083298F">
        <w:rPr>
          <w:rFonts w:ascii="Times New Roman" w:hAnsi="Times New Roman" w:cs="Times New Roman"/>
          <w:lang w:val="en-US"/>
        </w:rPr>
        <w:t>control</w:t>
      </w:r>
      <w:r w:rsidRPr="00C45124">
        <w:rPr>
          <w:rFonts w:ascii="Times New Roman" w:hAnsi="Times New Roman" w:cs="Times New Roman"/>
          <w:lang w:val="en-US"/>
        </w:rPr>
        <w:t xml:space="preserve"> soil, where </w:t>
      </w:r>
      <w:r w:rsidRPr="00C45124">
        <w:rPr>
          <w:rFonts w:ascii="Times New Roman" w:hAnsi="Times New Roman" w:cs="Times New Roman"/>
          <w:i/>
          <w:iCs/>
          <w:lang w:val="en-US"/>
        </w:rPr>
        <w:t>R. irregulare</w:t>
      </w:r>
      <w:r w:rsidRPr="00C45124">
        <w:rPr>
          <w:rFonts w:ascii="Times New Roman" w:hAnsi="Times New Roman" w:cs="Times New Roman"/>
          <w:lang w:val="en-US"/>
        </w:rPr>
        <w:t>-inoculated plants presented significantly higher Fe concentrations than the other two inoculation treatments.</w:t>
      </w:r>
    </w:p>
    <w:p w14:paraId="33EAF449" w14:textId="2845D095" w:rsidR="001F3713" w:rsidRPr="00D8767A" w:rsidRDefault="00295175" w:rsidP="00D8767A">
      <w:pPr>
        <w:spacing w:after="0" w:line="480" w:lineRule="auto"/>
        <w:jc w:val="both"/>
        <w:rPr>
          <w:rFonts w:ascii="Times New Roman" w:hAnsi="Times New Roman" w:cs="Times New Roman"/>
          <w:b/>
          <w:lang w:val="en-US"/>
        </w:rPr>
      </w:pPr>
      <w:bookmarkStart w:id="20" w:name="_Hlk68717898"/>
      <w:bookmarkEnd w:id="11"/>
      <w:r w:rsidRPr="00D8767A">
        <w:rPr>
          <w:rFonts w:ascii="Times New Roman" w:hAnsi="Times New Roman" w:cs="Times New Roman"/>
          <w:b/>
          <w:lang w:val="en-US"/>
        </w:rPr>
        <w:t>D</w:t>
      </w:r>
      <w:r w:rsidR="004E0C7F" w:rsidRPr="00D8767A">
        <w:rPr>
          <w:rFonts w:ascii="Times New Roman" w:hAnsi="Times New Roman" w:cs="Times New Roman"/>
          <w:b/>
          <w:lang w:val="en-US"/>
        </w:rPr>
        <w:t>iscussion</w:t>
      </w:r>
    </w:p>
    <w:p w14:paraId="6A6E9D91" w14:textId="60A8E4E5" w:rsidR="00890F05" w:rsidRPr="00D8767A" w:rsidRDefault="00BE707A" w:rsidP="00D8767A">
      <w:pPr>
        <w:spacing w:after="0" w:line="480" w:lineRule="auto"/>
        <w:jc w:val="both"/>
        <w:rPr>
          <w:rFonts w:ascii="Times New Roman" w:hAnsi="Times New Roman" w:cs="Times New Roman"/>
          <w:bCs/>
          <w:color w:val="000000" w:themeColor="text1"/>
          <w:lang w:val="en-US"/>
        </w:rPr>
      </w:pPr>
      <w:r w:rsidRPr="00D8767A">
        <w:rPr>
          <w:rFonts w:ascii="Times New Roman" w:hAnsi="Times New Roman" w:cs="Times New Roman"/>
          <w:lang w:val="en-US"/>
        </w:rPr>
        <w:t xml:space="preserve">In the present study, </w:t>
      </w:r>
      <w:r w:rsidR="00A37E7C" w:rsidRPr="00D8767A">
        <w:rPr>
          <w:rFonts w:ascii="Times New Roman" w:hAnsi="Times New Roman" w:cs="Times New Roman"/>
          <w:lang w:val="en-US"/>
        </w:rPr>
        <w:t xml:space="preserve">the fact that all plants were colonized by AMF, including the non-inoculated ones, indicates that the original nursery </w:t>
      </w:r>
      <w:r w:rsidR="00C45124" w:rsidRPr="00D8767A">
        <w:rPr>
          <w:rFonts w:ascii="Times New Roman" w:hAnsi="Times New Roman" w:cs="Times New Roman"/>
          <w:lang w:val="en-US"/>
        </w:rPr>
        <w:t xml:space="preserve">plant </w:t>
      </w:r>
      <w:r w:rsidR="00A37E7C" w:rsidRPr="00D8767A">
        <w:rPr>
          <w:rFonts w:ascii="Times New Roman" w:hAnsi="Times New Roman" w:cs="Times New Roman"/>
          <w:lang w:val="en-US"/>
        </w:rPr>
        <w:t xml:space="preserve">material was already colonized by native AMF and/or that </w:t>
      </w:r>
      <w:r w:rsidR="002B73C5" w:rsidRPr="00D8767A">
        <w:rPr>
          <w:rFonts w:ascii="Times New Roman" w:hAnsi="Times New Roman" w:cs="Times New Roman"/>
          <w:lang w:val="en-US"/>
        </w:rPr>
        <w:t>grapevines</w:t>
      </w:r>
      <w:r w:rsidR="00A37E7C" w:rsidRPr="00D8767A">
        <w:rPr>
          <w:rFonts w:ascii="Times New Roman" w:hAnsi="Times New Roman" w:cs="Times New Roman"/>
          <w:lang w:val="en-US"/>
        </w:rPr>
        <w:t xml:space="preserve"> </w:t>
      </w:r>
      <w:r w:rsidR="00F90DB4" w:rsidRPr="00D8767A">
        <w:rPr>
          <w:rFonts w:ascii="Times New Roman" w:hAnsi="Times New Roman" w:cs="Times New Roman"/>
          <w:lang w:val="en-US"/>
        </w:rPr>
        <w:t>got</w:t>
      </w:r>
      <w:r w:rsidR="00A37E7C" w:rsidRPr="00D8767A">
        <w:rPr>
          <w:rFonts w:ascii="Times New Roman" w:hAnsi="Times New Roman" w:cs="Times New Roman"/>
          <w:lang w:val="en-US"/>
        </w:rPr>
        <w:t xml:space="preserve"> colonized </w:t>
      </w:r>
      <w:r w:rsidR="002B73C5" w:rsidRPr="00D8767A">
        <w:rPr>
          <w:rFonts w:ascii="Times New Roman" w:hAnsi="Times New Roman" w:cs="Times New Roman"/>
          <w:lang w:val="en-US"/>
        </w:rPr>
        <w:t xml:space="preserve">by </w:t>
      </w:r>
      <w:r w:rsidR="00A37E7C" w:rsidRPr="00D8767A">
        <w:rPr>
          <w:rFonts w:ascii="Times New Roman" w:hAnsi="Times New Roman" w:cs="Times New Roman"/>
          <w:lang w:val="en-US"/>
        </w:rPr>
        <w:t xml:space="preserve">the native AMF propagules present in the Arenosol. </w:t>
      </w:r>
      <w:r w:rsidR="002B73C5" w:rsidRPr="00D8767A">
        <w:rPr>
          <w:rFonts w:ascii="Times New Roman" w:hAnsi="Times New Roman" w:cs="Times New Roman"/>
          <w:lang w:val="en-US"/>
        </w:rPr>
        <w:t>On the other hand, t</w:t>
      </w:r>
      <w:r w:rsidR="00A37E7C" w:rsidRPr="00D8767A">
        <w:rPr>
          <w:rFonts w:ascii="Times New Roman" w:hAnsi="Times New Roman" w:cs="Times New Roman"/>
          <w:bCs/>
          <w:lang w:val="en-US"/>
        </w:rPr>
        <w:t>he observed increase on root colonization in the presence of Cu (</w:t>
      </w:r>
      <w:r w:rsidR="0041546E" w:rsidRPr="00D8767A">
        <w:rPr>
          <w:rFonts w:ascii="Times New Roman" w:hAnsi="Times New Roman" w:cs="Times New Roman"/>
          <w:bCs/>
          <w:lang w:val="en-US"/>
        </w:rPr>
        <w:t>Figure</w:t>
      </w:r>
      <w:r w:rsidR="00A37E7C" w:rsidRPr="00D8767A">
        <w:rPr>
          <w:rFonts w:ascii="Times New Roman" w:hAnsi="Times New Roman" w:cs="Times New Roman"/>
          <w:bCs/>
          <w:lang w:val="en-US"/>
        </w:rPr>
        <w:t xml:space="preserve"> 1</w:t>
      </w:r>
      <w:r w:rsidR="00623A1B">
        <w:rPr>
          <w:rFonts w:ascii="Times New Roman" w:hAnsi="Times New Roman" w:cs="Times New Roman"/>
          <w:bCs/>
          <w:lang w:val="en-US"/>
        </w:rPr>
        <w:t>B</w:t>
      </w:r>
      <w:r w:rsidR="00A37E7C" w:rsidRPr="00D8767A">
        <w:rPr>
          <w:rFonts w:ascii="Times New Roman" w:hAnsi="Times New Roman" w:cs="Times New Roman"/>
          <w:bCs/>
          <w:lang w:val="en-US"/>
        </w:rPr>
        <w:t xml:space="preserve">) </w:t>
      </w:r>
      <w:r w:rsidR="00890F05" w:rsidRPr="00D8767A">
        <w:rPr>
          <w:rFonts w:ascii="Times New Roman" w:hAnsi="Times New Roman" w:cs="Times New Roman"/>
          <w:bCs/>
          <w:lang w:val="en-US"/>
        </w:rPr>
        <w:t xml:space="preserve">is in contrast </w:t>
      </w:r>
      <w:r w:rsidR="00F90DB4" w:rsidRPr="00D8767A">
        <w:rPr>
          <w:rFonts w:ascii="Times New Roman" w:hAnsi="Times New Roman" w:cs="Times New Roman"/>
          <w:bCs/>
          <w:lang w:val="en-US"/>
        </w:rPr>
        <w:t>with</w:t>
      </w:r>
      <w:r w:rsidR="00890F05" w:rsidRPr="00D8767A">
        <w:rPr>
          <w:rFonts w:ascii="Times New Roman" w:hAnsi="Times New Roman" w:cs="Times New Roman"/>
          <w:bCs/>
          <w:lang w:val="en-US"/>
        </w:rPr>
        <w:t xml:space="preserve"> other studies where high soil Cu </w:t>
      </w:r>
      <w:r w:rsidRPr="00D8767A">
        <w:rPr>
          <w:rFonts w:ascii="Times New Roman" w:hAnsi="Times New Roman" w:cs="Times New Roman"/>
          <w:bCs/>
          <w:lang w:val="en-US"/>
        </w:rPr>
        <w:t xml:space="preserve">concentrations </w:t>
      </w:r>
      <w:r w:rsidR="00890F05" w:rsidRPr="00D8767A">
        <w:rPr>
          <w:rFonts w:ascii="Times New Roman" w:hAnsi="Times New Roman" w:cs="Times New Roman"/>
          <w:bCs/>
          <w:lang w:val="en-US"/>
        </w:rPr>
        <w:t xml:space="preserve">inhibited root </w:t>
      </w:r>
      <w:r w:rsidR="00C71081" w:rsidRPr="00D8767A">
        <w:rPr>
          <w:rFonts w:ascii="Times New Roman" w:hAnsi="Times New Roman" w:cs="Times New Roman"/>
          <w:bCs/>
          <w:lang w:val="en-US"/>
        </w:rPr>
        <w:t xml:space="preserve">mycorrhizal </w:t>
      </w:r>
      <w:r w:rsidR="00890F05" w:rsidRPr="00D8767A">
        <w:rPr>
          <w:rFonts w:ascii="Times New Roman" w:hAnsi="Times New Roman" w:cs="Times New Roman"/>
          <w:bCs/>
          <w:lang w:val="en-US"/>
        </w:rPr>
        <w:t xml:space="preserve">colonization </w:t>
      </w:r>
      <w:r w:rsidR="00890F05" w:rsidRPr="00D8767A">
        <w:rPr>
          <w:rFonts w:ascii="Times New Roman" w:hAnsi="Times New Roman" w:cs="Times New Roman"/>
          <w:bCs/>
          <w:lang w:val="en-US"/>
        </w:rPr>
        <w:fldChar w:fldCharType="begin" w:fldLock="1"/>
      </w:r>
      <w:r w:rsidR="002C7ADD" w:rsidRPr="00D8767A">
        <w:rPr>
          <w:rFonts w:ascii="Times New Roman" w:hAnsi="Times New Roman" w:cs="Times New Roman"/>
          <w:bCs/>
          <w:lang w:val="en-US"/>
        </w:rPr>
        <w:instrText>ADDIN CSL_CITATION {"citationItems":[{"id":"ITEM-1","itemData":{"DOI":"10.1590/S1517-838246420140622","ISBN":"1517-8382 UL - http://www.scielo.br/scielo.php?script=sci_arttext&amp;pid=S1517-83822015000401045&amp;nrm=iso","ISSN":"1517-8382","PMID":"26691462","author":[{"dropping-particle":"","family":"Ambrosini","given":"Vítor Gabriel","non-dropping-particle":"","parse-names":false,"suffix":""},{"dropping-particle":"","family":"Gerent","given":"Voges; Joana","non-dropping-particle":"","parse-names":false,"suffix":""},{"dropping-particle":"","family":"Ludiana","given":"Canton;","non-dropping-particle":"","parse-names":false,"suffix":""},{"dropping-particle":"da","family":"Rosa","given":"Couto; Rafael","non-dropping-particle":"","parse-names":false,"suffix":""},{"dropping-particle":"","family":"Ademar","given":"Avelar; Ferreira; Paulo","non-dropping-particle":"","parse-names":false,"suffix":""},{"dropping-particle":"","family":"José","given":"Comin; Jucinei","non-dropping-particle":"","parse-names":false,"suffix":""},{"dropping-particle":"de","family":"Melo","given":"George Wellington Bastos","non-dropping-particle":"","parse-names":false,"suffix":""},{"dropping-particle":"","family":"Brunetto","given":"Gustavo","non-dropping-particle":"","parse-names":false,"suffix":""},{"dropping-particle":"","family":"Sousa","given":"Cláudio Roberto Fonsêca","non-dropping-particle":"","parse-names":false,"suffix":""},{"dropping-particle":"","family":"Soares","given":"Cláudio R F S","non-dropping-particle":"","parse-names":false,"suffix":""}],"container-title":"Brazilian Journal of Microbiology","id":"ITEM-1","issue":"4","issued":{"date-parts":[["2015"]]},"page":"1045-1052","title":"Arbuscular mycorrhizal fungi on young vines in copper contaminated soil","type":"article-journal","volume":"46"},"uris":["http://www.mendeley.com/documents/?uuid=6be1146f-34df-4db2-b851-d384e938cf67"]},{"id":"ITEM-2","itemData":{"DOI":"10.5073/vitis.2020.59.169-180","author":[{"dropping-particle":"","family":"Betancur-Agudelo","given":"M","non-dropping-particle":"","parse-names":false,"suffix":""},{"dropping-particle":"","family":"Meyer","given":"E","non-dropping-particle":"","parse-names":false,"suffix":""},{"dropping-particle":"","family":"Lovato","given":"P E","non-dropping-particle":"","parse-names":false,"suffix":""}],"container-title":"Vitis","id":"ITEM-2","issued":{"date-parts":[["2020"]]},"page":"169-180","title":"Growth , heavy metal uptake , and photosynthesis in ' Paulsen 1103 ' ( Vitis berlandieri x rupestris ) grapevine rootstocks inoculated with arbuscular mycorrhizal fungi from vineyard soils with high copper contents","type":"article-journal","volume":"180"},"uris":["http://www.mendeley.com/documents/?uuid=f6dbe4cb-c434-4b99-98b9-53b0fe20d73b"]}],"mendeley":{"formattedCitation":"(Ambrosini et al., 2015; Betancur-Agudelo et al., 2020)","plainTextFormattedCitation":"(Ambrosini et al., 2015; Betancur-Agudelo et al., 2020)","previouslyFormattedCitation":"(Ambrosini et al., 2015; Betancur-Agudelo et al., 2020)"},"properties":{"noteIndex":0},"schema":"https://github.com/citation-style-language/schema/raw/master/csl-citation.json"}</w:instrText>
      </w:r>
      <w:r w:rsidR="00890F05" w:rsidRPr="00D8767A">
        <w:rPr>
          <w:rFonts w:ascii="Times New Roman" w:hAnsi="Times New Roman" w:cs="Times New Roman"/>
          <w:bCs/>
          <w:lang w:val="en-US"/>
        </w:rPr>
        <w:fldChar w:fldCharType="separate"/>
      </w:r>
      <w:r w:rsidR="000E79E6" w:rsidRPr="00D8767A">
        <w:rPr>
          <w:rFonts w:ascii="Times New Roman" w:hAnsi="Times New Roman" w:cs="Times New Roman"/>
          <w:bCs/>
          <w:noProof/>
          <w:lang w:val="en-US"/>
        </w:rPr>
        <w:t>(Ambrosini et al., 2015; Betancur-Agudelo et al., 2020)</w:t>
      </w:r>
      <w:r w:rsidR="00890F05" w:rsidRPr="00D8767A">
        <w:rPr>
          <w:rFonts w:ascii="Times New Roman" w:hAnsi="Times New Roman" w:cs="Times New Roman"/>
          <w:bCs/>
          <w:lang w:val="en-US"/>
        </w:rPr>
        <w:fldChar w:fldCharType="end"/>
      </w:r>
      <w:r w:rsidR="00890F05" w:rsidRPr="00D8767A">
        <w:rPr>
          <w:rFonts w:ascii="Times New Roman" w:hAnsi="Times New Roman" w:cs="Times New Roman"/>
          <w:bCs/>
          <w:lang w:val="en-US"/>
        </w:rPr>
        <w:t xml:space="preserve"> or had no effect </w:t>
      </w:r>
      <w:r w:rsidR="00890F05" w:rsidRPr="00D8767A">
        <w:rPr>
          <w:rFonts w:ascii="Times New Roman" w:hAnsi="Times New Roman" w:cs="Times New Roman"/>
          <w:lang w:val="en-US"/>
        </w:rPr>
        <w:fldChar w:fldCharType="begin" w:fldLock="1"/>
      </w:r>
      <w:r w:rsidR="002C7ADD" w:rsidRPr="00D8767A">
        <w:rPr>
          <w:rFonts w:ascii="Times New Roman" w:hAnsi="Times New Roman" w:cs="Times New Roman"/>
          <w:lang w:val="en-US"/>
        </w:rPr>
        <w:instrText>ADDIN CSL_CITATION {"citationItems":[{"id":"ITEM-1","itemData":{"DOI":"10.3389/fpls.2018.01906","ISSN":"1664462X","abstract":"Plant inoculation with arbuscular mycorrhizal fungi (AMF) is increasingly employed to enhance productivity and sustainability in agricultural ecosystems. In the present study, the potential benefits of AMF inoculation on young grapevines replanted in pots containing vineyard soil with high Cu concentration were evaluated. For this purpose, one-year-old cv. Touriga Nacional grapevines grafted onto 1103P rootstocks were further inoculated with Rhizoglomus irregulare or Funneliformis mosseae, or left non-inoculated, and maintained in a sterilized substrate under greenhouse conditions for three months. After this time, half of the plants were transplanted to containers filled with an Arenosol from a vineyard which had been artificially contaminated or not with 300 mg kg −1 of Cu. At the end of the growing season, soil nutrient concentration, soil dehydrogenase activity and mycorrhizal colonization rate were analyzed. Grapevine performance was assessed by measuring several vegetative growth and physiological parameters as well as nutrient concentrations in leaves and roots. In the non-contaminated soil, R. irregulare-and F. mosseae-inoculated plants had significantly greater root biomass than the non-inoculated ones. However, the opposite effect was observed in the Cu-contaminated soil, where non-inoculated plants performed better regarding shoot and root development. Concerning nutrient levels, an increase in Cu, Mg and Mn concentrations was observed in the roots of plants growing in the contaminated soil, although only Mn was translocated to leaves. This led to a large increase in leaf Mn concentrations, which was significantly higher in non-inoculated and F. mosseae-inoculated plants than in the R. irregulare-inoculated ones. Copper contamination induced a general decrease in leaf N, P and Fe concentrations as well as chlorosis symptoms. The largest decrease in N and P was observed in F. mosseae-inoculated plants, with 73 and 31.2%, respectively. However, these plants were the ones with the least decrease in Fe concentration (10% vs. almost 30% in the other two inoculation treatments). In conclusion, this study indicates that soil Cu levels can modify the outcome of AMF inoculations in young grapevines, disclosing new AMF-plant associations potentially relevant in vineyards with a tradition of Cu-based fungicide application.","author":[{"dropping-particle":"","family":"Nogales","given":"A.","non-dropping-particle":"","parse-names":false,"suffix":""},{"dropping-particle":"","family":"Santos","given":"E.S.","non-dropping-particle":"","parse-names":false,"suffix":""},{"dropping-particle":"","family":"Abreu","given":"M.M.","non-dropping-particle":"","parse-names":false,"suffix":""},{"dropping-particle":"","family":"Arán","given":"D.","non-dropping-particle":"","parse-names":false,"suffix":""},{"dropping-particle":"","family":"Victorino","given":"G.","non-dropping-particle":"","parse-names":false,"suffix":""},{"dropping-particle":"","family":"Pereira","given":"H.S.","non-dropping-particle":"","parse-names":false,"suffix":""},{"dropping-particle":"","family":"Lopes","given":"C.M.","non-dropping-particle":"","parse-names":false,"suffix":""},{"dropping-particle":"","family":"Viegas","given":"W.","non-dropping-particle":"","parse-names":false,"suffix":""}],"container-title":"Frontiers in Plant Science","id":"ITEM-1","issued":{"date-parts":[["2019"]]},"title":"Mycorrhizal inoculation differentially affects grapevine’s performance in copper contaminated and non-contaminated soils","type":"article-journal","volume":"9"},"uris":["http://www.mendeley.com/documents/?uuid=b38c2b19-5c88-34a0-8087-dc357299736f"]}],"mendeley":{"formattedCitation":"(Nogales et al., 2019)","plainTextFormattedCitation":"(Nogales et al., 2019)","previouslyFormattedCitation":"(Nogales et al., 2019)"},"properties":{"noteIndex":0},"schema":"https://github.com/citation-style-language/schema/raw/master/csl-citation.json"}</w:instrText>
      </w:r>
      <w:r w:rsidR="00890F05" w:rsidRPr="00D8767A">
        <w:rPr>
          <w:rFonts w:ascii="Times New Roman" w:hAnsi="Times New Roman" w:cs="Times New Roman"/>
          <w:lang w:val="en-US"/>
        </w:rPr>
        <w:fldChar w:fldCharType="separate"/>
      </w:r>
      <w:r w:rsidR="000E79E6" w:rsidRPr="00D8767A">
        <w:rPr>
          <w:rFonts w:ascii="Times New Roman" w:hAnsi="Times New Roman" w:cs="Times New Roman"/>
          <w:noProof/>
          <w:lang w:val="en-US"/>
        </w:rPr>
        <w:t>(Nogales et al., 2019)</w:t>
      </w:r>
      <w:r w:rsidR="00890F05" w:rsidRPr="00D8767A">
        <w:rPr>
          <w:rFonts w:ascii="Times New Roman" w:hAnsi="Times New Roman" w:cs="Times New Roman"/>
          <w:lang w:val="en-US"/>
        </w:rPr>
        <w:fldChar w:fldCharType="end"/>
      </w:r>
      <w:r w:rsidR="00890F05" w:rsidRPr="00D8767A">
        <w:rPr>
          <w:rFonts w:ascii="Times New Roman" w:hAnsi="Times New Roman" w:cs="Times New Roman"/>
          <w:lang w:val="en-US"/>
        </w:rPr>
        <w:t xml:space="preserve">. </w:t>
      </w:r>
      <w:r w:rsidR="00441D5B" w:rsidRPr="00D8767A">
        <w:rPr>
          <w:rFonts w:ascii="Times New Roman" w:hAnsi="Times New Roman" w:cs="Times New Roman"/>
          <w:lang w:val="en-US"/>
        </w:rPr>
        <w:t xml:space="preserve">Indeed, </w:t>
      </w:r>
      <w:r w:rsidR="00890F05" w:rsidRPr="00D8767A">
        <w:rPr>
          <w:rFonts w:ascii="Times New Roman" w:hAnsi="Times New Roman" w:cs="Times New Roman"/>
          <w:bCs/>
          <w:lang w:val="en-US"/>
        </w:rPr>
        <w:t xml:space="preserve">root colonization </w:t>
      </w:r>
      <w:r w:rsidR="00A73D32" w:rsidRPr="00D8767A">
        <w:rPr>
          <w:rFonts w:ascii="Times New Roman" w:hAnsi="Times New Roman" w:cs="Times New Roman"/>
          <w:bCs/>
          <w:lang w:val="en-US"/>
        </w:rPr>
        <w:t xml:space="preserve">in Cu-contaminated soils </w:t>
      </w:r>
      <w:r w:rsidR="00890F05" w:rsidRPr="00D8767A">
        <w:rPr>
          <w:rFonts w:ascii="Times New Roman" w:hAnsi="Times New Roman" w:cs="Times New Roman"/>
          <w:bCs/>
          <w:lang w:val="en-US"/>
        </w:rPr>
        <w:t>depend</w:t>
      </w:r>
      <w:r w:rsidR="00A73D32" w:rsidRPr="00D8767A">
        <w:rPr>
          <w:rFonts w:ascii="Times New Roman" w:hAnsi="Times New Roman" w:cs="Times New Roman"/>
          <w:bCs/>
          <w:lang w:val="en-US"/>
        </w:rPr>
        <w:t>s</w:t>
      </w:r>
      <w:r w:rsidR="00890F05" w:rsidRPr="00D8767A">
        <w:rPr>
          <w:rFonts w:ascii="Times New Roman" w:hAnsi="Times New Roman" w:cs="Times New Roman"/>
          <w:bCs/>
          <w:lang w:val="en-US"/>
        </w:rPr>
        <w:t xml:space="preserve"> greatly on the sensitivity of different AMF species to Cu </w:t>
      </w:r>
      <w:r w:rsidR="00890F05" w:rsidRPr="00D8767A">
        <w:rPr>
          <w:rFonts w:ascii="Times New Roman" w:hAnsi="Times New Roman" w:cs="Times New Roman"/>
          <w:bCs/>
          <w:lang w:val="en-US"/>
        </w:rPr>
        <w:fldChar w:fldCharType="begin" w:fldLock="1"/>
      </w:r>
      <w:r w:rsidR="002C7ADD" w:rsidRPr="00D8767A">
        <w:rPr>
          <w:rFonts w:ascii="Times New Roman" w:hAnsi="Times New Roman" w:cs="Times New Roman"/>
          <w:bCs/>
          <w:lang w:val="en-US"/>
        </w:rPr>
        <w:instrText>ADDIN CSL_CITATION {"citationItems":[{"id":"ITEM-1","itemData":{"DOI":"10.1590/S1517-838246420140622","ISBN":"1517-8382 UL - http://www.scielo.br/scielo.php?script=sci_arttext&amp;pid=S1517-83822015000401045&amp;nrm=iso","ISSN":"1517-8382","PMID":"26691462","author":[{"dropping-particle":"","family":"Ambrosini","given":"Vítor Gabriel","non-dropping-particle":"","parse-names":false,"suffix":""},{"dropping-particle":"","family":"Gerent","given":"Voges; Joana","non-dropping-particle":"","parse-names":false,"suffix":""},{"dropping-particle":"","family":"Ludiana","given":"Canton;","non-dropping-particle":"","parse-names":false,"suffix":""},{"dropping-particle":"da","family":"Rosa","given":"Couto; Rafael","non-dropping-particle":"","parse-names":false,"suffix":""},{"dropping-particle":"","family":"Ademar","given":"Avelar; Ferreira; Paulo","non-dropping-particle":"","parse-names":false,"suffix":""},{"dropping-particle":"","family":"José","given":"Comin; Jucinei","non-dropping-particle":"","parse-names":false,"suffix":""},{"dropping-particle":"de","family":"Melo","given":"George Wellington Bastos","non-dropping-particle":"","parse-names":false,"suffix":""},{"dropping-particle":"","family":"Brunetto","given":"Gustavo","non-dropping-particle":"","parse-names":false,"suffix":""},{"dropping-particle":"","family":"Sousa","given":"Cláudio Roberto Fonsêca","non-dropping-particle":"","parse-names":false,"suffix":""},{"dropping-particle":"","family":"Soares","given":"Cláudio R F S","non-dropping-particle":"","parse-names":false,"suffix":""}],"container-title":"Brazilian Journal of Microbiology","id":"ITEM-1","issue":"4","issued":{"date-parts":[["2015"]]},"page":"1045-1052","title":"Arbuscular mycorrhizal fungi on young vines in copper contaminated soil","type":"article-journal","volume":"46"},"uris":["http://www.mendeley.com/documents/?uuid=6be1146f-34df-4db2-b851-d384e938cf67"]},{"id":"ITEM-2","itemData":{"DOI":"10.5073/vitis.2020.59.169-180","author":[{"dropping-particle":"","family":"Betancur-Agudelo","given":"M","non-dropping-particle":"","parse-names":false,"suffix":""},{"dropping-particle":"","family":"Meyer","given":"E","non-dropping-particle":"","parse-names":false,"suffix":""},{"dropping-particle":"","family":"Lovato","given":"P E","non-dropping-particle":"","parse-names":false,"suffix":""}],"container-title":"Vitis","id":"ITEM-2","issued":{"date-parts":[["2020"]]},"page":"169-180","title":"Growth , heavy metal uptake , and photosynthesis in ' Paulsen 1103 ' ( Vitis berlandieri x rupestris ) grapevine rootstocks inoculated with arbuscular mycorrhizal fungi from vineyard soils with high copper contents","type":"article-journal","volume":"180"},"uris":["http://www.mendeley.com/documents/?uuid=f6dbe4cb-c434-4b99-98b9-53b0fe20d73b"]},{"id":"ITEM-3","itemData":{"DOI":"10.1016/j.scienta.2019.01.026","ISSN":"03044238","abstract":"Established vineyard soils may have high copper (Cu) contents due to the ongoing foliar applications of copper-based fungicides. In viticulture, the replacement of old vineyards with new vines is common practice, however, limited by Cu excess in soil and its toxicity to young grapevines. The application of phosphorus (P) and arbuscular mycorrhizal fungi (AMF) inoculation are potential strategies to reduce Cu toxicity to young grapevines. This study aimed to assess the effects of phosphorus fertilization and AMF (Rhizophagus clarus) inoculation on growth and physiological parameters of young grapevines grown in soil with high Cu content. The experiment was conducted in a greenhouse, where natural grassland soil was artificially contaminated by the addition of 60 mg kg −1 Cu. The soils were treated with and without AMF inoculation, combined with additions of 0, 40 and 100 mg P kg −1 . After 90 days of cultivation, grapevine plants were assessed for chlorophyll a fluorescence, photosynthetic pigment contents, superoxide dismutase (SOD) activity, plant height, plant biomass, and concentrations of Cu and P in roots and shoots. Phosphorus fertilization promoted increases in seedling growth (related to the increase of total P concentration in roots and shoots), soluble Pi concentration in leaves, and the quantum yield of the PSII (YII) (associated with a reduction in shoot Cu concentration). The AMF inoculation increased the concentration of P in roots and shoots, soluble Pi in leaves and electron transport rate (ETR). Phosphorus fertilization and inoculation of grapevines with AMF are strategies capable of reducing Cu toxicity in young grapevines.","author":[{"dropping-particle":"","family":"Brunetto","given":"Gustavo","non-dropping-particle":"","parse-names":false,"suffix":""},{"dropping-particle":"","family":"Rosa","given":"Daniel J.","non-dropping-particle":"","parse-names":false,"suffix":""},{"dropping-particle":"","family":"Ambrosini","given":"Vítor G.","non-dropping-particle":"","parse-names":false,"suffix":""},{"dropping-particle":"","family":"Heinzen","given":"Janaina","non-dropping-particle":"","parse-names":false,"suffix":""},{"dropping-particle":"","family":"Ferreira","given":"Paulo A.A.","non-dropping-particle":"","parse-names":false,"suffix":""},{"dropping-particle":"","family":"Ceretta","given":"Carlos A.","non-dropping-particle":"","parse-names":false,"suffix":""},{"dropping-particle":"","family":"Soares","given":"Cláudio R.F.S.","non-dropping-particle":"","parse-names":false,"suffix":""},{"dropping-particle":"","family":"Melo","given":"George W.B.","non-dropping-particle":"","parse-names":false,"suffix":""},{"dropping-particle":"","family":"Soriani","given":"Hilda H.","non-dropping-particle":"","parse-names":false,"suffix":""},{"dropping-particle":"","family":"Nicoloso","given":"Fernando T.","non-dropping-particle":"","parse-names":false,"suffix":""},{"dropping-particle":"","family":"Farias","given":"Júlia G.","non-dropping-particle":"","parse-names":false,"suffix":""},{"dropping-particle":"","family":"Conti","given":"Lessandro","non-dropping-particle":"De","parse-names":false,"suffix":""},{"dropping-particle":"","family":"Silva","given":"Lincon O.S.","non-dropping-particle":"","parse-names":false,"suffix":""},{"dropping-particle":"","family":"Santana","given":"Natielo","non-dropping-particle":"","parse-names":false,"suffix":""},{"dropping-particle":"","family":"Couto","given":"Rafael R.","non-dropping-particle":"","parse-names":false,"suffix":""},{"dropping-particle":"","family":"Jacques","given":"Rodrigo J.S.","non-dropping-particle":"","parse-names":false,"suffix":""},{"dropping-particle":"","family":"Tiecher","given":"Tadeu L.","non-dropping-particle":"","parse-names":false,"suffix":""}],"container-title":"Scientia Horticulturae","id":"ITEM-3","issue":"January","issued":{"date-parts":[["2019"]]},"page":"176-183","publisher":"Elsevier","title":"Use of phosphorus fertilization and mycorrhization as strategies for reducing copper toxicity in young grapevines","type":"article-journal","volume":"248"},"uris":["http://www.mendeley.com/documents/?uuid=9da5a3aa-7089-4490-9df1-507bb12ddf23"]}],"mendeley":{"formattedCitation":"(Ambrosini et al., 2015; Betancur-Agudelo et al., 2020; Brunetto et al., 2019)","plainTextFormattedCitation":"(Ambrosini et al., 2015; Betancur-Agudelo et al., 2020; Brunetto et al., 2019)","previouslyFormattedCitation":"(Ambrosini et al., 2015; Betancur-Agudelo et al., 2020; Brunetto et al., 2019)"},"properties":{"noteIndex":0},"schema":"https://github.com/citation-style-language/schema/raw/master/csl-citation.json"}</w:instrText>
      </w:r>
      <w:r w:rsidR="00890F05" w:rsidRPr="00D8767A">
        <w:rPr>
          <w:rFonts w:ascii="Times New Roman" w:hAnsi="Times New Roman" w:cs="Times New Roman"/>
          <w:bCs/>
          <w:lang w:val="en-US"/>
        </w:rPr>
        <w:fldChar w:fldCharType="separate"/>
      </w:r>
      <w:r w:rsidR="000E79E6" w:rsidRPr="00D8767A">
        <w:rPr>
          <w:rFonts w:ascii="Times New Roman" w:hAnsi="Times New Roman" w:cs="Times New Roman"/>
          <w:bCs/>
          <w:noProof/>
          <w:lang w:val="en-US"/>
        </w:rPr>
        <w:t xml:space="preserve">(Ambrosini et al., </w:t>
      </w:r>
      <w:r w:rsidR="000E79E6" w:rsidRPr="00D8767A">
        <w:rPr>
          <w:rFonts w:ascii="Times New Roman" w:hAnsi="Times New Roman" w:cs="Times New Roman"/>
          <w:bCs/>
          <w:noProof/>
          <w:lang w:val="en-US"/>
        </w:rPr>
        <w:lastRenderedPageBreak/>
        <w:t>2015; Betancur-Agudelo et al., 2020; Brunetto et al., 2019)</w:t>
      </w:r>
      <w:r w:rsidR="00890F05" w:rsidRPr="00D8767A">
        <w:rPr>
          <w:rFonts w:ascii="Times New Roman" w:hAnsi="Times New Roman" w:cs="Times New Roman"/>
          <w:bCs/>
          <w:lang w:val="en-US"/>
        </w:rPr>
        <w:fldChar w:fldCharType="end"/>
      </w:r>
      <w:r w:rsidR="00441D5B" w:rsidRPr="00D8767A">
        <w:rPr>
          <w:rFonts w:ascii="Times New Roman" w:hAnsi="Times New Roman" w:cs="Times New Roman"/>
          <w:bCs/>
          <w:lang w:val="en-US"/>
        </w:rPr>
        <w:t>, and</w:t>
      </w:r>
      <w:r w:rsidR="00890F05" w:rsidRPr="00D8767A">
        <w:rPr>
          <w:rFonts w:ascii="Times New Roman" w:hAnsi="Times New Roman" w:cs="Times New Roman"/>
          <w:bCs/>
          <w:lang w:val="en-US"/>
        </w:rPr>
        <w:t xml:space="preserve"> </w:t>
      </w:r>
      <w:r w:rsidR="00441D5B" w:rsidRPr="00D8767A">
        <w:rPr>
          <w:rFonts w:ascii="Times New Roman" w:hAnsi="Times New Roman" w:cs="Times New Roman"/>
          <w:bCs/>
          <w:lang w:val="en-US"/>
        </w:rPr>
        <w:t>i</w:t>
      </w:r>
      <w:r w:rsidR="00890F05" w:rsidRPr="00D8767A">
        <w:rPr>
          <w:rFonts w:ascii="Times New Roman" w:hAnsi="Times New Roman" w:cs="Times New Roman"/>
          <w:bCs/>
          <w:lang w:val="en-US"/>
        </w:rPr>
        <w:t xml:space="preserve">n the present experiment, it seems that native AMF </w:t>
      </w:r>
      <w:r w:rsidRPr="00D8767A">
        <w:rPr>
          <w:rFonts w:ascii="Times New Roman" w:hAnsi="Times New Roman" w:cs="Times New Roman"/>
          <w:bCs/>
          <w:lang w:val="en-US"/>
        </w:rPr>
        <w:t xml:space="preserve">(either from the nursery </w:t>
      </w:r>
      <w:r w:rsidR="006E7B38" w:rsidRPr="00D8767A">
        <w:rPr>
          <w:rFonts w:ascii="Times New Roman" w:hAnsi="Times New Roman" w:cs="Times New Roman"/>
          <w:bCs/>
          <w:lang w:val="en-US"/>
        </w:rPr>
        <w:t>and/</w:t>
      </w:r>
      <w:r w:rsidRPr="00D8767A">
        <w:rPr>
          <w:rFonts w:ascii="Times New Roman" w:hAnsi="Times New Roman" w:cs="Times New Roman"/>
          <w:bCs/>
          <w:lang w:val="en-US"/>
        </w:rPr>
        <w:t xml:space="preserve">or from the Arenosol) </w:t>
      </w:r>
      <w:r w:rsidR="002B73C5" w:rsidRPr="00D8767A">
        <w:rPr>
          <w:rFonts w:ascii="Times New Roman" w:hAnsi="Times New Roman" w:cs="Times New Roman"/>
          <w:bCs/>
          <w:lang w:val="en-US"/>
        </w:rPr>
        <w:t>wer</w:t>
      </w:r>
      <w:r w:rsidR="00890F05" w:rsidRPr="00D8767A">
        <w:rPr>
          <w:rFonts w:ascii="Times New Roman" w:hAnsi="Times New Roman" w:cs="Times New Roman"/>
          <w:bCs/>
          <w:lang w:val="en-US"/>
        </w:rPr>
        <w:t>e well adapted to high soil Cu concentration</w:t>
      </w:r>
      <w:r w:rsidR="00207822" w:rsidRPr="00D8767A">
        <w:rPr>
          <w:rFonts w:ascii="Times New Roman" w:hAnsi="Times New Roman" w:cs="Times New Roman"/>
          <w:bCs/>
          <w:lang w:val="en-US"/>
        </w:rPr>
        <w:t>s</w:t>
      </w:r>
      <w:r w:rsidRPr="00D8767A">
        <w:rPr>
          <w:rFonts w:ascii="Times New Roman" w:hAnsi="Times New Roman" w:cs="Times New Roman"/>
          <w:bCs/>
          <w:lang w:val="en-US"/>
        </w:rPr>
        <w:t>. In fact</w:t>
      </w:r>
      <w:r w:rsidR="00890F05" w:rsidRPr="00D8767A">
        <w:rPr>
          <w:rFonts w:ascii="Times New Roman" w:hAnsi="Times New Roman" w:cs="Times New Roman"/>
          <w:bCs/>
          <w:lang w:val="en-US"/>
        </w:rPr>
        <w:t>, nursery soil</w:t>
      </w:r>
      <w:r w:rsidRPr="00D8767A">
        <w:rPr>
          <w:rFonts w:ascii="Times New Roman" w:hAnsi="Times New Roman" w:cs="Times New Roman"/>
          <w:bCs/>
          <w:lang w:val="en-US"/>
        </w:rPr>
        <w:t>s</w:t>
      </w:r>
      <w:r w:rsidR="00890F05" w:rsidRPr="00D8767A">
        <w:rPr>
          <w:rFonts w:ascii="Times New Roman" w:hAnsi="Times New Roman" w:cs="Times New Roman"/>
          <w:bCs/>
          <w:lang w:val="en-US"/>
        </w:rPr>
        <w:t xml:space="preserve"> </w:t>
      </w:r>
      <w:r w:rsidR="00441D5B" w:rsidRPr="00D8767A">
        <w:rPr>
          <w:rFonts w:ascii="Times New Roman" w:hAnsi="Times New Roman" w:cs="Times New Roman"/>
          <w:bCs/>
          <w:lang w:val="en-US"/>
        </w:rPr>
        <w:t xml:space="preserve">where the plants </w:t>
      </w:r>
      <w:r w:rsidRPr="00D8767A">
        <w:rPr>
          <w:rFonts w:ascii="Times New Roman" w:hAnsi="Times New Roman" w:cs="Times New Roman"/>
          <w:bCs/>
          <w:lang w:val="en-US"/>
        </w:rPr>
        <w:t>are</w:t>
      </w:r>
      <w:r w:rsidR="00441D5B" w:rsidRPr="00D8767A">
        <w:rPr>
          <w:rFonts w:ascii="Times New Roman" w:hAnsi="Times New Roman" w:cs="Times New Roman"/>
          <w:bCs/>
          <w:lang w:val="en-US"/>
        </w:rPr>
        <w:t xml:space="preserve"> rooted </w:t>
      </w:r>
      <w:r w:rsidR="00207822" w:rsidRPr="00D8767A">
        <w:rPr>
          <w:rFonts w:ascii="Times New Roman" w:hAnsi="Times New Roman" w:cs="Times New Roman"/>
          <w:bCs/>
          <w:lang w:val="en-US"/>
        </w:rPr>
        <w:t xml:space="preserve">are </w:t>
      </w:r>
      <w:r w:rsidRPr="00D8767A">
        <w:rPr>
          <w:rFonts w:ascii="Times New Roman" w:hAnsi="Times New Roman" w:cs="Times New Roman"/>
          <w:bCs/>
          <w:lang w:val="en-US"/>
        </w:rPr>
        <w:t xml:space="preserve">usually </w:t>
      </w:r>
      <w:r w:rsidR="00207822" w:rsidRPr="00D8767A">
        <w:rPr>
          <w:rFonts w:ascii="Times New Roman" w:hAnsi="Times New Roman" w:cs="Times New Roman"/>
          <w:bCs/>
          <w:lang w:val="en-US"/>
        </w:rPr>
        <w:t>exposed to repeated</w:t>
      </w:r>
      <w:r w:rsidR="00890F05" w:rsidRPr="00D8767A">
        <w:rPr>
          <w:rFonts w:ascii="Times New Roman" w:hAnsi="Times New Roman" w:cs="Times New Roman"/>
          <w:bCs/>
          <w:lang w:val="en-US"/>
        </w:rPr>
        <w:t xml:space="preserve"> Cu-based fungicide applications, and </w:t>
      </w:r>
      <w:r w:rsidR="004A4F25" w:rsidRPr="00D8767A">
        <w:rPr>
          <w:rFonts w:ascii="Times New Roman" w:hAnsi="Times New Roman" w:cs="Times New Roman"/>
          <w:bCs/>
          <w:lang w:val="en-US"/>
        </w:rPr>
        <w:t>the AMF present on them</w:t>
      </w:r>
      <w:r w:rsidR="00890F05" w:rsidRPr="00D8767A">
        <w:rPr>
          <w:rFonts w:ascii="Times New Roman" w:hAnsi="Times New Roman" w:cs="Times New Roman"/>
          <w:bCs/>
          <w:lang w:val="en-US"/>
        </w:rPr>
        <w:t xml:space="preserve"> may have mechanisms to</w:t>
      </w:r>
      <w:r w:rsidR="00890F05" w:rsidRPr="00D8767A">
        <w:rPr>
          <w:rFonts w:ascii="Times New Roman" w:hAnsi="Times New Roman" w:cs="Times New Roman"/>
          <w:bCs/>
          <w:color w:val="5B9BD5" w:themeColor="accent1"/>
          <w:lang w:val="en-US"/>
        </w:rPr>
        <w:t xml:space="preserve"> </w:t>
      </w:r>
      <w:r w:rsidR="002B73C5" w:rsidRPr="00D8767A">
        <w:rPr>
          <w:rFonts w:ascii="Times New Roman" w:hAnsi="Times New Roman" w:cs="Times New Roman"/>
          <w:bCs/>
          <w:color w:val="000000" w:themeColor="text1"/>
          <w:lang w:val="en-US"/>
        </w:rPr>
        <w:t>cope with</w:t>
      </w:r>
      <w:r w:rsidR="00890F05" w:rsidRPr="00D8767A">
        <w:rPr>
          <w:rFonts w:ascii="Times New Roman" w:hAnsi="Times New Roman" w:cs="Times New Roman"/>
          <w:bCs/>
          <w:color w:val="000000" w:themeColor="text1"/>
          <w:lang w:val="en-US"/>
        </w:rPr>
        <w:t xml:space="preserve"> </w:t>
      </w:r>
      <w:r w:rsidR="002B73C5" w:rsidRPr="00D8767A">
        <w:rPr>
          <w:rFonts w:ascii="Times New Roman" w:hAnsi="Times New Roman" w:cs="Times New Roman"/>
          <w:bCs/>
          <w:color w:val="000000" w:themeColor="text1"/>
          <w:lang w:val="en-US"/>
        </w:rPr>
        <w:t xml:space="preserve">excessive concentrations of </w:t>
      </w:r>
      <w:r w:rsidR="004A4F25" w:rsidRPr="00D8767A">
        <w:rPr>
          <w:rFonts w:ascii="Times New Roman" w:hAnsi="Times New Roman" w:cs="Times New Roman"/>
          <w:bCs/>
          <w:color w:val="000000" w:themeColor="text1"/>
          <w:lang w:val="en-US"/>
        </w:rPr>
        <w:t>this element</w:t>
      </w:r>
      <w:r w:rsidR="00890F05" w:rsidRPr="00D8767A">
        <w:rPr>
          <w:rFonts w:ascii="Times New Roman" w:hAnsi="Times New Roman" w:cs="Times New Roman"/>
          <w:bCs/>
          <w:color w:val="000000" w:themeColor="text1"/>
          <w:lang w:val="en-US"/>
        </w:rPr>
        <w:t xml:space="preserve"> </w:t>
      </w:r>
      <w:r w:rsidR="00890F05" w:rsidRPr="00D8767A">
        <w:rPr>
          <w:rFonts w:ascii="Times New Roman" w:hAnsi="Times New Roman" w:cs="Times New Roman"/>
          <w:bCs/>
          <w:color w:val="000000" w:themeColor="text1"/>
          <w:lang w:val="en-US"/>
        </w:rPr>
        <w:fldChar w:fldCharType="begin" w:fldLock="1"/>
      </w:r>
      <w:r w:rsidR="002C7ADD" w:rsidRPr="00D8767A">
        <w:rPr>
          <w:rFonts w:ascii="Times New Roman" w:hAnsi="Times New Roman" w:cs="Times New Roman"/>
          <w:bCs/>
          <w:color w:val="000000" w:themeColor="text1"/>
          <w:lang w:val="en-US"/>
        </w:rPr>
        <w:instrText>ADDIN CSL_CITATION {"citationItems":[{"id":"ITEM-1","itemData":{"DOI":"10.1016/j.apsoil.2011.04.005","ISSN":"09291393","abstract":"The alleviation of copper (Cu) toxicity in the pseudometallophyte Oenothera picensis via arbuscular mycorrhizal fungi (AMF) inoculation and/or sugar beet agrowaste (SB) application was evaluated at increasing soil Cu levels. Plants were grown in Cu-treated soils (0, 100 or 500mgCukg-1), either with or without SB application, and inoculated with: (i) Cu-adapted Glomeromycotan fungi (GA); (ii) Glomus claroideum (GC); or (iii) no fungus (uninoculated). Application of SB amendment increased shoot biomass 2-8-fold with respect to the unamended soils, and allowed the survival of non-mycorrhizal- and GC-inoculated plants, even at the highest Cu level. Additionally, SB application increased shoot Cu content at higher Cu levels and shoot P content especially at lower Cu levels. In general, compared to GC-inoculated plants, GA inoculation caused a decrease in both superoxide dismutase and ascorbate peroxidase antioxidant enzyme activities in shoots (up to levels of 100mgCukg-1), as well as glutathione reductase and catalase activities (up to 500mgCukg-1). Finally, in SB treated plants, GA colonization was higher as compared to GC-inoculated plants, especially at the highest Cu level. These results suggest a relevant role of Glomeromycotan fungal populations isolated from Cu-polluted environments in the alleviation of Cu toxicity that could allow their use in remediation programs for Cu-polluted soils. © 2011 Elsevier B.V.","author":[{"dropping-particle":"","family":"Meier","given":"Sebastián","non-dropping-particle":"","parse-names":false,"suffix":""},{"dropping-particle":"","family":"Azcón","given":"Rosario","non-dropping-particle":"","parse-names":false,"suffix":""},{"dropping-particle":"","family":"Cartes","given":"Paula","non-dropping-particle":"","parse-names":false,"suffix":""},{"dropping-particle":"","family":"Borie","given":"Fernando","non-dropping-particle":"","parse-names":false,"suffix":""},{"dropping-particle":"","family":"Cornejo","given":"Pablo","non-dropping-particle":"","parse-names":false,"suffix":""}],"container-title":"Applied Soil Ecology","id":"ITEM-1","issue":"2","issued":{"date-parts":[["2011","6","1"]]},"page":"117-124","publisher":"Elsevier","title":"Alleviation of Cu toxicity in Oenothera picensis by copper-adapted arbuscular mycorrhizal fungi and treated agrowaste residue","type":"article-journal","volume":"48"},"uris":["http://www.mendeley.com/documents/?uuid=3d7b5e7e-ed70-3ed2-b2b8-dc73f85da0ac"]}],"mendeley":{"formattedCitation":"(Meier et al., 2011)","plainTextFormattedCitation":"(Meier et al., 2011)","previouslyFormattedCitation":"(Meier et al., 2011)"},"properties":{"noteIndex":0},"schema":"https://github.com/citation-style-language/schema/raw/master/csl-citation.json"}</w:instrText>
      </w:r>
      <w:r w:rsidR="00890F05" w:rsidRPr="00D8767A">
        <w:rPr>
          <w:rFonts w:ascii="Times New Roman" w:hAnsi="Times New Roman" w:cs="Times New Roman"/>
          <w:bCs/>
          <w:color w:val="000000" w:themeColor="text1"/>
          <w:lang w:val="en-US"/>
        </w:rPr>
        <w:fldChar w:fldCharType="separate"/>
      </w:r>
      <w:r w:rsidR="000E79E6" w:rsidRPr="00D8767A">
        <w:rPr>
          <w:rFonts w:ascii="Times New Roman" w:hAnsi="Times New Roman" w:cs="Times New Roman"/>
          <w:bCs/>
          <w:noProof/>
          <w:color w:val="000000" w:themeColor="text1"/>
          <w:lang w:val="en-US"/>
        </w:rPr>
        <w:t>(Meier et al., 2011)</w:t>
      </w:r>
      <w:r w:rsidR="00890F05" w:rsidRPr="00D8767A">
        <w:rPr>
          <w:rFonts w:ascii="Times New Roman" w:hAnsi="Times New Roman" w:cs="Times New Roman"/>
          <w:bCs/>
          <w:color w:val="000000" w:themeColor="text1"/>
          <w:lang w:val="en-US"/>
        </w:rPr>
        <w:fldChar w:fldCharType="end"/>
      </w:r>
      <w:r w:rsidR="00890F05" w:rsidRPr="00D8767A">
        <w:rPr>
          <w:rFonts w:ascii="Times New Roman" w:hAnsi="Times New Roman" w:cs="Times New Roman"/>
          <w:bCs/>
          <w:color w:val="000000" w:themeColor="text1"/>
          <w:lang w:val="en-US"/>
        </w:rPr>
        <w:t>.</w:t>
      </w:r>
    </w:p>
    <w:p w14:paraId="375AF967" w14:textId="2C9B9B75" w:rsidR="00890F05" w:rsidRPr="00D8767A" w:rsidRDefault="00890F05" w:rsidP="00D8767A">
      <w:pPr>
        <w:spacing w:after="0" w:line="480" w:lineRule="auto"/>
        <w:jc w:val="both"/>
        <w:rPr>
          <w:rFonts w:ascii="Times New Roman" w:hAnsi="Times New Roman" w:cs="Times New Roman"/>
          <w:lang w:val="en-US"/>
        </w:rPr>
      </w:pPr>
      <w:r w:rsidRPr="00D8767A">
        <w:rPr>
          <w:rFonts w:ascii="Times New Roman" w:hAnsi="Times New Roman" w:cs="Times New Roman"/>
          <w:bCs/>
          <w:lang w:val="en-US"/>
        </w:rPr>
        <w:t>As expected</w:t>
      </w:r>
      <w:r w:rsidR="00E67ACA" w:rsidRPr="00D8767A">
        <w:rPr>
          <w:rFonts w:ascii="Times New Roman" w:hAnsi="Times New Roman" w:cs="Times New Roman"/>
          <w:bCs/>
          <w:lang w:val="en-US"/>
        </w:rPr>
        <w:t>, t</w:t>
      </w:r>
      <w:r w:rsidR="002076F3" w:rsidRPr="00D8767A">
        <w:rPr>
          <w:rFonts w:ascii="Times New Roman" w:hAnsi="Times New Roman" w:cs="Times New Roman"/>
          <w:bCs/>
          <w:lang w:val="en-US"/>
        </w:rPr>
        <w:t xml:space="preserve">he addition of </w:t>
      </w:r>
      <w:r w:rsidR="005A0EC8" w:rsidRPr="00D8767A">
        <w:rPr>
          <w:rFonts w:ascii="Times New Roman" w:eastAsia="OpenSans" w:hAnsi="Times New Roman" w:cs="Times New Roman"/>
          <w:lang w:val="en-US"/>
        </w:rPr>
        <w:t>Cu</w:t>
      </w:r>
      <w:r w:rsidRPr="00D8767A">
        <w:rPr>
          <w:rFonts w:ascii="Times New Roman" w:eastAsia="OpenSans" w:hAnsi="Times New Roman" w:cs="Times New Roman"/>
          <w:lang w:val="en-US"/>
        </w:rPr>
        <w:t xml:space="preserve"> to the Arenosol</w:t>
      </w:r>
      <w:r w:rsidR="000B4653" w:rsidRPr="00D8767A">
        <w:rPr>
          <w:rFonts w:ascii="Times New Roman" w:eastAsia="OpenSans" w:hAnsi="Times New Roman" w:cs="Times New Roman"/>
          <w:lang w:val="en-US"/>
        </w:rPr>
        <w:t>,</w:t>
      </w:r>
      <w:r w:rsidR="005A0EC8" w:rsidRPr="00D8767A">
        <w:rPr>
          <w:rFonts w:ascii="Times New Roman" w:eastAsia="OpenSans" w:hAnsi="Times New Roman" w:cs="Times New Roman"/>
          <w:lang w:val="en-US"/>
        </w:rPr>
        <w:t xml:space="preserve"> </w:t>
      </w:r>
      <w:r w:rsidR="000B4653" w:rsidRPr="00D8767A">
        <w:rPr>
          <w:rFonts w:ascii="Times New Roman" w:eastAsia="OpenSans" w:hAnsi="Times New Roman" w:cs="Times New Roman"/>
          <w:lang w:val="en-US"/>
        </w:rPr>
        <w:t>with</w:t>
      </w:r>
      <w:r w:rsidR="00CB2969" w:rsidRPr="00D8767A">
        <w:rPr>
          <w:rFonts w:ascii="Times New Roman" w:eastAsia="OpenSans" w:hAnsi="Times New Roman" w:cs="Times New Roman"/>
          <w:lang w:val="en-US"/>
        </w:rPr>
        <w:t xml:space="preserve"> or without FeNaEDTA</w:t>
      </w:r>
      <w:r w:rsidR="000B4653" w:rsidRPr="00D8767A">
        <w:rPr>
          <w:rFonts w:ascii="Times New Roman" w:eastAsia="OpenSans" w:hAnsi="Times New Roman" w:cs="Times New Roman"/>
          <w:lang w:val="en-US"/>
        </w:rPr>
        <w:t>,</w:t>
      </w:r>
      <w:r w:rsidR="005A0EC8" w:rsidRPr="00D8767A">
        <w:rPr>
          <w:rFonts w:ascii="Times New Roman" w:eastAsia="OpenSans" w:hAnsi="Times New Roman" w:cs="Times New Roman"/>
          <w:lang w:val="en-US"/>
        </w:rPr>
        <w:t xml:space="preserve"> led to a significant increase in soil Cu </w:t>
      </w:r>
      <w:r w:rsidR="004C624A" w:rsidRPr="00D8767A">
        <w:rPr>
          <w:rFonts w:ascii="Times New Roman" w:eastAsia="OpenSans" w:hAnsi="Times New Roman" w:cs="Times New Roman"/>
          <w:lang w:val="en-US"/>
        </w:rPr>
        <w:t>extractable</w:t>
      </w:r>
      <w:r w:rsidR="005A0EC8" w:rsidRPr="00D8767A">
        <w:rPr>
          <w:rFonts w:ascii="Times New Roman" w:eastAsia="OpenSans" w:hAnsi="Times New Roman" w:cs="Times New Roman"/>
          <w:lang w:val="en-US"/>
        </w:rPr>
        <w:t xml:space="preserve"> concentration</w:t>
      </w:r>
      <w:r w:rsidR="004519ED" w:rsidRPr="00D8767A">
        <w:rPr>
          <w:rFonts w:ascii="Times New Roman" w:eastAsia="OpenSans" w:hAnsi="Times New Roman" w:cs="Times New Roman"/>
          <w:lang w:val="en-US"/>
        </w:rPr>
        <w:t>s</w:t>
      </w:r>
      <w:r w:rsidR="00A53FCE" w:rsidRPr="00D8767A">
        <w:rPr>
          <w:rFonts w:ascii="Times New Roman" w:eastAsia="OpenSans" w:hAnsi="Times New Roman" w:cs="Times New Roman"/>
          <w:lang w:val="en-US"/>
        </w:rPr>
        <w:t xml:space="preserve"> (Table 1)</w:t>
      </w:r>
      <w:r w:rsidR="00CB2969" w:rsidRPr="00D8767A">
        <w:rPr>
          <w:rFonts w:ascii="Times New Roman" w:eastAsia="OpenSans" w:hAnsi="Times New Roman" w:cs="Times New Roman"/>
          <w:lang w:val="en-US"/>
        </w:rPr>
        <w:t xml:space="preserve">, </w:t>
      </w:r>
      <w:r w:rsidR="00A53FCE" w:rsidRPr="00D8767A">
        <w:rPr>
          <w:rFonts w:ascii="Times New Roman" w:eastAsia="OpenSans" w:hAnsi="Times New Roman" w:cs="Times New Roman"/>
          <w:lang w:val="en-US"/>
        </w:rPr>
        <w:t xml:space="preserve">which in turn induced an overall increase </w:t>
      </w:r>
      <w:r w:rsidR="00A53FCE" w:rsidRPr="00D8767A">
        <w:rPr>
          <w:rFonts w:ascii="Times New Roman" w:hAnsi="Times New Roman" w:cs="Times New Roman"/>
          <w:lang w:val="en-US"/>
        </w:rPr>
        <w:t>in root Cu concentration</w:t>
      </w:r>
      <w:r w:rsidR="009E373A" w:rsidRPr="00D8767A">
        <w:rPr>
          <w:rFonts w:ascii="Times New Roman" w:hAnsi="Times New Roman" w:cs="Times New Roman"/>
          <w:lang w:val="en-US"/>
        </w:rPr>
        <w:t>s</w:t>
      </w:r>
      <w:r w:rsidR="00A53FCE" w:rsidRPr="00D8767A">
        <w:rPr>
          <w:rFonts w:ascii="Times New Roman" w:hAnsi="Times New Roman" w:cs="Times New Roman"/>
          <w:lang w:val="en-US"/>
        </w:rPr>
        <w:t xml:space="preserve"> (Table 2). However, in Cu-</w:t>
      </w:r>
      <w:r w:rsidR="00FC552A">
        <w:rPr>
          <w:rFonts w:ascii="Times New Roman" w:hAnsi="Times New Roman" w:cs="Times New Roman"/>
          <w:lang w:val="en-US"/>
        </w:rPr>
        <w:t xml:space="preserve">treated </w:t>
      </w:r>
      <w:r w:rsidR="00A53FCE" w:rsidRPr="00D8767A">
        <w:rPr>
          <w:rFonts w:ascii="Times New Roman" w:hAnsi="Times New Roman" w:cs="Times New Roman"/>
          <w:lang w:val="en-US"/>
        </w:rPr>
        <w:t xml:space="preserve">soils </w:t>
      </w:r>
      <w:r w:rsidR="00623A1B">
        <w:rPr>
          <w:rFonts w:ascii="Times New Roman" w:hAnsi="Times New Roman" w:cs="Times New Roman"/>
          <w:lang w:val="en-US"/>
        </w:rPr>
        <w:t>(</w:t>
      </w:r>
      <w:r w:rsidR="00A53FCE" w:rsidRPr="00D8767A">
        <w:rPr>
          <w:rFonts w:ascii="Times New Roman" w:hAnsi="Times New Roman" w:cs="Times New Roman"/>
          <w:lang w:val="en-US"/>
        </w:rPr>
        <w:t>without FeNaEDTA</w:t>
      </w:r>
      <w:r w:rsidR="00623A1B">
        <w:rPr>
          <w:rFonts w:ascii="Times New Roman" w:hAnsi="Times New Roman" w:cs="Times New Roman"/>
          <w:lang w:val="en-US"/>
        </w:rPr>
        <w:t>)</w:t>
      </w:r>
      <w:r w:rsidR="00A53FCE" w:rsidRPr="00D8767A">
        <w:rPr>
          <w:rFonts w:ascii="Times New Roman" w:hAnsi="Times New Roman" w:cs="Times New Roman"/>
          <w:lang w:val="en-US"/>
        </w:rPr>
        <w:t xml:space="preserve">, this element was not translocated to </w:t>
      </w:r>
      <w:r w:rsidR="00190981" w:rsidRPr="00D8767A">
        <w:rPr>
          <w:rFonts w:ascii="Times New Roman" w:hAnsi="Times New Roman" w:cs="Times New Roman"/>
          <w:lang w:val="en-US"/>
        </w:rPr>
        <w:t>leaves</w:t>
      </w:r>
      <w:r w:rsidR="00A53FCE" w:rsidRPr="00D8767A">
        <w:rPr>
          <w:rFonts w:ascii="Times New Roman" w:hAnsi="Times New Roman" w:cs="Times New Roman"/>
          <w:lang w:val="en-US"/>
        </w:rPr>
        <w:t>, in contrast to the soils with FeNaEDTA, where a significant increase was</w:t>
      </w:r>
      <w:r w:rsidR="002E208C" w:rsidRPr="00D8767A">
        <w:rPr>
          <w:rFonts w:ascii="Times New Roman" w:hAnsi="Times New Roman" w:cs="Times New Roman"/>
          <w:lang w:val="en-US"/>
        </w:rPr>
        <w:t xml:space="preserve"> found</w:t>
      </w:r>
      <w:r w:rsidR="00A53FCE" w:rsidRPr="00D8767A">
        <w:rPr>
          <w:rFonts w:ascii="Times New Roman" w:hAnsi="Times New Roman" w:cs="Times New Roman"/>
          <w:lang w:val="en-US"/>
        </w:rPr>
        <w:t xml:space="preserve"> in </w:t>
      </w:r>
      <w:r w:rsidR="00E67ACA" w:rsidRPr="00D8767A">
        <w:rPr>
          <w:rFonts w:ascii="Times New Roman" w:hAnsi="Times New Roman" w:cs="Times New Roman"/>
          <w:lang w:val="en-US"/>
        </w:rPr>
        <w:t xml:space="preserve">grapevine </w:t>
      </w:r>
      <w:r w:rsidR="00A53FCE" w:rsidRPr="00D8767A">
        <w:rPr>
          <w:rFonts w:ascii="Times New Roman" w:hAnsi="Times New Roman" w:cs="Times New Roman"/>
          <w:lang w:val="en-US"/>
        </w:rPr>
        <w:t xml:space="preserve">leaves (Table 3). </w:t>
      </w:r>
      <w:r w:rsidR="00190981" w:rsidRPr="00D8767A">
        <w:rPr>
          <w:rFonts w:ascii="Times New Roman" w:hAnsi="Times New Roman" w:cs="Times New Roman"/>
          <w:lang w:val="en-US"/>
        </w:rPr>
        <w:t xml:space="preserve">Nonetheless, leaf Cu concentrations did not reach phytotoxicity levels in any </w:t>
      </w:r>
      <w:r w:rsidR="00B766D6">
        <w:rPr>
          <w:rFonts w:ascii="Times New Roman" w:hAnsi="Times New Roman" w:cs="Times New Roman"/>
          <w:lang w:val="en-US"/>
        </w:rPr>
        <w:t xml:space="preserve">of the </w:t>
      </w:r>
      <w:r w:rsidR="00190981" w:rsidRPr="00D8767A">
        <w:rPr>
          <w:rFonts w:ascii="Times New Roman" w:hAnsi="Times New Roman" w:cs="Times New Roman"/>
          <w:lang w:val="en-US"/>
        </w:rPr>
        <w:t>case</w:t>
      </w:r>
      <w:r w:rsidR="00B766D6">
        <w:rPr>
          <w:rFonts w:ascii="Times New Roman" w:hAnsi="Times New Roman" w:cs="Times New Roman"/>
          <w:lang w:val="en-US"/>
        </w:rPr>
        <w:t>s</w:t>
      </w:r>
      <w:r w:rsidR="00190981" w:rsidRPr="00D8767A">
        <w:rPr>
          <w:rFonts w:ascii="Times New Roman" w:hAnsi="Times New Roman" w:cs="Times New Roman"/>
          <w:lang w:val="en-US"/>
        </w:rPr>
        <w:t xml:space="preserve"> (Kabata-Pendias, 2011). </w:t>
      </w:r>
      <w:r w:rsidR="00A53FCE" w:rsidRPr="00D8767A">
        <w:rPr>
          <w:rFonts w:ascii="Times New Roman" w:hAnsi="Times New Roman" w:cs="Times New Roman"/>
          <w:lang w:val="en-US"/>
        </w:rPr>
        <w:t>Previous studies have also shown that soil Cu contamination promotes an accumulation of this metal in roots but not in</w:t>
      </w:r>
      <w:r w:rsidR="00F42942">
        <w:rPr>
          <w:rFonts w:ascii="Times New Roman" w:hAnsi="Times New Roman" w:cs="Times New Roman"/>
          <w:lang w:val="en-US"/>
        </w:rPr>
        <w:t xml:space="preserve"> grapevine shoots</w:t>
      </w:r>
      <w:r w:rsidR="00A53FCE" w:rsidRPr="00D8767A">
        <w:rPr>
          <w:rFonts w:ascii="Times New Roman" w:hAnsi="Times New Roman" w:cs="Times New Roman"/>
          <w:lang w:val="en-US"/>
        </w:rPr>
        <w:t xml:space="preserve"> </w:t>
      </w:r>
      <w:r w:rsidR="00A53FCE" w:rsidRPr="00D8767A">
        <w:rPr>
          <w:rFonts w:ascii="Times New Roman" w:hAnsi="Times New Roman" w:cs="Times New Roman"/>
          <w:lang w:val="en-US"/>
        </w:rPr>
        <w:fldChar w:fldCharType="begin" w:fldLock="1"/>
      </w:r>
      <w:r w:rsidR="002C7ADD" w:rsidRPr="00D8767A">
        <w:rPr>
          <w:rFonts w:ascii="Times New Roman" w:hAnsi="Times New Roman" w:cs="Times New Roman"/>
          <w:lang w:val="en-US"/>
        </w:rPr>
        <w:instrText>ADDIN CSL_CITATION {"citationItems":[{"id":"ITEM-1","itemData":{"DOI":"10.1111/j.1755-0238.2008.00040.x","author":[{"dropping-particle":"","family":"Toselli","given":"M.","non-dropping-particle":"","parse-names":false,"suffix":""},{"dropping-particle":"","family":"Baldi","given":"E.","non-dropping-particle":"","parse-names":false,"suffix":""},{"dropping-particle":"","family":"Marcolini","given":"G.","non-dropping-particle":"","parse-names":false,"suffix":""},{"dropping-particle":"","family":"Malaguti","given":"D.","non-dropping-particle":"","parse-names":false,"suffix":""},{"dropping-particle":"","family":"Quartieri","given":"M.","non-dropping-particle":"","parse-names":false,"suffix":""},{"dropping-particle":"","family":"Sorrenti","given":"G.","non-dropping-particle":"","parse-names":false,"suffix":""},{"dropping-particle":"","family":"Marangoni","given":"B.","non-dropping-particle":"","parse-names":false,"suffix":""}],"container-title":"Australian Journal of Grape and Wine Research","id":"ITEM-1","issue":"1","issued":{"date-parts":[["2009","2"]]},"page":"85-92","publisher":"Wiley/Blackwell (10.1111)","title":"Response of potted grapevines to increasing soil copper concentration","type":"article-journal","volume":"15"},"uris":["http://www.mendeley.com/documents/?uuid=01a87c10-5b33-3d17-8b21-7c1110fbe9fa"]},{"id":"ITEM-2","itemData":{"DOI":"10.1590/S1517-838246420140622","ISBN":"1517-8382 UL - http://www.scielo.br/scielo.php?script=sci_arttext&amp;pid=S1517-83822015000401045&amp;nrm=iso","ISSN":"1517-8382","PMID":"26691462","author":[{"dropping-particle":"","family":"Ambrosini","given":"Vítor Gabriel","non-dropping-particle":"","parse-names":false,"suffix":""},{"dropping-particle":"","family":"Gerent","given":"Voges; Joana","non-dropping-particle":"","parse-names":false,"suffix":""},{"dropping-particle":"","family":"Ludiana","given":"Canton;","non-dropping-particle":"","parse-names":false,"suffix":""},{"dropping-particle":"da","family":"Rosa","given":"Couto; Rafael","non-dropping-particle":"","parse-names":false,"suffix":""},{"dropping-particle":"","family":"Ademar","given":"Avelar; Ferreira; Paulo","non-dropping-particle":"","parse-names":false,"suffix":""},{"dropping-particle":"","family":"José","given":"Comin; Jucinei","non-dropping-particle":"","parse-names":false,"suffix":""},{"dropping-particle":"de","family":"Melo","given":"George Wellington Bastos","non-dropping-particle":"","parse-names":false,"suffix":""},{"dropping-particle":"","family":"Brunetto","given":"Gustavo","non-dropping-particle":"","parse-names":false,"suffix":""},{"dropping-particle":"","family":"Sousa","given":"Cláudio Roberto Fonsêca","non-dropping-particle":"","parse-names":false,"suffix":""},{"dropping-particle":"","family":"Soares","given":"Cláudio R F S","non-dropping-particle":"","parse-names":false,"suffix":""}],"container-title":"Brazilian Journal of Microbiology","id":"ITEM-2","issue":"4","issued":{"date-parts":[["2015"]]},"page":"1045-1052","title":"Arbuscular mycorrhizal fungi on young vines in copper contaminated soil","type":"article-journal","volume":"46"},"uris":["http://www.mendeley.com/documents/?uuid=6be1146f-34df-4db2-b851-d384e938cf67"]},{"id":"ITEM-3","itemData":{"DOI":"10.3389/fpls.2018.01906","ISSN":"1664462X","abstract":"Plant inoculation with arbuscular mycorrhizal fungi (AMF) is increasingly employed to enhance productivity and sustainability in agricultural ecosystems. In the present study, the potential benefits of AMF inoculation on young grapevines replanted in pots containing vineyard soil with high Cu concentration were evaluated. For this purpose, one-year-old cv. Touriga Nacional grapevines grafted onto 1103P rootstocks were further inoculated with Rhizoglomus irregulare or Funneliformis mosseae, or left non-inoculated, and maintained in a sterilized substrate under greenhouse conditions for three months. After this time, half of the plants were transplanted to containers filled with an Arenosol from a vineyard which had been artificially contaminated or not with 300 mg kg −1 of Cu. At the end of the growing season, soil nutrient concentration, soil dehydrogenase activity and mycorrhizal colonization rate were analyzed. Grapevine performance was assessed by measuring several vegetative growth and physiological parameters as well as nutrient concentrations in leaves and roots. In the non-contaminated soil, R. irregulare-and F. mosseae-inoculated plants had significantly greater root biomass than the non-inoculated ones. However, the opposite effect was observed in the Cu-contaminated soil, where non-inoculated plants performed better regarding shoot and root development. Concerning nutrient levels, an increase in Cu, Mg and Mn concentrations was observed in the roots of plants growing in the contaminated soil, although only Mn was translocated to leaves. This led to a large increase in leaf Mn concentrations, which was significantly higher in non-inoculated and F. mosseae-inoculated plants than in the R. irregulare-inoculated ones. Copper contamination induced a general decrease in leaf N, P and Fe concentrations as well as chlorosis symptoms. The largest decrease in N and P was observed in F. mosseae-inoculated plants, with 73 and 31.2%, respectively. However, these plants were the ones with the least decrease in Fe concentration (10% vs. almost 30% in the other two inoculation treatments). In conclusion, this study indicates that soil Cu levels can modify the outcome of AMF inoculations in young grapevines, disclosing new AMF-plant associations potentially relevant in vineyards with a tradition of Cu-based fungicide application.","author":[{"dropping-particle":"","family":"Nogales","given":"A.","non-dropping-particle":"","parse-names":false,"suffix":""},{"dropping-particle":"","family":"Santos","given":"E.S.","non-dropping-particle":"","parse-names":false,"suffix":""},{"dropping-particle":"","family":"Abreu","given":"M.M.","non-dropping-particle":"","parse-names":false,"suffix":""},{"dropping-particle":"","family":"Arán","given":"D.","non-dropping-particle":"","parse-names":false,"suffix":""},{"dropping-particle":"","family":"Victorino","given":"G.","non-dropping-particle":"","parse-names":false,"suffix":""},{"dropping-particle":"","family":"Pereira","given":"H.S.","non-dropping-particle":"","parse-names":false,"suffix":""},{"dropping-particle":"","family":"Lopes","given":"C.M.","non-dropping-particle":"","parse-names":false,"suffix":""},{"dropping-particle":"","family":"Viegas","given":"W.","non-dropping-particle":"","parse-names":false,"suffix":""}],"container-title":"Frontiers in Plant Science","id":"ITEM-3","issued":{"date-parts":[["2019"]]},"title":"Mycorrhizal inoculation differentially affects grapevine’s performance in copper contaminated and non-contaminated soils","type":"article-journal","volume":"9"},"uris":["http://www.mendeley.com/documents/?uuid=b38c2b19-5c88-34a0-8087-dc357299736f"]},{"id":"ITEM-4","itemData":{"DOI":"10.1007/s11270-019-4198-6","ISSN":"15732932","abstract":"Application of fungicides on grapevines is the main source of soil contamination by copper and zinc. Studies on this issue in relatively young grapevines are common; however, studies that elucidate the metal transfer in a soil-plant-food production system in a centenarian vineyard are scarce. The present work was aimed at tracing the copper and zinc accumulation in three different compartments—soil, plant, and vine products—in young and centenarian vineyards. Soil samples were collected in the middle plant row and rhizosphere positions of the vineyards; samples of root and leaf tissue and of grape juice and wine from these vineyards were also collected. In the centenarian vineyard, the soil available copper, regardless of vineyard position, reached 1100 mg kg−1. Copper in root and leaf tissues reached 12,300 mg kg−1 and 6800 mg kg−1, respectively. In grape juice and wine, copper was 9.08 mg L−1 and 0.78 mg L−1, respectively. The roots retained most part of the metals reducing their transfer through the system. However, Cu levels in the grape juice from the centenarian vineyard exceeded by 908% the limit established by Brazilian and international norms. Zinc concentrations in soil and vine products were within the permitted level. Finally, the magnitude of metal transfer and accumulation is due to decades of cupric fungicide application and varies according to the compartment evaluated. The findings will provide information to rethink the vineyard agricultural practices in order to avoid environmental contamination by metals and compromising the whole food chain.","author":[{"dropping-particle":"","family":"</w:instrText>
      </w:r>
      <w:r w:rsidR="002C7ADD" w:rsidRPr="00E85217">
        <w:rPr>
          <w:rFonts w:ascii="Times New Roman" w:hAnsi="Times New Roman" w:cs="Times New Roman"/>
          <w:lang w:val="fr-FR"/>
        </w:rPr>
        <w:instrText>Hummes","given":"Ana Paula","non-dropping-particle":"","parse-names":false,"suffix":""},{"dropping-particle":"","family":"Bortoluzzi","given":"Edson Campanhola","non-dropping-particle":"","parse-names":false,"suffix":""},{"dropping-particle":"","family":"Tonini","given":"Vanei","non-dropping-particle":"","parse-names":false,"suffix":""},{"dropping-particle":"","family":"Silva","given":"Leila Picolli","non-dropping-particle":"da","parse-names":false,"suffix":""},{"dropping-particle":"","family":"Petry","given":"Claudia","non-dropping-particle":"","parse-names":false,"suffix":""}],"container-title":"Water, Air, and Soil Pollution","id":"ITEM-4","issue":"7","issued":{"date-parts":[["2019","7","1"]]},"page":"1-11","publisher":"Springer International Publishing","title":"Transfer of Copper and Zinc from Soil to Grapevine-Derived Products in Young and Centenarian Vineyards","type":"article-journal","volume":"230"},"uris":["http://www.mendeley.com/documents/?uuid=09d18cd6-6798-3404-9b27-fb76e3a34252"]}],"mendeley":{"formattedCitation":"(Ambrosini et al., 2015; Hummes et al., 2019; Nogales et al., 2019; Toselli et al., 2009)","plainTextFormattedCitation":"(Ambrosini et al., 2015; Hummes et al., 2019; Nogales et al., 2019; Toselli et al., 2009)","previouslyFormattedCitation":"(Ambrosini et al., 2015; Hummes et al., 2019; Nogales et al., 2019; Toselli et al., 2009)"},"properties":{"noteIndex":0},"schema":"https://github.com/citation-style-language/schema/raw/master/csl-citation.json"}</w:instrText>
      </w:r>
      <w:r w:rsidR="00A53FCE" w:rsidRPr="00D8767A">
        <w:rPr>
          <w:rFonts w:ascii="Times New Roman" w:hAnsi="Times New Roman" w:cs="Times New Roman"/>
          <w:lang w:val="en-US"/>
        </w:rPr>
        <w:fldChar w:fldCharType="separate"/>
      </w:r>
      <w:r w:rsidR="000E79E6" w:rsidRPr="00D8767A">
        <w:rPr>
          <w:rFonts w:ascii="Times New Roman" w:hAnsi="Times New Roman" w:cs="Times New Roman"/>
          <w:noProof/>
          <w:lang w:val="fr-FR"/>
        </w:rPr>
        <w:t>(Ambrosini et al., 2015; Hummes et al., 2019; Nogales et al., 2019; Toselli et al., 2009)</w:t>
      </w:r>
      <w:r w:rsidR="00A53FCE" w:rsidRPr="00D8767A">
        <w:rPr>
          <w:rFonts w:ascii="Times New Roman" w:hAnsi="Times New Roman" w:cs="Times New Roman"/>
          <w:lang w:val="en-US"/>
        </w:rPr>
        <w:fldChar w:fldCharType="end"/>
      </w:r>
      <w:r w:rsidR="00A53FCE" w:rsidRPr="00D8767A">
        <w:rPr>
          <w:rFonts w:ascii="Times New Roman" w:hAnsi="Times New Roman" w:cs="Times New Roman"/>
          <w:lang w:val="fr-FR"/>
        </w:rPr>
        <w:t xml:space="preserve">. </w:t>
      </w:r>
      <w:r w:rsidR="00A53FCE" w:rsidRPr="00D8767A">
        <w:rPr>
          <w:rFonts w:ascii="Times New Roman" w:hAnsi="Times New Roman" w:cs="Times New Roman"/>
          <w:lang w:val="en-US"/>
        </w:rPr>
        <w:t xml:space="preserve">This may be a protective mechanism to avoid Cu toxicity, </w:t>
      </w:r>
      <w:r w:rsidR="00C0581D" w:rsidRPr="00D8767A">
        <w:rPr>
          <w:rFonts w:ascii="Times New Roman" w:hAnsi="Times New Roman" w:cs="Times New Roman"/>
          <w:lang w:val="en-US"/>
        </w:rPr>
        <w:t>s</w:t>
      </w:r>
      <w:r w:rsidR="004519ED" w:rsidRPr="00D8767A">
        <w:rPr>
          <w:rFonts w:ascii="Times New Roman" w:hAnsi="Times New Roman" w:cs="Times New Roman"/>
          <w:lang w:val="en-US"/>
        </w:rPr>
        <w:t>ince</w:t>
      </w:r>
      <w:r w:rsidR="00C0581D" w:rsidRPr="00D8767A">
        <w:rPr>
          <w:rFonts w:ascii="Times New Roman" w:hAnsi="Times New Roman" w:cs="Times New Roman"/>
          <w:lang w:val="en-US"/>
        </w:rPr>
        <w:t xml:space="preserve"> photosynthetic organs are more sensitive to this element</w:t>
      </w:r>
      <w:r w:rsidR="00A53FCE" w:rsidRPr="00D8767A">
        <w:rPr>
          <w:rFonts w:ascii="Times New Roman" w:hAnsi="Times New Roman" w:cs="Times New Roman"/>
          <w:lang w:val="en-US"/>
        </w:rPr>
        <w:t xml:space="preserve"> </w:t>
      </w:r>
      <w:r w:rsidR="00C0581D" w:rsidRPr="00D8767A">
        <w:rPr>
          <w:rFonts w:ascii="Times New Roman" w:hAnsi="Times New Roman" w:cs="Times New Roman"/>
          <w:lang w:val="en-US"/>
        </w:rPr>
        <w:fldChar w:fldCharType="begin" w:fldLock="1"/>
      </w:r>
      <w:r w:rsidR="002C7ADD" w:rsidRPr="00D8767A">
        <w:rPr>
          <w:rFonts w:ascii="Times New Roman" w:hAnsi="Times New Roman" w:cs="Times New Roman"/>
          <w:lang w:val="en-US"/>
        </w:rPr>
        <w:instrText>ADDIN CSL_CITATION {"citationItems":[{"id":"ITEM-1","itemData":{"DOI":"10.1007/s11270-019-4198-6","ISSN":"15732932","abstract":"Application of fungicides on grapevines is the main source of soil contamination by copper and zinc. Studies on this issue in relatively young grapevines are common; however, studies that elucidate the metal transfer in a soil-plant-food production system in a centenarian vineyard are scarce. The present work was aimed at tracing the copper and zinc accumulation in three different compartments—soil, plant, and vine products—in young and centenarian vineyards. Soil samples were collected in the middle plant row and rhizosphere positions of the vineyards; samples of root and leaf tissue and of grape juice and wine from these vineyards were also collected. In the centenarian vineyard, the soil available copper, regardless of vineyard position, reached 1100 mg kg−1. Copper in root and leaf tissues reached 12,300 mg kg−1 and 6800 mg kg−1, respectively. In grape juice and wine, copper was 9.08 mg L−1 and 0.78 mg L−1, respectively. The roots retained most part of the metals reducing their transfer through the system. However, Cu levels in the grape juice from the centenarian vineyard exceeded by 908% the limit established by Brazilian and international norms. Zinc concentrations in soil and vine products were within the permitted level. Finally, the magnitude of metal transfer and accumulation is due to decades of cupric fungicide application and varies according to the compartment evaluated. The findings will provide information to rethink the vineyard agricultural practices in order to avoid environmental contamination by metals and compromising the whole food chain.","author":[{"dropping-particle":"","family":"Hummes","given":"Ana Paula","non-dropping-particle":"","parse-names":false,"suffix":""},{"dropping-particle":"","family":"Bortoluzzi","given":"Edson Campanhola","non-dropping-particle":"","parse-names":false,"suffix":""},{"dropping-particle":"","family":"Tonini","given":"Vanei","non-dropping-particle":"","parse-names":false,"suffix":""},{"dropping-particle":"","family":"Silva","given":"Leila Picolli","non-dropping-particle":"da","parse-names":false,"suffix":""},{"dropping-particle":"","family":"Petry","given":"Claudia","non-dropping-particle":"","parse-names":false,"suffix":""}],"container-title":"Water, Air, and Soil Pollution","id":"ITEM-1","issue":"7","issued":{"date-parts":[["2019","7","1"]]},"page":"1-11","publisher":"Springer International Publishing","title":"Transfer of Copper and Zinc from Soil to Grapevine-Derived Products in Young and Centenarian Vineyards","type":"article-journal","volume":"230"},"uris":["http://www.mendeley.com/documents/?uuid=09d18cd6-6798-3404-9b27-fb76e3a34252"]},{"id":"ITEM-2","itemData":{"DOI":"10.1007/s11738-010-0687-3","ISSN":"01375881","abstract":"Cuttings of Vitis vinifera (cultivar Combier) were exposed to seven different zinc (Zn) concentrations (control, 3. 5, 7. 0, 14. 0, 21. 0, 28. 0, and 35. 0 mM) to investigate growth and physiological responses to excess amount of zinc (Zn). The apparent plant growth, as indicated by daily height growth, daily stem diameter variation, and biomass accumulation, was increased by 3. 5-7. 0 mM surplus Zn addition. Coupled with the increase in plant growth, grape retained low level of leaf Zn concentration, and also retained high level of leaf iron concentration due to increasing translocation of iron (Fe) from root and shoots to leaves. Leaf N and K were increased or found at a constant high level, paralleling with low oxidative pressure and enhanced catalase (CAT) activity. Moreover, plant growth was depressed under high Zn levels (&gt;14. 0 mM). Generally excess Zn was stored in the non-sensitive plant parts (roots and shoots), and it caused significant reductions of P, Fe, Mn, Cu in different parts of plant. At the same time, excess Zn caused a pronounced increase in abscisic acid concentration. Our results showed that cultivar Combier is a highly Zn-tolerant grape cultivar and could be used as pioneer plants in metalliferous site and in acidic soil of the tropical and subtropical area. © 2011 Franciszek Górski Institute of Plant Physiology, Polish Academy of Sciences, Kraków.","author":[{"dropping-particle":"","family":"Yang","given":"Yongqing","non-dropping-particle":"","parse-names":false,"suffix":""},{"dropping-particle":"","family":"Sun","given":"Chuanchuan","non-dropping-particle":"","parse-names":false,"suffix":""},{"dropping-particle":"","family":"Yao","given":"Yinan","non-dropping-particle":"","parse-names":false,"suffix":""},{"dropping-particle":"","family":"Zhang","given":"Yuanming","non-dropping-particle":"","parse-names":false,"suffix":""},{"dropping-particle":"","family":"Achal","given":"Varenyam","non-dropping-particle":"","parse-names":false,"suffix":""}],"container-title":"Acta Physiologiae Plantarum","id":"ITEM-2","issue":"4","issued":{"date-parts":[["2011","7","13"]]},"page":"1483-1491","publisher":"Springer","title":"Growth and physiological responses of grape (Vitis vinifera \"Combier\") to excess zinc","type":"article-journal","volume":"33"},"uris":["http://www.mendeley.com/documents/?uuid=a625dd21-bef7-3caf-b83f-df4a003fb5fb"]},{"id":"ITEM-3","itemData":{"DOI":"10.1002/fes3.16","ISSN":"2048-3694","abstract":"The ecotoxicological effects of copper (Cu) are of global concern due to the intensive and long-term application of Cu-based fungicides, which may cause Cu to accumulate in the soil. Relative to the effects of other metals, comparatively little is known about the accumulation and translocation of Cu and its effects on other mineral nutrients in plants. This study determined the mineral nutrient distributions under Cu toxicity in potato genotypes differing in their efficiency of use and response to phosphorus (P). Plants were grown in vineyard soils with varied Cu soil levels (2, 5, 36, 67, 96, 270, and 321 mg/kg) during the fall and spring growing seasons. The increase of Cu concentrations in plant tissues was dependent on the external Cu concentrations, and the highest concentrations were observed in root and stolon tissues. The majority of the Cu taken up by the plants accumulated in the tubers. During the fall growing season, plants classified as NER (P-nonefficient and P-responsive) showed the highest sensitivity to excess Cu in terms of growth and nutrition. The plants showing responses to Cu toxicity included plants without expanded leaves and plants without tuber production, whereas genotypes classified as ENR (P-efficient and P-nonresponsive) were able to expand their leaves and produce tubers in all tested soils. Tissue P and Cu concentrations showed a strong correlation with high Cu concentrations in Cambisols, whereas Fe and K tissue concentrations were more strongly correlated with Cu levels in Ultisols. Our data suggest that the middle and apex leaves should be used to assess Cu toxicity in potato plants. This study also provides evidence of noncompetitive uptake of Cu and Fe by potato plants.","author":[{"dropping-particle":"","family":"Farias","given":"Júlia G.","non-dropping-particle":"","parse-names":false,"suffix":""},{"dropping-particle":"","family":"Antes","given":"Fabiane L. G.","non-dropping-particle":"","parse-names":false,"suffix":""},{"dropping-particle":"","family":"Nunes","given":"Pedro A. A.","non-dropping-particle":"","parse-names":false,"suffix":""},{"dropping-particle":"","family":"Nunes","given":"Sibila T.","non-dropping-particle":"","parse-names":false,"suffix":""},{"dropping-particle":"","family":"Schaich","given":"Gabriel","non-dropping-particle":"","parse-names":false,"suffix":""},{"dropping-particle":"V.","family":"Rossato","given":"Liana","non-dropping-particle":"","parse-names":false,"suffix":""},{"dropping-particle":"","family":"Miotto","given":"Alcione","non-dropping-particle":"","parse-names":false,"suffix":""},{"dropping-particle":"","family":"Girotto","given":"Eduardo","non-dropping-particle":"","parse-names":false,"suffix":""},{"dropping-particle":"","family":"Tiecher","given":"Tadeu L.","non-dropping-particle":"","parse-names":false,"suffix":""},{"dropping-particle":"","family":"Dressler","given":"Valderi L.","non-dropping-particle":"","parse-names":false,"suffix":""},{"dropping-particle":"","family":"Nicoloso","given":"Fernando T.","non-dropping-particle":"","parse-names":false,"suffix":""}],"container-title":"Food and Energy Security","id":"ITEM-3","issue":"1","issued":{"date-parts":[["2013","5","20"]]},"page":"49-69","publisher":"Wiley-Blackwell Publishing Ltd","title":"Effects of excess copper in vineyard soils on the mineral nutrition of potato genotypes","type":"article-journal","volume":"2"},"uris":["http://www.mendeley.com/documents/?uuid=30e024ba-8471-3358-9178-70e5c4ef4122"]},{"id":"ITEM-4","itemData":{"DOI":"10.1590/S1517-838246420140622","ISBN":"1517-8382 UL - http://www.scielo.br/scielo.php?script=sci_arttext&amp;pid=S1517-83822015000401045&amp;nrm=iso","ISSN":"1517-8382","PMID":"26691462","author":[{"dropping-particle":"","family":"Ambrosini","given":"Vítor Gabriel","non-dropping-particle":"","parse-names":false,"suffix":""},{"dropping-particle":"","family":"Gerent","given":"Voges; Joana","non-dropping-particle":"","parse-names":false,"suffix":""},{"dropping-particle":"","family":"Ludiana","given":"Canton;","non-dropping-particle":"","parse-names":false,"suffix":""},{"dropping-particle":"da","family":"Rosa","given":"Couto; Rafael","non-dropping-particle":"","parse-names":false,"suffix":""},{"dropping-particle":"","family":"Ademar","given":"Avelar; Ferreira; Paulo","non-dropping-particle":"","</w:instrText>
      </w:r>
      <w:r w:rsidR="002C7ADD" w:rsidRPr="00E85217">
        <w:rPr>
          <w:rFonts w:ascii="Times New Roman" w:hAnsi="Times New Roman" w:cs="Times New Roman"/>
          <w:lang w:val="fr-FR"/>
        </w:rPr>
        <w:instrText>parse-names":false,"suffix":""},{"dropping-particle":"","family":"José","given":"Comin; Jucinei","non-dropping-particle":"","parse-names":false,"suffix":""},{"dropping-particle":"de","family":"Melo","given":"George Wellington Bastos","non-dropping-particle":"","parse-names":false,"suffix":""},{"dropping-particle":"","family":"Brunetto","given":"Gustavo","non-dropping-particle":"","parse-names":false,"suffix":""},{"dropping-particle":"","family":"Sousa","given":"Cláudio Roberto Fonsêca","non-dropping-particle":"","parse-names":false,"suffix":""},{"dropping-particle":"","family":"Soares","given":"Cláudio R F S","non-dropping-particle":"","parse-names":false,"suffix":""}],"container-title":"Brazilian Journal of Microbiology","id":"ITEM-4","issue":"4","issued":{"date-parts":[["2015"]]},"page":"1045-1052","title":"Arbuscular mycorrhizal fungi on young vines in copper contaminated soil","type":"article-journal","volume":"46"},"uris":["http://www.mendeley.com/documents/?uuid=6be1146f-34df-4db2-b851-d384e938cf67"]}],"mendeley":{"formattedCitation":"(Ambrosini et al., 2015; Farias et al., 2013; Hummes et al., 2019; Yang et al., 2011)","plainTextFormattedCitation":"(Ambrosini et al., 2015; Farias et al., 2013; Hummes et al., 2019; Yang et al., 2011)","previouslyFormattedCitation":"(Ambrosini et al., 2015; Farias et al., 2013; Hummes et al., 2019; Yang et al., 2011)"},"properties":{"noteIndex":0},"schema":"https://github.com/citation-style-language/schema/raw/master/csl-citation.json"}</w:instrText>
      </w:r>
      <w:r w:rsidR="00C0581D" w:rsidRPr="00D8767A">
        <w:rPr>
          <w:rFonts w:ascii="Times New Roman" w:hAnsi="Times New Roman" w:cs="Times New Roman"/>
          <w:lang w:val="en-US"/>
        </w:rPr>
        <w:fldChar w:fldCharType="separate"/>
      </w:r>
      <w:r w:rsidR="000E79E6" w:rsidRPr="00D8767A">
        <w:rPr>
          <w:rFonts w:ascii="Times New Roman" w:hAnsi="Times New Roman" w:cs="Times New Roman"/>
          <w:noProof/>
          <w:lang w:val="fr-FR"/>
        </w:rPr>
        <w:t>(Ambrosini et al., 2015; Farias et al., 2013; Hummes et al., 2019; Yang et al., 2011)</w:t>
      </w:r>
      <w:r w:rsidR="00C0581D" w:rsidRPr="00D8767A">
        <w:rPr>
          <w:rFonts w:ascii="Times New Roman" w:hAnsi="Times New Roman" w:cs="Times New Roman"/>
          <w:lang w:val="en-US"/>
        </w:rPr>
        <w:fldChar w:fldCharType="end"/>
      </w:r>
      <w:r w:rsidR="00A53FCE" w:rsidRPr="00D8767A">
        <w:rPr>
          <w:rFonts w:ascii="Times New Roman" w:hAnsi="Times New Roman" w:cs="Times New Roman"/>
          <w:lang w:val="fr-FR"/>
        </w:rPr>
        <w:t xml:space="preserve">. </w:t>
      </w:r>
      <w:r w:rsidR="00B333CE" w:rsidRPr="00D8767A">
        <w:rPr>
          <w:rFonts w:ascii="Times New Roman" w:hAnsi="Times New Roman" w:cs="Times New Roman"/>
          <w:lang w:val="en-US"/>
        </w:rPr>
        <w:t xml:space="preserve">However, when </w:t>
      </w:r>
      <w:r w:rsidR="00421FB6" w:rsidRPr="00D8767A">
        <w:rPr>
          <w:rFonts w:ascii="Times New Roman" w:hAnsi="Times New Roman" w:cs="Times New Roman"/>
          <w:lang w:val="en-US"/>
        </w:rPr>
        <w:t>chelants</w:t>
      </w:r>
      <w:r w:rsidR="00E31F65" w:rsidRPr="00D8767A">
        <w:rPr>
          <w:rFonts w:ascii="Times New Roman" w:hAnsi="Times New Roman" w:cs="Times New Roman"/>
          <w:lang w:val="en-US"/>
        </w:rPr>
        <w:t xml:space="preserve"> </w:t>
      </w:r>
      <w:r w:rsidR="002E208C" w:rsidRPr="00D8767A">
        <w:rPr>
          <w:rFonts w:ascii="Times New Roman" w:hAnsi="Times New Roman" w:cs="Times New Roman"/>
          <w:lang w:val="en-US"/>
        </w:rPr>
        <w:t xml:space="preserve">like </w:t>
      </w:r>
      <w:r w:rsidR="00E31F65" w:rsidRPr="00D8767A">
        <w:rPr>
          <w:rFonts w:ascii="Times New Roman" w:hAnsi="Times New Roman" w:cs="Times New Roman"/>
          <w:lang w:val="en-US"/>
        </w:rPr>
        <w:t>EDTA</w:t>
      </w:r>
      <w:r w:rsidR="00B333CE" w:rsidRPr="00D8767A">
        <w:rPr>
          <w:rFonts w:ascii="Times New Roman" w:hAnsi="Times New Roman" w:cs="Times New Roman"/>
          <w:lang w:val="en-US"/>
        </w:rPr>
        <w:t xml:space="preserve"> are </w:t>
      </w:r>
      <w:r w:rsidR="00421FB6" w:rsidRPr="00D8767A">
        <w:rPr>
          <w:rFonts w:ascii="Times New Roman" w:hAnsi="Times New Roman" w:cs="Times New Roman"/>
          <w:lang w:val="en-US"/>
        </w:rPr>
        <w:t>applied</w:t>
      </w:r>
      <w:r w:rsidR="00B333CE" w:rsidRPr="00D8767A">
        <w:rPr>
          <w:rFonts w:ascii="Times New Roman" w:hAnsi="Times New Roman" w:cs="Times New Roman"/>
          <w:lang w:val="en-US"/>
        </w:rPr>
        <w:t xml:space="preserve"> to Cu-contaminated soils, </w:t>
      </w:r>
      <w:r w:rsidR="004519ED" w:rsidRPr="00D8767A">
        <w:rPr>
          <w:rFonts w:ascii="Times New Roman" w:hAnsi="Times New Roman" w:cs="Times New Roman"/>
          <w:lang w:val="en-US"/>
        </w:rPr>
        <w:t xml:space="preserve">the bioavailability of </w:t>
      </w:r>
      <w:r w:rsidR="00421FB6" w:rsidRPr="00D8767A">
        <w:rPr>
          <w:rFonts w:ascii="Times New Roman" w:hAnsi="Times New Roman" w:cs="Times New Roman"/>
          <w:lang w:val="en-US"/>
        </w:rPr>
        <w:t>Cu can increase,</w:t>
      </w:r>
      <w:r w:rsidR="004519ED" w:rsidRPr="00D8767A">
        <w:rPr>
          <w:rFonts w:ascii="Times New Roman" w:hAnsi="Times New Roman" w:cs="Times New Roman"/>
          <w:lang w:val="en-US"/>
        </w:rPr>
        <w:t xml:space="preserve"> </w:t>
      </w:r>
      <w:r w:rsidR="00B333CE" w:rsidRPr="00D8767A">
        <w:rPr>
          <w:rFonts w:ascii="Times New Roman" w:hAnsi="Times New Roman" w:cs="Times New Roman"/>
          <w:lang w:val="en-US"/>
        </w:rPr>
        <w:t xml:space="preserve">favoring </w:t>
      </w:r>
      <w:r w:rsidR="00507609" w:rsidRPr="00D8767A">
        <w:rPr>
          <w:rFonts w:ascii="Times New Roman" w:hAnsi="Times New Roman" w:cs="Times New Roman"/>
          <w:lang w:val="en-US"/>
        </w:rPr>
        <w:t>its</w:t>
      </w:r>
      <w:r w:rsidR="00B333CE" w:rsidRPr="00D8767A">
        <w:rPr>
          <w:rFonts w:ascii="Times New Roman" w:hAnsi="Times New Roman" w:cs="Times New Roman"/>
          <w:lang w:val="en-US"/>
        </w:rPr>
        <w:t xml:space="preserve"> uptake and further translocation to </w:t>
      </w:r>
      <w:r w:rsidR="004519ED" w:rsidRPr="00D8767A">
        <w:rPr>
          <w:rFonts w:ascii="Times New Roman" w:hAnsi="Times New Roman" w:cs="Times New Roman"/>
          <w:lang w:val="en-US"/>
        </w:rPr>
        <w:t>plant</w:t>
      </w:r>
      <w:r w:rsidR="00B333CE" w:rsidRPr="00D8767A">
        <w:rPr>
          <w:rFonts w:ascii="Times New Roman" w:hAnsi="Times New Roman" w:cs="Times New Roman"/>
          <w:lang w:val="en-US"/>
        </w:rPr>
        <w:t xml:space="preserve"> </w:t>
      </w:r>
      <w:r w:rsidR="002E57B8">
        <w:rPr>
          <w:rFonts w:ascii="Times New Roman" w:hAnsi="Times New Roman" w:cs="Times New Roman"/>
          <w:lang w:val="en-US"/>
        </w:rPr>
        <w:t>shoots</w:t>
      </w:r>
      <w:r w:rsidR="00B333CE" w:rsidRPr="00D8767A">
        <w:rPr>
          <w:rFonts w:ascii="Times New Roman" w:hAnsi="Times New Roman" w:cs="Times New Roman"/>
          <w:lang w:val="en-US"/>
        </w:rPr>
        <w:t xml:space="preserve"> </w:t>
      </w:r>
      <w:r w:rsidR="00421FB6" w:rsidRPr="00D8767A">
        <w:rPr>
          <w:rFonts w:ascii="Times New Roman" w:hAnsi="Times New Roman" w:cs="Times New Roman"/>
          <w:color w:val="000000"/>
          <w:lang w:val="en-US"/>
        </w:rPr>
        <w:fldChar w:fldCharType="begin" w:fldLock="1"/>
      </w:r>
      <w:r w:rsidR="002C7ADD" w:rsidRPr="00D8767A">
        <w:rPr>
          <w:rFonts w:ascii="Times New Roman" w:hAnsi="Times New Roman" w:cs="Times New Roman"/>
          <w:color w:val="000000"/>
          <w:lang w:val="en-US"/>
        </w:rPr>
        <w:instrText>ADDIN CSL_CITATION {"citationItems":[{"id":"ITEM-1","itemData":{"DOI":"10.1016/j.envpol.2007.11.015","ISSN":"02697491","PMID":"18155817","abstract":"This paper reviews current remediation technologies that use chelating agents for the mobilization and removal of potentially toxic metals from contaminated soils. These processes can be done in situ as enhanced phytoextraction, chelant enhanced electrokinetic extraction and soil flushing, or ex situ as the extraction of soil slurry and soil heap/column leaching. Current proposals on how to treat and recycle waste washing solutions after soil is washed are discussed. The major controlling factors in phytoextraction and possible strategies for reducing the leaching of metals associated with the application of chelants are also reviewed. Finally, the possible impact of abiotic and biotic soil factors on the toxicity of metals left after the washing of soil and enhanced phytoextraction are briefly addressed. © 2007 Elsevier Ltd. All rights reserved.","author":[{"dropping-particle":"","family":"Leštan","given":"Domen","non-dropping-particle":"","parse-names":false,"suffix":""},{"dropping-particle":"","family":"Luo","given":"Chun ling","non-dropping-particle":"","parse-names":false,"suffix":""},{"dropping-particle":"","family":"Li","given":"Xiang dong","non-dropping-particle":"","parse-names":false,"suffix":""}],"container-title":"Environmental Pollution","id":"ITEM-1","issue":"1","issued":{"date-parts":[["2008"]]},"page":"3-13","title":"The use of chelating agents in the remediation of metal-contaminated soils: A review","type":"article-journal","volume":"153"},"uris":["http://www.mendeley.com/documents/?uuid=f3b1c885-7e8f-4fd3-8e70-4949ee2dae6f"]},{"id":"ITEM-2","itemData":{"DOI":"10.3390/plants9060756","ISSN":"22237747","abstract":"Copper (Cu) is an important micronutrient for a plantʹs normal growth and development. However, excess amount of Cu in the soil causes many severe problems in plants— which ultimately affect crop productivity and yield. Moreover, excess of Cu contents causes oxidative damage in the plant tissues by generating excess of reactive oxygen species (ROS). The present experiment was designed to investigate the phytoextraction potential of Cu, morpho-physiological features and biochemical reaction of jute (Corchorus capsularis L.) seedlings using ethylenediaminetetraacetic acid (EDTA) of 3 mM under different Cu levels (0 (control), 50 and 100 μM) in a hydroponic nutrient solution (Hoagland). Our results showed that elevated Cu rates (50 and 100 μM) in the nutrient solution significantly reduced plant height, fresh and dry biomass, total chlorophyll content and gaseous exchange attributes in C. capsularis seedlings. As the concentration of Cu in the medium increased (50 and 100 μM), the level of malondialdehyde (MDA) and oxidative stress in C. capsularis seedlings also increased, which could have been controlled by antioxidant activity in particular plant cells. In addition, rising Cu concentration in the nutrient solution also increased Cu uptake and accumulation in roots and leaves as well as affected the ultrastructure of chloroplast of C. capsularis seedlings. The addition of EDTA to the nutrient solution significantly alleviated Cu toxicity in C. capsularis seedlings, showing a significantly increase in plant growth and biomass. MDA contents was not significantly increased in EDTA‐induced plants, suggesting that this treatment was helpful in capturing ROS and thereby reducing ROS in in C. capsularis seedlings. EDTA modification with Cu, although the bioaccumulation factor in roots and leaves and translocation factor for the leaves of C. capsularis seedlings has significantly increased. These results indicate that C. capsularis has considerable potential to cope with Cu stress and is capable of removing a large quantity of Cu from the Cu-contaminated soil while using EDTA is a useful strategy to increase plant growth and biomass with Cu absorption capabilities.","author":[{"dropping-particle":"","family":"Saleem","given":"Muhammad Hamzah","non-dropping-particle":"","parse-names":false,"suffix":""},{"dropping-particle":"","family":"Ali","given":"Shafaqat","non-dropping-particle":"","parse-names":false,"suffix":""},{"dropping-particle":"","family":"Kamran","given":"Muhammad","non-dropping-particle":"","parse-names":false,"suffix":""},{"dropping-particle":"","family":"Iqbal","given":"Naeem","non-dropping-particle":"","parse-names":false,"suffix":""},{"dropping-particle":"","family":"Azeem","given":"Muhammad","non-dropping-particle":"","parse-names":false,"suffix":""},{"dropping-particle":"","family":"Javed","given":"Muhammad Tariq","non-dropping-particle":"","parse-names":false,"suffix":""},{"dropping-particle":"","family":"Ali","given":"Qasim","non-dropping-particle":"","parse-names":false,"suffix":""},{"dropping-particle":"","family":"Haider","given":"Muhammad Zulqurnain","non-dropping-particle":"","parse-names":false,"suffix":""},{"dropping-particle":"","family":"Irshad","given":"Sana","non-dropping-particle":"","parse-names":false,"suffix":""},{"dropping-particle":"","family":"Rizwan","given":"Muhammad","non-dropping-particle":"","parse-names":false,"suffix":""},{"dropping-particle":"","family":"Alkahtani","given":"Saad","non-dropping-particle":"","parse-names":false,"suffix":""},{"dropping-particle":"","family":"Abdel‐daim","given":"Mohamed M.","non-dropping-particle":"","parse-names":false,"suffix":""}],"container-title":"Plants","id":"ITEM-2","issue":"6","issued":{"date-parts":[["2020"]]},"page":"1-20","title":"Ethylenediaminetetraacetic acid (Edta) mitigates the toxic effect of excessive copper concentrations on growth, gaseous exchange and chloroplast ultrastructure of corchorus capsularis l. and improves copper accumulation capabilities","type":"article-journal","volume":"9"},"uris":["http://www.mendeley.com/documents/?uuid=7e8d3841-dfea-4ed1-a048-795593c9bf46"]},{"id":"ITEM-3","itemData":{"DOI":"10.1016/j.chemosphere.2004.09.100","ISSN":"00456535","PMID":"15698638","abstract":"Chemically enhanced phytoextraction has been proposed as an effective approach to removing heavy metals from contaminated soil through the use of high biomass plants. Using pot experiments, the effects of the application of EDTA, EDDS and citric acid on the uptake of Cu, Pb, Zn and Cd by corn (Zea mays L. cv. Nongda 108) and bean (Phaseolus vulgaris L. white bean) plants were studied. The results showed that EDDS was more effective than EDTA at increasing the concentration of Cu in corn and beans. The application of 5 mmol kg-1 soil EDDS to soil significantly increased concentrations of Cu in shoots, with maximum levels of 2060 and 5130 mg kg-1 DW in corn and beans, respectively, which were 45- and 135-fold higher than that in the corresponding control plants to which chelate had not been applied. Concentrations of Zn in shoots were also higher in the plants treated with EDDS than in those treated with EDTA. For Pb and Cd, EDDS was less effective than EDTA. The maximum Cu phytoextraction was found with the EDDS treatment. The application of EDTA and EDDS also significantly increased the shoot-to-root ratios of the concentrations of Cu, Pb, Zn and Cd in both plant species. The results of metal extraction with chelates showed that EDDS was more efficient at solubilizing Cu and Zn than EDTA, and that EDTA was better at solubilizing Pb and Cd than EDDS. © 2004 Elsevier Ltd. All rights reserved.","author":[{"dropping-particle":"","family":"Luo","given":"Chunling","non-dropping-particle":"","parse-names":false,"suffix":""},{"dropping-particle":"","family":"Shen","given":"Zhenguo","non-dropping-particle":"","parse-names":false,"suffix":""},{"dropping-particle":"","family":"Li","given":"Xiangdong","non-dropping-particle":"","parse-names":false,"suffix":""}],"container-title":"Chemosphere","id":"ITEM-3","issue":"1","issued":{"date-parts":[["2005"]]},"page":"1-11","title":"Enhanced phytoextraction of Cu, Pb, Zn and Cd with EDTA and EDDS","type":"article-journal","volume":"59"},"uris":["http://www.mendeley.com/documents/?uuid=018c6653-fc46-4fef-9510-4f91b6d92d2d"]},{"id":"ITEM-4","itemData":{"DOI":"10.1016/j.envpol.2006.02.012","ISSN":"02697491","PMID":"16616805","abstract":"The potential of 18 different plants to be used in the chemically enhanced phytoextraction of Cu, Pb, Zn and Cd was assessed using pot experiments. Chrysanthemum coronarium L. was the species most sensitive to the application of EDTA, and had the highest enhancement of Cu and Pb concentrations in its shoots. Compared with EDTA, EDDS was more effective in enhancing the concentration of Cu in the shoots of Chrysanthemum coronarium L. and Zea mays L. grown on multi-metal contaminated soils. The EDTA-treated soil still had a significant ability to enhance the concentrations of Cu and Pb in the shoots of Zea mays L. six months after the chelant treatment. However, the EDDS-treated soil did not have any effect in enhancing the concentrations of metals in the shoots of Zea mays L. in the second crop test. The results may indicate that EDDS biodegrades more rapidly than EDTA in soil and is better in limiting potential metal leaching. © 2006 Elsevier Ltd. All rights reserved.","author":[{"dropping-particle":"","family":"Luo","given":"Chunling","non-dropping-particle":"","parse-names":false,"suffix":""},{"dropping-particle":"","family":"Shen","given":"Zhenguo","non-dropping-particle":"","parse-names":false,"suffix":""},{"dropping-particle":"","family":"Lou","given":"Laiqing","non-dropping-particle":"","parse-names":false,"suffix":""},{"dropping-particle":"","family":"Li","given":"Xiangdong","non-dropping-particle":"","parse-names":false,"suffix":""}],"container-title":"Environmental Pollution","id":"ITEM-4","issue":"3","issued":{"date-parts":[["2006"]]},"page":"862-871","title":"EDDS and EDTA-enhanced phytoextraction of metals from artificially contaminated soil and residual effects of chelant compounds","type":"article-journal","volume":"144"},"uris":["http://www.mendeley.com/documents/?uuid=2cc29658-0f5e-46f7-b46c-af0c732ed28d"]},{"id":"ITEM-5","itemData":{"DOI":"10.1007/s11356-014-3431-5","ISSN":"16147499","PMID":"25163559","abstract":"Copper (Cu) is an essential micronutrient for normal plant growth and development, but in excess, it is also toxic to plants. The present study investigated the influence of ethylenediaminetetraacetic acid (EDTA) in enhancing Cu uptake and tolerance as well as the morphological and physiological responses of Brassica napus L. seedlings under Cu stress. Four-week-old seedlings were transferred to hydroponics containing Hoagland’s nutrient solution. After 2 weeks of transplanting, three levels (0, 50, and 100 μM) of Cu were applied with or without application of 2.5 mM EDTA and plants were further grown for 8 weeks in culture media. Results showed that Cu alone significantly decreased plant growth, biomass, photosynthetic pigments, and gas exchange characteristics. Cu stress also reduced the activities of antioxidants, such as superoxide dismutase (SOD), peroxidase (POD), ascorbate peroxidase (APX), and catalase (CAT) along with protein contents. Cu toxicity increased the concentration of reactive oxygen species (ROS) as indicated by the increased production of malondialdehyde (MDA) and hydrogen peroxide (H2O2) in both leaves and roots. The application of EDTA significantly alleviated Cu-induced toxic effects in B. napus, showing remarkable improvement in all these parameters. EDTA amendment increased the activity of antioxidant enzymes by decreasing the concentrations of MDA and H2O2 both in leaves and roots of B. napus. Although, EDTA amendment with Cu significantly increased Cu uptake in roots, stems, and leaves in decreasing order of concentration but increased the growth, photosynthetic parameters, and antioxidant enzymes. These results showed that the application of EDTA can be a useful strategy for phytoextraction of Cu by B. napus from contaminated soils.","author":[{"dropping-particle":"","family":"Habiba","given":"Ume","non-dropping-particle":"","parse-names":false,"suffix":""},{"dropping-particle":"","family":"Ali","given":"Shafaqat","non-dropping-particle":"","parse-names":false,"suffix":""},{"dropping-particle":"","family":"Farid","given":"Mujahid","non-dropping-particle":"","parse-names":false,"suffix":""},{"dropping-particle":"","family":"Shakoor","given":"Muhammad Bilal","non-dropping-particle":"","parse-names":false,"suffix":""},{"dropping-particle":"","family":"Rizwan","given":"Muhammad","non-dropping-particle":"","parse-names":false,"suffix":""},{"dropping-particle":"","family":"Ibrahim","given":"Muhammad","non-dropping-particle":"","parse-names":false,"suffix":""},{"dropping-particle":"","family":"Abbasi","given":"Ghulam Hasan","non-dropping-particle":"","parse-names":false,"suffix":""},{"dropping-particle":"","family":"Hayat","given":"Tahir","non-dropping-particle":"","parse-names":false,"suffix":""},{"dropping-particle":"","family":"Ali","given":"Basharat","non-dropping-particle":"","parse-names":false,"suffix":""}],"container-title":"Environmental Science and Pollution Research","id":"ITEM-5","issue":"2","issued":{"date-parts":[["2015"]]},"page":"1534-1544","title":"EDTA enhanced plant growth, antioxidant defense system, and phytoextraction of copper by Brassica napus L","type":"article-journal","volume":"22"},"uris":["http://www.mendeley.com/documents/?uuid=aece4670-687f-444f-b834-7001b98b3c42"]},{"id":"ITEM-6","itemData":{"DOI":"10.1023/A:1025527931486","ISSN":"0032079X","abstract":"EDTA-enhanced phytoremediation of copper contaminated soil was evaluated. Up to 740 μg g-1 of Na2H2 EDTA in solution was added to repacked soil columns, and intact cores of a sandy loam of volcanic origin, that was growing Agrostis tenuis. The soil contained up to 400 μg g-1 of copper due to a history of fungicide spraying. EDTA application increased the herbage copper concentration of the grass growing in repacked soil from 30 to 300 μg g-1, but the same application to an intact core only brought about an increase from 10 to 60 μg g-1. More copper accumulated in the herbage when the EDTA was applied in numerous small doses than in just one or two larger amounts. Calculation of the concentration of copper in the water taken up by the grass revealed this to be two orders of magnitude lower than that in the soil solution. As a result of the EDTA applications, about 100 times more copper was leached than was taken up by the herbage. This means that a strategy for managing leaching losses needs to be part of any plan for EDTA-enhanced phytoremediation.","author":[{"dropping-particle":"","family":"Thayalakumaran","given":"T.","non-dropping-particle":"","parse-names":false,"suffix":""},{"dropping-particle":"","family":"Robinson","given":"B. H.","non-dropping-particle":"","parse-names":false,"suffix":""},{"dropping-particle":"","family":"Vogeler","given":"I.","non-dropping-particle":"","parse-names":false,"suffix":""},{"dropping-particle":"","family":"Scotter","given":"D. R.","non-dropping-particle":"","parse-names":false,"suffix":""},{"dropping-particle":"","family":"Clothier","given":"B. E.","non-dropping-particle":"","parse-names":false,"suffix":""},{"dropping-particle":"","family":"Percival","given":"H. J.","non-dropping-particle":"","parse-names":false,"suffix":""}],"container-title":"Plant and Soil","id":"ITEM-6","issue":"2","issued":{"date-parts":[["2003"]]},"page":"415-423","title":"Plant uptake and leaching of copper during EDTA-enhanced phytoremediation of repacked and undisturbed soil","type":"article-journal","volume":"254"},"uris":["http://www.mendeley.com/documents/?uuid=040f8b08-4426-4bb5-aced-8e59cc6ddd40"]}],"mendeley":{"formattedCitation":"(Habiba et al., 2015; Leštan et al., 2008; Luo et al., 2006, 2005; Saleem et al., 2020; Thayalakumaran et al., 2003)","plainTextFormattedCitation":"(Habiba et al., 2015; Leštan et al., 2008; Luo et al., 2006, 2005; Saleem et al., 2020; Thayalakumaran et al., 2003)","previouslyFormattedCitation":"(Habiba et al., 2015; Leštan et al., 2008; Luo et al., 2006, 2005; Saleem et al., 2020; Thayalakumaran et al., 2003)"},"properties":{"noteIndex":0},"schema":"https://github.com/citation-style-language/schema/raw/master/csl-citation.json"}</w:instrText>
      </w:r>
      <w:r w:rsidR="00421FB6" w:rsidRPr="00D8767A">
        <w:rPr>
          <w:rFonts w:ascii="Times New Roman" w:hAnsi="Times New Roman" w:cs="Times New Roman"/>
          <w:color w:val="000000"/>
          <w:lang w:val="en-US"/>
        </w:rPr>
        <w:fldChar w:fldCharType="separate"/>
      </w:r>
      <w:r w:rsidR="000E79E6" w:rsidRPr="00D8767A">
        <w:rPr>
          <w:rFonts w:ascii="Times New Roman" w:hAnsi="Times New Roman" w:cs="Times New Roman"/>
          <w:noProof/>
          <w:color w:val="000000"/>
          <w:lang w:val="en-US"/>
        </w:rPr>
        <w:t>(Habiba et al., 2015; Leštan et al., 2008; Luo et al., 2006, 2005; Saleem et al., 2020; Thayalakumaran et al., 2003)</w:t>
      </w:r>
      <w:r w:rsidR="00421FB6" w:rsidRPr="00D8767A">
        <w:rPr>
          <w:rFonts w:ascii="Times New Roman" w:hAnsi="Times New Roman" w:cs="Times New Roman"/>
          <w:color w:val="000000"/>
          <w:lang w:val="en-US"/>
        </w:rPr>
        <w:fldChar w:fldCharType="end"/>
      </w:r>
      <w:r w:rsidR="00507609" w:rsidRPr="00D8767A">
        <w:rPr>
          <w:rFonts w:ascii="Times New Roman" w:hAnsi="Times New Roman" w:cs="Times New Roman"/>
          <w:lang w:val="en-US"/>
        </w:rPr>
        <w:t xml:space="preserve"> </w:t>
      </w:r>
      <w:r w:rsidR="00B333CE" w:rsidRPr="00D8767A">
        <w:rPr>
          <w:rFonts w:ascii="Times New Roman" w:hAnsi="Times New Roman" w:cs="Times New Roman"/>
          <w:bCs/>
          <w:color w:val="000000" w:themeColor="text1"/>
          <w:lang w:val="en-US"/>
        </w:rPr>
        <w:t xml:space="preserve">with potential negative consequences for plant growth </w:t>
      </w:r>
      <w:r w:rsidR="00B7084F" w:rsidRPr="00D8767A">
        <w:rPr>
          <w:rFonts w:ascii="Times New Roman" w:hAnsi="Times New Roman" w:cs="Times New Roman"/>
          <w:bCs/>
          <w:color w:val="000000" w:themeColor="text1"/>
          <w:lang w:val="en-US"/>
        </w:rPr>
        <w:fldChar w:fldCharType="begin" w:fldLock="1"/>
      </w:r>
      <w:r w:rsidR="002C7ADD" w:rsidRPr="00D8767A">
        <w:rPr>
          <w:rFonts w:ascii="Times New Roman" w:hAnsi="Times New Roman" w:cs="Times New Roman"/>
          <w:bCs/>
          <w:color w:val="000000" w:themeColor="text1"/>
          <w:lang w:val="en-US"/>
        </w:rPr>
        <w:instrText>ADDIN CSL_CITATION {"citationItems":[{"id":"ITEM-1","itemData":{"DOI":"10.1007/s11356-015-4496-5","ISSN":"0944-1344","PMID":"25874438","abstract":"In recent years, copper (Cu) pollution in agricultural soils, due to arbitrary use of pesticides, fungicides, industrial effluent and wastewater irrigation, present a major concern for sustainable agrifood production especially in developing countries. The world's major food requirement is fulfilled through agricultural food crops. The Cu-induced losses in growth and yield of food crops probably exceeds from all other causes of food safety and security threats. Here, we review the adverse effects of Cu excess on growth and yield of essential food crops. Numerous studies reported the Cu-induced growth inhibition, oxidative damage and antioxidant response in agricultural food crops such as wheat, rice, maize, sunflower and cucumber. This article also describes the toxic levels of Cu in crops that decreased plant growth and yield due to alterations in mineral nutrition, photosynthesis, enzyme activities and decrease in chlorophyll biosynthesis. The response of various crops to elevated Cu concentrations varies depending upon nature of crop and cultivars used. This review could be helpful to understand the Cu toxicity and the mechanism of its tolerance in food crops. We recommend that Cu-tolerant crops should be grown on Cu-contaminated soils in order to ameliorate the toxic effects for sustainable farming systems and to meet the food demands of the intensively increasing population.","author":[{"dropping-particle":"","family":"Adrees","given":"Muhammad","non-dropping-particle":"","parse-names":false,"suffix":""},{"dropping-particle":"","family":"Ali","given":"Shafaqat","non-dropping-particle":"","parse-names":false,"suffix":""},{"dropping-particle":"","family":"Rizwan","given":"Muhammad","non-dropping-particle":"","parse-names":false,"suffix":""},{"dropping-particle":"","family":"Ibrahim","given":"Muhammad","non-dropping-particle":"","parse-names":false,"suffix":""},{"dropping-particle":"","family":"Abbas","given":"Farhat","non-dropping-particle":"","parse-names":false,"suffix":""},{"dropping-particle":"","family":"Farid","given":"Mujahid","non-dropping-particle":"","parse-names":false,"suffix":""},{"dropping-particle":"","family":"Zia-ur-Rehman","given":"Muhammad","non-dropping-particle":"","parse-names":false,"suffix":""},{"dropping-particle":"","family":"Irshad","given":"Muhammad Kashif","non-dropping-particle":"","parse-names":false,"suffix":""},{"dropping-particle":"","family":"Bharwana","given":"Saima Aslam","non-dropping-particle":"","parse-names":false,"suffix":""}],"container-title":"Environmental Science and Pollution Research","id":"ITEM-1","issue":"11","issued":{"date-parts":[["2015","6","15"]]},"page":"8148-8162","title":"The effect of excess copper on growth and physiology of important food crops: a review","type":"article-journal","volume":"22"},"uris":["http://www.mendeley.com/documents/?uuid=3a985420-4cb7-3cd7-a9d9-85a356428b3c"]}],"mendeley":{"formattedCitation":"(Adrees et al., 2015)","plainTextFormattedCitation":"(Adrees et al., 2015)","previouslyFormattedCitation":"(Adrees et al., 2015)"},"properties":{"noteIndex":0},"schema":"https://github.com/citation-style-language/schema/raw/master/csl-citation.json"}</w:instrText>
      </w:r>
      <w:r w:rsidR="00B7084F" w:rsidRPr="00D8767A">
        <w:rPr>
          <w:rFonts w:ascii="Times New Roman" w:hAnsi="Times New Roman" w:cs="Times New Roman"/>
          <w:bCs/>
          <w:color w:val="000000" w:themeColor="text1"/>
          <w:lang w:val="en-US"/>
        </w:rPr>
        <w:fldChar w:fldCharType="separate"/>
      </w:r>
      <w:r w:rsidR="000E79E6" w:rsidRPr="00D8767A">
        <w:rPr>
          <w:rFonts w:ascii="Times New Roman" w:hAnsi="Times New Roman" w:cs="Times New Roman"/>
          <w:bCs/>
          <w:noProof/>
          <w:color w:val="000000" w:themeColor="text1"/>
          <w:lang w:val="en-US"/>
        </w:rPr>
        <w:t>(Adrees et al., 2015)</w:t>
      </w:r>
      <w:r w:rsidR="00B7084F" w:rsidRPr="00D8767A">
        <w:rPr>
          <w:rFonts w:ascii="Times New Roman" w:hAnsi="Times New Roman" w:cs="Times New Roman"/>
          <w:bCs/>
          <w:color w:val="000000" w:themeColor="text1"/>
          <w:lang w:val="en-US"/>
        </w:rPr>
        <w:fldChar w:fldCharType="end"/>
      </w:r>
      <w:r w:rsidR="00507609" w:rsidRPr="00D8767A">
        <w:rPr>
          <w:rFonts w:ascii="Times New Roman" w:hAnsi="Times New Roman" w:cs="Times New Roman"/>
          <w:bCs/>
          <w:color w:val="000000" w:themeColor="text1"/>
          <w:lang w:val="en-US"/>
        </w:rPr>
        <w:t xml:space="preserve">. </w:t>
      </w:r>
      <w:r w:rsidR="00E67ACA" w:rsidRPr="00D8767A">
        <w:rPr>
          <w:rFonts w:ascii="Times New Roman" w:hAnsi="Times New Roman" w:cs="Times New Roman"/>
          <w:bCs/>
          <w:color w:val="000000" w:themeColor="text1"/>
          <w:lang w:val="en-US"/>
        </w:rPr>
        <w:t>This was evident in root biomass</w:t>
      </w:r>
      <w:r w:rsidR="00E31F65" w:rsidRPr="00D8767A">
        <w:rPr>
          <w:rFonts w:ascii="Times New Roman" w:hAnsi="Times New Roman" w:cs="Times New Roman"/>
          <w:bCs/>
          <w:color w:val="000000" w:themeColor="text1"/>
          <w:lang w:val="en-US"/>
        </w:rPr>
        <w:t xml:space="preserve"> (</w:t>
      </w:r>
      <w:r w:rsidR="0041546E" w:rsidRPr="00D8767A">
        <w:rPr>
          <w:rFonts w:ascii="Times New Roman" w:hAnsi="Times New Roman" w:cs="Times New Roman"/>
          <w:bCs/>
          <w:color w:val="000000" w:themeColor="text1"/>
          <w:lang w:val="en-US"/>
        </w:rPr>
        <w:t>Figure</w:t>
      </w:r>
      <w:r w:rsidR="00E31F65" w:rsidRPr="00D8767A">
        <w:rPr>
          <w:rFonts w:ascii="Times New Roman" w:hAnsi="Times New Roman" w:cs="Times New Roman"/>
          <w:bCs/>
          <w:color w:val="000000" w:themeColor="text1"/>
          <w:lang w:val="en-US"/>
        </w:rPr>
        <w:t xml:space="preserve"> 1)</w:t>
      </w:r>
      <w:r w:rsidR="00E67ACA" w:rsidRPr="00D8767A">
        <w:rPr>
          <w:rFonts w:ascii="Times New Roman" w:hAnsi="Times New Roman" w:cs="Times New Roman"/>
          <w:bCs/>
          <w:color w:val="000000" w:themeColor="text1"/>
          <w:lang w:val="en-US"/>
        </w:rPr>
        <w:t xml:space="preserve">, </w:t>
      </w:r>
      <w:r w:rsidR="009E373A" w:rsidRPr="00D8767A">
        <w:rPr>
          <w:rFonts w:ascii="Times New Roman" w:hAnsi="Times New Roman" w:cs="Times New Roman"/>
          <w:bCs/>
          <w:color w:val="000000" w:themeColor="text1"/>
          <w:lang w:val="en-US"/>
        </w:rPr>
        <w:t xml:space="preserve">that </w:t>
      </w:r>
      <w:r w:rsidR="00E67ACA" w:rsidRPr="00D8767A">
        <w:rPr>
          <w:rFonts w:ascii="Times New Roman" w:hAnsi="Times New Roman" w:cs="Times New Roman"/>
          <w:bCs/>
          <w:color w:val="000000" w:themeColor="text1"/>
          <w:lang w:val="en-US"/>
        </w:rPr>
        <w:t xml:space="preserve">was not </w:t>
      </w:r>
      <w:r w:rsidR="00295175" w:rsidRPr="00D8767A">
        <w:rPr>
          <w:rFonts w:ascii="Times New Roman" w:hAnsi="Times New Roman" w:cs="Times New Roman"/>
          <w:bCs/>
          <w:color w:val="000000" w:themeColor="text1"/>
          <w:lang w:val="en-US"/>
        </w:rPr>
        <w:t xml:space="preserve">significantly </w:t>
      </w:r>
      <w:r w:rsidR="00E67ACA" w:rsidRPr="00D8767A">
        <w:rPr>
          <w:rFonts w:ascii="Times New Roman" w:hAnsi="Times New Roman" w:cs="Times New Roman"/>
          <w:bCs/>
          <w:color w:val="000000" w:themeColor="text1"/>
          <w:lang w:val="en-US"/>
        </w:rPr>
        <w:t xml:space="preserve">affected by the addition of Cu, but showed </w:t>
      </w:r>
      <w:r w:rsidR="00F910F1" w:rsidRPr="00D8767A">
        <w:rPr>
          <w:rFonts w:ascii="Times New Roman" w:hAnsi="Times New Roman" w:cs="Times New Roman"/>
          <w:bCs/>
          <w:color w:val="000000" w:themeColor="text1"/>
          <w:lang w:val="en-US"/>
        </w:rPr>
        <w:t>a significant</w:t>
      </w:r>
      <w:r w:rsidR="00E67ACA" w:rsidRPr="00D8767A">
        <w:rPr>
          <w:rFonts w:ascii="Times New Roman" w:hAnsi="Times New Roman" w:cs="Times New Roman"/>
          <w:bCs/>
          <w:color w:val="000000" w:themeColor="text1"/>
          <w:lang w:val="en-US"/>
        </w:rPr>
        <w:t xml:space="preserve"> decrease when </w:t>
      </w:r>
      <w:r w:rsidR="00EF1E15" w:rsidRPr="00D8767A">
        <w:rPr>
          <w:rFonts w:ascii="Times New Roman" w:hAnsi="Times New Roman" w:cs="Times New Roman"/>
          <w:bCs/>
          <w:color w:val="000000" w:themeColor="text1"/>
          <w:lang w:val="en-US"/>
        </w:rPr>
        <w:t>F</w:t>
      </w:r>
      <w:r w:rsidR="004C624A" w:rsidRPr="00D8767A">
        <w:rPr>
          <w:rFonts w:ascii="Times New Roman" w:hAnsi="Times New Roman" w:cs="Times New Roman"/>
          <w:bCs/>
          <w:color w:val="000000" w:themeColor="text1"/>
          <w:lang w:val="en-US"/>
        </w:rPr>
        <w:t>e</w:t>
      </w:r>
      <w:r w:rsidR="00EF1E15" w:rsidRPr="00D8767A">
        <w:rPr>
          <w:rFonts w:ascii="Times New Roman" w:hAnsi="Times New Roman" w:cs="Times New Roman"/>
          <w:bCs/>
          <w:color w:val="000000" w:themeColor="text1"/>
          <w:lang w:val="en-US"/>
        </w:rPr>
        <w:t>N</w:t>
      </w:r>
      <w:r w:rsidR="004C624A" w:rsidRPr="00D8767A">
        <w:rPr>
          <w:rFonts w:ascii="Times New Roman" w:hAnsi="Times New Roman" w:cs="Times New Roman"/>
          <w:bCs/>
          <w:color w:val="000000" w:themeColor="text1"/>
          <w:lang w:val="en-US"/>
        </w:rPr>
        <w:t>a</w:t>
      </w:r>
      <w:r w:rsidR="00EF1E15" w:rsidRPr="00D8767A">
        <w:rPr>
          <w:rFonts w:ascii="Times New Roman" w:hAnsi="Times New Roman" w:cs="Times New Roman"/>
          <w:bCs/>
          <w:color w:val="000000" w:themeColor="text1"/>
          <w:lang w:val="en-US"/>
        </w:rPr>
        <w:t>EDTA</w:t>
      </w:r>
      <w:r w:rsidR="00E67ACA" w:rsidRPr="00D8767A">
        <w:rPr>
          <w:rFonts w:ascii="Times New Roman" w:hAnsi="Times New Roman" w:cs="Times New Roman"/>
          <w:bCs/>
          <w:color w:val="000000" w:themeColor="text1"/>
          <w:lang w:val="en-US"/>
        </w:rPr>
        <w:t xml:space="preserve"> was added together with Cu</w:t>
      </w:r>
      <w:r w:rsidR="00295175" w:rsidRPr="00D8767A">
        <w:rPr>
          <w:rFonts w:ascii="Times New Roman" w:hAnsi="Times New Roman" w:cs="Times New Roman"/>
          <w:bCs/>
          <w:color w:val="000000" w:themeColor="text1"/>
          <w:lang w:val="en-US"/>
        </w:rPr>
        <w:t>, regardless of the mycorrhizal inoculation treatment</w:t>
      </w:r>
      <w:r w:rsidR="00E67ACA" w:rsidRPr="00D8767A">
        <w:rPr>
          <w:rFonts w:ascii="Times New Roman" w:hAnsi="Times New Roman" w:cs="Times New Roman"/>
          <w:bCs/>
          <w:color w:val="000000" w:themeColor="text1"/>
          <w:lang w:val="en-US"/>
        </w:rPr>
        <w:t>.</w:t>
      </w:r>
      <w:r w:rsidR="00EF790C" w:rsidRPr="00D8767A">
        <w:rPr>
          <w:rFonts w:ascii="Times New Roman" w:hAnsi="Times New Roman" w:cs="Times New Roman"/>
          <w:bCs/>
          <w:color w:val="000000" w:themeColor="text1"/>
          <w:lang w:val="en-US"/>
        </w:rPr>
        <w:t xml:space="preserve"> </w:t>
      </w:r>
      <w:r w:rsidRPr="00D8767A">
        <w:rPr>
          <w:rFonts w:ascii="Times New Roman" w:hAnsi="Times New Roman" w:cs="Times New Roman"/>
          <w:bCs/>
          <w:lang w:val="en-US"/>
        </w:rPr>
        <w:t>I</w:t>
      </w:r>
      <w:r w:rsidR="00F910F1" w:rsidRPr="00D8767A">
        <w:rPr>
          <w:rFonts w:ascii="Times New Roman" w:hAnsi="Times New Roman" w:cs="Times New Roman"/>
          <w:bCs/>
          <w:lang w:val="en-US"/>
        </w:rPr>
        <w:t xml:space="preserve">n the </w:t>
      </w:r>
      <w:r w:rsidRPr="00D8767A">
        <w:rPr>
          <w:rFonts w:ascii="Times New Roman" w:hAnsi="Times New Roman" w:cs="Times New Roman"/>
          <w:bCs/>
          <w:lang w:val="en-US"/>
        </w:rPr>
        <w:t xml:space="preserve">first case, in the </w:t>
      </w:r>
      <w:r w:rsidR="00F910F1" w:rsidRPr="00D8767A">
        <w:rPr>
          <w:rFonts w:ascii="Times New Roman" w:hAnsi="Times New Roman" w:cs="Times New Roman"/>
          <w:bCs/>
          <w:lang w:val="en-US"/>
        </w:rPr>
        <w:t xml:space="preserve">Cu </w:t>
      </w:r>
      <w:r w:rsidR="00FC552A">
        <w:rPr>
          <w:rFonts w:ascii="Times New Roman" w:hAnsi="Times New Roman" w:cs="Times New Roman"/>
          <w:bCs/>
          <w:lang w:val="en-US"/>
        </w:rPr>
        <w:t>treated</w:t>
      </w:r>
      <w:r w:rsidR="00FC552A" w:rsidRPr="00D8767A">
        <w:rPr>
          <w:rFonts w:ascii="Times New Roman" w:hAnsi="Times New Roman" w:cs="Times New Roman"/>
          <w:bCs/>
          <w:lang w:val="en-US"/>
        </w:rPr>
        <w:t xml:space="preserve"> </w:t>
      </w:r>
      <w:r w:rsidR="00F910F1" w:rsidRPr="00D8767A">
        <w:rPr>
          <w:rFonts w:ascii="Times New Roman" w:hAnsi="Times New Roman" w:cs="Times New Roman"/>
          <w:bCs/>
          <w:lang w:val="en-US"/>
        </w:rPr>
        <w:t xml:space="preserve">soil, </w:t>
      </w:r>
      <w:r w:rsidR="00B7084F" w:rsidRPr="00D8767A">
        <w:rPr>
          <w:rFonts w:ascii="Times New Roman" w:hAnsi="Times New Roman" w:cs="Times New Roman"/>
          <w:bCs/>
          <w:lang w:val="en-US"/>
        </w:rPr>
        <w:t xml:space="preserve">plants inoculated with </w:t>
      </w:r>
      <w:r w:rsidR="00B7084F" w:rsidRPr="00D8767A">
        <w:rPr>
          <w:rFonts w:ascii="Times New Roman" w:hAnsi="Times New Roman" w:cs="Times New Roman"/>
          <w:bCs/>
          <w:i/>
          <w:iCs/>
          <w:lang w:val="en-US"/>
        </w:rPr>
        <w:t xml:space="preserve">R. </w:t>
      </w:r>
      <w:r w:rsidR="00B92074" w:rsidRPr="00D8767A">
        <w:rPr>
          <w:rFonts w:ascii="Times New Roman" w:hAnsi="Times New Roman" w:cs="Times New Roman"/>
          <w:bCs/>
          <w:i/>
          <w:iCs/>
          <w:lang w:val="en-US"/>
        </w:rPr>
        <w:t>irregulare</w:t>
      </w:r>
      <w:r w:rsidR="00B7084F" w:rsidRPr="00D8767A">
        <w:rPr>
          <w:rFonts w:ascii="Times New Roman" w:hAnsi="Times New Roman" w:cs="Times New Roman"/>
          <w:bCs/>
          <w:lang w:val="en-US"/>
        </w:rPr>
        <w:t xml:space="preserve"> and with </w:t>
      </w:r>
      <w:r w:rsidR="00B7084F" w:rsidRPr="00D8767A">
        <w:rPr>
          <w:rFonts w:ascii="Times New Roman" w:hAnsi="Times New Roman" w:cs="Times New Roman"/>
          <w:bCs/>
          <w:i/>
          <w:iCs/>
          <w:lang w:val="en-US"/>
        </w:rPr>
        <w:t xml:space="preserve">F. mosseae </w:t>
      </w:r>
      <w:r w:rsidR="00B7084F" w:rsidRPr="00D8767A">
        <w:rPr>
          <w:rFonts w:ascii="Times New Roman" w:hAnsi="Times New Roman" w:cs="Times New Roman"/>
          <w:bCs/>
          <w:lang w:val="en-US"/>
        </w:rPr>
        <w:t xml:space="preserve">showed significantly higher root dry weight than non-inoculated plants, demonstrating the inoculation of both AMF can help </w:t>
      </w:r>
      <w:r w:rsidR="004A4F25" w:rsidRPr="00D8767A">
        <w:rPr>
          <w:rFonts w:ascii="Times New Roman" w:hAnsi="Times New Roman" w:cs="Times New Roman"/>
          <w:bCs/>
          <w:lang w:val="en-US"/>
        </w:rPr>
        <w:t>grapevine</w:t>
      </w:r>
      <w:r w:rsidR="00FC552A">
        <w:rPr>
          <w:rFonts w:ascii="Times New Roman" w:hAnsi="Times New Roman" w:cs="Times New Roman"/>
          <w:bCs/>
          <w:lang w:val="en-US"/>
        </w:rPr>
        <w:t>s</w:t>
      </w:r>
      <w:r w:rsidR="004A4F25" w:rsidRPr="00D8767A">
        <w:rPr>
          <w:rFonts w:ascii="Times New Roman" w:hAnsi="Times New Roman" w:cs="Times New Roman"/>
          <w:bCs/>
          <w:lang w:val="en-US"/>
        </w:rPr>
        <w:t xml:space="preserve"> </w:t>
      </w:r>
      <w:r w:rsidR="00B7084F" w:rsidRPr="00D8767A">
        <w:rPr>
          <w:rFonts w:ascii="Times New Roman" w:hAnsi="Times New Roman" w:cs="Times New Roman"/>
          <w:bCs/>
          <w:lang w:val="en-US"/>
        </w:rPr>
        <w:t>sustain their growth</w:t>
      </w:r>
      <w:r w:rsidR="00AD2BB8" w:rsidRPr="00D8767A">
        <w:rPr>
          <w:rFonts w:ascii="Times New Roman" w:hAnsi="Times New Roman" w:cs="Times New Roman"/>
          <w:bCs/>
          <w:lang w:val="en-US"/>
        </w:rPr>
        <w:t xml:space="preserve"> under those conditions</w:t>
      </w:r>
      <w:r w:rsidR="00B7084F" w:rsidRPr="00D8767A">
        <w:rPr>
          <w:rFonts w:ascii="Times New Roman" w:hAnsi="Times New Roman" w:cs="Times New Roman"/>
          <w:bCs/>
          <w:lang w:val="en-US"/>
        </w:rPr>
        <w:t xml:space="preserve">, and hence, can </w:t>
      </w:r>
      <w:r w:rsidR="00AD2BB8" w:rsidRPr="00D8767A">
        <w:rPr>
          <w:rFonts w:ascii="Times New Roman" w:hAnsi="Times New Roman" w:cs="Times New Roman"/>
          <w:bCs/>
          <w:lang w:val="en-US"/>
        </w:rPr>
        <w:t>promote</w:t>
      </w:r>
      <w:r w:rsidR="004A4F25" w:rsidRPr="00D8767A">
        <w:rPr>
          <w:rFonts w:ascii="Times New Roman" w:hAnsi="Times New Roman" w:cs="Times New Roman"/>
          <w:bCs/>
          <w:lang w:val="en-US"/>
        </w:rPr>
        <w:t xml:space="preserve"> </w:t>
      </w:r>
      <w:r w:rsidR="00A43CDB" w:rsidRPr="00D8767A">
        <w:rPr>
          <w:rFonts w:ascii="Times New Roman" w:hAnsi="Times New Roman" w:cs="Times New Roman"/>
          <w:bCs/>
          <w:lang w:val="en-US"/>
        </w:rPr>
        <w:t xml:space="preserve">a higher </w:t>
      </w:r>
      <w:r w:rsidR="004A4F25" w:rsidRPr="00D8767A">
        <w:rPr>
          <w:rFonts w:ascii="Times New Roman" w:hAnsi="Times New Roman" w:cs="Times New Roman"/>
          <w:bCs/>
          <w:lang w:val="en-US"/>
        </w:rPr>
        <w:t xml:space="preserve">plant tolerance to this element </w:t>
      </w:r>
      <w:r w:rsidR="00B7084F" w:rsidRPr="00D8767A">
        <w:rPr>
          <w:rFonts w:ascii="Times New Roman" w:hAnsi="Times New Roman" w:cs="Times New Roman"/>
          <w:bCs/>
          <w:lang w:val="en-US"/>
        </w:rPr>
        <w:t xml:space="preserve">than </w:t>
      </w:r>
      <w:r w:rsidR="004A4F25" w:rsidRPr="00D8767A">
        <w:rPr>
          <w:rFonts w:ascii="Times New Roman" w:hAnsi="Times New Roman" w:cs="Times New Roman"/>
          <w:bCs/>
          <w:lang w:val="en-US"/>
        </w:rPr>
        <w:t xml:space="preserve">just the </w:t>
      </w:r>
      <w:r w:rsidR="00B7084F" w:rsidRPr="00D8767A">
        <w:rPr>
          <w:rFonts w:ascii="Times New Roman" w:hAnsi="Times New Roman" w:cs="Times New Roman"/>
          <w:bCs/>
          <w:lang w:val="en-US"/>
        </w:rPr>
        <w:t xml:space="preserve">native AMF. </w:t>
      </w:r>
      <w:r w:rsidRPr="00D8767A">
        <w:rPr>
          <w:rFonts w:ascii="Times New Roman" w:hAnsi="Times New Roman" w:cs="Times New Roman"/>
          <w:bCs/>
          <w:lang w:val="en-US"/>
        </w:rPr>
        <w:t xml:space="preserve">However, </w:t>
      </w:r>
      <w:r w:rsidRPr="00D8767A">
        <w:rPr>
          <w:rFonts w:ascii="Times New Roman" w:hAnsi="Times New Roman" w:cs="Times New Roman"/>
          <w:lang w:val="en-US"/>
        </w:rPr>
        <w:t xml:space="preserve">when FeNaEDTA was added to the soil together with the Cu solution, the inoculation with AMF did not represent an advantage to avoid the negative impact of </w:t>
      </w:r>
      <w:r w:rsidR="00295175" w:rsidRPr="00D8767A">
        <w:rPr>
          <w:rFonts w:ascii="Times New Roman" w:hAnsi="Times New Roman" w:cs="Times New Roman"/>
          <w:lang w:val="en-US"/>
        </w:rPr>
        <w:t xml:space="preserve">Cu </w:t>
      </w:r>
      <w:r w:rsidR="00C44BC7">
        <w:rPr>
          <w:rFonts w:ascii="Times New Roman" w:hAnsi="Times New Roman" w:cs="Times New Roman"/>
          <w:lang w:val="en-US"/>
        </w:rPr>
        <w:t>addition</w:t>
      </w:r>
      <w:r w:rsidRPr="00D8767A">
        <w:rPr>
          <w:rFonts w:ascii="Times New Roman" w:hAnsi="Times New Roman" w:cs="Times New Roman"/>
          <w:lang w:val="en-US"/>
        </w:rPr>
        <w:t xml:space="preserve">. </w:t>
      </w:r>
    </w:p>
    <w:p w14:paraId="735BB91E" w14:textId="698D737F" w:rsidR="00C11406" w:rsidRDefault="00A53FCE" w:rsidP="00336E53">
      <w:pPr>
        <w:spacing w:after="0" w:line="480" w:lineRule="auto"/>
        <w:jc w:val="both"/>
        <w:rPr>
          <w:rFonts w:ascii="Times New Roman" w:hAnsi="Times New Roman" w:cs="Times New Roman"/>
          <w:lang w:val="en-US"/>
        </w:rPr>
      </w:pPr>
      <w:bookmarkStart w:id="21" w:name="_Hlk73361939"/>
      <w:bookmarkStart w:id="22" w:name="_Hlk72998436"/>
      <w:r w:rsidRPr="00336E53">
        <w:rPr>
          <w:rFonts w:ascii="Times New Roman" w:hAnsi="Times New Roman" w:cs="Times New Roman"/>
          <w:bCs/>
          <w:lang w:val="en-US"/>
        </w:rPr>
        <w:t xml:space="preserve">On the other hand, </w:t>
      </w:r>
      <w:r w:rsidR="00C514B2">
        <w:rPr>
          <w:rFonts w:ascii="Times New Roman" w:hAnsi="Times New Roman" w:cs="Times New Roman"/>
          <w:bCs/>
          <w:lang w:val="en-US"/>
        </w:rPr>
        <w:t>the</w:t>
      </w:r>
      <w:r w:rsidR="003C1FAD">
        <w:rPr>
          <w:rFonts w:ascii="Times New Roman" w:hAnsi="Times New Roman" w:cs="Times New Roman"/>
          <w:bCs/>
          <w:lang w:val="en-US"/>
        </w:rPr>
        <w:t xml:space="preserve"> </w:t>
      </w:r>
      <w:r w:rsidR="00DA59AF" w:rsidRPr="00336E53">
        <w:rPr>
          <w:rFonts w:ascii="Times New Roman" w:hAnsi="Times New Roman" w:cs="Times New Roman"/>
          <w:bCs/>
          <w:lang w:val="en-US"/>
        </w:rPr>
        <w:t>mycorrhizal treatment</w:t>
      </w:r>
      <w:r w:rsidR="00DA59AF">
        <w:rPr>
          <w:rFonts w:ascii="Times New Roman" w:hAnsi="Times New Roman" w:cs="Times New Roman"/>
          <w:bCs/>
          <w:lang w:val="en-US"/>
        </w:rPr>
        <w:t xml:space="preserve"> showed a significant effect on </w:t>
      </w:r>
      <w:r w:rsidR="00DA59AF" w:rsidRPr="00336E53">
        <w:rPr>
          <w:rFonts w:ascii="Times New Roman" w:hAnsi="Times New Roman" w:cs="Times New Roman"/>
          <w:bCs/>
          <w:lang w:val="en-US"/>
        </w:rPr>
        <w:t>NDVI index</w:t>
      </w:r>
      <w:r w:rsidR="00DA59AF">
        <w:rPr>
          <w:rFonts w:ascii="Times New Roman" w:hAnsi="Times New Roman" w:cs="Times New Roman"/>
          <w:bCs/>
          <w:lang w:val="en-US"/>
        </w:rPr>
        <w:t xml:space="preserve">, </w:t>
      </w:r>
      <w:r w:rsidR="00DA59AF" w:rsidRPr="00336E53">
        <w:rPr>
          <w:rFonts w:ascii="Times New Roman" w:hAnsi="Times New Roman" w:cs="Times New Roman"/>
          <w:bCs/>
          <w:lang w:val="en-US"/>
        </w:rPr>
        <w:t xml:space="preserve">being plants inoculated with </w:t>
      </w:r>
      <w:r w:rsidR="00DA59AF" w:rsidRPr="00336E53">
        <w:rPr>
          <w:rFonts w:ascii="Times New Roman" w:hAnsi="Times New Roman" w:cs="Times New Roman"/>
          <w:bCs/>
          <w:i/>
          <w:iCs/>
          <w:lang w:val="en-US"/>
        </w:rPr>
        <w:t>R. irregulare</w:t>
      </w:r>
      <w:r w:rsidR="00DA59AF" w:rsidRPr="00336E53">
        <w:rPr>
          <w:rFonts w:ascii="Times New Roman" w:hAnsi="Times New Roman" w:cs="Times New Roman"/>
          <w:bCs/>
          <w:lang w:val="en-US"/>
        </w:rPr>
        <w:t xml:space="preserve"> the ones showing the highest values and non-inoculated ones the lowest </w:t>
      </w:r>
      <w:r w:rsidR="00DA59AF" w:rsidRPr="00336E53">
        <w:rPr>
          <w:rFonts w:ascii="Times New Roman" w:hAnsi="Times New Roman" w:cs="Times New Roman"/>
          <w:bCs/>
          <w:lang w:val="en-US"/>
        </w:rPr>
        <w:lastRenderedPageBreak/>
        <w:t>values (Figure 1</w:t>
      </w:r>
      <w:r w:rsidR="00F90041">
        <w:rPr>
          <w:rFonts w:ascii="Times New Roman" w:hAnsi="Times New Roman" w:cs="Times New Roman"/>
          <w:bCs/>
          <w:lang w:val="en-US"/>
        </w:rPr>
        <w:t>C</w:t>
      </w:r>
      <w:r w:rsidR="00DA59AF" w:rsidRPr="00336E53">
        <w:rPr>
          <w:rFonts w:ascii="Times New Roman" w:hAnsi="Times New Roman" w:cs="Times New Roman"/>
          <w:bCs/>
          <w:lang w:val="en-US"/>
        </w:rPr>
        <w:t>)</w:t>
      </w:r>
      <w:r w:rsidR="003C1FAD">
        <w:rPr>
          <w:rFonts w:ascii="Times New Roman" w:hAnsi="Times New Roman" w:cs="Times New Roman"/>
          <w:bCs/>
          <w:lang w:val="en-US"/>
        </w:rPr>
        <w:t>. Moreover</w:t>
      </w:r>
      <w:r w:rsidR="00DA59AF">
        <w:rPr>
          <w:rFonts w:ascii="Times New Roman" w:hAnsi="Times New Roman" w:cs="Times New Roman"/>
          <w:bCs/>
          <w:lang w:val="en-US"/>
        </w:rPr>
        <w:t xml:space="preserve">, </w:t>
      </w:r>
      <w:r w:rsidR="00FA7DC9" w:rsidRPr="00336E53">
        <w:rPr>
          <w:rFonts w:ascii="Times New Roman" w:hAnsi="Times New Roman" w:cs="Times New Roman"/>
          <w:bCs/>
          <w:lang w:val="en-US"/>
        </w:rPr>
        <w:t xml:space="preserve">root and </w:t>
      </w:r>
      <w:r w:rsidR="0008686C" w:rsidRPr="00336E53">
        <w:rPr>
          <w:rFonts w:ascii="Times New Roman" w:hAnsi="Times New Roman" w:cs="Times New Roman"/>
          <w:bCs/>
          <w:lang w:val="en-US"/>
        </w:rPr>
        <w:t>leaf</w:t>
      </w:r>
      <w:r w:rsidR="00F82CFA" w:rsidRPr="00336E53">
        <w:rPr>
          <w:rFonts w:ascii="Times New Roman" w:hAnsi="Times New Roman" w:cs="Times New Roman"/>
          <w:bCs/>
          <w:lang w:val="en-US"/>
        </w:rPr>
        <w:t xml:space="preserve"> N concentrations </w:t>
      </w:r>
      <w:r w:rsidR="00F77C9E" w:rsidRPr="00336E53">
        <w:rPr>
          <w:rFonts w:ascii="Times New Roman" w:hAnsi="Times New Roman" w:cs="Times New Roman"/>
          <w:bCs/>
          <w:lang w:val="en-US"/>
        </w:rPr>
        <w:t>presented</w:t>
      </w:r>
      <w:r w:rsidR="00F82CFA" w:rsidRPr="00336E53">
        <w:rPr>
          <w:rFonts w:ascii="Times New Roman" w:hAnsi="Times New Roman" w:cs="Times New Roman"/>
          <w:bCs/>
          <w:lang w:val="en-US"/>
        </w:rPr>
        <w:t xml:space="preserve"> the same </w:t>
      </w:r>
      <w:r w:rsidR="00E045D7">
        <w:rPr>
          <w:rFonts w:ascii="Times New Roman" w:hAnsi="Times New Roman" w:cs="Times New Roman"/>
          <w:bCs/>
          <w:lang w:val="en-US"/>
        </w:rPr>
        <w:t>trend</w:t>
      </w:r>
      <w:r w:rsidR="00E045D7" w:rsidRPr="00336E53">
        <w:rPr>
          <w:rFonts w:ascii="Times New Roman" w:hAnsi="Times New Roman" w:cs="Times New Roman"/>
          <w:bCs/>
          <w:lang w:val="en-US"/>
        </w:rPr>
        <w:t xml:space="preserve"> </w:t>
      </w:r>
      <w:r w:rsidR="00F77C9E" w:rsidRPr="00336E53">
        <w:rPr>
          <w:rFonts w:ascii="Times New Roman" w:hAnsi="Times New Roman" w:cs="Times New Roman"/>
          <w:bCs/>
          <w:lang w:val="en-US"/>
        </w:rPr>
        <w:t xml:space="preserve">(Table </w:t>
      </w:r>
      <w:r w:rsidR="00E02326" w:rsidRPr="00336E53">
        <w:rPr>
          <w:rFonts w:ascii="Times New Roman" w:hAnsi="Times New Roman" w:cs="Times New Roman"/>
          <w:bCs/>
          <w:lang w:val="en-US"/>
        </w:rPr>
        <w:t>2</w:t>
      </w:r>
      <w:r w:rsidR="00F77C9E" w:rsidRPr="00336E53">
        <w:rPr>
          <w:rFonts w:ascii="Times New Roman" w:hAnsi="Times New Roman" w:cs="Times New Roman"/>
          <w:bCs/>
          <w:lang w:val="en-US"/>
        </w:rPr>
        <w:t>)</w:t>
      </w:r>
      <w:bookmarkEnd w:id="21"/>
      <w:r w:rsidR="009F30A5" w:rsidRPr="00336E53">
        <w:rPr>
          <w:rFonts w:ascii="Times New Roman" w:hAnsi="Times New Roman" w:cs="Times New Roman"/>
          <w:bCs/>
          <w:lang w:val="en-US"/>
        </w:rPr>
        <w:t>.</w:t>
      </w:r>
      <w:bookmarkEnd w:id="22"/>
      <w:r w:rsidR="009F30A5" w:rsidRPr="00336E53">
        <w:rPr>
          <w:rFonts w:ascii="Times New Roman" w:hAnsi="Times New Roman" w:cs="Times New Roman"/>
          <w:bCs/>
          <w:lang w:val="en-US"/>
        </w:rPr>
        <w:t xml:space="preserve"> Although</w:t>
      </w:r>
      <w:r w:rsidR="001848C2" w:rsidRPr="00336E53">
        <w:rPr>
          <w:rFonts w:ascii="Times New Roman" w:hAnsi="Times New Roman" w:cs="Times New Roman"/>
          <w:bCs/>
          <w:lang w:val="en-US"/>
        </w:rPr>
        <w:t xml:space="preserve"> </w:t>
      </w:r>
      <w:r w:rsidR="009F30A5" w:rsidRPr="00336E53">
        <w:rPr>
          <w:rFonts w:ascii="Times New Roman" w:hAnsi="Times New Roman" w:cs="Times New Roman"/>
          <w:lang w:val="en-US"/>
        </w:rPr>
        <w:t xml:space="preserve">AMF are known to improve </w:t>
      </w:r>
      <w:r w:rsidR="00A30C28" w:rsidRPr="00336E53">
        <w:rPr>
          <w:rFonts w:ascii="Times New Roman" w:hAnsi="Times New Roman" w:cs="Times New Roman"/>
          <w:lang w:val="en-US"/>
        </w:rPr>
        <w:t>plant</w:t>
      </w:r>
      <w:r w:rsidR="009F30A5" w:rsidRPr="00336E53">
        <w:rPr>
          <w:rFonts w:ascii="Times New Roman" w:hAnsi="Times New Roman" w:cs="Times New Roman"/>
          <w:lang w:val="en-US"/>
        </w:rPr>
        <w:t xml:space="preserve"> uptake of NO</w:t>
      </w:r>
      <w:r w:rsidR="009F30A5" w:rsidRPr="00336E53">
        <w:rPr>
          <w:rFonts w:ascii="Times New Roman" w:hAnsi="Times New Roman" w:cs="Times New Roman"/>
          <w:vertAlign w:val="subscript"/>
          <w:lang w:val="en-US"/>
        </w:rPr>
        <w:t>3</w:t>
      </w:r>
      <w:r w:rsidR="009F30A5" w:rsidRPr="00336E53">
        <w:rPr>
          <w:rFonts w:ascii="Times New Roman" w:hAnsi="Times New Roman" w:cs="Times New Roman"/>
          <w:vertAlign w:val="superscript"/>
          <w:lang w:val="en-US"/>
        </w:rPr>
        <w:t>−</w:t>
      </w:r>
      <w:r w:rsidR="009F30A5" w:rsidRPr="00336E53">
        <w:rPr>
          <w:rFonts w:ascii="Times New Roman" w:hAnsi="Times New Roman" w:cs="Times New Roman"/>
          <w:lang w:val="en-US"/>
        </w:rPr>
        <w:t xml:space="preserve"> and NH</w:t>
      </w:r>
      <w:r w:rsidR="009F30A5" w:rsidRPr="00336E53">
        <w:rPr>
          <w:rFonts w:ascii="Times New Roman" w:hAnsi="Times New Roman" w:cs="Times New Roman"/>
          <w:vertAlign w:val="subscript"/>
          <w:lang w:val="en-US"/>
        </w:rPr>
        <w:t>4</w:t>
      </w:r>
      <w:r w:rsidR="009F30A5" w:rsidRPr="00336E53">
        <w:rPr>
          <w:rFonts w:ascii="Times New Roman" w:hAnsi="Times New Roman" w:cs="Times New Roman"/>
          <w:vertAlign w:val="superscript"/>
          <w:lang w:val="en-US"/>
        </w:rPr>
        <w:t>+</w:t>
      </w:r>
      <w:r w:rsidR="009F30A5" w:rsidRPr="00336E53">
        <w:rPr>
          <w:rFonts w:ascii="Times New Roman" w:hAnsi="Times New Roman" w:cs="Times New Roman"/>
          <w:lang w:val="en-US"/>
        </w:rPr>
        <w:t xml:space="preserve">, as well as organic N </w:t>
      </w:r>
      <w:r w:rsidR="00A30C28" w:rsidRPr="00336E53">
        <w:rPr>
          <w:rFonts w:ascii="Times New Roman" w:hAnsi="Times New Roman" w:cs="Times New Roman"/>
          <w:lang w:val="en-US"/>
        </w:rPr>
        <w:fldChar w:fldCharType="begin" w:fldLock="1"/>
      </w:r>
      <w:r w:rsidR="002C7ADD" w:rsidRPr="00336E53">
        <w:rPr>
          <w:rFonts w:ascii="Times New Roman" w:hAnsi="Times New Roman" w:cs="Times New Roman"/>
          <w:lang w:val="en-US"/>
        </w:rPr>
        <w:instrText>ADDIN CSL_CITATION {"citationItems":[{"id":"ITEM-1","itemData":{"DOI":"10.3390/plants9091105","ISBN":"3901165029","ISSN":"22237747","abstract":"Arbuscular mycorrhizal (AM) fungi are root symbionts that provide mineral nutrients to the host plant in exchange for carbon compounds. AM fungi positively affect several aspects of plant life, improving nutrition and leading to a better growth, stress tolerance, and disease resistance and they interact with most crop plants such as cereals, horticultural species, and fruit trees. For this reason, they receive expanding attention for the potential use in sustainable and climate-smart agriculture context. Although several positive effects have been reported on photosynthetic traits in host plants, showing improved performances under abiotic stresses such as drought, salinity and extreme temperature, the involved mechanisms are still to be fully discovered. In this review, some controversy aspects related to AM symbiosis and photosynthesis performances will be discussed, with a specific focus on nitrogen acquisition-mediated by AM fungi.","author":[{"dropping-particle":"","family":"Balestrini","given":"Raffaella","non-dropping-particle":"","parse-names":false,"suffix":""},{"dropping-particle":"","family":"Brunetti","given":"Cecilia","non-dropping-particle":"","parse-names":false,"suffix":""},{"dropping-particle":"","family":"Chitarra","given":"Walter","non-dropping-particle":"","parse-names":false,"suffix":""},{"dropping-particle":"","family":"Nerva","given":"Luca","non-dropping-particle":"","parse-names":false,"suffix":""}],"container-title":"Plants","id":"ITEM-1","issue":"9","issued":{"date-parts":[["2020"]]},"page":"1-16","title":"Photosynthetic traits and nitrogen uptake in crops: Which is the role of arbuscular mycorrhizal fungi?","type":"article-journal","volume":"9"},"uris":["http://www.mendeley.com/documents/?uuid=8476f817-ed54-4e12-b66d-06551ce396de"]}],"mendeley":{"formattedCitation":"(Balestrini et al., 2020)","plainTextFormattedCitation":"(Balestrini et al., 2020)","previouslyFormattedCitation":"(Balestrini et al., 2020)"},"properties":{"noteIndex":0},"schema":"https://github.com/citation-style-language/schema/raw/master/csl-citation.json"}</w:instrText>
      </w:r>
      <w:r w:rsidR="00A30C28" w:rsidRPr="00336E53">
        <w:rPr>
          <w:rFonts w:ascii="Times New Roman" w:hAnsi="Times New Roman" w:cs="Times New Roman"/>
          <w:lang w:val="en-US"/>
        </w:rPr>
        <w:fldChar w:fldCharType="separate"/>
      </w:r>
      <w:r w:rsidR="000E79E6" w:rsidRPr="00336E53">
        <w:rPr>
          <w:rFonts w:ascii="Times New Roman" w:hAnsi="Times New Roman" w:cs="Times New Roman"/>
          <w:noProof/>
          <w:lang w:val="en-US"/>
        </w:rPr>
        <w:t>(Balestrini et al., 2020)</w:t>
      </w:r>
      <w:r w:rsidR="00A30C28" w:rsidRPr="00336E53">
        <w:rPr>
          <w:rFonts w:ascii="Times New Roman" w:hAnsi="Times New Roman" w:cs="Times New Roman"/>
          <w:lang w:val="en-US"/>
        </w:rPr>
        <w:fldChar w:fldCharType="end"/>
      </w:r>
      <w:r w:rsidR="009F30A5" w:rsidRPr="00336E53">
        <w:rPr>
          <w:rFonts w:ascii="Times New Roman" w:hAnsi="Times New Roman" w:cs="Times New Roman"/>
          <w:lang w:val="en-US"/>
        </w:rPr>
        <w:t xml:space="preserve">, </w:t>
      </w:r>
      <w:bookmarkStart w:id="23" w:name="_Hlk73520261"/>
      <w:r w:rsidR="0003640A">
        <w:rPr>
          <w:rFonts w:ascii="Times New Roman" w:hAnsi="Times New Roman" w:cs="Times New Roman"/>
          <w:lang w:val="en-US"/>
        </w:rPr>
        <w:t xml:space="preserve">a </w:t>
      </w:r>
      <w:r w:rsidR="00781997">
        <w:rPr>
          <w:rFonts w:ascii="Times New Roman" w:hAnsi="Times New Roman" w:cs="Times New Roman"/>
          <w:lang w:val="en-US"/>
        </w:rPr>
        <w:t xml:space="preserve">high </w:t>
      </w:r>
      <w:r w:rsidR="0003640A">
        <w:rPr>
          <w:rFonts w:ascii="Times New Roman" w:hAnsi="Times New Roman" w:cs="Times New Roman"/>
          <w:lang w:val="en-US"/>
        </w:rPr>
        <w:t xml:space="preserve">functional diversity exists among AMF species, </w:t>
      </w:r>
      <w:r w:rsidR="00781997">
        <w:rPr>
          <w:rFonts w:ascii="Times New Roman" w:hAnsi="Times New Roman" w:cs="Times New Roman"/>
          <w:lang w:val="en-US"/>
        </w:rPr>
        <w:t xml:space="preserve">i.e. different AMF species/isolates </w:t>
      </w:r>
      <w:r w:rsidR="00781997" w:rsidRPr="0098443A">
        <w:rPr>
          <w:rFonts w:ascii="Times New Roman" w:hAnsi="Times New Roman" w:cs="Times New Roman"/>
          <w:lang w:val="en-US"/>
        </w:rPr>
        <w:t>have different functional traits and therefore a distinct ability to reach and provide their host with nutrients</w:t>
      </w:r>
      <w:r w:rsidR="00893E41">
        <w:rPr>
          <w:rFonts w:ascii="Times New Roman" w:hAnsi="Times New Roman" w:cs="Times New Roman"/>
          <w:lang w:val="en-US"/>
        </w:rPr>
        <w:t>, including N</w:t>
      </w:r>
      <w:r w:rsidR="00781997" w:rsidRPr="0098443A">
        <w:rPr>
          <w:rFonts w:ascii="Times New Roman" w:hAnsi="Times New Roman" w:cs="Times New Roman"/>
          <w:lang w:val="en-US"/>
        </w:rPr>
        <w:t xml:space="preserve"> </w:t>
      </w:r>
      <w:bookmarkStart w:id="24" w:name="_Hlk74239878"/>
      <w:bookmarkEnd w:id="23"/>
      <w:r w:rsidR="00A53F05">
        <w:rPr>
          <w:rFonts w:ascii="Times New Roman" w:hAnsi="Times New Roman" w:cs="Times New Roman"/>
          <w:lang w:val="en-US"/>
        </w:rPr>
        <w:fldChar w:fldCharType="begin" w:fldLock="1"/>
      </w:r>
      <w:r w:rsidR="00A53F05">
        <w:rPr>
          <w:rFonts w:ascii="Times New Roman" w:hAnsi="Times New Roman" w:cs="Times New Roman"/>
          <w:lang w:val="en-US"/>
        </w:rPr>
        <w:instrText>ADDIN CSL_CITATION {"citationItems":[{"id":"ITEM-1","itemData":{"DOI":"10.1016/j.soilbio.2014.11.013","ISSN":"00380717","abstract":"The micronutrients copper (Cu), manganese (Mn) and iron (Fe) are essential for crop plant development and productivity. However, a quantitative, data-based consensus has yet to be reached on the role of arbuscular mycorrhizal fungi (AMF) in Cu, Mn and Fe nutrition in crops.Thus, we performed a meta-analysis to quantitatively synthesize the findings of 233 single publications and to test the impact of 10 moderator variables on the AM fungal mediated Cu, Mn and Fe aboveground tissue concentration. AMF had overall a significantly positive effect on crop Cu nutrition (on average 29%). For Fe, a positive AM fungal mediated effect was detectable only for intermediate 'experimental duration' (lasting 56-112 days). AMF only produced a positive effect on Mn nutrition in herbs, while for other plant types, edaphic and study-related factors we documented neutral or negative results.The application of AMF for crop plant fortification is still in its infancy. Here we found evidence for a significant role of AMF for Cu, Fe and (to a limited extent) Mn crop plant nutrition. This highlights that more efforts should be devoted to harnessing the potential beneficial effects of these symbionts not just for yield but also nutritional quality, especially considering increasing demands for food quality in the future.","author":[{"dropping-particle":"","family":"Lehmann","given":"Anika","non-dropping-particle":"","parse-names":false,"suffix":""},{"dropping-particle":"","family":"Rillig","given":"Matthias C.","non-dropping-particle":"","parse-names":false,"suffix":""}],"container-title":"Soil Biology and Biochemistry","id":"ITEM-1","issued":{"date-parts":[["2015"]]},"page":"147-158","publisher":"Elsevier Ltd","title":"Arbuscular mycorrhizal contribution to copper, manganese and iron nutrient concentrations in crops - A meta-analysis","type":"article-journal","volume":"81"},"uris":["http://www.mendeley.com/documents/?uuid=5ca1913d-201a-4b2f-8454-f74272b39198"]},{"id":"ITEM-2","itemData":{"DOI":"10.1111/j.1469-8137.2004.01169.x","ISSN":"0028646X","abstract":"• Species of arbuscular mycorrhizal fungi (AMF) differ markedly in their improvement of plant nutrition and health. However, it is not yet possible to relate the diversity of an AMF community to its functional properties due to the lack of information on the functional diversity at each taxonomic level. This study investigates the inter- and intraspecific functional diversity of four Glomus species in relation to a phylogenetic analysis of large ribosomal subunit (LSU) sequences. • Growth and P nutrition of cucumber (Cucumis sativus) associated with 24 different isolates of AMF were measured in a two-compartment system with a 33P-labelled root-free soil compartment. • Intraspecific differences were found in plant growth response and the extension of the fungal mycelium into the root-free soil patch whereas length-specific P uptake of the hyphae remained rather constant within each AMF species. Hence, the length-specific P uptake differed according to species, whereas lower phylogenetic levels were required to match functional characteristics such as fungal growth pattern and plant growth promotion. • The large intraspecific diversity observed for mycelium growth and improvement of P uptake means that AMF communities of low species diversity may still contain considerable functional heterogeneity. © New Phytologist (2004).","author":[{"dropping-particle":"","family":"Munkvold","given":"Lisa","non-dropping-particle":"","parse-names":false,"suffix":""},{"dropping-particle":"","family":"Kjøller","given":"Rasmus","non-dropping-particle":"","parse-names":false,"suffix":""},{"dropping-particle":"","family":"Vestberg","given":"Mauritz","non-dropping-particle":"","parse-names":false,"suffix":""},{"dropping-particle":"","family":"Rosendahl","given":"Søren","non-dropping-particle":"","parse-names":false,"suffix":""},{"dropping-particle":"","family":"Jakobsen","given":"Iver","non-dropping-particle":"","parse-names":false,"suffix":""}],"container-title":"New Phytologist","id":"ITEM-2","issue":"2","issued":{"date-parts":[["2004","11","1"]]},"page":"357-364","publisher":"John Wiley &amp; Sons, Ltd","title":"High functional diversity within species of arbuscular mycorrhizal fungi","type":"article-journal","volume":"164"},"uris":["http://www.mendeley.com/documents/?uuid=274fb27c-40e5-3e9b-9abd-8f371bae7c29"]},{"id":"ITEM-3","itemData":{"DOI":"10.1016/j.soilbio.2014.07.025","ISSN":"00380717","abstract":"In this study we investigated the direct effects of temperature on the extra-radical mycelium (ERM) of arbuscular mycorrhizal fungi (AMF) and the resulting impact on the host plant nutrition and biomass production. Plantago lanceolata L. plants colonized by Glomus hoi (experiment 1) and either G.hoi or Glomus intraradices (experiment 2) were grown in compartmented microcosm units. AMF hyphae, but not roots, were permitted access to a second compartment containing a 15N:13C dual-labelled organic patch maintained at different temperature treatments. All plants were maintained at ambient temperature. AMF hyphal growth in the patch compartments was relatively insensitive to temperate but results were variable. G.hoi hyphal length density was 5 times higher at ambient (c. 24°C) than cooled (c. 11°C) temperatures but only at the end of the first experiment (105d after patch addition). In contrast, in the second experiment (86d after patch addition) AMF hyphal growth was unaffected by temperature in the patch compartment. These differences between experiments are likely due to large variation among replicates in the ERM produced and differences in how the organic patch was applied. In experiment 2, plant biomass and phosphate content differed according to the temperature at which the hyphae of both AMF species grew. Plant biomass was greater when the AMF were grown at c. 18°C than c. 11°C but was no different at c. 21°C. These data show that direct temperature responses by the external hyphae of AMF can independently influence associated host plant growth. However, there were also important differences between the two AMF studied both in the amount of nutrients transferred and the distribution of the nutrients. © 2014 Elsevier Ltd.","author":[{"dropping-particle":"","family":"Barrett","given":"Gracie","non-dropping-particle":"","parse-names":false,"suffix":""},{"dropping-particle":"","family":"Campbell","given":"Colin D.","non-dropping-particle":"","parse-names":false,"suffix":""},{"dropping-particle":"","family":"Hodge","given":"Angela","non-dropping-particle":"","parse-names":false,"suffix":""}],"container-title":"Soil Biology and Biochemistry","id":"ITEM-3","issued":{"date-parts":[["2014"]]},"page":"109-117","publisher":"Elsevier Ltd","title":"The direct response of the external mycelium of arbuscular mycorrhizal fungi to temperature and the implications for nutrient transfer","type":"article-journal","volume":"78"},"uris":["http://www.mendeley.com/documents/?uuid=686c0dc7-db6f-4625-a9f8-9c449d7984a4"]},{"id":"ITEM-4","itemData":{"DOI":"10.1111/j.1469-8137.2008.02630.x","ISSN":"0028646X","PMID":"18811615","abstract":"• Nitrogen (N) capture by arbuscular mycorrhizal (AM) fungi from organic material is a recently discovered phenomenon. This study investigated the ability of two Glomus species to transfer N from organic material to host plants and examined whether the ability to capture N is related to fungal hyphal growth. • Experimental microcosms had two compartments; these contained either a single plant of Plantago lanceolata inoculated with Glomus hoi or Glomus intraradices, or a patch of dried shoot material labelled with 15N and 13carbon (C). In one treatment, hyphae, but not roots, were allowed access to the patch; in the other treatment, access by both hyphae and roots was prevented. • When allowed, fungi proliferated in the patch and captured N but not C, although G. intraradices transferred more N than G. hoi to the plant. Plants colonized with G. intraradices had a higher concentration of N than controls. • Up to one-third of the patch N was captured by the AM fungi and transferred to the plant, while c. 20% of plant N may have been patch derived. These findings indicate that uptake from organic N could be important in AM symbiosis for both plant and fungal partners and that some AM fungi may acquire inorganic N from organic sources. © The Authors (2008).","author":[{"dropping-particle":"","family":"Leigh","given":"Joanne","non-dropping-particle":"","parse-names":false,"suffix":""},{"dropping-particle":"","family":"Hodge","given":"Angela","non-dropping-particle":"","parse-names":false,"suffix":""},{"dropping-particle":"","family":"Fitter","given":"Alastair H.","non-dropping-particle":"","parse-names":false,"suffix":""}],"container-title":"New Phytologist","id":"ITEM-4","issue":"1","issued":{"date-parts":[["2009","1","1"]]},"page":"199-207","publisher":"John Wiley &amp; Sons, Ltd","title":"Arbuscular mycorrhizal fungi can transfer substantial amounts of nitrogen to their host plant from organic material","type":"article-journal","volume":"181"},"uris":["http://www.mendeley.com/documents/?uuid=bb071f18-6821-3747-9645-57bed935494c"]},{"id":"ITEM-5","itemData":{"DOI":"10.1007/s00572-015-0631-x","ISSN":"09406360","PMID":"25708401","abstract":"Plant growth responses following colonization with different isolates of a single species of an arbuscular mycorrhizal (AM) fungus can range from highly beneficial to detrimental, but the reasons for this high within-species diversity are currently unknown. To examine whether differences in growth and nutritional benefits are related to the phosphate (P) metabolism of the fungal symbiont, the effect of 31 different isolates from 10 AM fungal morphospecies on the P and nitrogen (N) nutrition of Medicago sativa and the P allocation among different P pools was examined. Based on differences in the mycorrhizal growth response, high, medium, and low performance isolates were distinguished. Plant growth benefit was positively correlated to the mycorrhizal effect on P and N nutrition. High performance isolates increased plant biomass by more than 170 % and contributed substantially to both P and N nutrition, whereas the effect of medium performance isolates particularly on the N nutrition of the host was significantly lower. Roots colonized by high performance isolates were characterized by relatively low tissue concentrations of inorganic P and short-chain polyphosphates and a high ratio between long- to short-chain polyphosphates. The high performance isolates belonged to different morphospecies and genera, indicating that the ability to contribute to P and N nutrition is widespread within the Glomeromycota and that differences in symbiotic performance and P metabolism are not specific for individual fungal morphospecies.","author":[{"dropping-particle":"","family":"Mensah","given":"Jerry A.","non-dropping-particle":"","parse-names":false,"suffix":""},{"dropping-particle":"","family":"Koch","given":"Alexander M.","non-dropping-particle":"","parse-names":false,"suffix":""},{"dropping-particle":"","family":"Antunes","given":"Pedro M.","non-dropping-particle":"","parse-names":false,"suffix":""},{"dropping-particle":"","family":"Kiers","given":"E. Toby","non-dropping-particle":"","parse-names":false,"suffix":""},{"dropping-particle":"","family":"Hart","given":"Miranda","non-dropping-particle":"","parse-names":false,"suffix":""},{"dropping-particle":"","family":"Bücking","given":"Heike","non-dropping-particle":"","parse-names":false,"suffix":""}],"container-title":"Mycorrhiza","id":"ITEM-5","issue":"7","issued":{"date-parts":[["2015","10","22"]]},"page":"533-546","publisher":"Springer Verlag","title":"High functional diversity within species of arbuscular mycorrhizal fungi is associated with differences in phosphate and nitrogen uptake and fungal phosphate metabolism","type":"article-journal","volume":"25"},"uris":["http://www.mendeley.com/documents/?uuid=b525e258-73d6-39e1-b26f-0d40fa14bf99"]}],"mendeley":{"formattedCitation":"(Barrett et al., 2014; Lehmann and Rillig, 2015; Leigh et al., 2009; Mensah et al., 2015; Munkvold et al., 2004)","plainTextFormattedCitation":"(Barrett et al., 2014; Lehmann and Rillig, 2015; Leigh et al., 2009; Mensah et al., 2015; Munkvold et al., 2004)"},"properties":{"noteIndex":0},"schema":"https://github.com/citation-style-language/schema/raw/master/csl-citation.json"}</w:instrText>
      </w:r>
      <w:r w:rsidR="00A53F05">
        <w:rPr>
          <w:rFonts w:ascii="Times New Roman" w:hAnsi="Times New Roman" w:cs="Times New Roman"/>
          <w:lang w:val="en-US"/>
        </w:rPr>
        <w:fldChar w:fldCharType="separate"/>
      </w:r>
      <w:r w:rsidR="00A53F05" w:rsidRPr="00A53F05">
        <w:rPr>
          <w:rFonts w:ascii="Times New Roman" w:hAnsi="Times New Roman" w:cs="Times New Roman"/>
          <w:noProof/>
          <w:lang w:val="en-US"/>
        </w:rPr>
        <w:t>(Barrett et al., 2014; Lehmann and Rillig, 2015; Leigh et al., 2009; Mensah et al., 2015; Munkvold et al., 2004)</w:t>
      </w:r>
      <w:r w:rsidR="00A53F05">
        <w:rPr>
          <w:rFonts w:ascii="Times New Roman" w:hAnsi="Times New Roman" w:cs="Times New Roman"/>
          <w:lang w:val="en-US"/>
        </w:rPr>
        <w:fldChar w:fldCharType="end"/>
      </w:r>
      <w:bookmarkEnd w:id="24"/>
      <w:r w:rsidR="00B766D6">
        <w:rPr>
          <w:rFonts w:ascii="Times New Roman" w:hAnsi="Times New Roman" w:cs="Times New Roman"/>
          <w:lang w:val="en-US"/>
        </w:rPr>
        <w:t>.</w:t>
      </w:r>
    </w:p>
    <w:p w14:paraId="1A769363" w14:textId="056225CC" w:rsidR="00D7727D" w:rsidRPr="00336E53" w:rsidRDefault="00AD2BB8" w:rsidP="00336E53">
      <w:pPr>
        <w:autoSpaceDE w:val="0"/>
        <w:autoSpaceDN w:val="0"/>
        <w:adjustRightInd w:val="0"/>
        <w:spacing w:after="0" w:line="480" w:lineRule="auto"/>
        <w:jc w:val="both"/>
        <w:rPr>
          <w:rFonts w:ascii="Times New Roman" w:hAnsi="Times New Roman" w:cs="Times New Roman"/>
          <w:color w:val="000000" w:themeColor="text1"/>
          <w:lang w:val="en-US"/>
        </w:rPr>
      </w:pPr>
      <w:r w:rsidRPr="00336E53">
        <w:rPr>
          <w:rFonts w:ascii="Times New Roman" w:hAnsi="Times New Roman" w:cs="Times New Roman"/>
          <w:lang w:val="en-US"/>
        </w:rPr>
        <w:t xml:space="preserve">Besides N, the uptake </w:t>
      </w:r>
      <w:r w:rsidR="00FD5271" w:rsidRPr="00336E53">
        <w:rPr>
          <w:rFonts w:ascii="Times New Roman" w:hAnsi="Times New Roman" w:cs="Times New Roman"/>
          <w:lang w:val="en-US"/>
        </w:rPr>
        <w:t xml:space="preserve">and accumulation </w:t>
      </w:r>
      <w:r w:rsidRPr="00336E53">
        <w:rPr>
          <w:rFonts w:ascii="Times New Roman" w:hAnsi="Times New Roman" w:cs="Times New Roman"/>
          <w:lang w:val="en-US"/>
        </w:rPr>
        <w:t xml:space="preserve">of other nutrients </w:t>
      </w:r>
      <w:r w:rsidR="00FD5271" w:rsidRPr="00336E53">
        <w:rPr>
          <w:rFonts w:ascii="Times New Roman" w:hAnsi="Times New Roman" w:cs="Times New Roman"/>
          <w:lang w:val="en-US"/>
        </w:rPr>
        <w:t>in plants</w:t>
      </w:r>
      <w:r w:rsidRPr="00336E53">
        <w:rPr>
          <w:rFonts w:ascii="Times New Roman" w:hAnsi="Times New Roman" w:cs="Times New Roman"/>
          <w:lang w:val="en-US"/>
        </w:rPr>
        <w:t xml:space="preserve"> </w:t>
      </w:r>
      <w:r w:rsidR="00442E73" w:rsidRPr="00336E53">
        <w:rPr>
          <w:rFonts w:ascii="Times New Roman" w:hAnsi="Times New Roman" w:cs="Times New Roman"/>
          <w:lang w:val="en-US"/>
        </w:rPr>
        <w:t xml:space="preserve">can </w:t>
      </w:r>
      <w:r w:rsidR="00FD5271" w:rsidRPr="00336E53">
        <w:rPr>
          <w:rFonts w:ascii="Times New Roman" w:hAnsi="Times New Roman" w:cs="Times New Roman"/>
          <w:lang w:val="en-US"/>
        </w:rPr>
        <w:t xml:space="preserve">also </w:t>
      </w:r>
      <w:r w:rsidR="00442E73" w:rsidRPr="00336E53">
        <w:rPr>
          <w:rFonts w:ascii="Times New Roman" w:hAnsi="Times New Roman" w:cs="Times New Roman"/>
          <w:lang w:val="en-US"/>
        </w:rPr>
        <w:t xml:space="preserve">be affected by the presence </w:t>
      </w:r>
      <w:r w:rsidR="00FD5271" w:rsidRPr="00336E53">
        <w:rPr>
          <w:rFonts w:ascii="Times New Roman" w:hAnsi="Times New Roman" w:cs="Times New Roman"/>
          <w:lang w:val="en-US"/>
        </w:rPr>
        <w:t>of different AMF in the root/rhizosphere</w:t>
      </w:r>
      <w:r w:rsidR="00FC552A">
        <w:rPr>
          <w:rFonts w:ascii="Times New Roman" w:hAnsi="Times New Roman" w:cs="Times New Roman"/>
          <w:lang w:val="en-US"/>
        </w:rPr>
        <w:t>,</w:t>
      </w:r>
      <w:r w:rsidR="00FD5271" w:rsidRPr="00336E53">
        <w:rPr>
          <w:rFonts w:ascii="Times New Roman" w:hAnsi="Times New Roman" w:cs="Times New Roman"/>
          <w:lang w:val="en-US"/>
        </w:rPr>
        <w:t xml:space="preserve"> </w:t>
      </w:r>
      <w:r w:rsidR="00C11406" w:rsidRPr="00336E53">
        <w:rPr>
          <w:rFonts w:ascii="Times New Roman" w:hAnsi="Times New Roman" w:cs="Times New Roman"/>
          <w:lang w:val="en-US"/>
        </w:rPr>
        <w:t>by</w:t>
      </w:r>
      <w:r w:rsidR="00442E73" w:rsidRPr="00336E53">
        <w:rPr>
          <w:rFonts w:ascii="Times New Roman" w:hAnsi="Times New Roman" w:cs="Times New Roman"/>
          <w:lang w:val="en-US"/>
        </w:rPr>
        <w:t xml:space="preserve"> high Cu concentration and/or </w:t>
      </w:r>
      <w:r w:rsidR="00FC552A">
        <w:rPr>
          <w:rFonts w:ascii="Times New Roman" w:hAnsi="Times New Roman" w:cs="Times New Roman"/>
          <w:lang w:val="en-US"/>
        </w:rPr>
        <w:t xml:space="preserve">by </w:t>
      </w:r>
      <w:r w:rsidR="00442E73" w:rsidRPr="00336E53">
        <w:rPr>
          <w:rFonts w:ascii="Times New Roman" w:hAnsi="Times New Roman" w:cs="Times New Roman"/>
          <w:lang w:val="en-US"/>
        </w:rPr>
        <w:t xml:space="preserve">EDTA in the soil </w:t>
      </w:r>
      <w:r w:rsidRPr="00336E53">
        <w:rPr>
          <w:rFonts w:ascii="Times New Roman" w:hAnsi="Times New Roman" w:cs="Times New Roman"/>
          <w:lang w:val="en-US"/>
        </w:rPr>
        <w:fldChar w:fldCharType="begin" w:fldLock="1"/>
      </w:r>
      <w:r w:rsidR="002C7ADD" w:rsidRPr="00336E53">
        <w:rPr>
          <w:rFonts w:ascii="Times New Roman" w:hAnsi="Times New Roman" w:cs="Times New Roman"/>
          <w:lang w:val="en-US"/>
        </w:rPr>
        <w:instrText>ADDIN CSL_CITATION {"citationItems":[{"id":"ITEM-1","itemData":{"DOI":"10.1080/00380768.2018.1425103","ISSN":"0038-0768","abstract":"The effect of excess Zn and arbuscular mycorrhizal (AM) fungus on bioproduction and trace element nutrition were investigated in tomato. In a completely randomized factorial design, the experimental treatments–Zn addition at 0 (normal) and 300 (excess) mg Zn kg−1 soil, and AM inoculation (non-AM and Rhizophagus irregularis)–were set up in a growth chamber for 10 weeks. Generally, AM effects on the available Zn, Mn, Cu, and Fe in the rhizosphere soil were in tandem with the effects in host tissues. Under normal Zn condition, AM enhanced Cu availability in the rhizosphere, optimized the Cu:Zn balance in shoots, and increased the host biomass production. Excess Zn reduced mycorrhizal colonization in AM plants and the total plant biomass in both AM and non-AM plants. Although AM decreased the Zn concentrations in soil and host tissues under excess Zn, the distortions in host TE balance were not significantly ameliorated by the fungus. While Zn in fruit was within the safety threshold, Mn deficiency in the fruit was observed under excess Zn, alongside increased root-to-fruit Fe and Cu translocations. Mycorrhizal reductions in soil and tissue Mn concentrations were considered a minus in terms of probable symbiont amelioration of Mn:Zn in-balance under excess Zn. Additional microbe(s) that can enhance Mn homeostasis might be helpful in tomato under elevated soil Zn.","author":[{"dropping-particle":"","family":"Ibiang","given":"Young Bassey","non-dropping-particle":"","parse-names":false,"suffix":""},{"dropping-particle":"","family":"Innami","given":"Haruki","non-dropping-particle":"","parse-names":false,"suffix":""},{"dropping-particle":"","family":"Sakamoto","given":"Kazunori","non-dropping-particle":"","parse-names":false,"suffix":""}],"container-title":"Soil Science and Plant Nutrition","id":"ITEM-1","issue":"3","issued":{"date-parts":[["2018","5","4"]]},"page":"342-351","publisher":"Taylor and Francis Ltd.","title":"Effect of excess zinc and arbuscular mycorrhizal fungus on bioproduction and trace element nutrition of Tomato ( &lt;i&gt;Solanum lycopersicum&lt;/i&gt; L. cv. Micro-Tom)","type":"article-journal","volume":"64"},"uris":["http://www.mendeley.com/documents/?uuid=5cb5e25d-b722-3a92-903d-6a5b7dcbc0a5"]},{"id":"ITEM-2","itemData":{"author":[{"dropping-particle":"","family":"Jurkiewicz","given":"A.","non-dropping-particle":"","parse-names":false,"suffix":""},{"dropping-particle":"","family":"Orlowska","given":"E.","non-dropping-particle":"","parse-names":false,"suffix":""},{"dropping-particle":"","family":"Anielska","given":"T.","non-dropping-particle":"","parse-names":false,"suffix":""},{"dropping-particle":"","family":"Godzik","given":"B.","non-dropping-particle":"","parse-names":false,"suffix":""},{"dropping-particle":"","family":"Turnau","given":"K.","non-dropping-particle":"","parse-names":false,"suffix":""}],"container-title":"Acta Biologica Cracoviensia Series Botanica","id":"ITEM-2","issued":{"date-parts":[["2004"]]},"page":"7-18","title":"The influence of mycorrhiza and EDTA application on heavy metal uptake by different maize varieties","type":"article-journal"},"uris":["http://www.mendeley.com/documents/?uuid=dc78a033-2995-43c7-a595-79bd482ed270"]},{"id":"ITEM-3","itemData":{"DOI":"10.1016/j.scitotenv.2016.10.153","ISSN":"18791026","PMID":"28327292","abstract":"Chelates such as ethylenediaminetetraacetic acid (EDTA) enter soils via various sources but their effect on agricultural crops is mostly unknown. Sources of EDTA include industry, households, sewage water and agricultural practices. In a field experiment EDTA was applied in its free form at different rates (0, 150, 550, 1050 kg ha− 1) to study its translocation in the soil profile and to evaluate its effect on yield and mineral composition of the cultivated crop, both in the year of application (oilseed rape) and in the following year (winter wheat). The results indicate that EDTA was translocated from the soil surface to deeper soil layers in the time-frame of the experiment. EDTA was still detectable in the rooting zone 19 months after application, indicating its persistence in the soil. Only the highest EDTA rate (1050 kg ha− 1) reduced vegetative growth of oilseed rape until stem elongation, but seed yield was not affected by EDTA application. EDTA application changed the mineral composition of plants. Higher phosphorus (P), sulphur (S), iron (Fe) and manganese (Mn) and lower cadmium (Cd) concentrations were determined in the seeds of oilseed rape. No yield effects of residual EDTA were observed for the following crop, winter wheat, but the Cd content in seeds was still lower in plots where EDTA had been applied in the previous year. Data show that EDTA application affects the mineral uptake of cultivated crops under field conditions.","author":[{"dropping-particle":"","family":"Bloem","given":"Elke","non-dropping-particle":"","parse-names":false,"suffix":""},{"dropping-particle":"","family":"Haneklaus","given":"Silvia","non-dropping-particle":"","parse-names":false,"suffix":""},{"dropping-particle":"","family":"Haensch","given":"Robert","non-dropping-particle":"","parse-names":false,"suffix":""},{"dropping-particle":"","family":"Schnug","given":"Ewald","non-dropping-particle":"","parse-names":false,"suffix":""}],"container-title":"Science of the Total Environment","id":"ITEM-3","issued":{"date-parts":[["2017"]]},"page":"166-173","publisher":"Elsevier B.V.","title":"EDTA application on agricultural soils affects microelement uptake of plants","type":"article-journal","volume":"577"},"uris":["http://www.mendeley.com/documents/?uuid=ce0402bb-5258-40b4-bc62-e668ca82eaba"]},{"id":"ITEM-4","itemData":{"DOI":"10.3389/fpls.2018.01906","ISSN":"1664462X","abstract":"Plant inoculation with arbuscular mycorrhizal fungi (AMF) is increasingly employed to enhance productivity and sustainability in agricultural ecosystems. In the present study, the potential benefits of AMF inoculation on young grapevines replanted in pots containing vineyard soil with high Cu concentration were evaluated. For this purpose, one-year-old cv. Touriga Nacional grapevines grafted onto 1103P rootstocks were further inoculated with Rhizoglomus irregulare or Funneliformis mosseae, or left non-inoculated, and maintained in a sterilized substrate under greenhouse conditions for three months. After this time, half of the plants were transplanted to containers filled with an Arenosol from a vineyard which had been artificially contaminated or not with 300 mg kg −1 of Cu. At the end of the growing season, soil nutrient concentration, soil dehydrogenase activity and mycorrhizal colonization rate were analyzed. Grapevine performance was assessed by measuring several vegetative growth and physiological parameters as well as nutrient concentrations in leaves and roots. In the non-contaminated soil, R. irregulare-and F. mosseae-inoculated plants had significantly greater root biomass than the non-inoculated ones. However, the opposite effect was observed in the Cu-contaminated soil, where non-inoculated plants performed better regarding shoot and root development. Concerning nutrient levels, an increase in Cu, Mg and Mn concentrations was observed in the roots of plants growing in the contaminated soil, although only Mn was translocated to leaves. This led to a large increase in leaf Mn concentrations, which was significantly higher in non-inoculated and F. mosseae-inoculated plants than in the R. irregulare-inoculated ones. Copper contamination induced a general decrease in leaf N, P and Fe concentrations as well as chlorosis symptoms. The largest decrease in N and P was observed in F. mosseae-inoculated plants, with 73 and 31.2%, respectively. However, these plants were the ones with the least decrease in Fe concentration (10% vs. almost 30% in the other two inoculation treatments). In conclusion, this study indicates that soil Cu levels can modify the outcome of AMF inoculations in young grapevines, disclosing new AMF-plant associations potentially relevant in vineyards with a tradition of Cu-based fungicide application.","author":[{"dropping-particle":"","family":"Nogales","given":"A.","non-dropping-particle":"","parse-names":false,"suffix":""},{"dropping-particle":"","family":"Santos","given":"E.S.","non-dropping-particle":"","parse-names":false,"suffix":""},{"dropping-particle":"","family":"Abre</w:instrText>
      </w:r>
      <w:r w:rsidR="002C7ADD" w:rsidRPr="00893E41">
        <w:rPr>
          <w:rFonts w:ascii="Times New Roman" w:hAnsi="Times New Roman" w:cs="Times New Roman"/>
          <w:lang w:val="fr-FR"/>
        </w:rPr>
        <w:instrText>u","given":"M.M.","non-dropping-particle":"","parse-names":false,"suffix":""},{"dropping-particle":"","family":"Arán","given":"D.","non-dropping-particle":"","parse-names":false,"suffix":""},{"dropping-particle":"","family":"Victorino","given":"G.","non-dropping-particle":"","parse-names":false,"suffix":""},{"dropping-particle":"","family":"Pereira","given":"H.S.","non-dropping-particle":"","parse-names":false,"suffix":""},{"dropping-particle":"","family":"Lopes","given":"C.M.","non-dropping-particle":"","parse-names":false,"suffix":""},{"dropping-particle":"","family":"Viegas","given":"W.","non-dropping-particle":"","parse-names":false,"suffix":""}],"container-title":"Frontiers in Plant Science","id":"ITEM-4","issued":{"date-parts":[["2019"]]},"title":"Mycorrhizal inoculation differentially affects grapevine’s performance in copper contaminated and non-contaminated soils","type":"article-journal","volume":"9"},"uris":["http://www.mendeley.com/documents/?uuid=b38c2b19-5c88-34a0-8087-dc357299736f"]}],"mendeley":{"formattedCitation":"(Bloem et al., 2017; Ibiang et al., 2018; Jurkiewicz et al., 2004; Nogales et al., 2019)","plainTextFormattedCitation":"(Bloem et al., 2017; Ibiang et al., 2018; Jurkiewicz et al., 2004; Nogales et al., 2019)","previouslyFormattedCitation":"(Bloem et al., 2017; Ibiang et al., 2018; Jurkiewicz et al., 2004; Nogales et al., 2019)"},"properties":{"noteIndex":0},"schema":"https://github.com/citation-style-language/schema/raw/master/csl-citation.json"}</w:instrText>
      </w:r>
      <w:r w:rsidRPr="00336E53">
        <w:rPr>
          <w:rFonts w:ascii="Times New Roman" w:hAnsi="Times New Roman" w:cs="Times New Roman"/>
          <w:lang w:val="en-US"/>
        </w:rPr>
        <w:fldChar w:fldCharType="separate"/>
      </w:r>
      <w:r w:rsidR="000E79E6" w:rsidRPr="00336E53">
        <w:rPr>
          <w:rFonts w:ascii="Times New Roman" w:hAnsi="Times New Roman" w:cs="Times New Roman"/>
          <w:noProof/>
          <w:lang w:val="fr-FR"/>
        </w:rPr>
        <w:t>(Bloem et al., 2017; Ibiang et al., 2018; Jurkiewicz et al., 2004; Nogales et al., 2019)</w:t>
      </w:r>
      <w:r w:rsidRPr="00336E53">
        <w:rPr>
          <w:rFonts w:ascii="Times New Roman" w:hAnsi="Times New Roman" w:cs="Times New Roman"/>
          <w:lang w:val="en-US"/>
        </w:rPr>
        <w:fldChar w:fldCharType="end"/>
      </w:r>
      <w:r w:rsidRPr="00336E53">
        <w:rPr>
          <w:rFonts w:ascii="Times New Roman" w:hAnsi="Times New Roman" w:cs="Times New Roman"/>
          <w:lang w:val="fr-FR"/>
        </w:rPr>
        <w:t xml:space="preserve">. </w:t>
      </w:r>
      <w:r w:rsidRPr="00336E53">
        <w:rPr>
          <w:rFonts w:ascii="Times New Roman" w:hAnsi="Times New Roman" w:cs="Times New Roman"/>
          <w:lang w:val="en-US"/>
        </w:rPr>
        <w:t xml:space="preserve">This was the case for P, whose </w:t>
      </w:r>
      <w:r w:rsidR="00214969" w:rsidRPr="00336E53">
        <w:rPr>
          <w:rFonts w:ascii="Times New Roman" w:hAnsi="Times New Roman" w:cs="Times New Roman"/>
          <w:lang w:val="en-US"/>
        </w:rPr>
        <w:t xml:space="preserve">concentration in grapevine roots depended on both, </w:t>
      </w:r>
      <w:r w:rsidR="00B6250F" w:rsidRPr="00336E53">
        <w:rPr>
          <w:rFonts w:ascii="Times New Roman" w:hAnsi="Times New Roman" w:cs="Times New Roman"/>
          <w:lang w:val="en-US"/>
        </w:rPr>
        <w:t>the soil treatments</w:t>
      </w:r>
      <w:r w:rsidR="0032091B" w:rsidRPr="00336E53">
        <w:rPr>
          <w:rFonts w:ascii="Times New Roman" w:hAnsi="Times New Roman" w:cs="Times New Roman"/>
          <w:lang w:val="en-US"/>
        </w:rPr>
        <w:t xml:space="preserve"> </w:t>
      </w:r>
      <w:r w:rsidR="00B6250F" w:rsidRPr="00336E53">
        <w:rPr>
          <w:rFonts w:ascii="Times New Roman" w:hAnsi="Times New Roman" w:cs="Times New Roman"/>
          <w:lang w:val="en-US"/>
        </w:rPr>
        <w:t xml:space="preserve">and the </w:t>
      </w:r>
      <w:r w:rsidR="00723210" w:rsidRPr="00336E53">
        <w:rPr>
          <w:rFonts w:ascii="Times New Roman" w:hAnsi="Times New Roman" w:cs="Times New Roman"/>
          <w:lang w:val="en-US"/>
        </w:rPr>
        <w:t>mycorrhizal</w:t>
      </w:r>
      <w:r w:rsidR="00B6250F" w:rsidRPr="00336E53">
        <w:rPr>
          <w:rFonts w:ascii="Times New Roman" w:hAnsi="Times New Roman" w:cs="Times New Roman"/>
          <w:lang w:val="en-US"/>
        </w:rPr>
        <w:t xml:space="preserve"> inoculation treatments</w:t>
      </w:r>
      <w:r w:rsidR="006B45D0" w:rsidRPr="00336E53">
        <w:rPr>
          <w:rFonts w:ascii="Times New Roman" w:hAnsi="Times New Roman" w:cs="Times New Roman"/>
          <w:lang w:val="en-US"/>
        </w:rPr>
        <w:t xml:space="preserve">. </w:t>
      </w:r>
      <w:r w:rsidR="00ED7124" w:rsidRPr="00336E53">
        <w:rPr>
          <w:rFonts w:ascii="Times New Roman" w:hAnsi="Times New Roman" w:cs="Times New Roman"/>
          <w:lang w:val="en-US"/>
        </w:rPr>
        <w:t xml:space="preserve">In the </w:t>
      </w:r>
      <w:r w:rsidR="00723210" w:rsidRPr="00336E53">
        <w:rPr>
          <w:rFonts w:ascii="Times New Roman" w:hAnsi="Times New Roman" w:cs="Times New Roman"/>
          <w:lang w:val="en-US"/>
        </w:rPr>
        <w:t>C</w:t>
      </w:r>
      <w:r w:rsidR="00ED7124" w:rsidRPr="00336E53">
        <w:rPr>
          <w:rFonts w:ascii="Times New Roman" w:hAnsi="Times New Roman" w:cs="Times New Roman"/>
          <w:lang w:val="en-US"/>
        </w:rPr>
        <w:t>u</w:t>
      </w:r>
      <w:r w:rsidR="00723210" w:rsidRPr="00336E53">
        <w:rPr>
          <w:rFonts w:ascii="Times New Roman" w:hAnsi="Times New Roman" w:cs="Times New Roman"/>
          <w:lang w:val="en-US"/>
        </w:rPr>
        <w:t xml:space="preserve"> contaminat</w:t>
      </w:r>
      <w:r w:rsidR="00ED7124" w:rsidRPr="00336E53">
        <w:rPr>
          <w:rFonts w:ascii="Times New Roman" w:hAnsi="Times New Roman" w:cs="Times New Roman"/>
          <w:lang w:val="en-US"/>
        </w:rPr>
        <w:t>ed soil</w:t>
      </w:r>
      <w:r w:rsidR="00723210" w:rsidRPr="00336E53">
        <w:rPr>
          <w:rFonts w:ascii="Times New Roman" w:hAnsi="Times New Roman" w:cs="Times New Roman"/>
          <w:lang w:val="en-US"/>
        </w:rPr>
        <w:t xml:space="preserve">, with or without FeNaEDTA, </w:t>
      </w:r>
      <w:r w:rsidR="00ED7124" w:rsidRPr="00336E53">
        <w:rPr>
          <w:rFonts w:ascii="Times New Roman" w:hAnsi="Times New Roman" w:cs="Times New Roman"/>
          <w:lang w:val="en-US"/>
        </w:rPr>
        <w:t xml:space="preserve">while a significant decrease on root P concentration was detected in non-inoculated plants, </w:t>
      </w:r>
      <w:r w:rsidR="00C0619A" w:rsidRPr="00336E53">
        <w:rPr>
          <w:rFonts w:ascii="Times New Roman" w:hAnsi="Times New Roman" w:cs="Times New Roman"/>
          <w:lang w:val="en-US"/>
        </w:rPr>
        <w:t xml:space="preserve">the </w:t>
      </w:r>
      <w:r w:rsidR="00472B45" w:rsidRPr="00336E53">
        <w:rPr>
          <w:rFonts w:ascii="Times New Roman" w:hAnsi="Times New Roman" w:cs="Times New Roman"/>
          <w:i/>
          <w:iCs/>
          <w:color w:val="000000" w:themeColor="text1"/>
          <w:lang w:val="en-US"/>
        </w:rPr>
        <w:t xml:space="preserve">R. irregulare- </w:t>
      </w:r>
      <w:r w:rsidR="003B114A">
        <w:rPr>
          <w:rFonts w:ascii="Times New Roman" w:hAnsi="Times New Roman" w:cs="Times New Roman"/>
          <w:color w:val="000000" w:themeColor="text1"/>
          <w:lang w:val="en-US"/>
        </w:rPr>
        <w:t>and</w:t>
      </w:r>
      <w:r w:rsidR="003B114A" w:rsidRPr="00336E53">
        <w:rPr>
          <w:rFonts w:ascii="Times New Roman" w:hAnsi="Times New Roman" w:cs="Times New Roman"/>
          <w:i/>
          <w:iCs/>
          <w:color w:val="000000" w:themeColor="text1"/>
          <w:lang w:val="en-US"/>
        </w:rPr>
        <w:t xml:space="preserve"> </w:t>
      </w:r>
      <w:r w:rsidR="00472B45" w:rsidRPr="00336E53">
        <w:rPr>
          <w:rFonts w:ascii="Times New Roman" w:hAnsi="Times New Roman" w:cs="Times New Roman"/>
          <w:i/>
          <w:iCs/>
          <w:color w:val="000000" w:themeColor="text1"/>
          <w:lang w:val="en-US"/>
        </w:rPr>
        <w:t>F. mosseae</w:t>
      </w:r>
      <w:r w:rsidR="00C0619A" w:rsidRPr="00336E53">
        <w:rPr>
          <w:rFonts w:ascii="Times New Roman" w:hAnsi="Times New Roman" w:cs="Times New Roman"/>
          <w:i/>
          <w:iCs/>
          <w:color w:val="000000" w:themeColor="text1"/>
          <w:lang w:val="en-US"/>
        </w:rPr>
        <w:t>-</w:t>
      </w:r>
      <w:r w:rsidR="00472B45" w:rsidRPr="00336E53">
        <w:rPr>
          <w:rFonts w:ascii="Times New Roman" w:hAnsi="Times New Roman" w:cs="Times New Roman"/>
          <w:color w:val="000000" w:themeColor="text1"/>
          <w:lang w:val="en-US"/>
        </w:rPr>
        <w:t xml:space="preserve">inoculated ones were able to sustain this element concentration in the same levels as in the </w:t>
      </w:r>
      <w:r w:rsidR="0083298F">
        <w:rPr>
          <w:rFonts w:ascii="Times New Roman" w:hAnsi="Times New Roman" w:cs="Times New Roman"/>
          <w:color w:val="000000" w:themeColor="text1"/>
          <w:lang w:val="en-US"/>
        </w:rPr>
        <w:t>control</w:t>
      </w:r>
      <w:r w:rsidR="00472B45" w:rsidRPr="00336E53">
        <w:rPr>
          <w:rFonts w:ascii="Times New Roman" w:hAnsi="Times New Roman" w:cs="Times New Roman"/>
          <w:color w:val="000000" w:themeColor="text1"/>
          <w:lang w:val="en-US"/>
        </w:rPr>
        <w:t xml:space="preserve"> soil (Table 2). </w:t>
      </w:r>
      <w:r w:rsidR="00C0619A" w:rsidRPr="00336E53">
        <w:rPr>
          <w:rFonts w:ascii="Times New Roman" w:hAnsi="Times New Roman" w:cs="Times New Roman"/>
          <w:lang w:val="en-US"/>
        </w:rPr>
        <w:fldChar w:fldCharType="begin" w:fldLock="1"/>
      </w:r>
      <w:r w:rsidR="002C7ADD" w:rsidRPr="00336E53">
        <w:rPr>
          <w:rFonts w:ascii="Times New Roman" w:hAnsi="Times New Roman" w:cs="Times New Roman"/>
          <w:lang w:val="en-US"/>
        </w:rPr>
        <w:instrText>ADDIN CSL_CITATION {"citationItems":[{"id":"ITEM-1","itemData":{"DOI":"10.1590/S1517-838246420140622","ISBN":"1517-8382 UL - http://www.scielo.br/scielo.php?script=sci_arttext&amp;pid=S1517-83822015000401045&amp;nrm=iso","ISSN":"1517-8382","PMID":"26691462","author":[{"dropping-particle":"","family":"Ambrosini","given":"Vítor Gabriel","non-dropping-particle":"","parse-names":false,"suffix":""},{"dropping-particle":"","family":"Gerent","given":"Voges; Joana","non-dropping-particle":"","parse-names":false,"suffix":""},{"dropping-particle":"","family":"Ludiana","given":"Canton;","non-dropping-particle":"","parse-names":false,"suffix":""},{"dropping-particle":"da","family":"Rosa","given":"Couto; Rafael","non-dropping-particle":"","parse-names":false,"suffix":""},{"dropping-particle":"","family":"Ademar","given":"Avelar; Ferreira; Paulo","non-dropping-particle":"","parse-names":false,"suffix":""},{"dropping-particle":"","family":"José","given":"Comin; Jucinei","non-dropping-particle":"","parse-names":false,"suffix":""},{"dropping-particle":"de","family":"Melo","given":"George Wellington Bastos","non-dropping-particle":"","parse-names":false,"suffix":""},{"dropping-particle":"","family":"Brunetto","given":"Gustavo","non-dropping-particle":"","parse-names":false,"suffix":""},{"dropping-particle":"","family":"Sousa","given":"Cláudio Roberto Fonsêca","non-dropping-particle":"","parse-names":false,"suffix":""},{"dropping-particle":"","family":"Soares","given":"Cláudio R F S","non-dropping-particle":"","parse-names":false,"suffix":""}],"container-title":"Brazilian Journal of Microbiology","id":"ITEM-1","issue":"4","issued":{"date-parts":[["2015"]]},"page":"1045-1052","title":"Arbuscular mycorrhizal fungi on young vines in copper contaminated soil","type":"article-journal","volume":"46"},"uris":["http://www.mendeley.com/documents/?uuid=6be1146f-34df-4db2-b851-d384e938cf67"]}],"mendeley":{"formattedCitation":"(Ambrosini et al., 2015)","manualFormatting":"Ambrosini et al. (2015)","plainTextFormattedCitation":"(Ambrosini et al., 2015)","previouslyFormattedCitation":"(Ambrosini et al., 2015)"},"properties":{"noteIndex":0},"schema":"https://github.com/citation-style-language/schema/raw/master/csl-citation.json"}</w:instrText>
      </w:r>
      <w:r w:rsidR="00C0619A" w:rsidRPr="00336E53">
        <w:rPr>
          <w:rFonts w:ascii="Times New Roman" w:hAnsi="Times New Roman" w:cs="Times New Roman"/>
          <w:lang w:val="en-US"/>
        </w:rPr>
        <w:fldChar w:fldCharType="separate"/>
      </w:r>
      <w:r w:rsidR="00C0619A" w:rsidRPr="00336E53">
        <w:rPr>
          <w:rFonts w:ascii="Times New Roman" w:hAnsi="Times New Roman" w:cs="Times New Roman"/>
          <w:noProof/>
          <w:lang w:val="en-US"/>
        </w:rPr>
        <w:t>Ambrosini et al. (2015)</w:t>
      </w:r>
      <w:r w:rsidR="00C0619A" w:rsidRPr="00336E53">
        <w:rPr>
          <w:rFonts w:ascii="Times New Roman" w:hAnsi="Times New Roman" w:cs="Times New Roman"/>
          <w:lang w:val="en-US"/>
        </w:rPr>
        <w:fldChar w:fldCharType="end"/>
      </w:r>
      <w:r w:rsidR="00C0619A" w:rsidRPr="00336E53">
        <w:rPr>
          <w:rFonts w:ascii="Times New Roman" w:hAnsi="Times New Roman" w:cs="Times New Roman"/>
          <w:lang w:val="en-US"/>
        </w:rPr>
        <w:t xml:space="preserve"> also found that in Cu-contaminated soils, </w:t>
      </w:r>
      <w:r w:rsidR="00C0619A" w:rsidRPr="00336E53">
        <w:rPr>
          <w:rFonts w:ascii="Times New Roman" w:hAnsi="Times New Roman" w:cs="Times New Roman"/>
          <w:i/>
          <w:iCs/>
          <w:lang w:val="en-US"/>
        </w:rPr>
        <w:t xml:space="preserve">R. irregulare </w:t>
      </w:r>
      <w:r w:rsidR="00C0619A" w:rsidRPr="00336E53">
        <w:rPr>
          <w:rFonts w:ascii="Times New Roman" w:hAnsi="Times New Roman" w:cs="Times New Roman"/>
          <w:lang w:val="en-US"/>
        </w:rPr>
        <w:t xml:space="preserve">significantly improved P </w:t>
      </w:r>
      <w:r w:rsidR="00EA5FEE">
        <w:rPr>
          <w:rFonts w:ascii="Times New Roman" w:hAnsi="Times New Roman" w:cs="Times New Roman"/>
          <w:lang w:val="en-US"/>
        </w:rPr>
        <w:t>uptake</w:t>
      </w:r>
      <w:r w:rsidR="00EA5FEE" w:rsidRPr="00336E53">
        <w:rPr>
          <w:rFonts w:ascii="Times New Roman" w:hAnsi="Times New Roman" w:cs="Times New Roman"/>
          <w:lang w:val="en-US"/>
        </w:rPr>
        <w:t xml:space="preserve"> </w:t>
      </w:r>
      <w:r w:rsidR="00C0619A" w:rsidRPr="00336E53">
        <w:rPr>
          <w:rFonts w:ascii="Times New Roman" w:hAnsi="Times New Roman" w:cs="Times New Roman"/>
          <w:lang w:val="en-US"/>
        </w:rPr>
        <w:t xml:space="preserve">compared to non-inoculated plants and plants inoculated with other two AMF species. </w:t>
      </w:r>
      <w:r w:rsidR="00C0619A" w:rsidRPr="00336E53">
        <w:rPr>
          <w:rFonts w:ascii="Times New Roman" w:hAnsi="Times New Roman" w:cs="Times New Roman"/>
          <w:color w:val="000000" w:themeColor="text1"/>
          <w:lang w:val="en-US"/>
        </w:rPr>
        <w:t>As an improvement in P uptake is related to a better tolerance to soil contamination</w:t>
      </w:r>
      <w:r w:rsidR="00B0480E" w:rsidRPr="00336E53">
        <w:rPr>
          <w:rFonts w:ascii="Times New Roman" w:hAnsi="Times New Roman" w:cs="Times New Roman"/>
          <w:color w:val="000000" w:themeColor="text1"/>
          <w:lang w:val="en-US"/>
        </w:rPr>
        <w:t xml:space="preserve"> by different metals and metal</w:t>
      </w:r>
      <w:r w:rsidR="004538A8">
        <w:rPr>
          <w:rFonts w:ascii="Times New Roman" w:hAnsi="Times New Roman" w:cs="Times New Roman"/>
          <w:color w:val="000000" w:themeColor="text1"/>
          <w:lang w:val="en-US"/>
        </w:rPr>
        <w:t>l</w:t>
      </w:r>
      <w:r w:rsidR="00B0480E" w:rsidRPr="00336E53">
        <w:rPr>
          <w:rFonts w:ascii="Times New Roman" w:hAnsi="Times New Roman" w:cs="Times New Roman"/>
          <w:color w:val="000000" w:themeColor="text1"/>
          <w:lang w:val="en-US"/>
        </w:rPr>
        <w:t>oids</w:t>
      </w:r>
      <w:r w:rsidR="00C0619A" w:rsidRPr="00336E53">
        <w:rPr>
          <w:rFonts w:ascii="Times New Roman" w:hAnsi="Times New Roman" w:cs="Times New Roman"/>
          <w:color w:val="000000" w:themeColor="text1"/>
          <w:lang w:val="en-US"/>
        </w:rPr>
        <w:t xml:space="preserve"> (Soares and Siqueira, 2008; Andrade et al., 2010, Ambrosini et al. 2015), our results suggest that inoculation with </w:t>
      </w:r>
      <w:r w:rsidR="00C0619A" w:rsidRPr="00336E53">
        <w:rPr>
          <w:rFonts w:ascii="Times New Roman" w:hAnsi="Times New Roman" w:cs="Times New Roman"/>
          <w:i/>
          <w:iCs/>
          <w:color w:val="000000" w:themeColor="text1"/>
          <w:lang w:val="en-US"/>
        </w:rPr>
        <w:t>R. irregulare</w:t>
      </w:r>
      <w:r w:rsidR="00C0619A" w:rsidRPr="00336E53">
        <w:rPr>
          <w:rFonts w:ascii="Times New Roman" w:hAnsi="Times New Roman" w:cs="Times New Roman"/>
          <w:color w:val="000000" w:themeColor="text1"/>
          <w:lang w:val="en-US"/>
        </w:rPr>
        <w:t xml:space="preserve"> and</w:t>
      </w:r>
      <w:r w:rsidR="00C0619A" w:rsidRPr="00336E53">
        <w:rPr>
          <w:rFonts w:ascii="Times New Roman" w:hAnsi="Times New Roman" w:cs="Times New Roman"/>
          <w:i/>
          <w:iCs/>
          <w:color w:val="000000" w:themeColor="text1"/>
          <w:lang w:val="en-US"/>
        </w:rPr>
        <w:t xml:space="preserve"> F. mosseae</w:t>
      </w:r>
      <w:r w:rsidR="00C0619A" w:rsidRPr="00336E53">
        <w:rPr>
          <w:rFonts w:ascii="Times New Roman" w:hAnsi="Times New Roman" w:cs="Times New Roman"/>
          <w:color w:val="000000" w:themeColor="text1"/>
          <w:lang w:val="en-US"/>
        </w:rPr>
        <w:t xml:space="preserve"> may be a good strategy to promote a better plant fitness in Cu contaminated soils. </w:t>
      </w:r>
      <w:r w:rsidR="00D7727D" w:rsidRPr="00336E53">
        <w:rPr>
          <w:rFonts w:ascii="Times New Roman" w:hAnsi="Times New Roman" w:cs="Times New Roman"/>
          <w:color w:val="000000" w:themeColor="text1"/>
          <w:lang w:val="en-US"/>
        </w:rPr>
        <w:t xml:space="preserve">Furthermore, as </w:t>
      </w:r>
      <w:r w:rsidR="00D7727D" w:rsidRPr="00336E53">
        <w:rPr>
          <w:rFonts w:ascii="Times New Roman" w:hAnsi="Times New Roman" w:cs="Times New Roman"/>
          <w:i/>
          <w:iCs/>
          <w:color w:val="000000" w:themeColor="text1"/>
          <w:lang w:val="en-US"/>
        </w:rPr>
        <w:t>R. irregulare</w:t>
      </w:r>
      <w:r w:rsidR="00D7727D" w:rsidRPr="00336E53">
        <w:rPr>
          <w:rFonts w:ascii="Times New Roman" w:hAnsi="Times New Roman" w:cs="Times New Roman"/>
          <w:color w:val="000000" w:themeColor="text1"/>
          <w:lang w:val="en-US"/>
        </w:rPr>
        <w:t xml:space="preserve"> </w:t>
      </w:r>
      <w:r w:rsidR="00C11406" w:rsidRPr="00336E53">
        <w:rPr>
          <w:rFonts w:ascii="Times New Roman" w:hAnsi="Times New Roman" w:cs="Times New Roman"/>
          <w:color w:val="000000" w:themeColor="text1"/>
          <w:lang w:val="en-US"/>
        </w:rPr>
        <w:t>enhanced</w:t>
      </w:r>
      <w:r w:rsidR="00D7727D" w:rsidRPr="00336E53">
        <w:rPr>
          <w:rFonts w:ascii="Times New Roman" w:hAnsi="Times New Roman" w:cs="Times New Roman"/>
          <w:color w:val="000000" w:themeColor="text1"/>
          <w:lang w:val="en-US"/>
        </w:rPr>
        <w:t xml:space="preserve"> </w:t>
      </w:r>
      <w:r w:rsidR="00C11406" w:rsidRPr="00336E53">
        <w:rPr>
          <w:rFonts w:ascii="Times New Roman" w:hAnsi="Times New Roman" w:cs="Times New Roman"/>
          <w:color w:val="000000" w:themeColor="text1"/>
          <w:lang w:val="en-US"/>
        </w:rPr>
        <w:t xml:space="preserve">N </w:t>
      </w:r>
      <w:r w:rsidR="00D7727D" w:rsidRPr="00336E53">
        <w:rPr>
          <w:rFonts w:ascii="Times New Roman" w:hAnsi="Times New Roman" w:cs="Times New Roman"/>
          <w:color w:val="000000" w:themeColor="text1"/>
          <w:lang w:val="en-US"/>
        </w:rPr>
        <w:t>concentration in roots and NDVI</w:t>
      </w:r>
      <w:r w:rsidR="002A6E00" w:rsidRPr="00336E53">
        <w:rPr>
          <w:rFonts w:ascii="Times New Roman" w:hAnsi="Times New Roman" w:cs="Times New Roman"/>
          <w:color w:val="000000" w:themeColor="text1"/>
          <w:lang w:val="en-US"/>
        </w:rPr>
        <w:t xml:space="preserve"> index values in leaves</w:t>
      </w:r>
      <w:r w:rsidR="00D7727D" w:rsidRPr="00336E53">
        <w:rPr>
          <w:rFonts w:ascii="Times New Roman" w:hAnsi="Times New Roman" w:cs="Times New Roman"/>
          <w:color w:val="000000" w:themeColor="text1"/>
          <w:lang w:val="en-US"/>
        </w:rPr>
        <w:t xml:space="preserve">, </w:t>
      </w:r>
      <w:r w:rsidR="00336E53" w:rsidRPr="00336E53">
        <w:rPr>
          <w:rFonts w:ascii="Times New Roman" w:hAnsi="Times New Roman" w:cs="Times New Roman"/>
          <w:color w:val="000000" w:themeColor="text1"/>
          <w:lang w:val="en-US"/>
        </w:rPr>
        <w:t xml:space="preserve">the results of this experiment suggest that </w:t>
      </w:r>
      <w:r w:rsidR="00D7727D" w:rsidRPr="00336E53">
        <w:rPr>
          <w:rFonts w:ascii="Times New Roman" w:hAnsi="Times New Roman" w:cs="Times New Roman"/>
          <w:color w:val="000000" w:themeColor="text1"/>
          <w:lang w:val="en-US"/>
        </w:rPr>
        <w:t>inoculation with this AMF c</w:t>
      </w:r>
      <w:r w:rsidR="00526ED2" w:rsidRPr="00336E53">
        <w:rPr>
          <w:rFonts w:ascii="Times New Roman" w:hAnsi="Times New Roman" w:cs="Times New Roman"/>
          <w:color w:val="000000" w:themeColor="text1"/>
          <w:lang w:val="en-US"/>
        </w:rPr>
        <w:t>an</w:t>
      </w:r>
      <w:r w:rsidR="00D7727D" w:rsidRPr="00336E53">
        <w:rPr>
          <w:rFonts w:ascii="Times New Roman" w:hAnsi="Times New Roman" w:cs="Times New Roman"/>
          <w:color w:val="000000" w:themeColor="text1"/>
          <w:lang w:val="en-US"/>
        </w:rPr>
        <w:t xml:space="preserve"> </w:t>
      </w:r>
      <w:r w:rsidR="00336E53" w:rsidRPr="00336E53">
        <w:rPr>
          <w:rFonts w:ascii="Times New Roman" w:hAnsi="Times New Roman" w:cs="Times New Roman"/>
          <w:color w:val="000000" w:themeColor="text1"/>
          <w:lang w:val="en-US"/>
        </w:rPr>
        <w:t xml:space="preserve">be </w:t>
      </w:r>
      <w:r w:rsidR="00A81E74">
        <w:rPr>
          <w:rFonts w:ascii="Times New Roman" w:hAnsi="Times New Roman" w:cs="Times New Roman"/>
          <w:color w:val="000000" w:themeColor="text1"/>
          <w:lang w:val="en-US"/>
        </w:rPr>
        <w:t xml:space="preserve">a suitable </w:t>
      </w:r>
      <w:r w:rsidR="00336E53" w:rsidRPr="00336E53">
        <w:rPr>
          <w:rFonts w:ascii="Times New Roman" w:hAnsi="Times New Roman" w:cs="Times New Roman"/>
          <w:color w:val="000000" w:themeColor="text1"/>
          <w:lang w:val="en-US"/>
        </w:rPr>
        <w:t>choice for</w:t>
      </w:r>
      <w:r w:rsidR="00D7727D" w:rsidRPr="00336E53">
        <w:rPr>
          <w:rFonts w:ascii="Times New Roman" w:hAnsi="Times New Roman" w:cs="Times New Roman"/>
          <w:color w:val="000000" w:themeColor="text1"/>
          <w:lang w:val="en-US"/>
        </w:rPr>
        <w:t xml:space="preserve"> young </w:t>
      </w:r>
      <w:r w:rsidR="006D6586">
        <w:rPr>
          <w:rFonts w:ascii="Times New Roman" w:hAnsi="Times New Roman" w:cs="Times New Roman"/>
          <w:color w:val="000000" w:themeColor="text1"/>
          <w:lang w:val="en-US"/>
        </w:rPr>
        <w:t>grape</w:t>
      </w:r>
      <w:r w:rsidR="00D7727D" w:rsidRPr="00336E53">
        <w:rPr>
          <w:rFonts w:ascii="Times New Roman" w:hAnsi="Times New Roman" w:cs="Times New Roman"/>
          <w:color w:val="000000" w:themeColor="text1"/>
          <w:lang w:val="en-US"/>
        </w:rPr>
        <w:t>vines.</w:t>
      </w:r>
    </w:p>
    <w:p w14:paraId="19342518" w14:textId="40823457" w:rsidR="001D3CB0" w:rsidRDefault="00580A84" w:rsidP="0098443A">
      <w:pPr>
        <w:autoSpaceDE w:val="0"/>
        <w:autoSpaceDN w:val="0"/>
        <w:adjustRightInd w:val="0"/>
        <w:spacing w:after="0" w:line="480" w:lineRule="auto"/>
        <w:jc w:val="both"/>
        <w:rPr>
          <w:rFonts w:ascii="Times New Roman" w:hAnsi="Times New Roman" w:cs="Times New Roman"/>
          <w:lang w:val="en-US"/>
        </w:rPr>
      </w:pPr>
      <w:bookmarkStart w:id="25" w:name="_Hlk73778574"/>
      <w:r w:rsidRPr="0098443A">
        <w:rPr>
          <w:rFonts w:ascii="Times New Roman" w:hAnsi="Times New Roman" w:cs="Times New Roman"/>
          <w:lang w:val="en-US"/>
        </w:rPr>
        <w:t xml:space="preserve">When micronutrients were analyzed, </w:t>
      </w:r>
      <w:r w:rsidRPr="0098443A">
        <w:rPr>
          <w:rFonts w:ascii="Times New Roman" w:eastAsia="OpenSans" w:hAnsi="Times New Roman" w:cs="Times New Roman"/>
          <w:lang w:val="en-US"/>
        </w:rPr>
        <w:t xml:space="preserve">an overall increase </w:t>
      </w:r>
      <w:r w:rsidR="001C6349" w:rsidRPr="0098443A">
        <w:rPr>
          <w:rFonts w:ascii="Times New Roman" w:eastAsia="OpenSans" w:hAnsi="Times New Roman" w:cs="Times New Roman"/>
          <w:lang w:val="en-US"/>
        </w:rPr>
        <w:t>o</w:t>
      </w:r>
      <w:r w:rsidR="00EC4E63" w:rsidRPr="0098443A">
        <w:rPr>
          <w:rFonts w:ascii="Times New Roman" w:eastAsia="OpenSans" w:hAnsi="Times New Roman" w:cs="Times New Roman"/>
          <w:lang w:val="en-US"/>
        </w:rPr>
        <w:t>n</w:t>
      </w:r>
      <w:r w:rsidR="001C6349" w:rsidRPr="0098443A">
        <w:rPr>
          <w:rFonts w:ascii="Times New Roman" w:eastAsia="OpenSans" w:hAnsi="Times New Roman" w:cs="Times New Roman"/>
          <w:lang w:val="en-US"/>
        </w:rPr>
        <w:t xml:space="preserve"> </w:t>
      </w:r>
      <w:r w:rsidRPr="0098443A">
        <w:rPr>
          <w:rFonts w:ascii="Times New Roman" w:eastAsia="OpenSans" w:hAnsi="Times New Roman" w:cs="Times New Roman"/>
          <w:lang w:val="en-US"/>
        </w:rPr>
        <w:t xml:space="preserve">soil Mn </w:t>
      </w:r>
      <w:r w:rsidR="00616317" w:rsidRPr="0098443A">
        <w:rPr>
          <w:rFonts w:ascii="Times New Roman" w:eastAsia="OpenSans" w:hAnsi="Times New Roman" w:cs="Times New Roman"/>
          <w:lang w:val="en-US"/>
        </w:rPr>
        <w:t xml:space="preserve">availability </w:t>
      </w:r>
      <w:r w:rsidRPr="0098443A">
        <w:rPr>
          <w:rFonts w:ascii="Times New Roman" w:eastAsia="OpenSans" w:hAnsi="Times New Roman" w:cs="Times New Roman"/>
          <w:lang w:val="en-US"/>
        </w:rPr>
        <w:t>was</w:t>
      </w:r>
      <w:r w:rsidR="00E07255" w:rsidRPr="0098443A">
        <w:rPr>
          <w:rFonts w:ascii="Times New Roman" w:eastAsia="OpenSans" w:hAnsi="Times New Roman" w:cs="Times New Roman"/>
          <w:lang w:val="en-US"/>
        </w:rPr>
        <w:t xml:space="preserve"> observed</w:t>
      </w:r>
      <w:r w:rsidRPr="0098443A">
        <w:rPr>
          <w:rFonts w:ascii="Times New Roman" w:eastAsia="OpenSans" w:hAnsi="Times New Roman" w:cs="Times New Roman"/>
          <w:lang w:val="en-US"/>
        </w:rPr>
        <w:t xml:space="preserve"> in the </w:t>
      </w:r>
      <w:r w:rsidR="001347E7">
        <w:rPr>
          <w:rFonts w:ascii="Times New Roman" w:eastAsia="OpenSans" w:hAnsi="Times New Roman" w:cs="Times New Roman"/>
          <w:lang w:val="en-US"/>
        </w:rPr>
        <w:t xml:space="preserve">soil where </w:t>
      </w:r>
      <w:r w:rsidRPr="0098443A">
        <w:rPr>
          <w:rFonts w:ascii="Times New Roman" w:eastAsia="OpenSans" w:hAnsi="Times New Roman" w:cs="Times New Roman"/>
          <w:lang w:val="en-US"/>
        </w:rPr>
        <w:t xml:space="preserve">Cu </w:t>
      </w:r>
      <w:r w:rsidR="001347E7">
        <w:rPr>
          <w:rFonts w:ascii="Times New Roman" w:eastAsia="OpenSans" w:hAnsi="Times New Roman" w:cs="Times New Roman"/>
          <w:lang w:val="en-US"/>
        </w:rPr>
        <w:t>was applied</w:t>
      </w:r>
      <w:r w:rsidRPr="0098443A">
        <w:rPr>
          <w:rFonts w:ascii="Times New Roman" w:eastAsia="OpenSans" w:hAnsi="Times New Roman" w:cs="Times New Roman"/>
          <w:lang w:val="en-US"/>
        </w:rPr>
        <w:t xml:space="preserve"> (Table 1),</w:t>
      </w:r>
      <w:r w:rsidR="00F74DF2" w:rsidRPr="0098443A">
        <w:rPr>
          <w:rFonts w:ascii="Times New Roman" w:eastAsia="OpenSans" w:hAnsi="Times New Roman" w:cs="Times New Roman"/>
          <w:lang w:val="en-US"/>
        </w:rPr>
        <w:t xml:space="preserve"> as previously observed </w:t>
      </w:r>
      <w:r w:rsidR="007504DE" w:rsidRPr="0098443A">
        <w:rPr>
          <w:rFonts w:ascii="Times New Roman" w:eastAsia="OpenSans" w:hAnsi="Times New Roman" w:cs="Times New Roman"/>
          <w:lang w:val="en-US"/>
        </w:rPr>
        <w:t xml:space="preserve">in other studies </w:t>
      </w:r>
      <w:r w:rsidR="00F74DF2" w:rsidRPr="0098443A">
        <w:rPr>
          <w:rFonts w:ascii="Times New Roman" w:eastAsia="OpenSans" w:hAnsi="Times New Roman" w:cs="Times New Roman"/>
          <w:lang w:val="en-US"/>
        </w:rPr>
        <w:fldChar w:fldCharType="begin" w:fldLock="1"/>
      </w:r>
      <w:r w:rsidR="002C7ADD" w:rsidRPr="0098443A">
        <w:rPr>
          <w:rFonts w:ascii="Times New Roman" w:eastAsia="OpenSans" w:hAnsi="Times New Roman" w:cs="Times New Roman"/>
          <w:lang w:val="en-US"/>
        </w:rPr>
        <w:instrText>ADDIN CSL_CITATION {"citationItems":[{"id":"ITEM-1","itemData":{"DOI":"10.1016/j.scitotenv.2010.07.064","ISSN":"00489697","PMID":"20716461","abstract":"Studies on mycorrhizal symbiosis effects on metal accumulation and plant tolerance are not common in perennial crops under metal stress. The objective of this study was to evaluate the influence of mycorrhization on coffee seedlings under Cu and Zn stress. Copper (Cu) and zinc (Zn) uptake and some biochemical and physiological traits were studied in thirty-week old Coffea arabica seedlings, in response to the inoculation with arbuscular mycorrhizal fungi (AMF) and to increasing concentrations of Cu or Zn in soil. The experiments were conducted under greenhouse conditions in a 2×4 factorial design (inoculation or not with AMF and 0, 50, 150 and 450mgkg(-1) Cu or 0, 100, 300 and 900mgkg(-1) Zn). Non-mycorrhizal plants maintained a hampered and slow growth even in a soil with appropriate phosphorus (P) levels for this crop. As metal levels increased in soil, a greater proportion of the total absorbed metals were retained by roots. Foliar Cu concentrations increased only in non-mycorrhizal plants, reaching a maximum concentration of 30mgkg(-1) at the highest Cu in soil. Mycorrhization prevented the accumulation of Cu in leaves, and mycorrhizal plants showed higher Cu contents in stems, which indicated a differential Cu distribution in AMF-associated or non-associated plants. Zn distribution and concentrations in different plant organs followed a similar pattern independently of mycorrhization. In mycorrhizal plants, only the highest metal concentrations caused a reduction in biomass, leading to significant changes in some biochemical indicators, such as malondialdehyde, proline and amino acid contents in leaves and also in foliar free amino acid composition. Marked differences in these physiological traits were also found due to mycorrhization. In conclusion, AMF protected coffee seedlings against metal toxicity.","author":[{"dropping-particle":"","family":"Andrade","given":"S.A.L.","non-dropping-particle":"","parse-names":false,"suffix":""},{"dropping-particle":"","family":"Silveira","given":"A.P.D.","non-dropping-particle":"","parse-names":false,"suffix":""},{"dropping-particle":"","family":"Mazzafera","given":"P.","non-dropping-particle":"","parse-names":false,"suffix":""}],"container-title":"Science of The Total Environment","id":"ITEM-1","issue":"22","issued":{"date-parts":[["2010","10","15"]]},"page":"5381-5391","title":"Arbuscular mycorrhiza alters metal uptake and the physiological response of Coffea arabica seedlings to increasing Zn and Cu concentrations in soil","type":"article-journal","volume":"408"},"uris":["http://www.mendeley.com/documents/?uuid=b9cda2df-90e6-3264-8e00-37fb82a5652a"]},{"id":"ITEM-2","itemData":{"DOI":"10.3389/fpls.2018.01906","ISSN":"1664462X","abstract":"Plant inoculation with arbuscular mycorrhizal fungi (AMF) is increasingly employed to enhance productivity and sustainability in agricultural ecosystems. In the present study, the potential benefits of AMF inoculation on young grapevines replanted in pots containing vineyard soil with high Cu concentration were evaluated. For this purpose, one-year-old cv. Touriga Nacional grapevines grafted onto 1103P rootstocks were further inoculated with Rhizoglomus irregulare or Funneliformis mosseae, or left non-inoculated, and maintained in a sterilized substrate under greenhouse conditions for three months. After this time, half of the plants were transplanted to containers filled with an Arenosol from a vineyard which had been artificially contaminated or not with 300 mg kg −1 of Cu. At the end of the growing season, soil nutrient concentration, soil dehydrogenase activity and mycorrhizal colonization rate were analyzed. Grapevine performance was assessed by measuring several vegetative growth and physiological parameters as well as nutrient concentrations in leaves and roots. In the non-contaminated soil, R. irregulare-and F. mosseae-inoculated plants had significantly greater root biomass than the non-inoculated ones. However, the opposite effect was observed in the Cu-contaminated soil, where non-inoculated plants performed better regarding shoot and root development. Concerning nutrient levels, an increase in Cu, Mg and Mn concentrations was observed in the roots of plants growing in the contaminated soil, although only Mn was translocated to leaves. This led to a large increase in leaf Mn concentrations, which was significantly higher in non-inoculated and F. mosseae-inoculated plants than in the R. irregulare-inoculated ones. Copper contamination induced a general decrease in leaf N, P and Fe concentrations as well as chlorosis symptoms. The largest decrease in N and P was observed in F. mosseae-inoculated plants, with 73 and 31.2%, respectively. However, these plants were the ones with the least decrease in Fe concentration (10% vs. almost 30% in the other two inoculation treatments). In conclusion, this study indicates that soil Cu levels can modify the outcome of AMF inoculations in young grapevines, disclosing new AMF-plant associations potentially relevant in vineyards with a tradition of Cu-based fungicide application.","author":[{"dropping-particle":"","family":"Nogales","given":"A.","non-dropping-particle":"","parse-names":false,"suffix":""},{"dropping-particle":"","family":"Santos","given":"E.S.","non-dropping-particle":"","parse-names":false,"suffix":""},{"dropping-particle":"","family":"Abreu","given":"M.M.","non-dropping-particle":"","parse-names":false,"suffix":""},{"dropping-particle":"","family":"Arán","given":"D.","non-dropping-particle":"","parse-names":false,"suffix":""},{"dropping-particle":"","family":"Victorino","given":"G.","non-dropping-particle":"","parse-names":false,"suffix":""},{"dropping-particle":"","family":"Pereira","given":"H.S.","non-dropping-particle":"","parse-names":false,"suffix":""},{"dropping-particle":"","family":"Lopes","given":"C.M.","non-dropping-particle":"","parse-names":false,"suffix":""},{"dropping-particle":"","family":"Viegas","given":"W.","non-dropping-particle":"","parse-names":false,"suffix":""}],"container-title":"Frontiers in Plant Science","id":"ITEM-2","issued":{"date-parts":[["2019"]]},"title":"Mycorrhizal inoculation differentially affects grapevine’s performance in copper contaminated and non-contaminated soils","type":"article-journal","volume":"9"},"uris":["http://www.mendeley.com/documents/?uuid=b38c2b19-5c88-34a0-8087-dc357299736f"]}],"mendeley":{"formattedCitation":"(Andrade et al., 2010; Nogales et al., 2019)","plainTextFormattedCitation":"(Andrade et al., 2010; Nogales et al., 2019)","previouslyFormattedCitation":"(Andrade et al., 2010; Nogales et al., 2019)"},"properties":{"noteIndex":0},"schema":"https://github.com/citation-style-language/schema/raw/master/csl-citation.json"}</w:instrText>
      </w:r>
      <w:r w:rsidR="00F74DF2" w:rsidRPr="0098443A">
        <w:rPr>
          <w:rFonts w:ascii="Times New Roman" w:eastAsia="OpenSans" w:hAnsi="Times New Roman" w:cs="Times New Roman"/>
          <w:lang w:val="en-US"/>
        </w:rPr>
        <w:fldChar w:fldCharType="separate"/>
      </w:r>
      <w:r w:rsidR="000E79E6" w:rsidRPr="0098443A">
        <w:rPr>
          <w:rFonts w:ascii="Times New Roman" w:eastAsia="OpenSans" w:hAnsi="Times New Roman" w:cs="Times New Roman"/>
          <w:noProof/>
          <w:lang w:val="en-US"/>
        </w:rPr>
        <w:t>(Andrade et al., 2010; Nogales et al., 2019)</w:t>
      </w:r>
      <w:r w:rsidR="00F74DF2" w:rsidRPr="0098443A">
        <w:rPr>
          <w:rFonts w:ascii="Times New Roman" w:eastAsia="OpenSans" w:hAnsi="Times New Roman" w:cs="Times New Roman"/>
          <w:lang w:val="en-US"/>
        </w:rPr>
        <w:fldChar w:fldCharType="end"/>
      </w:r>
      <w:r w:rsidR="00F74DF2" w:rsidRPr="0098443A">
        <w:rPr>
          <w:rFonts w:ascii="Times New Roman" w:eastAsia="OpenSans" w:hAnsi="Times New Roman" w:cs="Times New Roman"/>
          <w:lang w:val="en-US"/>
        </w:rPr>
        <w:t>.</w:t>
      </w:r>
      <w:r w:rsidR="00D15B71">
        <w:rPr>
          <w:rFonts w:ascii="Times New Roman" w:eastAsia="OpenSans" w:hAnsi="Times New Roman" w:cs="Times New Roman"/>
          <w:lang w:val="en-US"/>
        </w:rPr>
        <w:t xml:space="preserve"> </w:t>
      </w:r>
      <w:r w:rsidR="00F74DF2" w:rsidRPr="0098443A">
        <w:rPr>
          <w:rFonts w:ascii="Times New Roman" w:eastAsia="OpenSans" w:hAnsi="Times New Roman" w:cs="Times New Roman"/>
          <w:lang w:val="en-US"/>
        </w:rPr>
        <w:t>Th</w:t>
      </w:r>
      <w:r w:rsidR="00A532A3" w:rsidRPr="0098443A">
        <w:rPr>
          <w:rFonts w:ascii="Times New Roman" w:eastAsia="OpenSans" w:hAnsi="Times New Roman" w:cs="Times New Roman"/>
          <w:lang w:val="en-US"/>
        </w:rPr>
        <w:t>is</w:t>
      </w:r>
      <w:r w:rsidR="00F74DF2" w:rsidRPr="0098443A">
        <w:rPr>
          <w:rFonts w:ascii="Times New Roman" w:eastAsia="OpenSans" w:hAnsi="Times New Roman" w:cs="Times New Roman"/>
          <w:lang w:val="en-US"/>
        </w:rPr>
        <w:t xml:space="preserve"> increase</w:t>
      </w:r>
      <w:r w:rsidR="00DA05B9">
        <w:rPr>
          <w:rFonts w:ascii="Times New Roman" w:eastAsia="OpenSans" w:hAnsi="Times New Roman" w:cs="Times New Roman"/>
          <w:lang w:val="en-US"/>
        </w:rPr>
        <w:t>, probably due to the Mn</w:t>
      </w:r>
      <w:r w:rsidR="00DA05B9" w:rsidRPr="00887A74">
        <w:rPr>
          <w:rFonts w:ascii="Times New Roman" w:eastAsia="OpenSans" w:hAnsi="Times New Roman" w:cs="Times New Roman"/>
          <w:vertAlign w:val="superscript"/>
          <w:lang w:val="en-US"/>
        </w:rPr>
        <w:t>2+</w:t>
      </w:r>
      <w:r w:rsidR="00F76B25">
        <w:rPr>
          <w:rFonts w:ascii="Times New Roman" w:eastAsia="OpenSans" w:hAnsi="Times New Roman" w:cs="Times New Roman"/>
          <w:vertAlign w:val="superscript"/>
          <w:lang w:val="en-US"/>
        </w:rPr>
        <w:t xml:space="preserve"> </w:t>
      </w:r>
      <w:r w:rsidR="00DA05B9">
        <w:rPr>
          <w:rFonts w:ascii="Times New Roman" w:eastAsia="OpenSans" w:hAnsi="Times New Roman" w:cs="Times New Roman"/>
          <w:lang w:val="en-US"/>
        </w:rPr>
        <w:t>release by exchange with Cu</w:t>
      </w:r>
      <w:r w:rsidR="00DA05B9" w:rsidRPr="00EE0103">
        <w:rPr>
          <w:rFonts w:ascii="Times New Roman" w:eastAsia="OpenSans" w:hAnsi="Times New Roman" w:cs="Times New Roman"/>
          <w:vertAlign w:val="superscript"/>
          <w:lang w:val="en-US"/>
        </w:rPr>
        <w:t>2+</w:t>
      </w:r>
      <w:r w:rsidR="00DA05B9">
        <w:rPr>
          <w:rFonts w:ascii="Times New Roman" w:eastAsia="OpenSans" w:hAnsi="Times New Roman" w:cs="Times New Roman"/>
          <w:lang w:val="en-US"/>
        </w:rPr>
        <w:t xml:space="preserve"> in the exchangeable complex of the soil,</w:t>
      </w:r>
      <w:r w:rsidR="00F74DF2" w:rsidRPr="0098443A">
        <w:rPr>
          <w:rFonts w:ascii="Times New Roman" w:eastAsia="OpenSans" w:hAnsi="Times New Roman" w:cs="Times New Roman"/>
          <w:lang w:val="en-US"/>
        </w:rPr>
        <w:t xml:space="preserve"> led to an overall </w:t>
      </w:r>
      <w:r w:rsidR="00A532A3" w:rsidRPr="0098443A">
        <w:rPr>
          <w:rFonts w:ascii="Times New Roman" w:eastAsia="OpenSans" w:hAnsi="Times New Roman" w:cs="Times New Roman"/>
          <w:lang w:val="en-US"/>
        </w:rPr>
        <w:t xml:space="preserve">rise </w:t>
      </w:r>
      <w:r w:rsidR="00F74DF2" w:rsidRPr="0098443A">
        <w:rPr>
          <w:rFonts w:ascii="Times New Roman" w:eastAsia="OpenSans" w:hAnsi="Times New Roman" w:cs="Times New Roman"/>
          <w:lang w:val="en-US"/>
        </w:rPr>
        <w:t>o</w:t>
      </w:r>
      <w:r w:rsidR="00A532A3" w:rsidRPr="0098443A">
        <w:rPr>
          <w:rFonts w:ascii="Times New Roman" w:eastAsia="OpenSans" w:hAnsi="Times New Roman" w:cs="Times New Roman"/>
          <w:lang w:val="en-US"/>
        </w:rPr>
        <w:t>n the concentration</w:t>
      </w:r>
      <w:r w:rsidR="00FB7CCC" w:rsidRPr="0098443A">
        <w:rPr>
          <w:rFonts w:ascii="Times New Roman" w:eastAsia="OpenSans" w:hAnsi="Times New Roman" w:cs="Times New Roman"/>
          <w:lang w:val="en-US"/>
        </w:rPr>
        <w:t xml:space="preserve"> of</w:t>
      </w:r>
      <w:r w:rsidR="00F74DF2" w:rsidRPr="0098443A">
        <w:rPr>
          <w:rFonts w:ascii="Times New Roman" w:eastAsia="OpenSans" w:hAnsi="Times New Roman" w:cs="Times New Roman"/>
          <w:lang w:val="en-US"/>
        </w:rPr>
        <w:t xml:space="preserve"> this element in roots (Table 2), </w:t>
      </w:r>
      <w:r w:rsidR="00F74DF2" w:rsidRPr="0098443A">
        <w:rPr>
          <w:rFonts w:ascii="Times New Roman" w:hAnsi="Times New Roman" w:cs="Times New Roman"/>
          <w:color w:val="000000"/>
          <w:lang w:val="en-US"/>
        </w:rPr>
        <w:t xml:space="preserve">especially in </w:t>
      </w:r>
      <w:r w:rsidR="00F74DF2" w:rsidRPr="0098443A">
        <w:rPr>
          <w:rFonts w:ascii="Times New Roman" w:hAnsi="Times New Roman" w:cs="Times New Roman"/>
          <w:i/>
          <w:lang w:val="en-US"/>
        </w:rPr>
        <w:t xml:space="preserve">R. </w:t>
      </w:r>
      <w:r w:rsidR="00B92074" w:rsidRPr="0098443A">
        <w:rPr>
          <w:rFonts w:ascii="Times New Roman" w:hAnsi="Times New Roman" w:cs="Times New Roman"/>
          <w:i/>
          <w:lang w:val="en-US"/>
        </w:rPr>
        <w:t>irregulare</w:t>
      </w:r>
      <w:r w:rsidR="00945F72">
        <w:rPr>
          <w:rFonts w:ascii="Times New Roman" w:hAnsi="Times New Roman" w:cs="Times New Roman"/>
          <w:i/>
          <w:lang w:val="en-US"/>
        </w:rPr>
        <w:t>-</w:t>
      </w:r>
      <w:r w:rsidR="00F74DF2" w:rsidRPr="0098443A">
        <w:rPr>
          <w:rFonts w:ascii="Times New Roman" w:hAnsi="Times New Roman" w:cs="Times New Roman"/>
          <w:lang w:val="en-US"/>
        </w:rPr>
        <w:t>inoculated plants</w:t>
      </w:r>
      <w:r w:rsidR="00A532A3" w:rsidRPr="0098443A">
        <w:rPr>
          <w:rFonts w:ascii="Times New Roman" w:hAnsi="Times New Roman" w:cs="Times New Roman"/>
          <w:lang w:val="en-US"/>
        </w:rPr>
        <w:t xml:space="preserve">. Nevertheless, </w:t>
      </w:r>
      <w:r w:rsidR="00841781" w:rsidRPr="0098443A">
        <w:rPr>
          <w:rFonts w:ascii="Times New Roman" w:hAnsi="Times New Roman" w:cs="Times New Roman"/>
          <w:lang w:val="en-US"/>
        </w:rPr>
        <w:t xml:space="preserve">contrary to what was observed by </w:t>
      </w:r>
      <w:r w:rsidR="00841781" w:rsidRPr="0098443A">
        <w:rPr>
          <w:rFonts w:ascii="Times New Roman" w:hAnsi="Times New Roman" w:cs="Times New Roman"/>
          <w:color w:val="000000"/>
          <w:lang w:val="en-US"/>
        </w:rPr>
        <w:fldChar w:fldCharType="begin" w:fldLock="1"/>
      </w:r>
      <w:r w:rsidR="002C7ADD" w:rsidRPr="0098443A">
        <w:rPr>
          <w:rFonts w:ascii="Times New Roman" w:hAnsi="Times New Roman" w:cs="Times New Roman"/>
          <w:color w:val="000000"/>
          <w:lang w:val="en-US"/>
        </w:rPr>
        <w:instrText>ADDIN CSL_CITATION {"citationItems":[{"id":"ITEM-1","itemData":{"DOI":"10.3389/fpls.2018.01906","ISSN":"1664462X","abstract":"Plant inoculation with arbuscular mycorrhizal fungi (AMF) is increasingly employed to enhance productivity and sustainability in agricultural ecosystems. In the present study, the potential benefits of AMF inoculation on young grapevines replanted in pots containing vineyard soil with high Cu concentration were evaluated. For this purpose, one-year-old cv. Touriga Nacional grapevines grafted onto 1103P rootstocks were further inoculated with Rhizoglomus irregulare or Funneliformis mosseae, or left non-inoculated, and maintained in a sterilized substrate under greenhouse conditions for three months. After this time, half of the plants were transplanted to containers filled with an Arenosol from a vineyard which had been artificially contaminated or not with 300 mg kg −1 of Cu. At the end of the growing season, soil nutrient concentration, soil dehydrogenase activity and mycorrhizal colonization rate were analyzed. Grapevine performance was assessed by measuring several vegetative growth and physiological parameters as well as nutrient concentrations in leaves and roots. In the non-contaminated soil, R. irregulare-and F. mosseae-inoculated plants had significantly greater root biomass than the non-inoculated ones. However, the opposite effect was observed in the Cu-contaminated soil, where non-inoculated plants performed better regarding shoot and root development. Concerning nutrient levels, an increase in Cu, Mg and Mn concentrations was observed in the roots of plants growing in the contaminated soil, although only Mn was translocated to leaves. This led to a large increase in leaf Mn concentrations, which was significantly higher in non-inoculated and F. mosseae-inoculated plants than in the R. irregulare-inoculated ones. Copper contamination induced a general decrease in leaf N, P and Fe concentrations as well as chlorosis symptoms. The largest decrease in N and P was observed in F. mosseae-inoculated plants, with 73 and 31.2%, respectively. However, these plants were the ones with the least decrease in Fe concentration (10% vs. almost 30% in the other two inoculation treatments). In conclusion, this study indicates that soil Cu levels can modify the outcome of AMF inoculations in young grapevines, disclosing new AMF-plant associations potentially relevant in vineyards with a tradition of Cu-based fungicide application.","author":[{"dropping-particle":"","family":"Nogales","given":"A.","non-dropping-particle":"","parse-names":false,"suffix":""},{"dropping-particle":"","family":"Santos","given":"E.S.","non-dropping-particle":"","parse-names":false,"suffix":""},{"dropping-particle":"","family":"Abreu","given":"M.M.","non-dropping-particle":"","parse-names":false,"suffix":""},{"dropping-particle":"","family":"Arán","given":"D.","non-dropping-particle":"","parse-names":false,"suffix":""},{"dropping-particle":"","family":"Victorino","given":"G.","non-dropping-particle":"","parse-names":false,"suffix":""},{"dropping-particle":"","family":"Pereira","given":"H.S.","non-dropping-particle":"","parse-names":false,"suffix":""},{"dropping-particle":"","family":"Lopes","given":"C.M.","non-dropping-particle":"","parse-names":false,"suffix":""},{"dropping-particle":"","family":"Viegas","given":"W.","non-dropping-particle":"","parse-names":false,"suffix":""}],"container-title":"Frontiers in Plant Science","id":"ITEM-1","issued":{"date-parts":[["2019"]]},"title":"Mycorrhizal inoculation differentially affects grapevine’s performance in copper contaminated and non-contaminated soils","type":"article-journal","volume":"9"},"uris":["http://www.mendeley.com/documents/?uuid=b38c2b19-5c88-34a0-8087-dc357299736f"]}],"mendeley":{"formattedCitation":"(Nogales et al., 2019)","manualFormatting":"Nogales et al. (2019)","plainTextFormattedCitation":"(Nogales et al., 2019)","previouslyFormattedCitation":"(Nogales et al., 2019)"},"properties":{"noteIndex":0},"schema":"https://github.com/citation-style-language/schema/raw/master/csl-citation.json"}</w:instrText>
      </w:r>
      <w:r w:rsidR="00841781" w:rsidRPr="0098443A">
        <w:rPr>
          <w:rFonts w:ascii="Times New Roman" w:hAnsi="Times New Roman" w:cs="Times New Roman"/>
          <w:color w:val="000000"/>
          <w:lang w:val="en-US"/>
        </w:rPr>
        <w:fldChar w:fldCharType="separate"/>
      </w:r>
      <w:r w:rsidR="00841781" w:rsidRPr="0098443A">
        <w:rPr>
          <w:rFonts w:ascii="Times New Roman" w:hAnsi="Times New Roman" w:cs="Times New Roman"/>
          <w:noProof/>
          <w:color w:val="000000"/>
          <w:lang w:val="en-US"/>
        </w:rPr>
        <w:t>Nogales et al. (2019)</w:t>
      </w:r>
      <w:r w:rsidR="00841781" w:rsidRPr="0098443A">
        <w:rPr>
          <w:rFonts w:ascii="Times New Roman" w:hAnsi="Times New Roman" w:cs="Times New Roman"/>
          <w:color w:val="000000"/>
          <w:lang w:val="en-US"/>
        </w:rPr>
        <w:fldChar w:fldCharType="end"/>
      </w:r>
      <w:r w:rsidR="00841781" w:rsidRPr="0098443A">
        <w:rPr>
          <w:rFonts w:ascii="Times New Roman" w:hAnsi="Times New Roman" w:cs="Times New Roman"/>
          <w:color w:val="000000"/>
          <w:lang w:val="en-US"/>
        </w:rPr>
        <w:t>, in the present experiment</w:t>
      </w:r>
      <w:r w:rsidR="00616317" w:rsidRPr="0098443A">
        <w:rPr>
          <w:rFonts w:ascii="Times New Roman" w:hAnsi="Times New Roman" w:cs="Times New Roman"/>
          <w:color w:val="000000"/>
          <w:lang w:val="en-US"/>
        </w:rPr>
        <w:t xml:space="preserve"> Cu </w:t>
      </w:r>
      <w:r w:rsidR="00C44BC7">
        <w:rPr>
          <w:rFonts w:ascii="Times New Roman" w:hAnsi="Times New Roman" w:cs="Times New Roman"/>
          <w:color w:val="000000"/>
          <w:lang w:val="en-US"/>
        </w:rPr>
        <w:t>addition</w:t>
      </w:r>
      <w:r w:rsidR="00616317" w:rsidRPr="0098443A">
        <w:rPr>
          <w:rFonts w:ascii="Times New Roman" w:hAnsi="Times New Roman" w:cs="Times New Roman"/>
          <w:color w:val="000000"/>
          <w:lang w:val="en-US"/>
        </w:rPr>
        <w:t xml:space="preserve"> did not promote Mn translocation to </w:t>
      </w:r>
      <w:r w:rsidR="0082273B">
        <w:rPr>
          <w:rFonts w:ascii="Times New Roman" w:hAnsi="Times New Roman" w:cs="Times New Roman"/>
          <w:color w:val="000000"/>
          <w:lang w:val="en-US"/>
        </w:rPr>
        <w:t>plant leaves</w:t>
      </w:r>
      <w:r w:rsidR="00616317" w:rsidRPr="0098443A">
        <w:rPr>
          <w:rFonts w:ascii="Times New Roman" w:hAnsi="Times New Roman" w:cs="Times New Roman"/>
          <w:color w:val="000000"/>
          <w:lang w:val="en-US"/>
        </w:rPr>
        <w:t>.</w:t>
      </w:r>
      <w:r w:rsidR="00AF252A" w:rsidRPr="0098443A">
        <w:rPr>
          <w:rFonts w:ascii="Times New Roman" w:hAnsi="Times New Roman" w:cs="Times New Roman"/>
          <w:color w:val="000000"/>
          <w:lang w:val="en-US"/>
        </w:rPr>
        <w:t xml:space="preserve"> </w:t>
      </w:r>
      <w:r w:rsidR="00534DE7" w:rsidRPr="0098443A">
        <w:rPr>
          <w:rFonts w:ascii="Times New Roman" w:hAnsi="Times New Roman" w:cs="Times New Roman"/>
          <w:color w:val="000000"/>
          <w:lang w:val="en-US"/>
        </w:rPr>
        <w:t xml:space="preserve">Interestingly, </w:t>
      </w:r>
      <w:r w:rsidR="00315E78" w:rsidRPr="0098443A">
        <w:rPr>
          <w:rFonts w:ascii="Times New Roman" w:hAnsi="Times New Roman" w:cs="Times New Roman"/>
          <w:lang w:val="en-US"/>
        </w:rPr>
        <w:t xml:space="preserve">when FeNaEDTA was applied together with Cu, Mn concentrations </w:t>
      </w:r>
      <w:r w:rsidR="00523FB2" w:rsidRPr="0098443A">
        <w:rPr>
          <w:rFonts w:ascii="Times New Roman" w:hAnsi="Times New Roman" w:cs="Times New Roman"/>
          <w:lang w:val="en-US"/>
        </w:rPr>
        <w:t xml:space="preserve">in </w:t>
      </w:r>
      <w:r w:rsidR="00534DE7" w:rsidRPr="0098443A">
        <w:rPr>
          <w:rFonts w:ascii="Times New Roman" w:hAnsi="Times New Roman" w:cs="Times New Roman"/>
          <w:lang w:val="en-US"/>
        </w:rPr>
        <w:t xml:space="preserve">roots </w:t>
      </w:r>
      <w:r w:rsidR="00315E78" w:rsidRPr="0098443A">
        <w:rPr>
          <w:rFonts w:ascii="Times New Roman" w:hAnsi="Times New Roman" w:cs="Times New Roman"/>
          <w:lang w:val="en-US"/>
        </w:rPr>
        <w:t xml:space="preserve">remained in </w:t>
      </w:r>
      <w:r w:rsidR="00315E78" w:rsidRPr="0098443A">
        <w:rPr>
          <w:rFonts w:ascii="Times New Roman" w:hAnsi="Times New Roman" w:cs="Times New Roman"/>
          <w:lang w:val="en-US"/>
        </w:rPr>
        <w:lastRenderedPageBreak/>
        <w:t>the same level</w:t>
      </w:r>
      <w:r w:rsidR="00A20EDE" w:rsidRPr="0098443A">
        <w:rPr>
          <w:rFonts w:ascii="Times New Roman" w:hAnsi="Times New Roman" w:cs="Times New Roman"/>
          <w:lang w:val="en-US"/>
        </w:rPr>
        <w:t>s</w:t>
      </w:r>
      <w:r w:rsidR="00315E78" w:rsidRPr="0098443A">
        <w:rPr>
          <w:rFonts w:ascii="Times New Roman" w:hAnsi="Times New Roman" w:cs="Times New Roman"/>
          <w:lang w:val="en-US"/>
        </w:rPr>
        <w:t xml:space="preserve"> as in </w:t>
      </w:r>
      <w:r w:rsidR="009D2D58">
        <w:rPr>
          <w:rFonts w:ascii="Times New Roman" w:hAnsi="Times New Roman" w:cs="Times New Roman"/>
          <w:lang w:val="en-US"/>
        </w:rPr>
        <w:t xml:space="preserve">plants from </w:t>
      </w:r>
      <w:r w:rsidR="00315E78" w:rsidRPr="0098443A">
        <w:rPr>
          <w:rFonts w:ascii="Times New Roman" w:hAnsi="Times New Roman" w:cs="Times New Roman"/>
          <w:lang w:val="en-US"/>
        </w:rPr>
        <w:t xml:space="preserve">the </w:t>
      </w:r>
      <w:r w:rsidR="0083298F">
        <w:rPr>
          <w:rFonts w:ascii="Times New Roman" w:hAnsi="Times New Roman" w:cs="Times New Roman"/>
          <w:lang w:val="en-US"/>
        </w:rPr>
        <w:t>control</w:t>
      </w:r>
      <w:r w:rsidR="00315E78" w:rsidRPr="0098443A">
        <w:rPr>
          <w:rFonts w:ascii="Times New Roman" w:hAnsi="Times New Roman" w:cs="Times New Roman"/>
          <w:lang w:val="en-US"/>
        </w:rPr>
        <w:t xml:space="preserve"> soil</w:t>
      </w:r>
      <w:r w:rsidR="009D2D58">
        <w:rPr>
          <w:rFonts w:ascii="Times New Roman" w:hAnsi="Times New Roman" w:cs="Times New Roman"/>
          <w:lang w:val="en-US"/>
        </w:rPr>
        <w:t>s</w:t>
      </w:r>
      <w:r w:rsidR="00F36B64" w:rsidRPr="0098443A">
        <w:rPr>
          <w:rFonts w:ascii="Times New Roman" w:hAnsi="Times New Roman" w:cs="Times New Roman"/>
          <w:lang w:val="en-US"/>
        </w:rPr>
        <w:t xml:space="preserve">, indicating that </w:t>
      </w:r>
      <w:r w:rsidR="00CE0381" w:rsidRPr="0098443A">
        <w:rPr>
          <w:rFonts w:ascii="Times New Roman" w:hAnsi="Times New Roman" w:cs="Times New Roman"/>
          <w:lang w:val="en-US"/>
        </w:rPr>
        <w:t xml:space="preserve">the addition of FeNaEDTA </w:t>
      </w:r>
      <w:r w:rsidR="00CE0381">
        <w:rPr>
          <w:rFonts w:ascii="Times New Roman" w:hAnsi="Times New Roman" w:cs="Times New Roman"/>
          <w:lang w:val="en-US"/>
        </w:rPr>
        <w:t xml:space="preserve">prevented </w:t>
      </w:r>
      <w:r w:rsidR="009D2D58">
        <w:rPr>
          <w:rFonts w:ascii="Times New Roman" w:hAnsi="Times New Roman" w:cs="Times New Roman"/>
          <w:lang w:val="en-US"/>
        </w:rPr>
        <w:t xml:space="preserve">the </w:t>
      </w:r>
      <w:r w:rsidR="00523FB2" w:rsidRPr="0098443A">
        <w:rPr>
          <w:rFonts w:ascii="Times New Roman" w:hAnsi="Times New Roman" w:cs="Times New Roman"/>
          <w:lang w:val="en-US"/>
        </w:rPr>
        <w:t>increase in Mn</w:t>
      </w:r>
      <w:r w:rsidR="00DA05B9">
        <w:rPr>
          <w:rFonts w:ascii="Times New Roman" w:hAnsi="Times New Roman" w:cs="Times New Roman"/>
          <w:lang w:val="en-US"/>
        </w:rPr>
        <w:t xml:space="preserve">. </w:t>
      </w:r>
      <w:bookmarkStart w:id="26" w:name="_Hlk74214268"/>
      <w:r w:rsidR="00DA05B9">
        <w:rPr>
          <w:rFonts w:ascii="Times New Roman" w:hAnsi="Times New Roman" w:cs="Times New Roman"/>
          <w:lang w:val="en-US"/>
        </w:rPr>
        <w:t>This behavior can be a consequence of a Mn–EDTA complex formation in the soil</w:t>
      </w:r>
      <w:r w:rsidR="00A54094">
        <w:rPr>
          <w:rFonts w:ascii="Times New Roman" w:hAnsi="Times New Roman" w:cs="Times New Roman"/>
          <w:lang w:val="en-US"/>
        </w:rPr>
        <w:t xml:space="preserve">, </w:t>
      </w:r>
      <w:bookmarkStart w:id="27" w:name="_Hlk74237734"/>
      <w:r w:rsidR="00A54094">
        <w:rPr>
          <w:rFonts w:ascii="Times New Roman" w:hAnsi="Times New Roman" w:cs="Times New Roman"/>
          <w:lang w:val="en-US"/>
        </w:rPr>
        <w:t>which</w:t>
      </w:r>
      <w:r w:rsidR="00DA05B9">
        <w:rPr>
          <w:rFonts w:ascii="Times New Roman" w:hAnsi="Times New Roman" w:cs="Times New Roman"/>
          <w:lang w:val="en-US"/>
        </w:rPr>
        <w:t xml:space="preserve"> decreas</w:t>
      </w:r>
      <w:r w:rsidR="00A54094">
        <w:rPr>
          <w:rFonts w:ascii="Times New Roman" w:hAnsi="Times New Roman" w:cs="Times New Roman"/>
          <w:lang w:val="en-US"/>
        </w:rPr>
        <w:t>es</w:t>
      </w:r>
      <w:r w:rsidR="00DA05B9">
        <w:rPr>
          <w:rFonts w:ascii="Times New Roman" w:hAnsi="Times New Roman" w:cs="Times New Roman"/>
          <w:lang w:val="en-US"/>
        </w:rPr>
        <w:t xml:space="preserve"> Mn availability</w:t>
      </w:r>
      <w:bookmarkEnd w:id="26"/>
      <w:bookmarkEnd w:id="27"/>
      <w:r w:rsidR="00DA05B9">
        <w:rPr>
          <w:rFonts w:ascii="Times New Roman" w:hAnsi="Times New Roman" w:cs="Times New Roman"/>
          <w:lang w:val="en-US"/>
        </w:rPr>
        <w:t>.</w:t>
      </w:r>
      <w:r w:rsidR="00DA05B9" w:rsidRPr="0098443A">
        <w:rPr>
          <w:rFonts w:ascii="Times New Roman" w:hAnsi="Times New Roman" w:cs="Times New Roman"/>
          <w:lang w:val="en-US"/>
        </w:rPr>
        <w:t xml:space="preserve"> </w:t>
      </w:r>
      <w:r w:rsidR="002D096E" w:rsidRPr="0098443A">
        <w:rPr>
          <w:rFonts w:ascii="Times New Roman" w:hAnsi="Times New Roman" w:cs="Times New Roman"/>
          <w:lang w:val="en-US"/>
        </w:rPr>
        <w:t>Furthermore</w:t>
      </w:r>
      <w:r w:rsidR="00534DE7" w:rsidRPr="0098443A">
        <w:rPr>
          <w:rFonts w:ascii="Times New Roman" w:hAnsi="Times New Roman" w:cs="Times New Roman"/>
          <w:lang w:val="en-US"/>
        </w:rPr>
        <w:t>, leaf Mn concentration</w:t>
      </w:r>
      <w:r w:rsidR="00AF252A" w:rsidRPr="0098443A">
        <w:rPr>
          <w:rFonts w:ascii="Times New Roman" w:hAnsi="Times New Roman" w:cs="Times New Roman"/>
          <w:lang w:val="en-US"/>
        </w:rPr>
        <w:t>s</w:t>
      </w:r>
      <w:r w:rsidR="00534DE7" w:rsidRPr="0098443A">
        <w:rPr>
          <w:rFonts w:ascii="Times New Roman" w:hAnsi="Times New Roman" w:cs="Times New Roman"/>
          <w:lang w:val="en-US"/>
        </w:rPr>
        <w:t xml:space="preserve"> </w:t>
      </w:r>
      <w:r w:rsidR="002D096E" w:rsidRPr="0098443A">
        <w:rPr>
          <w:rFonts w:ascii="Times New Roman" w:hAnsi="Times New Roman" w:cs="Times New Roman"/>
          <w:lang w:val="en-US"/>
        </w:rPr>
        <w:t xml:space="preserve">in </w:t>
      </w:r>
      <w:r w:rsidR="00DA05B9">
        <w:rPr>
          <w:rFonts w:ascii="Times New Roman" w:hAnsi="Times New Roman" w:cs="Times New Roman"/>
          <w:lang w:val="en-US"/>
        </w:rPr>
        <w:t xml:space="preserve">plants growing in </w:t>
      </w:r>
      <w:r w:rsidR="002D096E" w:rsidRPr="0098443A">
        <w:rPr>
          <w:rFonts w:ascii="Times New Roman" w:hAnsi="Times New Roman" w:cs="Times New Roman"/>
          <w:lang w:val="en-US"/>
        </w:rPr>
        <w:t xml:space="preserve">these soils </w:t>
      </w:r>
      <w:r w:rsidR="00534DE7" w:rsidRPr="0098443A">
        <w:rPr>
          <w:rFonts w:ascii="Times New Roman" w:hAnsi="Times New Roman" w:cs="Times New Roman"/>
          <w:lang w:val="en-US"/>
        </w:rPr>
        <w:t>w</w:t>
      </w:r>
      <w:r w:rsidR="00AF252A" w:rsidRPr="0098443A">
        <w:rPr>
          <w:rFonts w:ascii="Times New Roman" w:hAnsi="Times New Roman" w:cs="Times New Roman"/>
          <w:lang w:val="en-US"/>
        </w:rPr>
        <w:t>ere</w:t>
      </w:r>
      <w:r w:rsidR="00534DE7" w:rsidRPr="0098443A">
        <w:rPr>
          <w:rFonts w:ascii="Times New Roman" w:hAnsi="Times New Roman" w:cs="Times New Roman"/>
          <w:lang w:val="en-US"/>
        </w:rPr>
        <w:t xml:space="preserve"> even lower than in </w:t>
      </w:r>
      <w:r w:rsidR="00DA05B9">
        <w:rPr>
          <w:rFonts w:ascii="Times New Roman" w:hAnsi="Times New Roman" w:cs="Times New Roman"/>
          <w:lang w:val="en-US"/>
        </w:rPr>
        <w:t xml:space="preserve">plants from </w:t>
      </w:r>
      <w:r w:rsidR="00534DE7" w:rsidRPr="0098443A">
        <w:rPr>
          <w:rFonts w:ascii="Times New Roman" w:hAnsi="Times New Roman" w:cs="Times New Roman"/>
          <w:lang w:val="en-US"/>
        </w:rPr>
        <w:t xml:space="preserve">the </w:t>
      </w:r>
      <w:r w:rsidR="0083298F">
        <w:rPr>
          <w:rFonts w:ascii="Times New Roman" w:hAnsi="Times New Roman" w:cs="Times New Roman"/>
          <w:lang w:val="en-US"/>
        </w:rPr>
        <w:t>control</w:t>
      </w:r>
      <w:r w:rsidR="00534DE7" w:rsidRPr="0098443A">
        <w:rPr>
          <w:rFonts w:ascii="Times New Roman" w:hAnsi="Times New Roman" w:cs="Times New Roman"/>
          <w:lang w:val="en-US"/>
        </w:rPr>
        <w:t xml:space="preserve"> soil</w:t>
      </w:r>
      <w:r w:rsidR="00EC4E63" w:rsidRPr="0098443A">
        <w:rPr>
          <w:rFonts w:ascii="Times New Roman" w:hAnsi="Times New Roman" w:cs="Times New Roman"/>
          <w:lang w:val="en-US"/>
        </w:rPr>
        <w:t>, which</w:t>
      </w:r>
      <w:r w:rsidR="00534DE7" w:rsidRPr="0098443A">
        <w:rPr>
          <w:rFonts w:ascii="Times New Roman" w:hAnsi="Times New Roman" w:cs="Times New Roman"/>
          <w:lang w:val="en-US"/>
        </w:rPr>
        <w:t xml:space="preserve"> </w:t>
      </w:r>
      <w:r w:rsidR="007E2B58" w:rsidRPr="0098443A">
        <w:rPr>
          <w:rFonts w:ascii="Times New Roman" w:hAnsi="Times New Roman" w:cs="Times New Roman"/>
          <w:lang w:val="en-US"/>
        </w:rPr>
        <w:t xml:space="preserve">may be </w:t>
      </w:r>
      <w:r w:rsidR="00EC4E63" w:rsidRPr="0098443A">
        <w:rPr>
          <w:rFonts w:ascii="Times New Roman" w:hAnsi="Times New Roman" w:cs="Times New Roman"/>
          <w:lang w:val="en-US"/>
        </w:rPr>
        <w:t>attributed</w:t>
      </w:r>
      <w:r w:rsidR="007E2B58" w:rsidRPr="0098443A">
        <w:rPr>
          <w:rFonts w:ascii="Times New Roman" w:hAnsi="Times New Roman" w:cs="Times New Roman"/>
          <w:lang w:val="en-US"/>
        </w:rPr>
        <w:t xml:space="preserve"> to a negative interaction </w:t>
      </w:r>
      <w:r w:rsidR="00EC4E63" w:rsidRPr="0098443A">
        <w:rPr>
          <w:rFonts w:ascii="Times New Roman" w:hAnsi="Times New Roman" w:cs="Times New Roman"/>
          <w:lang w:val="en-US"/>
        </w:rPr>
        <w:t xml:space="preserve">of this element </w:t>
      </w:r>
      <w:r w:rsidR="007E2B58" w:rsidRPr="0098443A">
        <w:rPr>
          <w:rFonts w:ascii="Times New Roman" w:hAnsi="Times New Roman" w:cs="Times New Roman"/>
          <w:lang w:val="en-US"/>
        </w:rPr>
        <w:t xml:space="preserve">with </w:t>
      </w:r>
      <w:r w:rsidR="00AF252A" w:rsidRPr="0098443A">
        <w:rPr>
          <w:rFonts w:ascii="Times New Roman" w:hAnsi="Times New Roman" w:cs="Times New Roman"/>
          <w:lang w:val="en-US"/>
        </w:rPr>
        <w:t xml:space="preserve">high leaf </w:t>
      </w:r>
      <w:r w:rsidR="007E2B58" w:rsidRPr="0098443A">
        <w:rPr>
          <w:rFonts w:ascii="Times New Roman" w:hAnsi="Times New Roman" w:cs="Times New Roman"/>
          <w:lang w:val="en-US"/>
        </w:rPr>
        <w:t>Cu</w:t>
      </w:r>
      <w:r w:rsidR="00AF252A" w:rsidRPr="0098443A">
        <w:rPr>
          <w:rFonts w:ascii="Times New Roman" w:hAnsi="Times New Roman" w:cs="Times New Roman"/>
          <w:lang w:val="en-US"/>
        </w:rPr>
        <w:t xml:space="preserve"> concentrations</w:t>
      </w:r>
      <w:r w:rsidR="007E2B58" w:rsidRPr="0098443A">
        <w:rPr>
          <w:rFonts w:ascii="Times New Roman" w:hAnsi="Times New Roman" w:cs="Times New Roman"/>
          <w:lang w:val="en-US"/>
        </w:rPr>
        <w:t xml:space="preserve">, as </w:t>
      </w:r>
      <w:r w:rsidR="00EC4E63" w:rsidRPr="0098443A">
        <w:rPr>
          <w:rFonts w:ascii="Times New Roman" w:hAnsi="Times New Roman" w:cs="Times New Roman"/>
          <w:lang w:val="en-US"/>
        </w:rPr>
        <w:t xml:space="preserve">demonstrated by the </w:t>
      </w:r>
      <w:r w:rsidR="007E2B58" w:rsidRPr="0098443A">
        <w:rPr>
          <w:rFonts w:ascii="Times New Roman" w:hAnsi="Times New Roman" w:cs="Times New Roman"/>
          <w:lang w:val="en-US"/>
        </w:rPr>
        <w:t xml:space="preserve">negative correlation </w:t>
      </w:r>
      <w:r w:rsidR="00DA05B9">
        <w:rPr>
          <w:rFonts w:ascii="Times New Roman" w:hAnsi="Times New Roman" w:cs="Times New Roman"/>
          <w:lang w:val="en-US"/>
        </w:rPr>
        <w:t>observed</w:t>
      </w:r>
      <w:r w:rsidR="00DA05B9" w:rsidRPr="0098443A">
        <w:rPr>
          <w:rFonts w:ascii="Times New Roman" w:hAnsi="Times New Roman" w:cs="Times New Roman"/>
          <w:lang w:val="en-US"/>
        </w:rPr>
        <w:t xml:space="preserve"> </w:t>
      </w:r>
      <w:r w:rsidR="007E2B58" w:rsidRPr="0098443A">
        <w:rPr>
          <w:rFonts w:ascii="Times New Roman" w:hAnsi="Times New Roman" w:cs="Times New Roman"/>
          <w:lang w:val="en-US"/>
        </w:rPr>
        <w:t xml:space="preserve">among both </w:t>
      </w:r>
      <w:r w:rsidR="001D3CB0" w:rsidRPr="0098443A">
        <w:rPr>
          <w:rFonts w:ascii="Times New Roman" w:hAnsi="Times New Roman" w:cs="Times New Roman"/>
          <w:lang w:val="en-US"/>
        </w:rPr>
        <w:t>elements</w:t>
      </w:r>
      <w:r w:rsidR="008D0CFB" w:rsidRPr="0098443A">
        <w:rPr>
          <w:rFonts w:ascii="Times New Roman" w:hAnsi="Times New Roman" w:cs="Times New Roman"/>
          <w:lang w:val="en-US"/>
        </w:rPr>
        <w:t xml:space="preserve"> (</w:t>
      </w:r>
      <w:r w:rsidR="0098443A" w:rsidRPr="0098443A">
        <w:rPr>
          <w:rFonts w:ascii="Times New Roman" w:hAnsi="Times New Roman" w:cs="Times New Roman"/>
          <w:lang w:val="en-US"/>
        </w:rPr>
        <w:t xml:space="preserve">Supplementary </w:t>
      </w:r>
      <w:r w:rsidR="008D0CFB" w:rsidRPr="0098443A">
        <w:rPr>
          <w:rFonts w:ascii="Times New Roman" w:hAnsi="Times New Roman" w:cs="Times New Roman"/>
          <w:lang w:val="en-US"/>
        </w:rPr>
        <w:t>Figure 1)</w:t>
      </w:r>
      <w:r w:rsidR="00462FB5" w:rsidRPr="0098443A">
        <w:rPr>
          <w:rFonts w:ascii="Times New Roman" w:hAnsi="Times New Roman" w:cs="Times New Roman"/>
          <w:lang w:val="en-US"/>
        </w:rPr>
        <w:t xml:space="preserve">, </w:t>
      </w:r>
      <w:r w:rsidR="00EC4E63" w:rsidRPr="0098443A">
        <w:rPr>
          <w:rFonts w:ascii="Times New Roman" w:hAnsi="Times New Roman" w:cs="Times New Roman"/>
          <w:lang w:val="en-US"/>
        </w:rPr>
        <w:t>that was</w:t>
      </w:r>
      <w:r w:rsidR="00462FB5" w:rsidRPr="0098443A">
        <w:rPr>
          <w:rFonts w:ascii="Times New Roman" w:hAnsi="Times New Roman" w:cs="Times New Roman"/>
          <w:lang w:val="en-US"/>
        </w:rPr>
        <w:t xml:space="preserve"> also observed by other authors </w:t>
      </w:r>
      <w:r w:rsidR="00462FB5" w:rsidRPr="0098443A">
        <w:rPr>
          <w:rFonts w:ascii="Times New Roman" w:hAnsi="Times New Roman" w:cs="Times New Roman"/>
          <w:lang w:val="en-US"/>
        </w:rPr>
        <w:fldChar w:fldCharType="begin" w:fldLock="1"/>
      </w:r>
      <w:r w:rsidR="002C7ADD" w:rsidRPr="0098443A">
        <w:rPr>
          <w:rFonts w:ascii="Times New Roman" w:hAnsi="Times New Roman" w:cs="Times New Roman"/>
          <w:lang w:val="en-US"/>
        </w:rPr>
        <w:instrText>ADDIN CSL_CITATION {"citationItems":[{"id":"ITEM-1","itemData":{"DOI":"10.1007/s11356-018-1299-5","ISSN":"16147499","PMID":"29380203","abstract":"The present study investigated accumulation, translocation and tolerance of autotrophic Populus alba clone “Villafranca” in response to excess concentrations of cadmium (Cd) and copper (Cu) provided to the plants. For this purpose, increasing concentrations of Cd (0, 5, 50 and 250 μM) and Cu (0, 5, 50, 250 and 500 μM) were administered to the growth medium in which micropropagated poplar plantlets were exposed to metal treatments for 15 days. Filter bags, instead of the conventional in vitro screening, were applied to improve the experimental design. Results showed that Cd and Cu increased in shoots and roots at increasing metal concentration in the medium. The highest Cd content was found in leaves, while the highest Cu content was found in roots. In “Villafranca”, Cu showed toxic effects on the development of the seedlings, especially at the highest concentrations, reducing plant dry mass. However, the tolerance index (Ti) indicated good tolerance in this clone under exposure to excess metal concentrations, whereas plants had higher translocation factor (Tf). We recommend in vitro selection of tolerant genotypes, aimed at providing early indication on accumulation potentiality and tolerance capability in research on plant sensitivity to excess heavy metal concentrations.","author":[{"dropping-particle":"","family":"Marzilli","given":"Morena","non-dropping-particle":"","parse-names":false,"suffix":""},{"dropping-particle":"","family":"Santo","given":"Patrick","non-dropping-particle":"Di","parse-names":false,"suffix":""},{"dropping-particle":"","family":"Palumbo","given":"Giuseppe","non-dropping-particle":"","parse-names":false,"suffix":""},{"dropping-particle":"","family":"Maiuro","given":"Lucia","non-dropping-particle":"","parse-names":false,"suffix":""},{"dropping-particle":"","family":"Paura","given":"Bruno","non-dropping-particle":"","parse-names":false,"suffix":""},{"dropping-particle":"","family":"Tognetti","given":"Roberto","non-dropping-particle":"","parse-names":false,"suffix":""},{"dropping-particle":"","family":"Cocozza","given":"Claudia","non-dropping-particle":"","parse-names":false,"suffix":""}],"container-title":"Environmental Science and Pollution Research","id":"ITEM-1","issue":"10","issued":{"date-parts":[["2018"]]},"page":"10058-10068","publisher":"Environmental Science and Pollution Research","title":"Cd and Cu accumulation, translocation and tolerance in Populus alba clone (Villafranca) in autotrophic in vitro screening","type":"article-journal","volume":"25"},"uris":["http://www.mendeley.com/documents/?uuid=f26b7b0a-de00-44df-ae98-46bfad050274"]}],"mendeley":{"formattedCitation":"(Marzilli et al., 2018)","plainTextFormattedCitation":"(Marzilli et al., 2018)","previouslyFormattedCitation":"(Marzilli et al., 2018)"},"properties":{"noteIndex":0},"schema":"https://github.com/citation-style-language/schema/raw/master/csl-citation.json"}</w:instrText>
      </w:r>
      <w:r w:rsidR="00462FB5" w:rsidRPr="0098443A">
        <w:rPr>
          <w:rFonts w:ascii="Times New Roman" w:hAnsi="Times New Roman" w:cs="Times New Roman"/>
          <w:lang w:val="en-US"/>
        </w:rPr>
        <w:fldChar w:fldCharType="separate"/>
      </w:r>
      <w:r w:rsidR="000E79E6" w:rsidRPr="0098443A">
        <w:rPr>
          <w:rFonts w:ascii="Times New Roman" w:hAnsi="Times New Roman" w:cs="Times New Roman"/>
          <w:noProof/>
          <w:lang w:val="en-US"/>
        </w:rPr>
        <w:t>(Marzilli et al., 2018)</w:t>
      </w:r>
      <w:r w:rsidR="00462FB5" w:rsidRPr="0098443A">
        <w:rPr>
          <w:rFonts w:ascii="Times New Roman" w:hAnsi="Times New Roman" w:cs="Times New Roman"/>
          <w:lang w:val="en-US"/>
        </w:rPr>
        <w:fldChar w:fldCharType="end"/>
      </w:r>
      <w:r w:rsidR="007E2B58" w:rsidRPr="0098443A">
        <w:rPr>
          <w:rFonts w:ascii="Times New Roman" w:hAnsi="Times New Roman" w:cs="Times New Roman"/>
          <w:lang w:val="en-US"/>
        </w:rPr>
        <w:t xml:space="preserve">. </w:t>
      </w:r>
      <w:r w:rsidR="001D3CB0" w:rsidRPr="0098443A">
        <w:rPr>
          <w:rFonts w:ascii="Times New Roman" w:hAnsi="Times New Roman" w:cs="Times New Roman"/>
          <w:lang w:val="en-US"/>
        </w:rPr>
        <w:t xml:space="preserve">In fact, Cu toxicity is known to </w:t>
      </w:r>
      <w:r w:rsidR="00147DF7" w:rsidRPr="0098443A">
        <w:rPr>
          <w:rFonts w:ascii="Times New Roman" w:hAnsi="Times New Roman" w:cs="Times New Roman"/>
          <w:lang w:val="en-US"/>
        </w:rPr>
        <w:t xml:space="preserve">induce oxidative stress </w:t>
      </w:r>
      <w:r w:rsidR="00147DF7" w:rsidRPr="0098443A">
        <w:rPr>
          <w:rFonts w:ascii="Times New Roman" w:hAnsi="Times New Roman" w:cs="Times New Roman"/>
          <w:lang w:val="en-US"/>
        </w:rPr>
        <w:fldChar w:fldCharType="begin" w:fldLock="1"/>
      </w:r>
      <w:r w:rsidR="002C7ADD" w:rsidRPr="0098443A">
        <w:rPr>
          <w:rFonts w:ascii="Times New Roman" w:hAnsi="Times New Roman" w:cs="Times New Roman"/>
          <w:lang w:val="en-US"/>
        </w:rPr>
        <w:instrText>ADDIN CSL_CITATION {"citationItems":[{"id":"ITEM-1","itemData":{"DOI":"10.1007/s11104-013-1886-7","ISSN":"0032-079X","author":[{"dropping-particle":"","family":"Miotto","given":"Alcione","non-dropping-particle":"","parse-names":false,"suffix":""},{"dropping-particle":"","family":"Ceretta","given":"Carlos A.","non-dropping-particle":"","parse-names":false,"suffix":""},{"dropping-particle":"","family":"Brunetto","given":"Gustavo","non-dropping-particle":"","parse-names":false,"suffix":""},{"dropping-particle":"","family":"Nicoloso","given":"Fernando T.","non-dropping-particle":"","parse-names":false,"suffix":""},{"dropping-particle":"","family":"Girotto","given":"Eduardo","non-dropping-particle":"","parse-names":false,"suffix":""},{"dropping-particle":"","family":"Farias","given":"Júlia G.","non-dropping-particle":"","parse-names":false,"suffix":""},{"dropping-particle":"","family":"Tiecher","given":"Tadeu L.","non-dropping-particle":"","parse-names":false,"suffix":""},{"dropping-particle":"","family":"Conti","given":"Lessandro","non-dropping-particle":"De","parse-names":false,"suffix":""},{"dropping-particle":"","family":"Trentin","given":"Gustavo","non-dropping-particle":"","parse-names":false,"suffix":""}],"container-title":"Plant and Soil","id":"ITEM-1","issue":"1-2","issued":{"date-parts":[["2014","1","24"]]},"page":"593-610","publisher":"Springer Netherlands","title":"Copper uptake, accumulation and physiological changes in adult grapevines in response to excess copper in soil","type":"article-journal","volume":"374"},"uris":["http://www.mendeley.com/documents/?uuid=be80caec-6e46-35b8-bbcd-3df6ea7b4e05"]}],"mendeley":{"formattedCitation":"(Miotto et al., 2014)","plainTextFormattedCitation":"(Miotto et al., 2014)","previouslyFormattedCitation":"(Miotto et al., 2014)"},"properties":{"noteIndex":0},"schema":"https://github.com/citation-style-language/schema/raw/master/csl-citation.json"}</w:instrText>
      </w:r>
      <w:r w:rsidR="00147DF7" w:rsidRPr="0098443A">
        <w:rPr>
          <w:rFonts w:ascii="Times New Roman" w:hAnsi="Times New Roman" w:cs="Times New Roman"/>
          <w:lang w:val="en-US"/>
        </w:rPr>
        <w:fldChar w:fldCharType="separate"/>
      </w:r>
      <w:r w:rsidR="000E79E6" w:rsidRPr="0098443A">
        <w:rPr>
          <w:rFonts w:ascii="Times New Roman" w:hAnsi="Times New Roman" w:cs="Times New Roman"/>
          <w:noProof/>
          <w:lang w:val="en-US"/>
        </w:rPr>
        <w:t>(Miotto et al., 2014)</w:t>
      </w:r>
      <w:r w:rsidR="00147DF7" w:rsidRPr="0098443A">
        <w:rPr>
          <w:rFonts w:ascii="Times New Roman" w:hAnsi="Times New Roman" w:cs="Times New Roman"/>
          <w:lang w:val="en-US"/>
        </w:rPr>
        <w:fldChar w:fldCharType="end"/>
      </w:r>
      <w:r w:rsidR="00147DF7" w:rsidRPr="0098443A">
        <w:rPr>
          <w:rFonts w:ascii="Times New Roman" w:hAnsi="Times New Roman" w:cs="Times New Roman"/>
          <w:lang w:val="en-US"/>
        </w:rPr>
        <w:t xml:space="preserve"> that results in the impairment of photosynthetic structures, including Mn cluster of photosystem II</w:t>
      </w:r>
      <w:r w:rsidR="008C1731" w:rsidRPr="0098443A">
        <w:rPr>
          <w:rFonts w:ascii="Times New Roman" w:hAnsi="Times New Roman" w:cs="Times New Roman"/>
          <w:lang w:val="en-US"/>
        </w:rPr>
        <w:t xml:space="preserve"> </w:t>
      </w:r>
      <w:r w:rsidR="008C1731" w:rsidRPr="0098443A">
        <w:rPr>
          <w:rFonts w:ascii="Times New Roman" w:hAnsi="Times New Roman" w:cs="Times New Roman"/>
          <w:lang w:val="en-US"/>
        </w:rPr>
        <w:fldChar w:fldCharType="begin" w:fldLock="1"/>
      </w:r>
      <w:r w:rsidR="002C7ADD" w:rsidRPr="0098443A">
        <w:rPr>
          <w:rFonts w:ascii="Times New Roman" w:hAnsi="Times New Roman" w:cs="Times New Roman"/>
          <w:lang w:val="en-US"/>
        </w:rPr>
        <w:instrText>ADDIN CSL_CITATION {"citationItems":[{"id":"ITEM-1","itemData":{"DOI":"10.1007/s11104-013-1886-7","ISSN":"0032-079X","author":[{"dropping-particle":"","family":"Miotto","given":"Alcione","non-dropping-particle":"","parse-names":false,"suffix":""},{"dropping-particle":"","family":"Ceretta","given":"Carlos A.","non-dropping-particle":"","parse-names":false,"suffix":""},{"dropping-particle":"","family":"Brunetto","given":"Gustavo","non-dropping-particle":"","parse-names":false,"suffix":""},{"dropping-particle":"","family":"Nicoloso","given":"Fernando T.","non-dropping-particle":"","parse-names":false,"suffix":""},{"dropping-particle":"","family":"Girotto","given":"Eduardo","non-dropping-particle":"","parse-names":false,"suffix":""},{"dropping-particle":"","family":"Farias","given":"Júlia G.","non-dropping-particle":"","parse-names":false,"suffix":""},{"dropping-particle":"","family":"Tiecher","given":"Tadeu L.","non-dropping-particle":"","parse-names":false,"suffix":""},{"dropping-particle":"","family":"Conti","given":"Lessandro","non-dropping-particle":"De","parse-names":false,"suffix":""},{"dropping-particle":"","family":"Trentin","given":"Gustavo","non-dropping-particle":"","parse-names":false,"suffix":""}],"container-title":"Plant and Soil","id":"ITEM-1","issue":"1-2","issued":{"date-parts":[["2014","1","24"]]},"page":"593-610","publisher":"Springer Netherlands","title":"Copper uptake, accumulation and physiological changes in adult grapevines in response to excess copper in soil","type":"article-journal","volume":"374"},"uris":["http://www.mendeley.com/documents/?uuid=be80caec-6e46-35b8-bbcd-3df6ea7b4e05"]},{"id":"ITEM-2","itemData":{"author":[{"dropping-particle":"","family":"Yruela","given":"I","non-dropping-particle":"","parse-names":false,"suffix":""}],"container-title":"Braz. J. Plant Physiol","id":"ITEM-2","issue":"1","issued":{"date-parts":[["2005"]]},"page":"145-156","title":"Copper in plants","type":"article-journal","volume":"17"},"uris":["http://www.mendeley.com/documents/?uuid=526249ea-187e-36d2-ba26-483558dcf9d6"]},{"id":"ITEM-3","itemData":{"DOI":"10.1016/j.plaphy.2018.05.011","ISSN":"09819428","PMID":"29772492","abstract":"High copper (Cu) soil contents, due to the continuous vineyard application of Cu fungicides throughout the years, may impair the growth of the shoot and modify the structure of the root system. The current study aimed to investigate the threshold levels of available Cu in the soil causing toxicity effects in young grapevine plants of ‘Red Niagara’ cultivated in clay soils. Grapevine plantlets were cultivated in pots containing vineyard devoted soils with increasing contents of available Cu (25, 80, 100 and 165 mg kg−1), for 53 days. Photosynthesis and transpiration rates, and the quantum yield of photosystem II (Fv/Fm) were evaluated during the cultivation period. At the end of the experiment, the plant nutrient and leaf chlorophyll were determined, along with the anatomical analysis of the root system structure and plant dry matter determination. Higher levels of available Cu in the soil increased the apoplastic, symplastic and total fraction of the metal in the roots, reducing the other nutrients, especially in the shoots. Photosynthesis, transpiration rates and Fv/Fm were also reduced. Higher levels of Cu led to anatomical changes in the roots, that increased diameter, number of layers in the cortex, vascular cylinder and total root areas. It also resulted in reduced dry matter production by grapevines.","author":[{"dropping-particle":"","family":"Ambrosini","given":"Vítor Gabriel","non-dropping-particle":"","parse-names":false,"suffix":""},{"dropping-particle":"","family":"Rosa","given":"Daniel José","non-dropping-particle":"","parse-names":false,"suffix":""},{"dropping-particle":"","family":"Bastos de Melo","given":"George Wellington","non-dropping-particle":"","parse-names":false,"suffix":""},{"dropping-particle":"","family":"Zalamena","given":"Jovani","non-dropping-particle":"","parse-names":false,"suffix":""},{"dropping-particle":"","family":"Cella","given":"Cesar","non-dropping-particle":"","parse-names":false,"suffix":""},{"dropping-particle":"","family":"Simão","given":"Daniela Guimarães","non-dropping-particle":"","parse-names":false,"suffix":""},{"dropping-particle":"","family":"Souza da Silva","given":"Leandro","non-dropping-particle":"","parse-names":false,"suffix":""},{"dropping-particle":"","family":"Pessoa dos Santos","given":"Henrique","non-dropping-particle":"","parse-names":false,"suffix":""},{"dropping-particle":"","family":"Toselli","given":"Moreno","non-dropping-particle":"","parse-names":false,"suffix":""},{"dropping-particle":"","family":"Tiecher","given":"Tadeu Luis","non-dropping-particle":"","parse-names":false,"suffix":""},{"dropping-particle":"","family":"Brunetto","given":"Gustavo","non-dropping-particle":"","parse-names":false,"suffix":""}],"container-title":"Plant Physiology and Biochemistry","id":"ITEM-3","issued":{"date-parts":[["2018"]]},"page":"89-98","publisher":"Elsevier Masson SAS","title":"High copper content in vineyard soils promotes modifications in photosynthetic parameters and morphological changes in the root system of ‘Red Niagara’ plantlets","type":"article-journal","volume":"128"},"uris":["http://www.mendeley.com/documents/?uuid=63b4abf1-0e13-4e0f-84cf-0fd64b9551f9"]}],"mendeley":{"formattedCitation":"(Ambrosini et al., 2018; Miotto et al., 2014; Yruela, 2005)","plainTextFormattedCitation":"(Ambrosini et al., 2018; Miotto et al., 2014; Yruela, 2005)","previouslyFormattedCitation":"(Ambrosini et al., 2018; Miotto et al., 2014; Yruela, 2005)"},"properties":{"noteIndex":0},"schema":"https://github.com/citation-style-language/schema/raw/master/csl-citation.json"}</w:instrText>
      </w:r>
      <w:r w:rsidR="008C1731" w:rsidRPr="0098443A">
        <w:rPr>
          <w:rFonts w:ascii="Times New Roman" w:hAnsi="Times New Roman" w:cs="Times New Roman"/>
          <w:lang w:val="en-US"/>
        </w:rPr>
        <w:fldChar w:fldCharType="separate"/>
      </w:r>
      <w:r w:rsidR="000E79E6" w:rsidRPr="0098443A">
        <w:rPr>
          <w:rFonts w:ascii="Times New Roman" w:hAnsi="Times New Roman" w:cs="Times New Roman"/>
          <w:noProof/>
          <w:lang w:val="en-US"/>
        </w:rPr>
        <w:t>(Ambrosini et al., 2018; Miotto et al., 2014; Yruela, 2005)</w:t>
      </w:r>
      <w:r w:rsidR="008C1731" w:rsidRPr="0098443A">
        <w:rPr>
          <w:rFonts w:ascii="Times New Roman" w:hAnsi="Times New Roman" w:cs="Times New Roman"/>
          <w:lang w:val="en-US"/>
        </w:rPr>
        <w:fldChar w:fldCharType="end"/>
      </w:r>
      <w:r w:rsidR="008C1731" w:rsidRPr="0098443A">
        <w:rPr>
          <w:rFonts w:ascii="Times New Roman" w:hAnsi="Times New Roman" w:cs="Times New Roman"/>
          <w:lang w:val="en-US"/>
        </w:rPr>
        <w:t>, explain</w:t>
      </w:r>
      <w:r w:rsidR="00EC4E63" w:rsidRPr="0098443A">
        <w:rPr>
          <w:rFonts w:ascii="Times New Roman" w:hAnsi="Times New Roman" w:cs="Times New Roman"/>
          <w:lang w:val="en-US"/>
        </w:rPr>
        <w:t>ing</w:t>
      </w:r>
      <w:r w:rsidR="008C1731" w:rsidRPr="0098443A">
        <w:rPr>
          <w:rFonts w:ascii="Times New Roman" w:hAnsi="Times New Roman" w:cs="Times New Roman"/>
          <w:lang w:val="en-US"/>
        </w:rPr>
        <w:t xml:space="preserve"> the decrease in leaf Mn concentrations.</w:t>
      </w:r>
      <w:r w:rsidR="001D3CB0" w:rsidRPr="0098443A">
        <w:rPr>
          <w:rFonts w:ascii="Times New Roman" w:hAnsi="Times New Roman" w:cs="Times New Roman"/>
          <w:lang w:val="en-US"/>
        </w:rPr>
        <w:t xml:space="preserve"> </w:t>
      </w:r>
      <w:bookmarkStart w:id="28" w:name="_Hlk63672570"/>
      <w:r w:rsidR="001D3CB0" w:rsidRPr="0098443A">
        <w:rPr>
          <w:rFonts w:ascii="Times New Roman" w:hAnsi="Times New Roman" w:cs="Times New Roman"/>
          <w:lang w:val="en-US"/>
        </w:rPr>
        <w:t>Mycorrhizal inoculation was not able to compensate this negative effect in grapevine leaves</w:t>
      </w:r>
      <w:r w:rsidR="0050768B" w:rsidRPr="0098443A">
        <w:rPr>
          <w:rFonts w:ascii="Times New Roman" w:hAnsi="Times New Roman" w:cs="Times New Roman"/>
          <w:lang w:val="en-US"/>
        </w:rPr>
        <w:t>, as no differences were observed among the three inoculation treatments.</w:t>
      </w:r>
      <w:r w:rsidR="00AF252A" w:rsidRPr="0098443A">
        <w:rPr>
          <w:rFonts w:ascii="Times New Roman" w:hAnsi="Times New Roman" w:cs="Times New Roman"/>
          <w:lang w:val="en-US"/>
        </w:rPr>
        <w:t xml:space="preserve"> </w:t>
      </w:r>
      <w:bookmarkEnd w:id="28"/>
    </w:p>
    <w:p w14:paraId="19934041" w14:textId="1BA9344B" w:rsidR="00CE2021" w:rsidRDefault="00F834AC" w:rsidP="0098443A">
      <w:pPr>
        <w:autoSpaceDE w:val="0"/>
        <w:autoSpaceDN w:val="0"/>
        <w:adjustRightInd w:val="0"/>
        <w:spacing w:after="0" w:line="480" w:lineRule="auto"/>
        <w:jc w:val="both"/>
        <w:rPr>
          <w:rFonts w:ascii="Times New Roman" w:hAnsi="Times New Roman" w:cs="Times New Roman"/>
          <w:lang w:val="en-US"/>
        </w:rPr>
      </w:pPr>
      <w:bookmarkStart w:id="29" w:name="_Hlk74239328"/>
      <w:bookmarkStart w:id="30" w:name="_Hlk73520895"/>
      <w:bookmarkEnd w:id="25"/>
      <w:r>
        <w:rPr>
          <w:rFonts w:ascii="Times New Roman" w:hAnsi="Times New Roman" w:cs="Times New Roman"/>
          <w:lang w:val="en-US"/>
        </w:rPr>
        <w:t>Mycorrhizal fungi are known to increase soil Fe bioavailability and Fe uptake by plants</w:t>
      </w:r>
      <w:r w:rsidR="00945F72">
        <w:rPr>
          <w:rFonts w:ascii="Times New Roman" w:hAnsi="Times New Roman" w:cs="Times New Roman"/>
          <w:lang w:val="en-US"/>
        </w:rPr>
        <w:t xml:space="preserve"> </w:t>
      </w:r>
      <w:r w:rsidR="00C644F2">
        <w:rPr>
          <w:rFonts w:ascii="Times New Roman" w:hAnsi="Times New Roman" w:cs="Times New Roman"/>
          <w:color w:val="000000" w:themeColor="text1"/>
          <w:shd w:val="clear" w:color="auto" w:fill="FFFFFF"/>
          <w:lang w:val="en-US"/>
        </w:rPr>
        <w:fldChar w:fldCharType="begin" w:fldLock="1"/>
      </w:r>
      <w:r w:rsidR="00C644F2">
        <w:rPr>
          <w:rFonts w:ascii="Times New Roman" w:hAnsi="Times New Roman" w:cs="Times New Roman"/>
          <w:color w:val="000000" w:themeColor="text1"/>
          <w:shd w:val="clear" w:color="auto" w:fill="FFFFFF"/>
          <w:lang w:val="en-US"/>
        </w:rPr>
        <w:instrText>ADDIN CSL_CITATION {"citationItems":[{"id":"ITEM-1","itemData":{"DOI":"10.1093/aob/mct249","abstract":"† Background Iron (Fe) deficiency in crops is a worldwide agricultural problem. Plants have evolved several strategies to enhance Fe acquisition, but increasing evidence has shown that the intrinsic plant-based strategies alone are insufficient to avoid Fe deficiency in Fe-limited soils. Soil microorganisms also play a critical role in plant Fe acquisition; however, the mechanisms behind their promotion of Fe acquisition remain largely unknown. † Scope This review focuses on the possible mechanisms underlying the promotion of plant Fe acquisition by soil microorganisms. † Conclusions Fe-deficiency-induced root exudates alter the microbial community in the rhizosphere by modifying the physicochemical properties of soil, and/or by their antimicrobial and/or growth-promoting effects. The altered microbial community may in turn benefit plant Fe acquisition via production of siderophores and protons, both of which improve Fe bioavailability in soil, and via hormone generation that triggers the enhancement of Fe uptake capacity in plants. In addition, symbiotic interactions between microorganisms and host plants could also enhance plant Fe acquisition, possibly including: rhizobium nodulation enhancing plant Fe uptake capacity and mycorrhizal fungal infection enhancing root length and the nutrient acquisition area of the root system, as well as increasing the production of Fe 3+ chelators and protons.","author":[{"dropping-particle":"","family":"Jin","given":"Chong Wei","non-dropping-particle":"","parse-names":false,"suffix":""},{"dropping-particle":"","family":"Ye","given":"Yi Quan","non-dropping-particle":"","parse-names":false,"suffix":""},{"dropping-particle":"","family":"Jian Zheng","given":"Shao","non-dropping-particle":"","parse-names":false,"suffix":""}],"container-title":"Annals of Botany","id":"ITEM-1","issued":{"date-parts":[["2014"]]},"page":"7-18","title":"An underground tale: contribution of microbial activity to plant iron acquisition via ecological processes","type":"article-journal","volume":"113"},"uris":["http://www.mendeley.com/documents/?uuid=02e2a127-4a09-39f2-a6ea-3e8cd1992002"]},{"id":"ITEM-2","itemData":{"DOI":"10.1007/978-981-10-4115-0","ISBN":"9789811041150","abstract":"This book reviews the potential mechanisms in arbuscular mycorrhizas (AMs), in the hope that this can help arbuscular mycorrhizal fungi (AMF) to be more used efficiently as a biostimulant to enhance stress tolerance in the host plants. AMF, as well as plants, are often exposed to all or many of the abiotic and biotic stresses, including extreme temperatures, pH, drought, water-logging, toxic metals and soil pathogens. Studies have indicated a quick response to these stresses involving several mechanisms, such as root morphological modification, reactive oxygen species change, osmotic adjustment, direct absorption of water by extraradical hyphae, up-regulated expression of relevant stressed genes, glomalin-related soil protein release, etc. The underlying complex, multi-dimensional strategy is involved in morphological, physiological, biochemical, and molecular processes. The AMF responses are often associated with homeostatic regulation of the internal and external environment, and are therefore critical for plant health, survival and restoration in native ecosystems and good soil structure.","author":[{"dropping-particle":"","family":"Huang","given":"Y-M","non-dropping-particle":"","parse-names":false,"suffix":""},{"dropping-particle":"","family":"Wu","given":"Q-S","non-dropping-particle":"","parse-names":false,"suffix":""}],"chapter-number":"6","container-title":"Arbuscular Mycorrhizas and Stress Tolerance of Plants","editor":[{"dropping-particle":"","family":"Wu","given":"Q.-S.","non-dropping-particle":"","parse-names":false,"suffix":""}],"id":"ITEM-2","issued":{"date-parts":[["2017"]]},"page":"1-327","publisher":"Springer Nature Singapore","title":"Arbuscular mycorrhizal fungi and tolerance of Fe stress in plants","type":"chapter"},"uris":["http://www.mendeley.com/documents/?uuid=204fec65-ba09-4e48-820f-5d2a24959d41"]}],"mendeley":{"formattedCitation":"(Huang and Wu, 2017; Jin et al., 2014)","plainTextFormattedCitation":"(Huang and Wu, 2017; Jin et al., 2014)","previouslyFormattedCitation":"(Huang and Wu, 2017; Jin et al., 2014)"},"properties":{"noteIndex":0},"schema":"https://github.com/citation-style-language/schema/raw/master/csl-citation.json"}</w:instrText>
      </w:r>
      <w:r w:rsidR="00C644F2">
        <w:rPr>
          <w:rFonts w:ascii="Times New Roman" w:hAnsi="Times New Roman" w:cs="Times New Roman"/>
          <w:color w:val="000000" w:themeColor="text1"/>
          <w:shd w:val="clear" w:color="auto" w:fill="FFFFFF"/>
          <w:lang w:val="en-US"/>
        </w:rPr>
        <w:fldChar w:fldCharType="separate"/>
      </w:r>
      <w:r w:rsidR="00C644F2" w:rsidRPr="00830DF4">
        <w:rPr>
          <w:rFonts w:ascii="Times New Roman" w:hAnsi="Times New Roman" w:cs="Times New Roman"/>
          <w:noProof/>
          <w:color w:val="000000" w:themeColor="text1"/>
          <w:shd w:val="clear" w:color="auto" w:fill="FFFFFF"/>
          <w:lang w:val="en-US"/>
        </w:rPr>
        <w:t>(Huang and Wu, 2017; Jin et al., 2014)</w:t>
      </w:r>
      <w:r w:rsidR="00C644F2">
        <w:rPr>
          <w:rFonts w:ascii="Times New Roman" w:hAnsi="Times New Roman" w:cs="Times New Roman"/>
          <w:color w:val="000000" w:themeColor="text1"/>
          <w:shd w:val="clear" w:color="auto" w:fill="FFFFFF"/>
          <w:lang w:val="en-US"/>
        </w:rPr>
        <w:fldChar w:fldCharType="end"/>
      </w:r>
      <w:r>
        <w:rPr>
          <w:rFonts w:ascii="Times New Roman" w:hAnsi="Times New Roman" w:cs="Times New Roman"/>
          <w:lang w:val="en-US"/>
        </w:rPr>
        <w:t xml:space="preserve">. </w:t>
      </w:r>
      <w:r w:rsidR="00945F72">
        <w:rPr>
          <w:rFonts w:ascii="Times New Roman" w:hAnsi="Times New Roman" w:cs="Times New Roman"/>
          <w:color w:val="000000" w:themeColor="text1"/>
          <w:lang w:val="en-US"/>
        </w:rPr>
        <w:t>T</w:t>
      </w:r>
      <w:r>
        <w:rPr>
          <w:rFonts w:ascii="Times New Roman" w:hAnsi="Times New Roman" w:cs="Times New Roman"/>
          <w:lang w:val="en-US"/>
        </w:rPr>
        <w:t>hese fungi can</w:t>
      </w:r>
      <w:r w:rsidRPr="005A5F82">
        <w:rPr>
          <w:rFonts w:ascii="Times New Roman" w:hAnsi="Times New Roman" w:cs="Times New Roman"/>
          <w:color w:val="000000" w:themeColor="text1"/>
          <w:lang w:val="en-US"/>
        </w:rPr>
        <w:t xml:space="preserve"> release siderophores or </w:t>
      </w:r>
      <w:r w:rsidRPr="005A5F82">
        <w:rPr>
          <w:rFonts w:ascii="Times New Roman" w:hAnsi="Times New Roman" w:cs="Times New Roman"/>
          <w:color w:val="000000" w:themeColor="text1"/>
          <w:shd w:val="clear" w:color="auto" w:fill="FFFFFF"/>
          <w:lang w:val="en-US"/>
        </w:rPr>
        <w:t xml:space="preserve">protons to the soil </w:t>
      </w:r>
      <w:r>
        <w:rPr>
          <w:rFonts w:ascii="Times New Roman" w:hAnsi="Times New Roman" w:cs="Times New Roman"/>
          <w:color w:val="000000" w:themeColor="text1"/>
          <w:shd w:val="clear" w:color="auto" w:fill="FFFFFF"/>
          <w:lang w:val="en-US"/>
        </w:rPr>
        <w:t xml:space="preserve">to </w:t>
      </w:r>
      <w:r w:rsidR="008B3BF9">
        <w:rPr>
          <w:rFonts w:ascii="Times New Roman" w:hAnsi="Times New Roman" w:cs="Times New Roman"/>
          <w:color w:val="000000" w:themeColor="text1"/>
          <w:shd w:val="clear" w:color="auto" w:fill="FFFFFF"/>
          <w:lang w:val="en-US"/>
        </w:rPr>
        <w:t xml:space="preserve">facilitate </w:t>
      </w:r>
      <w:r w:rsidR="00945F72">
        <w:rPr>
          <w:rFonts w:ascii="Times New Roman" w:hAnsi="Times New Roman" w:cs="Times New Roman"/>
          <w:color w:val="000000" w:themeColor="text1"/>
          <w:shd w:val="clear" w:color="auto" w:fill="FFFFFF"/>
          <w:lang w:val="en-US"/>
        </w:rPr>
        <w:t xml:space="preserve">Fe </w:t>
      </w:r>
      <w:r w:rsidR="008B3BF9">
        <w:rPr>
          <w:rFonts w:ascii="Times New Roman" w:hAnsi="Times New Roman" w:cs="Times New Roman"/>
          <w:color w:val="000000" w:themeColor="text1"/>
          <w:shd w:val="clear" w:color="auto" w:fill="FFFFFF"/>
          <w:lang w:val="en-US"/>
        </w:rPr>
        <w:t xml:space="preserve">mobilization </w:t>
      </w:r>
      <w:r w:rsidR="00830DF4">
        <w:rPr>
          <w:rFonts w:ascii="Times New Roman" w:hAnsi="Times New Roman" w:cs="Times New Roman"/>
          <w:color w:val="000000" w:themeColor="text1"/>
          <w:shd w:val="clear" w:color="auto" w:fill="FFFFFF"/>
          <w:lang w:val="en-US"/>
        </w:rPr>
        <w:fldChar w:fldCharType="begin" w:fldLock="1"/>
      </w:r>
      <w:r w:rsidR="00830DF4">
        <w:rPr>
          <w:rFonts w:ascii="Times New Roman" w:hAnsi="Times New Roman" w:cs="Times New Roman"/>
          <w:color w:val="000000" w:themeColor="text1"/>
          <w:shd w:val="clear" w:color="auto" w:fill="FFFFFF"/>
          <w:lang w:val="en-US"/>
        </w:rPr>
        <w:instrText>ADDIN CSL_CITATION {"citationItems":[{"id":"ITEM-1","itemData":{"DOI":"10.1093/aob/mct249","abstract":"† Background Iron (Fe) deficiency in crops is a worldwide agricultural problem. Plants have evolved several strategies to enhance Fe acquisition, but increasing evidence has shown that the intrinsic plant-based strategies alone are insufficient to avoid Fe deficiency in Fe-limited soils. Soil microorganisms also play a critical role in plant Fe acquisition; however, the mechanisms behind their promotion of Fe acquisition remain largely unknown. † Scope This review focuses on the possible mechanisms underlying the promotion of plant Fe acquisition by soil microorganisms. † Conclusions Fe-deficiency-induced root exudates alter the microbial community in the rhizosphere by modifying the physicochemical properties of soil, and/or by their antimicrobial and/or growth-promoting effects. The altered microbial community may in turn benefit plant Fe acquisition via production of siderophores and protons, both of which improve Fe bioavailability in soil, and via hormone generation that triggers the enhancement of Fe uptake capacity in plants. In addition, symbiotic interactions between microorganisms and host plants could also enhance plant Fe acquisition, possibly including: rhizobium nodulation enhancing plant Fe uptake capacity and mycorrhizal fungal infection enhancing root length and the nutrient acquisition area of the root system, as well as increasing the production of Fe 3+ chelators and protons.","author":[{"dropping-particle":"","family":"Jin","given":"Chong Wei","non-dropping-particle":"","parse-names":false,"suffix":""},{"dropping-particle":"","family":"Ye","given":"Yi Quan","non-dropping-particle":"","parse-names":false,"suffix":""},{"dropping-particle":"","family":"Jian Zheng","given":"Shao","non-dropping-particle":"","parse-names":false,"suffix":""}],"container-title":"Annals of Botany","id":"ITEM-1","issued":{"date-parts":[["2014"]]},"page":"7-18","title":"An underground tale: contribution of microbial activity to plant iron acquisition via ecological processes","type":"article-journal","volume":"113"},"uris":["http://www.mendeley.com/documents/?uuid=02e2a127-4a09-39f2-a6ea-3e8cd1992002"]},{"id":"ITEM-2","itemData":{"DOI":"10.1007/978-981-10-4115-0","ISBN":"9789811041150","abstract":"This book reviews the potential mechanisms in arbuscular mycorrhizas (AMs), in the hope that this can help arbuscular mycorrhizal fungi (AMF) to be more used efficiently as a biostimulant to enhance stress tolerance in the host plants. AMF, as well as plants, are often exposed to all or many of the abiotic and biotic stresses, including extreme temperatures, pH, drought, water-logging, toxic metals and soil pathogens. Studies have indicated a quick response to these stresses involving several mechanisms, such as root morphological modification, reactive oxygen species change, osmotic adjustment, direct absorption of water by extraradical hyphae, up-regulated expression of relevant stressed genes, glomalin-related soil protein release, etc. The underlying complex, multi-dimensional strategy is involved in morphological, physiological, biochemical, and molecular processes. The AMF responses are often associated with homeostatic regulation of the internal and external environment, and are therefore critical for plant health, survival and restoration in native ecosystems and good soil structure.","author":[{"dropping-particle":"","family":"Huang","given":"Y-M","non-dropping-particle":"","parse-names":false,"suffix":""},{"dropping-particle":"","family":"Wu","given":"Q-S","non-dropping-particle":"","parse-names":false,"suffix":""}],"chapter-number":"6","container-title":"Arbuscular Mycorrhizas and Stress Tolerance of Plants","editor":[{"dropping-particle":"","family":"Wu","given":"Q.-S.","non-dropping-particle":"","parse-names":false,"suffix":""}],"id":"ITEM-2","issued":{"date-parts":[["2017"]]},"page":"1-327","publisher":"Springer Nature Singapore","title":"Arbuscular mycorrhizal fungi and tolerance of Fe stress in plants","type":"chapter"},"uris":["http://www.mendeley.com/documents/?uuid=204fec65-ba09-4e48-820f-5d2a24959d41"]}],"mendeley":{"formattedCitation":"(Huang and Wu, 2017; Jin et al., 2014)","plainTextFormattedCitation":"(Huang and Wu, 2017; Jin et al., 2014)","previouslyFormattedCitation":"(Huang and Wu, 2017; Jin et al., 2014)"},"properties":{"noteIndex":0},"schema":"https://github.com/citation-style-language/schema/raw/master/csl-citation.json"}</w:instrText>
      </w:r>
      <w:r w:rsidR="00830DF4">
        <w:rPr>
          <w:rFonts w:ascii="Times New Roman" w:hAnsi="Times New Roman" w:cs="Times New Roman"/>
          <w:color w:val="000000" w:themeColor="text1"/>
          <w:shd w:val="clear" w:color="auto" w:fill="FFFFFF"/>
          <w:lang w:val="en-US"/>
        </w:rPr>
        <w:fldChar w:fldCharType="separate"/>
      </w:r>
      <w:r w:rsidR="00830DF4" w:rsidRPr="00830DF4">
        <w:rPr>
          <w:rFonts w:ascii="Times New Roman" w:hAnsi="Times New Roman" w:cs="Times New Roman"/>
          <w:noProof/>
          <w:color w:val="000000" w:themeColor="text1"/>
          <w:shd w:val="clear" w:color="auto" w:fill="FFFFFF"/>
          <w:lang w:val="en-US"/>
        </w:rPr>
        <w:t>(Huang and Wu, 2017; Jin et al., 2014)</w:t>
      </w:r>
      <w:r w:rsidR="00830DF4">
        <w:rPr>
          <w:rFonts w:ascii="Times New Roman" w:hAnsi="Times New Roman" w:cs="Times New Roman"/>
          <w:color w:val="000000" w:themeColor="text1"/>
          <w:shd w:val="clear" w:color="auto" w:fill="FFFFFF"/>
          <w:lang w:val="en-US"/>
        </w:rPr>
        <w:fldChar w:fldCharType="end"/>
      </w:r>
      <w:r w:rsidRPr="005A5F82">
        <w:rPr>
          <w:rFonts w:ascii="Times New Roman" w:hAnsi="Times New Roman" w:cs="Times New Roman"/>
          <w:color w:val="000000" w:themeColor="text1"/>
          <w:shd w:val="clear" w:color="auto" w:fill="FFFFFF"/>
          <w:lang w:val="en-US"/>
        </w:rPr>
        <w:t xml:space="preserve">, </w:t>
      </w:r>
      <w:r w:rsidR="008B3BF9">
        <w:rPr>
          <w:rFonts w:ascii="Times New Roman" w:hAnsi="Times New Roman" w:cs="Times New Roman"/>
          <w:color w:val="000000" w:themeColor="text1"/>
          <w:shd w:val="clear" w:color="auto" w:fill="FFFFFF"/>
          <w:lang w:val="en-US"/>
        </w:rPr>
        <w:t xml:space="preserve">they </w:t>
      </w:r>
      <w:r>
        <w:rPr>
          <w:rFonts w:ascii="Times New Roman" w:hAnsi="Times New Roman" w:cs="Times New Roman"/>
          <w:color w:val="000000" w:themeColor="text1"/>
          <w:lang w:val="en-US"/>
        </w:rPr>
        <w:t>can</w:t>
      </w:r>
      <w:r w:rsidRPr="005A5F82">
        <w:rPr>
          <w:rFonts w:ascii="Times New Roman" w:hAnsi="Times New Roman" w:cs="Times New Roman"/>
          <w:color w:val="000000" w:themeColor="text1"/>
          <w:lang w:val="en-US"/>
        </w:rPr>
        <w:t xml:space="preserve"> </w:t>
      </w:r>
      <w:r w:rsidR="00DA05B9">
        <w:rPr>
          <w:rFonts w:ascii="Times New Roman" w:hAnsi="Times New Roman" w:cs="Times New Roman"/>
          <w:color w:val="000000" w:themeColor="text1"/>
          <w:lang w:val="en-US"/>
        </w:rPr>
        <w:t xml:space="preserve">induce the </w:t>
      </w:r>
      <w:r w:rsidRPr="005A5F82">
        <w:rPr>
          <w:rFonts w:ascii="Times New Roman" w:hAnsi="Times New Roman" w:cs="Times New Roman"/>
          <w:color w:val="000000" w:themeColor="text1"/>
          <w:lang w:val="en-US"/>
        </w:rPr>
        <w:t>produc</w:t>
      </w:r>
      <w:r w:rsidR="00DA05B9">
        <w:rPr>
          <w:rFonts w:ascii="Times New Roman" w:hAnsi="Times New Roman" w:cs="Times New Roman"/>
          <w:color w:val="000000" w:themeColor="text1"/>
          <w:lang w:val="en-US"/>
        </w:rPr>
        <w:t>tion</w:t>
      </w:r>
      <w:r w:rsidRPr="005A5F82">
        <w:rPr>
          <w:rFonts w:ascii="Times New Roman" w:hAnsi="Times New Roman" w:cs="Times New Roman"/>
          <w:color w:val="000000" w:themeColor="text1"/>
          <w:lang w:val="en-US"/>
        </w:rPr>
        <w:t xml:space="preserve"> of </w:t>
      </w:r>
      <w:r w:rsidR="008B3BF9">
        <w:rPr>
          <w:rFonts w:ascii="Times New Roman" w:hAnsi="Times New Roman" w:cs="Times New Roman"/>
          <w:color w:val="000000" w:themeColor="text1"/>
          <w:lang w:val="en-US"/>
        </w:rPr>
        <w:t xml:space="preserve">root </w:t>
      </w:r>
      <w:r w:rsidRPr="005A5F82">
        <w:rPr>
          <w:rFonts w:ascii="Times New Roman" w:hAnsi="Times New Roman" w:cs="Times New Roman"/>
          <w:color w:val="000000" w:themeColor="text1"/>
          <w:lang w:val="en-US"/>
        </w:rPr>
        <w:t xml:space="preserve">exudates that stimulate the growth of rhizospheric bacteria </w:t>
      </w:r>
      <w:r w:rsidR="00C644F2">
        <w:rPr>
          <w:rFonts w:ascii="Times New Roman" w:hAnsi="Times New Roman" w:cs="Times New Roman"/>
          <w:color w:val="000000" w:themeColor="text1"/>
          <w:lang w:val="en-US"/>
        </w:rPr>
        <w:t xml:space="preserve">also </w:t>
      </w:r>
      <w:r w:rsidRPr="005A5F82">
        <w:rPr>
          <w:rFonts w:ascii="Times New Roman" w:hAnsi="Times New Roman" w:cs="Times New Roman"/>
          <w:color w:val="000000" w:themeColor="text1"/>
          <w:lang w:val="en-US"/>
        </w:rPr>
        <w:t xml:space="preserve">producing siderophores and/or protons </w:t>
      </w:r>
      <w:r w:rsidR="00830DF4">
        <w:rPr>
          <w:rFonts w:ascii="Times New Roman" w:hAnsi="Times New Roman" w:cs="Times New Roman"/>
          <w:color w:val="000000" w:themeColor="text1"/>
          <w:lang w:val="en-US"/>
        </w:rPr>
        <w:fldChar w:fldCharType="begin" w:fldLock="1"/>
      </w:r>
      <w:r w:rsidR="00830DF4">
        <w:rPr>
          <w:rFonts w:ascii="Times New Roman" w:hAnsi="Times New Roman" w:cs="Times New Roman"/>
          <w:color w:val="000000" w:themeColor="text1"/>
          <w:lang w:val="en-US"/>
        </w:rPr>
        <w:instrText>ADDIN CSL_CITATION {"citationItems":[{"id":"ITEM-1","itemData":{"DOI":"10.1007/s00572-011-0418-7","ISSN":"09406360","PMID":"22081167","abstract":"Arbuscular mycorrhizal (AM) fungi interact with bacteria (AM fungi-associated bacteria, AMB) in the mycorrhizosphere. We previously identified a set of AMB that enhance AM fungal colonization, plant growth, and inhibit pathogens. Here, we used transformed carrot root cultures in a two-compartment plate system for further in vitro studies on interactions taking place among Glomus irregulare (syn. Glomus intraradices), AMB, and plant pathogens. We found that exudates of G. irregulare stimulated growth of all ten AMB isolates tested in multi-well plates. AMB growth stimulation was observed also during co-cultivation of three of these AMB with G. irregulare in the hyphal compartment. In addition, co-cultivation stimulated growth of G. irregulare hyphae and spore production, as well as G. irregulare root colonization. GC/MS analysis in a preliminary screening of metabolites revealed differences in concentrations of several identified but also unidentified compounds in G. irregulare hyphal exudates. Exudates in presence of three different AMB isolates co-cultivated with G. irregulare contained several additional compounds that differed in amount compared with G. irregulare alone. The results indicate that G. irregulare exudates contain carbohydrates, amino acids, and unidentified compounds that could serve as a substrate to stimulate AMB growth. With regard to effects on plant pathogens, growth inhibition of Rhizoctonia solani, Verticillium dahliae, and Pectobacterium carotovorum ssp. carotovorum was evident in the presence of the AMB isolates tested together with the G. irregulare exudates. These in vitro studies suggest that G. irregulare and AMB stimulate growth of each other and that they together seem to provide an additive effect against growth of both fungal and bacterial pathogens. © 2011 Springer-Verlag.","author":[{"dropping-particle":"","family":"Bharadwaj","given":"Dharam Parkash","non-dropping-particle":"","parse-names":false,"suffix":""},{"dropping-particle":"","family":"Alström","given":"Sadhna","non-dropping-particle":"","parse-names":false,"suffix":""},{"dropping-particle":"","family":"Lundquist","given":"Per Olof","non-dropping-particle":"","parse-names":false,"suffix":""}],"container-title":"Mycorrhiza","id":"ITEM-1","issue":"6","issued":{"date-parts":[["2012","8","15"]]},"page":"437-447","publisher":"Springer","title":"Interactions among Glomus irregulare, arbuscular mycorrhizal spore-associated bacteria, and plant pathogens under in vitro conditions","type":"article-journal","volume":"22"},"uris":["http://www.mendeley.com/documents/?uuid=d9800517-0403-34b8-bb68-06714e1955f4"]},{"id":"ITEM-2","itemData":{"DOI":"10.1093/aob/mct249","abstract":"† Background Iron (Fe) deficiency in crops is a worldwide agricultural problem. Plants have evolved several strategies to enhance Fe acquisition, but increasing evidence has shown that the intrinsic plant-based strategies alone are insufficient to avoid Fe deficiency in Fe-limited soils. Soil microorganisms also play a critical role in plant Fe acquisition; however, the mechanisms behind their promotion of Fe acquisition remain largely unknown. † Scope This review focuses on the possible mechanisms underlying the promotion of plant Fe acquisition by soil microorganisms. † Conclusions Fe-deficiency-induced root exudates alter the microbial community in the rhizosphere by modifying the physicochemical properties of soil, and/or by their antimicrobial and/or growth-promoting effects. The altered microbial community may in turn benefit plant Fe acquisition via production of siderophores and protons, both of which improve Fe bioavailability in soil, and via hormone generation that triggers the enhancement of Fe uptake capacity in plants. In addition, symbiotic interactions between microorganisms and host plants could also enhance plant Fe acquisition, possibly including: rhizobium nodulation enhancing plant Fe uptake capacity and mycorrhizal fungal infection enhancing root length and the nutrient acquisition area of the root system, as well as increasing the production of Fe 3+ chelators and protons.","author":[{"dropping-particle":"","family":"Jin","given":"Chong Wei","non-dropping-particle":"","parse-names":false,"suffix":""},{"dropping-particle":"","family":"Ye","given":"Yi Quan","non-dropping-particle":"","parse-names":false,"suffix":""},{"dropping-particle":"","family":"Jian Zheng","given":"Shao","non-dropping-particle":"","parse-names":false,"suffix":""}],"container-title":"Annals of Botany","id":"ITEM-2","issued":{"date-parts":[["2014"]]},"page":"7-18","title":"An underground tale: contribution of microbial activity to plant iron acquisition via ecological processes","type":"article-journal","volume":"113"},"uris":["http://www.mendeley.com/documents/?uuid=02e2a127-4a09-39f2-a6ea-3e8cd1992002"]}],"mendeley":{"formattedCitation":"(Bharadwaj et al., 2012; Jin et al., 2014)","plainTextFormattedCitation":"(Bharadwaj et al., 2012; Jin et al., 2014)","previouslyFormattedCitation":"(Bharadwaj et al., 2012; Jin et al., 2014)"},"properties":{"noteIndex":0},"schema":"https://github.com/citation-style-language/schema/raw/master/csl-citation.json"}</w:instrText>
      </w:r>
      <w:r w:rsidR="00830DF4">
        <w:rPr>
          <w:rFonts w:ascii="Times New Roman" w:hAnsi="Times New Roman" w:cs="Times New Roman"/>
          <w:color w:val="000000" w:themeColor="text1"/>
          <w:lang w:val="en-US"/>
        </w:rPr>
        <w:fldChar w:fldCharType="separate"/>
      </w:r>
      <w:r w:rsidR="00830DF4" w:rsidRPr="00830DF4">
        <w:rPr>
          <w:rFonts w:ascii="Times New Roman" w:hAnsi="Times New Roman" w:cs="Times New Roman"/>
          <w:noProof/>
          <w:color w:val="000000" w:themeColor="text1"/>
          <w:lang w:val="en-US"/>
        </w:rPr>
        <w:t>(Bharadwaj et al., 2012; Jin et al., 2014)</w:t>
      </w:r>
      <w:r w:rsidR="00830DF4">
        <w:rPr>
          <w:rFonts w:ascii="Times New Roman" w:hAnsi="Times New Roman" w:cs="Times New Roman"/>
          <w:color w:val="000000" w:themeColor="text1"/>
          <w:lang w:val="en-US"/>
        </w:rPr>
        <w:fldChar w:fldCharType="end"/>
      </w:r>
      <w:r w:rsidRPr="00830DF4">
        <w:rPr>
          <w:rFonts w:ascii="Times New Roman" w:hAnsi="Times New Roman" w:cs="Times New Roman"/>
          <w:color w:val="000000" w:themeColor="text1"/>
          <w:shd w:val="clear" w:color="auto" w:fill="FFFFFF"/>
          <w:lang w:val="en-US"/>
        </w:rPr>
        <w:t xml:space="preserve"> or </w:t>
      </w:r>
      <w:r w:rsidR="008B3BF9" w:rsidRPr="00830DF4">
        <w:rPr>
          <w:rFonts w:ascii="Times New Roman" w:hAnsi="Times New Roman" w:cs="Times New Roman"/>
          <w:color w:val="000000" w:themeColor="text1"/>
          <w:lang w:val="en-US"/>
        </w:rPr>
        <w:t xml:space="preserve">they can </w:t>
      </w:r>
      <w:r w:rsidRPr="00830DF4">
        <w:rPr>
          <w:rFonts w:ascii="Times New Roman" w:hAnsi="Times New Roman" w:cs="Times New Roman"/>
          <w:color w:val="000000" w:themeColor="text1"/>
          <w:lang w:val="en-US"/>
        </w:rPr>
        <w:t>stimulat</w:t>
      </w:r>
      <w:r w:rsidR="008B3BF9" w:rsidRPr="00830DF4">
        <w:rPr>
          <w:rFonts w:ascii="Times New Roman" w:hAnsi="Times New Roman" w:cs="Times New Roman"/>
          <w:color w:val="000000" w:themeColor="text1"/>
          <w:lang w:val="en-US"/>
        </w:rPr>
        <w:t>e</w:t>
      </w:r>
      <w:r w:rsidRPr="00830DF4">
        <w:rPr>
          <w:rFonts w:ascii="Times New Roman" w:hAnsi="Times New Roman" w:cs="Times New Roman"/>
          <w:color w:val="000000" w:themeColor="text1"/>
          <w:lang w:val="en-US"/>
        </w:rPr>
        <w:t xml:space="preserve"> </w:t>
      </w:r>
      <w:r w:rsidRPr="00830DF4">
        <w:rPr>
          <w:rFonts w:ascii="Times New Roman" w:hAnsi="Times New Roman" w:cs="Times New Roman"/>
          <w:color w:val="000000" w:themeColor="text1"/>
          <w:spacing w:val="2"/>
          <w:shd w:val="clear" w:color="auto" w:fill="FCFCFC"/>
          <w:lang w:val="en-US"/>
        </w:rPr>
        <w:t xml:space="preserve">root Fe(III)-chelate reductase activities in plants </w:t>
      </w:r>
      <w:r w:rsidR="00830DF4">
        <w:rPr>
          <w:rFonts w:ascii="Times New Roman" w:hAnsi="Times New Roman" w:cs="Times New Roman"/>
          <w:color w:val="000000" w:themeColor="text1"/>
          <w:spacing w:val="2"/>
          <w:shd w:val="clear" w:color="auto" w:fill="FCFCFC"/>
          <w:lang w:val="en-US"/>
        </w:rPr>
        <w:fldChar w:fldCharType="begin" w:fldLock="1"/>
      </w:r>
      <w:r w:rsidR="00C644F2">
        <w:rPr>
          <w:rFonts w:ascii="Times New Roman" w:hAnsi="Times New Roman" w:cs="Times New Roman"/>
          <w:color w:val="000000" w:themeColor="text1"/>
          <w:spacing w:val="2"/>
          <w:shd w:val="clear" w:color="auto" w:fill="FCFCFC"/>
          <w:lang w:val="en-US"/>
        </w:rPr>
        <w:instrText>ADDIN CSL_CITATION {"citationItems":[{"id":"ITEM-1","itemData":{"DOI":"10.1007/978-981-10-4115-0","ISBN":"9789811041150","abstract":"This book reviews the potential mechanisms in arbuscular mycorrhizas (AMs), in the hope that this can help arbuscular mycorrhizal fungi (AMF) to be more used efficiently as a biostimulant to enhance stress tolerance in the host plants. AMF, as well as plants, are often exposed to all or many of the abiotic and biotic stresses, including extreme temperatures, pH, drought, water-logging, toxic metals and soil pathogens. Studies have indicated a quick response to these stresses involving several mechanisms, such as root morphological modification, reactive oxygen species change, osmotic adjustment, direct absorption of water by extraradical hyphae, up-regulated expression of relevant stressed genes, glomalin-related soil protein release, etc. The underlying complex, multi-dimensional strategy is involved in morphological, physiological, biochemical, and molecular processes. The AMF responses are often associated with homeostatic regulation of the internal and external environment, and are therefore critical for plant health, survival and restoration in native ecosystems and good soil structure.","author":[{"dropping-particle":"","family":"Huang","given":"Y-M","non-dropping-particle":"","parse-names":false,"suffix":""},{"dropping-particle":"","family":"Wu","given":"Q-S","non-dropping-particle":"","parse-names":false,"suffix":""}],"chapter-number":"6","container-title":"Arbuscular Mycorrhizas and Stress Tolerance of Plants","editor":[{"dropping-particle":"","family":"Wu","given":"Q.-S.","non-dropping-particle":"","parse-names":false,"suffix":""}],"id":"ITEM-1","issued":{"date-parts":[["2017"]]},"page":"1-327","publisher":"Springer Nature Singapore","title":"Arbuscular mycorrhizal fungi and tolerance of Fe stress in plants","type":"chapter"},"uris":["http://www.mendeley.com/documents/?uuid=204fec65-ba09-4e48-820f-5d2a24959d41"]}],"mendeley":{"formattedCitation":"(Huang and Wu, 2017)","plainTextFormattedCitation":"(Huang and Wu, 2017)","previouslyFormattedCitation":"(Huang and Wu, 2017)"},"properties":{"noteIndex":0},"schema":"https://github.com/citation-style-language/schema/raw/master/csl-citation.json"}</w:instrText>
      </w:r>
      <w:r w:rsidR="00830DF4">
        <w:rPr>
          <w:rFonts w:ascii="Times New Roman" w:hAnsi="Times New Roman" w:cs="Times New Roman"/>
          <w:color w:val="000000" w:themeColor="text1"/>
          <w:spacing w:val="2"/>
          <w:shd w:val="clear" w:color="auto" w:fill="FCFCFC"/>
          <w:lang w:val="en-US"/>
        </w:rPr>
        <w:fldChar w:fldCharType="separate"/>
      </w:r>
      <w:r w:rsidR="00830DF4" w:rsidRPr="00830DF4">
        <w:rPr>
          <w:rFonts w:ascii="Times New Roman" w:hAnsi="Times New Roman" w:cs="Times New Roman"/>
          <w:noProof/>
          <w:color w:val="000000" w:themeColor="text1"/>
          <w:spacing w:val="2"/>
          <w:shd w:val="clear" w:color="auto" w:fill="FCFCFC"/>
          <w:lang w:val="en-US"/>
        </w:rPr>
        <w:t>(Huang and Wu, 2017)</w:t>
      </w:r>
      <w:r w:rsidR="00830DF4">
        <w:rPr>
          <w:rFonts w:ascii="Times New Roman" w:hAnsi="Times New Roman" w:cs="Times New Roman"/>
          <w:color w:val="000000" w:themeColor="text1"/>
          <w:spacing w:val="2"/>
          <w:shd w:val="clear" w:color="auto" w:fill="FCFCFC"/>
          <w:lang w:val="en-US"/>
        </w:rPr>
        <w:fldChar w:fldCharType="end"/>
      </w:r>
      <w:r w:rsidRPr="00830DF4">
        <w:rPr>
          <w:rFonts w:ascii="Times New Roman" w:hAnsi="Times New Roman" w:cs="Times New Roman"/>
          <w:color w:val="000000" w:themeColor="text1"/>
          <w:spacing w:val="2"/>
          <w:shd w:val="clear" w:color="auto" w:fill="FCFCFC"/>
          <w:lang w:val="en-US"/>
        </w:rPr>
        <w:t>.</w:t>
      </w:r>
      <w:r w:rsidR="008B3BF9" w:rsidRPr="00830DF4">
        <w:rPr>
          <w:rFonts w:ascii="Times New Roman" w:hAnsi="Times New Roman" w:cs="Times New Roman"/>
          <w:color w:val="000000" w:themeColor="text1"/>
          <w:spacing w:val="2"/>
          <w:shd w:val="clear" w:color="auto" w:fill="FCFCFC"/>
          <w:lang w:val="en-US"/>
        </w:rPr>
        <w:t xml:space="preserve"> </w:t>
      </w:r>
      <w:r w:rsidR="008B3BF9">
        <w:rPr>
          <w:rFonts w:ascii="Times New Roman" w:hAnsi="Times New Roman" w:cs="Times New Roman"/>
          <w:color w:val="000000" w:themeColor="text1"/>
          <w:spacing w:val="2"/>
          <w:shd w:val="clear" w:color="auto" w:fill="FCFCFC"/>
          <w:lang w:val="en-US"/>
        </w:rPr>
        <w:t xml:space="preserve">However, </w:t>
      </w:r>
      <w:r w:rsidR="008B3BF9" w:rsidRPr="005A5F82">
        <w:rPr>
          <w:rFonts w:ascii="Times New Roman" w:hAnsi="Times New Roman" w:cs="Times New Roman"/>
          <w:color w:val="000000" w:themeColor="text1"/>
          <w:lang w:val="en-US"/>
        </w:rPr>
        <w:t>the identity of the different AMF</w:t>
      </w:r>
      <w:r w:rsidR="00F329A9">
        <w:rPr>
          <w:rFonts w:ascii="Times New Roman" w:hAnsi="Times New Roman" w:cs="Times New Roman"/>
          <w:color w:val="000000" w:themeColor="text1"/>
          <w:lang w:val="en-US"/>
        </w:rPr>
        <w:t xml:space="preserve">, as well as </w:t>
      </w:r>
      <w:r w:rsidR="00F329A9" w:rsidRPr="005A5F82">
        <w:rPr>
          <w:rFonts w:ascii="Times New Roman" w:hAnsi="Times New Roman" w:cs="Times New Roman"/>
          <w:color w:val="000000" w:themeColor="text1"/>
          <w:shd w:val="clear" w:color="auto" w:fill="FFFFFF"/>
          <w:lang w:val="en-US"/>
        </w:rPr>
        <w:t>the soil conditions and plant species</w:t>
      </w:r>
      <w:r w:rsidR="00F329A9" w:rsidRPr="005A5F82">
        <w:rPr>
          <w:rFonts w:ascii="Times New Roman" w:hAnsi="Times New Roman" w:cs="Times New Roman"/>
          <w:color w:val="000000" w:themeColor="text1"/>
          <w:lang w:val="en-US"/>
        </w:rPr>
        <w:t xml:space="preserve"> </w:t>
      </w:r>
      <w:r w:rsidR="008B3BF9" w:rsidRPr="005A5F82">
        <w:rPr>
          <w:rFonts w:ascii="Times New Roman" w:hAnsi="Times New Roman" w:cs="Times New Roman"/>
          <w:color w:val="000000" w:themeColor="text1"/>
          <w:lang w:val="en-US"/>
        </w:rPr>
        <w:t xml:space="preserve">can have </w:t>
      </w:r>
      <w:r w:rsidR="005A0315">
        <w:rPr>
          <w:rFonts w:ascii="Times New Roman" w:hAnsi="Times New Roman" w:cs="Times New Roman"/>
          <w:color w:val="000000" w:themeColor="text1"/>
          <w:lang w:val="en-US"/>
        </w:rPr>
        <w:t>different consequences in</w:t>
      </w:r>
      <w:r w:rsidR="008B3BF9" w:rsidRPr="005A5F82">
        <w:rPr>
          <w:rFonts w:ascii="Times New Roman" w:hAnsi="Times New Roman" w:cs="Times New Roman"/>
          <w:color w:val="000000" w:themeColor="text1"/>
          <w:lang w:val="en-US"/>
        </w:rPr>
        <w:t xml:space="preserve"> </w:t>
      </w:r>
      <w:r w:rsidR="005A0315">
        <w:rPr>
          <w:rFonts w:ascii="Times New Roman" w:hAnsi="Times New Roman" w:cs="Times New Roman"/>
          <w:color w:val="000000" w:themeColor="text1"/>
          <w:lang w:val="en-US"/>
        </w:rPr>
        <w:t xml:space="preserve">soil </w:t>
      </w:r>
      <w:r w:rsidR="008B3BF9" w:rsidRPr="005A5F82">
        <w:rPr>
          <w:rFonts w:ascii="Times New Roman" w:hAnsi="Times New Roman" w:cs="Times New Roman"/>
          <w:color w:val="000000" w:themeColor="text1"/>
          <w:lang w:val="en-US"/>
        </w:rPr>
        <w:t>Fe</w:t>
      </w:r>
      <w:r w:rsidR="00C644F2">
        <w:rPr>
          <w:rFonts w:ascii="Times New Roman" w:hAnsi="Times New Roman" w:cs="Times New Roman"/>
          <w:color w:val="000000" w:themeColor="text1"/>
          <w:lang w:val="en-US"/>
        </w:rPr>
        <w:t xml:space="preserve"> availability</w:t>
      </w:r>
      <w:r w:rsidR="008B3BF9" w:rsidRPr="005A5F82">
        <w:rPr>
          <w:rFonts w:ascii="Times New Roman" w:hAnsi="Times New Roman" w:cs="Times New Roman"/>
          <w:color w:val="000000" w:themeColor="text1"/>
          <w:lang w:val="en-US"/>
        </w:rPr>
        <w:t xml:space="preserve"> </w:t>
      </w:r>
      <w:r w:rsidR="00830DF4">
        <w:rPr>
          <w:rFonts w:ascii="Times New Roman" w:hAnsi="Times New Roman" w:cs="Times New Roman"/>
          <w:color w:val="000000" w:themeColor="text1"/>
          <w:shd w:val="clear" w:color="auto" w:fill="FFFFFF"/>
          <w:lang w:val="en-US"/>
        </w:rPr>
        <w:fldChar w:fldCharType="begin" w:fldLock="1"/>
      </w:r>
      <w:r w:rsidR="00830DF4">
        <w:rPr>
          <w:rFonts w:ascii="Times New Roman" w:hAnsi="Times New Roman" w:cs="Times New Roman"/>
          <w:color w:val="000000" w:themeColor="text1"/>
          <w:shd w:val="clear" w:color="auto" w:fill="FFFFFF"/>
          <w:lang w:val="en-US"/>
        </w:rPr>
        <w:instrText>ADDIN CSL_CITATION {"citationItems":[{"id":"ITEM-1","itemData":{"DOI":"10.1093/aob/mct249","abstract":"† Background Iron (Fe) deficiency in crops is a worldwide agricultural problem. Plants have evolved several strategies to enhance Fe acquisition, but increasing evidence has shown that the intrinsic plant-based strategies alone are insufficient to avoid Fe deficiency in Fe-limited soils. Soil microorganisms also play a critical role in plant Fe acquisition; however, the mechanisms behind their promotion of Fe acquisition remain largely unknown. † Scope This review focuses on the possible mechanisms underlying the promotion of plant Fe acquisition by soil microorganisms. † Conclusions Fe-deficiency-induced root exudates alter the microbial community in the rhizosphere by modifying the physicochemical properties of soil, and/or by their antimicrobial and/or growth-promoting effects. The altered microbial community may in turn benefit plant Fe acquisition via production of siderophores and protons, both of which improve Fe bioavailability in soil, and via hormone generation that triggers the enhancement of Fe uptake capacity in plants. In addition, symbiotic interactions between microorganisms and host plants could also enhance plant Fe acquisition, possibly including: rhizobium nodulation enhancing plant Fe uptake capacity and mycorrhizal fungal infection enhancing root length and the nutrient acquisition area of the root system, as well as increasing the production of Fe 3+ chelators and protons.","author":[{"dropping-particle":"","family":"Jin","given":"Chong Wei","non-dropping-particle":"","parse-names":false,"suffix":""},{"dropping-particle":"","family":"Ye","given":"Yi Quan","non-dropping-particle":"","parse-names":false,"suffix":""},{"dropping-particle":"","family":"Jian Zheng","given":"Shao","non-dropping-particle":"","parse-names":false,"suffix":""}],"container-title":"Annals of Botany","id":"ITEM-1","issued":{"date-parts":[["2014"]]},"page":"7-18","title":"An underground tale: contribution of microbial activity to plant iron acquisition via ecological processes","type":"article-journal","volume":"113"},"uris":["http://www.mendeley.com/documents/?uuid=02e2a127-4a09-39f2-a6ea-3e8cd1992002"]},{"id":"ITEM-2","itemData":{"DOI":"10.1007/978-981-10-4115-0","ISBN":"9789811041150","abstract":"This book reviews the potential mechanisms in arbuscular mycorrhizas (AMs), in the hope that this can help arbuscular mycorrhizal fungi (AMF) to be more used efficiently as a biostimulant to enhance stress tolerance in the host plants. AMF, as well as plants, are often exposed to all or many of the abiotic and biotic stresses, including extreme temperatures, pH, drought, water-logging, toxic metals and soil pathogens. Studies have indicated a quick response to these stresses involving several mechanisms, such as root morphological modification, reactive oxygen species change, osmotic adjustment, direct absorption of water by extraradical hyphae, up-regulated expression of relevant stressed genes, glomalin-related soil protein release, etc. The underlying complex, multi-dimensional strategy is involved in morphological, physiological, biochemical, and molecular processes. The AMF responses are often associated with homeostatic regulation of the internal and external environment, and are therefore critical for plant health, survival and restoration in native ecosystems and good soil structure.","author":[{"dropping-particle":"","family":"Huang","given":"Y-M","non-dropping-particle":"","parse-names":false,"suffix":""},{"dropping-particle":"","family":"Wu","given":"Q-S","non-dropping-particle":"","parse-names":false,"suffix":""}],"chapter-number":"6","container-title":"Arbuscular Mycorrhizas and Stress Tolerance of Plants","editor":[{"dropping-particle":"","family":"Wu","given":"Q.-S.","non-dropping-particle":"","parse-names":false,"suffix":""}],"id":"ITEM-2","issued":{"date-parts":[["2017"]]},"page":"1-327","publisher":"Springer Nature Singapore","title":"Arbuscular mycorrhizal fungi and tolerance of Fe stress in plants","type":"chapter"},"uris":["http://www.mendeley.com/documents/?uuid=204fec65-ba09-4e48-820f-5d2a24959d41"]}],"mendeley":{"formattedCitation":"(Huang and Wu, 2017; Jin et al., 2014)","plainTextFormattedCitation":"(Huang and Wu, 2017; Jin et al., 2014)","previouslyFormattedCitation":"(Huang and Wu, 2017; Jin et al., 2014)"},"properties":{"noteIndex":0},"schema":"https://github.com/citation-style-language/schema/raw/master/csl-citation.json"}</w:instrText>
      </w:r>
      <w:r w:rsidR="00830DF4">
        <w:rPr>
          <w:rFonts w:ascii="Times New Roman" w:hAnsi="Times New Roman" w:cs="Times New Roman"/>
          <w:color w:val="000000" w:themeColor="text1"/>
          <w:shd w:val="clear" w:color="auto" w:fill="FFFFFF"/>
          <w:lang w:val="en-US"/>
        </w:rPr>
        <w:fldChar w:fldCharType="separate"/>
      </w:r>
      <w:r w:rsidR="00830DF4" w:rsidRPr="00830DF4">
        <w:rPr>
          <w:rFonts w:ascii="Times New Roman" w:hAnsi="Times New Roman" w:cs="Times New Roman"/>
          <w:noProof/>
          <w:color w:val="000000" w:themeColor="text1"/>
          <w:shd w:val="clear" w:color="auto" w:fill="FFFFFF"/>
          <w:lang w:val="en-US"/>
        </w:rPr>
        <w:t>(Huang and Wu, 2017; Jin et al., 2014)</w:t>
      </w:r>
      <w:r w:rsidR="00830DF4">
        <w:rPr>
          <w:rFonts w:ascii="Times New Roman" w:hAnsi="Times New Roman" w:cs="Times New Roman"/>
          <w:color w:val="000000" w:themeColor="text1"/>
          <w:shd w:val="clear" w:color="auto" w:fill="FFFFFF"/>
          <w:lang w:val="en-US"/>
        </w:rPr>
        <w:fldChar w:fldCharType="end"/>
      </w:r>
      <w:r w:rsidR="008B3BF9">
        <w:rPr>
          <w:rFonts w:ascii="Times New Roman" w:hAnsi="Times New Roman" w:cs="Times New Roman"/>
          <w:color w:val="000000" w:themeColor="text1"/>
          <w:lang w:val="en-US"/>
        </w:rPr>
        <w:t xml:space="preserve">, as observed in the present experiment, where </w:t>
      </w:r>
      <w:r w:rsidR="008B3BF9" w:rsidRPr="005A5F82">
        <w:rPr>
          <w:rFonts w:ascii="Times New Roman" w:hAnsi="Times New Roman" w:cs="Times New Roman"/>
          <w:color w:val="000000" w:themeColor="text1"/>
          <w:lang w:val="en-US"/>
        </w:rPr>
        <w:t xml:space="preserve">soil extractable Fe concentration was higher in pots where </w:t>
      </w:r>
      <w:r w:rsidR="008B3BF9" w:rsidRPr="005A5F82">
        <w:rPr>
          <w:rFonts w:ascii="Times New Roman" w:hAnsi="Times New Roman" w:cs="Times New Roman"/>
          <w:i/>
          <w:iCs/>
          <w:color w:val="000000" w:themeColor="text1"/>
          <w:lang w:val="en-US"/>
        </w:rPr>
        <w:t>F. mosseae</w:t>
      </w:r>
      <w:r w:rsidR="008B3BF9" w:rsidRPr="005A5F82">
        <w:rPr>
          <w:rFonts w:ascii="Times New Roman" w:hAnsi="Times New Roman" w:cs="Times New Roman"/>
          <w:color w:val="000000" w:themeColor="text1"/>
          <w:lang w:val="en-US"/>
        </w:rPr>
        <w:t xml:space="preserve"> was inoculated than in the other mycorrhizal treatments</w:t>
      </w:r>
      <w:bookmarkEnd w:id="29"/>
      <w:r w:rsidR="008B3BF9">
        <w:rPr>
          <w:rFonts w:ascii="Times New Roman" w:hAnsi="Times New Roman" w:cs="Times New Roman"/>
          <w:color w:val="000000" w:themeColor="text1"/>
          <w:lang w:val="en-US"/>
        </w:rPr>
        <w:t>.</w:t>
      </w:r>
      <w:r w:rsidR="005A0315">
        <w:rPr>
          <w:rFonts w:ascii="Times New Roman" w:hAnsi="Times New Roman" w:cs="Times New Roman"/>
          <w:color w:val="000000" w:themeColor="text1"/>
          <w:lang w:val="en-US"/>
        </w:rPr>
        <w:t xml:space="preserve"> </w:t>
      </w:r>
      <w:bookmarkEnd w:id="30"/>
      <w:r w:rsidR="00F329A9">
        <w:rPr>
          <w:rFonts w:ascii="Times New Roman" w:hAnsi="Times New Roman" w:cs="Times New Roman"/>
          <w:lang w:val="en-US"/>
        </w:rPr>
        <w:t xml:space="preserve">The </w:t>
      </w:r>
      <w:r w:rsidR="00C644F2">
        <w:rPr>
          <w:rFonts w:ascii="Times New Roman" w:hAnsi="Times New Roman" w:cs="Times New Roman"/>
          <w:lang w:val="en-US"/>
        </w:rPr>
        <w:t>functional diversity existing among AMF species</w:t>
      </w:r>
      <w:r w:rsidR="002D2E9A">
        <w:rPr>
          <w:rFonts w:ascii="Times New Roman" w:hAnsi="Times New Roman" w:cs="Times New Roman"/>
          <w:lang w:val="en-US"/>
        </w:rPr>
        <w:t xml:space="preserve"> was also obvious when root Fe concentrations were analyzed in the presence of high soil Cu concentrations:</w:t>
      </w:r>
      <w:r w:rsidR="00F329A9">
        <w:rPr>
          <w:rFonts w:ascii="Times New Roman" w:hAnsi="Times New Roman" w:cs="Times New Roman"/>
          <w:lang w:val="en-US"/>
        </w:rPr>
        <w:t xml:space="preserve"> </w:t>
      </w:r>
      <w:r w:rsidR="00EC4E63" w:rsidRPr="0098443A">
        <w:rPr>
          <w:rFonts w:ascii="Times New Roman" w:hAnsi="Times New Roman" w:cs="Times New Roman"/>
          <w:lang w:val="en-US"/>
        </w:rPr>
        <w:t xml:space="preserve">while in non-inoculated plants </w:t>
      </w:r>
      <w:r w:rsidR="00C644F2">
        <w:rPr>
          <w:rFonts w:ascii="Times New Roman" w:hAnsi="Times New Roman" w:cs="Times New Roman"/>
          <w:lang w:val="en-US"/>
        </w:rPr>
        <w:t xml:space="preserve">root </w:t>
      </w:r>
      <w:r w:rsidR="00EC4E63" w:rsidRPr="0098443A">
        <w:rPr>
          <w:rFonts w:ascii="Times New Roman" w:hAnsi="Times New Roman" w:cs="Times New Roman"/>
          <w:lang w:val="en-US"/>
        </w:rPr>
        <w:t xml:space="preserve">Fe concentration </w:t>
      </w:r>
      <w:r w:rsidR="00A85D49" w:rsidRPr="0098443A">
        <w:rPr>
          <w:rFonts w:ascii="Times New Roman" w:hAnsi="Times New Roman" w:cs="Times New Roman"/>
          <w:lang w:val="en-US"/>
        </w:rPr>
        <w:t xml:space="preserve">in Cu-contaminated soils </w:t>
      </w:r>
      <w:r w:rsidR="00EC4E63" w:rsidRPr="0098443A">
        <w:rPr>
          <w:rFonts w:ascii="Times New Roman" w:hAnsi="Times New Roman" w:cs="Times New Roman"/>
          <w:lang w:val="en-US"/>
        </w:rPr>
        <w:t xml:space="preserve">was similar </w:t>
      </w:r>
      <w:r w:rsidR="00A85D49" w:rsidRPr="0098443A">
        <w:rPr>
          <w:rFonts w:ascii="Times New Roman" w:hAnsi="Times New Roman" w:cs="Times New Roman"/>
          <w:lang w:val="en-US"/>
        </w:rPr>
        <w:t xml:space="preserve">to the one detected in </w:t>
      </w:r>
      <w:r w:rsidR="0083298F">
        <w:rPr>
          <w:rFonts w:ascii="Times New Roman" w:hAnsi="Times New Roman" w:cs="Times New Roman"/>
          <w:lang w:val="en-US"/>
        </w:rPr>
        <w:t>control</w:t>
      </w:r>
      <w:r w:rsidR="00A85D49" w:rsidRPr="0098443A">
        <w:rPr>
          <w:rFonts w:ascii="Times New Roman" w:hAnsi="Times New Roman" w:cs="Times New Roman"/>
          <w:lang w:val="en-US"/>
        </w:rPr>
        <w:t xml:space="preserve"> soils, </w:t>
      </w:r>
      <w:r w:rsidR="00EC4E63" w:rsidRPr="0098443A">
        <w:rPr>
          <w:rFonts w:ascii="Times New Roman" w:hAnsi="Times New Roman" w:cs="Times New Roman"/>
          <w:lang w:val="en-US"/>
        </w:rPr>
        <w:t xml:space="preserve">in </w:t>
      </w:r>
      <w:r w:rsidR="00EC4E63" w:rsidRPr="0098443A">
        <w:rPr>
          <w:rFonts w:ascii="Times New Roman" w:hAnsi="Times New Roman" w:cs="Times New Roman"/>
          <w:i/>
          <w:iCs/>
          <w:lang w:val="en-US"/>
        </w:rPr>
        <w:t xml:space="preserve">R. </w:t>
      </w:r>
      <w:r w:rsidR="00B92074" w:rsidRPr="0098443A">
        <w:rPr>
          <w:rFonts w:ascii="Times New Roman" w:hAnsi="Times New Roman" w:cs="Times New Roman"/>
          <w:i/>
          <w:iCs/>
          <w:lang w:val="en-US"/>
        </w:rPr>
        <w:t>irregulare</w:t>
      </w:r>
      <w:r w:rsidR="00EC4E63" w:rsidRPr="0098443A">
        <w:rPr>
          <w:rFonts w:ascii="Times New Roman" w:hAnsi="Times New Roman" w:cs="Times New Roman"/>
          <w:i/>
          <w:iCs/>
          <w:lang w:val="en-US"/>
        </w:rPr>
        <w:t xml:space="preserve">- </w:t>
      </w:r>
      <w:r w:rsidR="00EC4E63" w:rsidRPr="0098443A">
        <w:rPr>
          <w:rFonts w:ascii="Times New Roman" w:hAnsi="Times New Roman" w:cs="Times New Roman"/>
          <w:lang w:val="en-US"/>
        </w:rPr>
        <w:t>and</w:t>
      </w:r>
      <w:r w:rsidR="00EC4E63" w:rsidRPr="0098443A">
        <w:rPr>
          <w:rFonts w:ascii="Times New Roman" w:hAnsi="Times New Roman" w:cs="Times New Roman"/>
          <w:i/>
          <w:iCs/>
          <w:lang w:val="en-US"/>
        </w:rPr>
        <w:t xml:space="preserve"> F. mosseae</w:t>
      </w:r>
      <w:r w:rsidR="00EC4E63" w:rsidRPr="0098443A">
        <w:rPr>
          <w:rFonts w:ascii="Times New Roman" w:hAnsi="Times New Roman" w:cs="Times New Roman"/>
          <w:lang w:val="en-US"/>
        </w:rPr>
        <w:t>-inoculated plant</w:t>
      </w:r>
      <w:r w:rsidR="00A85D49" w:rsidRPr="0098443A">
        <w:rPr>
          <w:rFonts w:ascii="Times New Roman" w:hAnsi="Times New Roman" w:cs="Times New Roman"/>
          <w:lang w:val="en-US"/>
        </w:rPr>
        <w:t xml:space="preserve"> roots, </w:t>
      </w:r>
      <w:r w:rsidR="00EC4E63" w:rsidRPr="0098443A">
        <w:rPr>
          <w:rFonts w:ascii="Times New Roman" w:hAnsi="Times New Roman" w:cs="Times New Roman"/>
          <w:lang w:val="en-US"/>
        </w:rPr>
        <w:t xml:space="preserve">Fe concentration significantly increased in </w:t>
      </w:r>
      <w:r w:rsidR="00A85D49" w:rsidRPr="0098443A">
        <w:rPr>
          <w:rFonts w:ascii="Times New Roman" w:hAnsi="Times New Roman" w:cs="Times New Roman"/>
          <w:lang w:val="en-US"/>
        </w:rPr>
        <w:t xml:space="preserve">the presence of </w:t>
      </w:r>
      <w:r w:rsidR="00EC4E63" w:rsidRPr="0098443A">
        <w:rPr>
          <w:rFonts w:ascii="Times New Roman" w:hAnsi="Times New Roman" w:cs="Times New Roman"/>
          <w:lang w:val="en-US"/>
        </w:rPr>
        <w:t xml:space="preserve">Cu (Table 2). </w:t>
      </w:r>
    </w:p>
    <w:p w14:paraId="7BD067A1" w14:textId="54D20286" w:rsidR="006E3E77" w:rsidRPr="0098443A" w:rsidRDefault="00A85D49" w:rsidP="0098443A">
      <w:pPr>
        <w:autoSpaceDE w:val="0"/>
        <w:autoSpaceDN w:val="0"/>
        <w:adjustRightInd w:val="0"/>
        <w:spacing w:after="0" w:line="480" w:lineRule="auto"/>
        <w:jc w:val="both"/>
        <w:rPr>
          <w:rFonts w:ascii="Times New Roman" w:hAnsi="Times New Roman" w:cs="Times New Roman"/>
          <w:color w:val="000000"/>
          <w:lang w:val="en-US"/>
        </w:rPr>
      </w:pPr>
      <w:r w:rsidRPr="0098443A">
        <w:rPr>
          <w:rFonts w:ascii="Times New Roman" w:hAnsi="Times New Roman" w:cs="Times New Roman"/>
          <w:lang w:val="en-US"/>
        </w:rPr>
        <w:t>Iron concentrations in leaves followed a different pattern than in roots</w:t>
      </w:r>
      <w:r w:rsidR="001D3ABC" w:rsidRPr="0098443A">
        <w:rPr>
          <w:rFonts w:ascii="Times New Roman" w:hAnsi="Times New Roman" w:cs="Times New Roman"/>
          <w:lang w:val="en-US"/>
        </w:rPr>
        <w:t xml:space="preserve">, </w:t>
      </w:r>
      <w:r w:rsidRPr="0098443A">
        <w:rPr>
          <w:rFonts w:ascii="Times New Roman" w:hAnsi="Times New Roman" w:cs="Times New Roman"/>
          <w:lang w:val="en-US"/>
        </w:rPr>
        <w:t xml:space="preserve">and </w:t>
      </w:r>
      <w:r w:rsidR="00C12055" w:rsidRPr="0098443A">
        <w:rPr>
          <w:rFonts w:ascii="Times New Roman" w:hAnsi="Times New Roman" w:cs="Times New Roman"/>
          <w:lang w:val="en-US"/>
        </w:rPr>
        <w:t>an</w:t>
      </w:r>
      <w:r w:rsidR="001D3ABC" w:rsidRPr="0098443A">
        <w:rPr>
          <w:rFonts w:ascii="Times New Roman" w:hAnsi="Times New Roman" w:cs="Times New Roman"/>
          <w:lang w:val="en-US"/>
        </w:rPr>
        <w:t xml:space="preserve"> overall increase </w:t>
      </w:r>
      <w:r w:rsidR="00FF6810" w:rsidRPr="0098443A">
        <w:rPr>
          <w:rFonts w:ascii="Times New Roman" w:hAnsi="Times New Roman" w:cs="Times New Roman"/>
          <w:lang w:val="en-US"/>
        </w:rPr>
        <w:t xml:space="preserve">was </w:t>
      </w:r>
      <w:r w:rsidR="00B9766A" w:rsidRPr="0098443A">
        <w:rPr>
          <w:rFonts w:ascii="Times New Roman" w:hAnsi="Times New Roman" w:cs="Times New Roman"/>
          <w:lang w:val="en-US"/>
        </w:rPr>
        <w:t xml:space="preserve">found </w:t>
      </w:r>
      <w:r w:rsidR="00AF1F02" w:rsidRPr="0098443A">
        <w:rPr>
          <w:rFonts w:ascii="Times New Roman" w:hAnsi="Times New Roman" w:cs="Times New Roman"/>
          <w:lang w:val="en-US"/>
        </w:rPr>
        <w:t xml:space="preserve">in </w:t>
      </w:r>
      <w:r w:rsidR="00743F01">
        <w:rPr>
          <w:rFonts w:ascii="Times New Roman" w:hAnsi="Times New Roman" w:cs="Times New Roman"/>
          <w:lang w:val="en-US"/>
        </w:rPr>
        <w:t xml:space="preserve">plants growing in </w:t>
      </w:r>
      <w:r w:rsidR="00AF1F02" w:rsidRPr="0098443A">
        <w:rPr>
          <w:rFonts w:ascii="Times New Roman" w:hAnsi="Times New Roman" w:cs="Times New Roman"/>
          <w:lang w:val="en-US"/>
        </w:rPr>
        <w:t>the soil where Cu and FeNaEDTA were applied together (Table 3A and B)</w:t>
      </w:r>
      <w:r w:rsidR="00F54705" w:rsidRPr="0098443A">
        <w:rPr>
          <w:rFonts w:ascii="Times New Roman" w:hAnsi="Times New Roman" w:cs="Times New Roman"/>
          <w:lang w:val="en-US"/>
        </w:rPr>
        <w:t xml:space="preserve">. In fact, previous studies have suggested that the application of </w:t>
      </w:r>
      <w:r w:rsidR="00C12055" w:rsidRPr="0098443A">
        <w:rPr>
          <w:rFonts w:ascii="Times New Roman" w:hAnsi="Times New Roman" w:cs="Times New Roman"/>
          <w:lang w:val="en-US"/>
        </w:rPr>
        <w:t>Fe</w:t>
      </w:r>
      <w:r w:rsidR="006A01C9" w:rsidRPr="0098443A">
        <w:rPr>
          <w:rFonts w:ascii="Times New Roman" w:hAnsi="Times New Roman" w:cs="Times New Roman"/>
          <w:lang w:val="en-US"/>
        </w:rPr>
        <w:t xml:space="preserve"> in the form of </w:t>
      </w:r>
      <w:r w:rsidR="00455F08" w:rsidRPr="0098443A">
        <w:rPr>
          <w:rFonts w:ascii="Times New Roman" w:hAnsi="Times New Roman" w:cs="Times New Roman"/>
          <w:lang w:val="en-US"/>
        </w:rPr>
        <w:t xml:space="preserve">different Fe-EDTA complexes </w:t>
      </w:r>
      <w:r w:rsidR="00455F08" w:rsidRPr="0098443A">
        <w:rPr>
          <w:rFonts w:ascii="Times New Roman" w:hAnsi="Times New Roman" w:cs="Times New Roman"/>
          <w:lang w:val="en-US"/>
        </w:rPr>
        <w:lastRenderedPageBreak/>
        <w:t>(</w:t>
      </w:r>
      <w:r w:rsidR="006A01C9" w:rsidRPr="0098443A">
        <w:rPr>
          <w:rFonts w:ascii="Times New Roman" w:hAnsi="Times New Roman" w:cs="Times New Roman"/>
          <w:lang w:val="en-US"/>
        </w:rPr>
        <w:t>Fe</w:t>
      </w:r>
      <w:r w:rsidR="00B4531B" w:rsidRPr="0098443A">
        <w:rPr>
          <w:rFonts w:ascii="Times New Roman" w:hAnsi="Times New Roman" w:cs="Times New Roman"/>
          <w:vertAlign w:val="superscript"/>
          <w:lang w:val="en-US"/>
        </w:rPr>
        <w:t>III</w:t>
      </w:r>
      <w:r w:rsidR="006A01C9" w:rsidRPr="0098443A">
        <w:rPr>
          <w:rFonts w:ascii="Times New Roman" w:hAnsi="Times New Roman" w:cs="Times New Roman"/>
          <w:lang w:val="en-US"/>
        </w:rPr>
        <w:t>EDTA</w:t>
      </w:r>
      <w:r w:rsidR="00455F08" w:rsidRPr="0098443A">
        <w:rPr>
          <w:rFonts w:ascii="Times New Roman" w:hAnsi="Times New Roman" w:cs="Times New Roman"/>
          <w:lang w:val="en-US"/>
        </w:rPr>
        <w:t>, Fe-K</w:t>
      </w:r>
      <w:r w:rsidR="00455F08" w:rsidRPr="0098443A">
        <w:rPr>
          <w:rFonts w:ascii="Times New Roman" w:hAnsi="Times New Roman" w:cs="Times New Roman"/>
          <w:vertAlign w:val="subscript"/>
          <w:lang w:val="en-US"/>
        </w:rPr>
        <w:t>2</w:t>
      </w:r>
      <w:r w:rsidR="00455F08" w:rsidRPr="0098443A">
        <w:rPr>
          <w:rFonts w:ascii="Times New Roman" w:hAnsi="Times New Roman" w:cs="Times New Roman"/>
          <w:lang w:val="en-US"/>
        </w:rPr>
        <w:t>EDTA</w:t>
      </w:r>
      <w:r w:rsidR="006C4AC4" w:rsidRPr="0098443A">
        <w:rPr>
          <w:rFonts w:ascii="Times New Roman" w:hAnsi="Times New Roman" w:cs="Times New Roman"/>
          <w:lang w:val="en-US"/>
        </w:rPr>
        <w:t xml:space="preserve">) </w:t>
      </w:r>
      <w:r w:rsidR="006C4AC4" w:rsidRPr="0098443A">
        <w:rPr>
          <w:rFonts w:ascii="Times New Roman" w:hAnsi="Times New Roman" w:cs="Times New Roman"/>
          <w:lang w:val="en-US"/>
        </w:rPr>
        <w:fldChar w:fldCharType="begin" w:fldLock="1"/>
      </w:r>
      <w:r w:rsidR="002C7ADD" w:rsidRPr="0098443A">
        <w:rPr>
          <w:rFonts w:ascii="Times New Roman" w:hAnsi="Times New Roman" w:cs="Times New Roman"/>
          <w:lang w:val="en-US"/>
        </w:rPr>
        <w:instrText>ADDIN CSL_CITATION {"citationItems":[{"id":"ITEM-1","itemData":{"DOI":"10.3390/plants8120554","ISSN":"22237747","abstract":"Copper (Cu) toxicity in plants may lead to iron (Fe), zinc (Zn) and manganese (Mn) deficiencies. Here, we investigated the effect of Si and Fe supply on the concentrations of micronutrients and metal-chelating amino acids nicotianamine (NA) and histidine (His) in leaves of cucumber plants exposed to Cu in excess. Cucumber (Cucumis sativus L.) was treated with 10 µM Cu, and additional 100 µM Fe or/and 1.5 mM Si for five days. High Cu and decreased Zn, Fe and Mn concentrations were found in Cu treatment. Additional Fe supply had a more pronounced effect in decreasing Cu accumulation and improving the molar ratio between micronutrients as compared to the Si supply. However, the simultaneous supply of Fe and Si was the most effective treatment in alleviation of Cu-induced deficiency of Fe, Zn and Mn. Additional Fe supply increased the His but not NA concentration, while Si supply significantly increased both NA and His whereby the NA:Cu and His:Cu molar ratios exceeded the control values indicating that Si recruits Cu-chelation to achieve Cu tolerance. In conclusion, Si-mediated alleviation of Cu toxicity was directed toward Cu tolerance while Fe-alleviative effect was due to a dramatic decrease in Cu accumulation.","author":[{"dropping-particle":"","family":"Bosnić","given":"Dragana","non-dropping-particle":"","parse-names":false,"suffix":""},{"dropping-particle":"","family":"Bosnić","given":"Predrag","non-dropping-particle":"","parse-names":false,"suffix":""},{"dropping-particle":"","family":"Nikolić","given":"Dragana","non-dropping-particle":"","parse-names":false,"suffix":""},{"dropping-particle":"","family":"Nikolić","given":"Miroslav","non-dropping-particle":"","parse-names":false,"suffix":""},{"dropping-particle":"","family":"Samardžić","given":"Jelena","non-dropping-particle":"","parse-names":false,"suffix":""}],"container-title":"Plants","id":"ITEM-1","issue":"12","issued":{"date-parts":[["2019","12","1"]]},"publisher":"MDPI AG","title":"Silicon and iron differently alleviate copper toxicity in cucumber leaves","type":"article-journal","volume":"8"},"uris":["http://www.mendeley.com/documents/?uuid=7ad239a1-4898-3c9d-b94a-6ee38e4a949c"]},{"id":"ITEM-2","itemData":{"DOI":"10.1007/s00299-007-0453-1","ISSN":"07217714","PMID":"17899096","abstract":"In this study, we examined the modulation of Cu toxicity-induced oxidative stress by excess supply of iron in Zea mays L. plants. Plants receiving excess of Cu (100 μM) showed decreased water potential and simultaneously showed wilting in the leaves. Later, the young leaves exhibited chlorosis and necrotic scorching of lamina. Excess of Cu suppressed growth, decreased concentration of chloroplastic pigments and fresh and dry weight of plants. The activities of peroxidase (EC 1.11.1.7; POD), ascorbate peroxidase (EC 1.11.1.11; APX) and superoxide dismutase (EC 1.15.1.1; SOD) were increased in plants supplied excess of Cu. However, activity of catalase (EC 1.11.1.6; CAT), was depressed in these plants. In gel activities of isoforms of POD, APX and SOD also revealed upregulation of these enzymes. Excess (500 μM)-Fe-supplemented Cu-stressed plants, however, looked better in their phenotypic appearance, had increased concentration of chloroplastic pigments, dry weight, and improved leaf tissue water status in comparison to the plants supplied excess of Cu. Moreover, activities of antioxidant enzymes including CAT were further enhanced and thiobarbituric acid reactive substance (TBARS) and H2O2 concentrations decreased in excess-Fe-supplemented Cu-stressed plants. In situ accumulation of H2O2, contrary to that of O2.- radical, increased in both leaf and roots of excess-Cu-stressed plants, but Cu-excess plants supplied with excess-Fe showed reduced accumulation H2O2 and little higher of O2.- in comparison to excess-Cu plants. It is, therefore, concluded that excess-Cu (100 μM) induces oxidative stress by increasing production of H2O 2 despite of increased antioxidant protection and that the excess-Cu-induced oxidative damage is minimized by excess supply of Fe. © 2007 Springer-Verlag.","author":[{"dropping-particle":"","family":"Kumar","given":"Praveen","non-dropping-particle":"","parse-names":false,"suffix":""},{"dropping-particle":"","family":"Tewari","given":"Rajesh Kumar","non-dropping-particle":"","parse-names":false,"suffix":""},{"dropping-particle":"","family":"Sharma","given":"Parma Nand","non-dropping-particle":"","parse-names":false,"suffix":""}],"container-title":"Plant Cell Reports","id":"ITEM-2","issue":"2","issued":{"date-parts":[["2008","2","27"]]},"page":"399-409","publisher":"Springer","title":"Modulation of copper toxicity-induced oxidative damage by excess supply of iron in maize plants","type":"article-journal","volume":"27"},"uris":["http://www.mendeley.com/documents/?uuid=165abe04-6688-36c4-b55b-5fe148f96308"]}],"mendeley":{"formattedCitation":"(Bosnić et al., 2019; Kumar et al., 2008)","plainTextFormattedCitation":"(Bosnić et al., 2019; Kumar et al., 2008)","previouslyFormattedCitation":"(Bosnić et al., 2019; Kumar et al., 2008)"},"properties":{"noteIndex":0},"schema":"https://github.com/citation-style-language/schema/raw/master/csl-citation.json"}</w:instrText>
      </w:r>
      <w:r w:rsidR="006C4AC4" w:rsidRPr="0098443A">
        <w:rPr>
          <w:rFonts w:ascii="Times New Roman" w:hAnsi="Times New Roman" w:cs="Times New Roman"/>
          <w:lang w:val="en-US"/>
        </w:rPr>
        <w:fldChar w:fldCharType="separate"/>
      </w:r>
      <w:r w:rsidR="000E79E6" w:rsidRPr="0098443A">
        <w:rPr>
          <w:rFonts w:ascii="Times New Roman" w:hAnsi="Times New Roman" w:cs="Times New Roman"/>
          <w:noProof/>
          <w:lang w:val="en-US"/>
        </w:rPr>
        <w:t>(Bosnić et al., 2019; Kumar et al., 2008)</w:t>
      </w:r>
      <w:r w:rsidR="006C4AC4" w:rsidRPr="0098443A">
        <w:rPr>
          <w:rFonts w:ascii="Times New Roman" w:hAnsi="Times New Roman" w:cs="Times New Roman"/>
          <w:lang w:val="en-US"/>
        </w:rPr>
        <w:fldChar w:fldCharType="end"/>
      </w:r>
      <w:r w:rsidR="002745E5" w:rsidRPr="0098443A">
        <w:rPr>
          <w:rFonts w:ascii="Times New Roman" w:hAnsi="Times New Roman" w:cs="Times New Roman"/>
          <w:color w:val="000000"/>
          <w:lang w:val="en-US"/>
        </w:rPr>
        <w:t xml:space="preserve"> </w:t>
      </w:r>
      <w:r w:rsidR="002745E5" w:rsidRPr="0098443A">
        <w:rPr>
          <w:rFonts w:ascii="Times New Roman" w:hAnsi="Times New Roman" w:cs="Times New Roman"/>
          <w:lang w:val="en-US"/>
        </w:rPr>
        <w:t>or in the form of</w:t>
      </w:r>
      <w:r w:rsidR="008151CC" w:rsidRPr="0098443A">
        <w:rPr>
          <w:rFonts w:ascii="Times New Roman" w:hAnsi="Times New Roman" w:cs="Times New Roman"/>
          <w:lang w:val="en-US"/>
        </w:rPr>
        <w:t xml:space="preserve"> </w:t>
      </w:r>
      <w:r w:rsidR="002745E5" w:rsidRPr="0098443A">
        <w:rPr>
          <w:rFonts w:ascii="Times New Roman" w:hAnsi="Times New Roman" w:cs="Times New Roman"/>
          <w:lang w:val="en-US"/>
        </w:rPr>
        <w:t>FeCl</w:t>
      </w:r>
      <w:r w:rsidR="002745E5" w:rsidRPr="0098443A">
        <w:rPr>
          <w:rFonts w:ascii="Times New Roman" w:hAnsi="Times New Roman" w:cs="Times New Roman"/>
          <w:vertAlign w:val="subscript"/>
          <w:lang w:val="en-US"/>
        </w:rPr>
        <w:t>3</w:t>
      </w:r>
      <w:r w:rsidR="00834133">
        <w:rPr>
          <w:rFonts w:ascii="Times New Roman" w:hAnsi="Times New Roman" w:cs="Times New Roman"/>
          <w:vertAlign w:val="subscript"/>
          <w:lang w:val="en-US"/>
        </w:rPr>
        <w:t>∙</w:t>
      </w:r>
      <w:r w:rsidR="002745E5" w:rsidRPr="0098443A">
        <w:rPr>
          <w:rFonts w:ascii="Times New Roman" w:hAnsi="Times New Roman" w:cs="Times New Roman"/>
          <w:lang w:val="en-US"/>
        </w:rPr>
        <w:t>6H</w:t>
      </w:r>
      <w:r w:rsidR="002745E5" w:rsidRPr="0098443A">
        <w:rPr>
          <w:rFonts w:ascii="Times New Roman" w:hAnsi="Times New Roman" w:cs="Times New Roman"/>
          <w:vertAlign w:val="subscript"/>
          <w:lang w:val="en-US"/>
        </w:rPr>
        <w:t>2</w:t>
      </w:r>
      <w:r w:rsidR="002745E5" w:rsidRPr="0098443A">
        <w:rPr>
          <w:rFonts w:ascii="Times New Roman" w:hAnsi="Times New Roman" w:cs="Times New Roman"/>
          <w:lang w:val="en-US"/>
        </w:rPr>
        <w:t>O</w:t>
      </w:r>
      <w:r w:rsidR="00F54705" w:rsidRPr="0098443A">
        <w:rPr>
          <w:rFonts w:ascii="Times New Roman" w:hAnsi="Times New Roman" w:cs="Times New Roman"/>
          <w:lang w:val="en-US"/>
        </w:rPr>
        <w:t xml:space="preserve"> </w:t>
      </w:r>
      <w:r w:rsidR="008151CC" w:rsidRPr="0098443A">
        <w:rPr>
          <w:rFonts w:ascii="Times New Roman" w:hAnsi="Times New Roman" w:cs="Times New Roman"/>
          <w:lang w:val="en-US"/>
        </w:rPr>
        <w:fldChar w:fldCharType="begin" w:fldLock="1"/>
      </w:r>
      <w:r w:rsidR="002C7ADD" w:rsidRPr="0098443A">
        <w:rPr>
          <w:rFonts w:ascii="Times New Roman" w:hAnsi="Times New Roman" w:cs="Times New Roman"/>
          <w:lang w:val="en-US"/>
        </w:rPr>
        <w:instrText>ADDIN CSL_CITATION {"citationItems":[{"id":"ITEM-1","itemData":{"DOI":"10.1080/01904169809365546","ISSN":"1532-4087","author":[{"dropping-particle":"","family":"Ouzounidou","given":"G","non-dropping-particle":"","parse-names":false,"suffix":""},{"dropping-particle":"","family":"Ilias","given":"I","non-dropping-particle":"","parse-names":false,"suffix":""},{"dropping-particle":"","family":"Tranopoulou","given":"H","non-dropping-particle":"","parse-names":false,"suffix":""},{"dropping-particle":"","family":"Karataglis","given":"S","non-dropping-particle":"","parse-names":false,"suffix":""}],"container-title":"Journal of Plant Nutrition","id":"ITEM-1","issue":"10","issued":{"date-parts":[["1998"]]},"page":"2089-2101","title":"Amelioration of copper toxicity by iron on Spinach physiology","type":"article-journal","volume":"21"},"uris":["http://www.mendeley.com/documents/?uuid=70af0c92-1bd6-35f2-87e8-a1ad85e5a162"]}],"mendeley":{"formattedCitation":"(Ouzounidou et al., 1998)","plainTextFormattedCitation":"(Ouzounidou et al., 1998)","previouslyFormattedCitation":"(Ouzounidou et al., 1998)"},"properties":{"noteIndex":0},"schema":"https://github.com/citation-style-language/schema/raw/master/csl-citation.json"}</w:instrText>
      </w:r>
      <w:r w:rsidR="008151CC" w:rsidRPr="0098443A">
        <w:rPr>
          <w:rFonts w:ascii="Times New Roman" w:hAnsi="Times New Roman" w:cs="Times New Roman"/>
          <w:lang w:val="en-US"/>
        </w:rPr>
        <w:fldChar w:fldCharType="separate"/>
      </w:r>
      <w:r w:rsidR="000E79E6" w:rsidRPr="0098443A">
        <w:rPr>
          <w:rFonts w:ascii="Times New Roman" w:hAnsi="Times New Roman" w:cs="Times New Roman"/>
          <w:noProof/>
          <w:lang w:val="en-US"/>
        </w:rPr>
        <w:t>(Ouzounidou et al., 1998)</w:t>
      </w:r>
      <w:r w:rsidR="008151CC" w:rsidRPr="0098443A">
        <w:rPr>
          <w:rFonts w:ascii="Times New Roman" w:hAnsi="Times New Roman" w:cs="Times New Roman"/>
          <w:lang w:val="en-US"/>
        </w:rPr>
        <w:fldChar w:fldCharType="end"/>
      </w:r>
      <w:r w:rsidR="002745E5" w:rsidRPr="0098443A">
        <w:rPr>
          <w:rFonts w:ascii="Times New Roman" w:hAnsi="Times New Roman" w:cs="Times New Roman"/>
          <w:color w:val="000000"/>
          <w:lang w:val="en-US"/>
        </w:rPr>
        <w:t xml:space="preserve"> </w:t>
      </w:r>
      <w:r w:rsidR="00F54705" w:rsidRPr="0098443A">
        <w:rPr>
          <w:rFonts w:ascii="Times New Roman" w:hAnsi="Times New Roman" w:cs="Times New Roman"/>
          <w:lang w:val="en-US"/>
        </w:rPr>
        <w:t xml:space="preserve">in Cu-contaminated soils </w:t>
      </w:r>
      <w:r w:rsidR="00692BB9" w:rsidRPr="0098443A">
        <w:rPr>
          <w:rFonts w:ascii="Times New Roman" w:hAnsi="Times New Roman" w:cs="Times New Roman"/>
          <w:lang w:val="en-US"/>
        </w:rPr>
        <w:t xml:space="preserve">can </w:t>
      </w:r>
      <w:r w:rsidR="00CF5D32" w:rsidRPr="0098443A">
        <w:rPr>
          <w:rFonts w:ascii="Times New Roman" w:hAnsi="Times New Roman" w:cs="Times New Roman"/>
          <w:lang w:val="en-US"/>
        </w:rPr>
        <w:t xml:space="preserve">counteract </w:t>
      </w:r>
      <w:r w:rsidR="00692BB9" w:rsidRPr="0098443A">
        <w:rPr>
          <w:rFonts w:ascii="Times New Roman" w:hAnsi="Times New Roman" w:cs="Times New Roman"/>
          <w:lang w:val="en-US"/>
        </w:rPr>
        <w:t xml:space="preserve">the commonly observed </w:t>
      </w:r>
      <w:r w:rsidR="00CF5D32" w:rsidRPr="0098443A">
        <w:rPr>
          <w:rFonts w:ascii="Times New Roman" w:hAnsi="Times New Roman" w:cs="Times New Roman"/>
          <w:lang w:val="en-US"/>
        </w:rPr>
        <w:t xml:space="preserve">Fe </w:t>
      </w:r>
      <w:r w:rsidR="006A01C9" w:rsidRPr="0098443A">
        <w:rPr>
          <w:rFonts w:ascii="Times New Roman" w:hAnsi="Times New Roman" w:cs="Times New Roman"/>
          <w:lang w:val="en-US"/>
        </w:rPr>
        <w:t xml:space="preserve">decrease </w:t>
      </w:r>
      <w:r w:rsidR="0013246B" w:rsidRPr="0098443A">
        <w:rPr>
          <w:rFonts w:ascii="Times New Roman" w:hAnsi="Times New Roman" w:cs="Times New Roman"/>
          <w:lang w:val="en-US"/>
        </w:rPr>
        <w:t xml:space="preserve">and Cu increase </w:t>
      </w:r>
      <w:r w:rsidR="006A01C9" w:rsidRPr="0098443A">
        <w:rPr>
          <w:rFonts w:ascii="Times New Roman" w:hAnsi="Times New Roman" w:cs="Times New Roman"/>
          <w:lang w:val="en-US"/>
        </w:rPr>
        <w:t>in plant leaves</w:t>
      </w:r>
      <w:r w:rsidR="005374DD" w:rsidRPr="0098443A">
        <w:rPr>
          <w:rFonts w:ascii="Times New Roman" w:hAnsi="Times New Roman" w:cs="Times New Roman"/>
          <w:lang w:val="en-US"/>
        </w:rPr>
        <w:t xml:space="preserve">. </w:t>
      </w:r>
      <w:bookmarkStart w:id="31" w:name="_Hlk72998922"/>
      <w:r w:rsidR="00BA53AF" w:rsidRPr="0098443A">
        <w:rPr>
          <w:rFonts w:ascii="Times New Roman" w:hAnsi="Times New Roman" w:cs="Times New Roman"/>
          <w:lang w:val="en-US"/>
        </w:rPr>
        <w:t xml:space="preserve">However, </w:t>
      </w:r>
      <w:r w:rsidR="00F45B77" w:rsidRPr="0098443A">
        <w:rPr>
          <w:rFonts w:ascii="Times New Roman" w:hAnsi="Times New Roman" w:cs="Times New Roman"/>
          <w:lang w:val="en-US"/>
        </w:rPr>
        <w:t xml:space="preserve">in </w:t>
      </w:r>
      <w:r w:rsidR="00A45EAF" w:rsidRPr="0098443A">
        <w:rPr>
          <w:rFonts w:ascii="Times New Roman" w:hAnsi="Times New Roman" w:cs="Times New Roman"/>
          <w:lang w:val="en-US"/>
        </w:rPr>
        <w:t>the present experiment</w:t>
      </w:r>
      <w:r w:rsidR="00F45B77" w:rsidRPr="0098443A">
        <w:rPr>
          <w:rFonts w:ascii="Times New Roman" w:hAnsi="Times New Roman" w:cs="Times New Roman"/>
          <w:lang w:val="en-US"/>
        </w:rPr>
        <w:t>, whe</w:t>
      </w:r>
      <w:r w:rsidR="00E5524B" w:rsidRPr="0098443A">
        <w:rPr>
          <w:rFonts w:ascii="Times New Roman" w:hAnsi="Times New Roman" w:cs="Times New Roman"/>
          <w:lang w:val="en-US"/>
        </w:rPr>
        <w:t>n</w:t>
      </w:r>
      <w:r w:rsidR="00F45B77" w:rsidRPr="0098443A">
        <w:rPr>
          <w:rFonts w:ascii="Times New Roman" w:hAnsi="Times New Roman" w:cs="Times New Roman"/>
          <w:lang w:val="en-US"/>
        </w:rPr>
        <w:t xml:space="preserve"> </w:t>
      </w:r>
      <w:r w:rsidR="0013246B" w:rsidRPr="0098443A">
        <w:rPr>
          <w:rFonts w:ascii="Times New Roman" w:hAnsi="Times New Roman" w:cs="Times New Roman"/>
          <w:lang w:val="en-US"/>
        </w:rPr>
        <w:t xml:space="preserve">Fe was applied in the form of </w:t>
      </w:r>
      <w:r w:rsidR="00F45B77" w:rsidRPr="0098443A">
        <w:rPr>
          <w:rFonts w:ascii="Times New Roman" w:hAnsi="Times New Roman" w:cs="Times New Roman"/>
          <w:lang w:val="en-US"/>
        </w:rPr>
        <w:t xml:space="preserve">FeNaEDTA, </w:t>
      </w:r>
      <w:r w:rsidR="00BA53AF" w:rsidRPr="0098443A">
        <w:rPr>
          <w:rFonts w:ascii="Times New Roman" w:hAnsi="Times New Roman" w:cs="Times New Roman"/>
          <w:lang w:val="en-US"/>
        </w:rPr>
        <w:t>th</w:t>
      </w:r>
      <w:r w:rsidR="00F45B77" w:rsidRPr="0098443A">
        <w:rPr>
          <w:rFonts w:ascii="Times New Roman" w:hAnsi="Times New Roman" w:cs="Times New Roman"/>
          <w:lang w:val="en-US"/>
        </w:rPr>
        <w:t>e</w:t>
      </w:r>
      <w:r w:rsidR="00BA53AF" w:rsidRPr="0098443A">
        <w:rPr>
          <w:rFonts w:ascii="Times New Roman" w:hAnsi="Times New Roman" w:cs="Times New Roman"/>
          <w:lang w:val="en-US"/>
        </w:rPr>
        <w:t xml:space="preserve"> increase in leaf Fe content </w:t>
      </w:r>
      <w:r w:rsidR="00760556" w:rsidRPr="0098443A">
        <w:rPr>
          <w:rFonts w:ascii="Times New Roman" w:hAnsi="Times New Roman" w:cs="Times New Roman"/>
          <w:lang w:val="en-US"/>
        </w:rPr>
        <w:t xml:space="preserve">was not </w:t>
      </w:r>
      <w:r w:rsidR="008E003E" w:rsidRPr="0098443A">
        <w:rPr>
          <w:rFonts w:ascii="Times New Roman" w:hAnsi="Times New Roman" w:cs="Times New Roman"/>
          <w:lang w:val="en-US"/>
        </w:rPr>
        <w:t>accompanied</w:t>
      </w:r>
      <w:r w:rsidR="00760556" w:rsidRPr="0098443A">
        <w:rPr>
          <w:rFonts w:ascii="Times New Roman" w:hAnsi="Times New Roman" w:cs="Times New Roman"/>
          <w:lang w:val="en-US"/>
        </w:rPr>
        <w:t xml:space="preserve"> by a decrease on leaf Cu</w:t>
      </w:r>
      <w:r w:rsidR="00CE46DA">
        <w:rPr>
          <w:rFonts w:ascii="Times New Roman" w:hAnsi="Times New Roman" w:cs="Times New Roman"/>
          <w:lang w:val="en-US"/>
        </w:rPr>
        <w:t xml:space="preserve">. Instead, </w:t>
      </w:r>
      <w:r w:rsidR="00E5524B" w:rsidRPr="0098443A">
        <w:rPr>
          <w:rFonts w:ascii="Times New Roman" w:hAnsi="Times New Roman" w:cs="Times New Roman"/>
          <w:lang w:val="en-US"/>
        </w:rPr>
        <w:t xml:space="preserve"> </w:t>
      </w:r>
      <w:r w:rsidR="00CE46DA" w:rsidRPr="0098443A">
        <w:rPr>
          <w:rFonts w:ascii="Times New Roman" w:hAnsi="Times New Roman" w:cs="Times New Roman"/>
          <w:lang w:val="en-US"/>
        </w:rPr>
        <w:t xml:space="preserve"> </w:t>
      </w:r>
      <w:r w:rsidR="00E5524B" w:rsidRPr="0098443A">
        <w:rPr>
          <w:rFonts w:ascii="Times New Roman" w:hAnsi="Times New Roman" w:cs="Times New Roman"/>
          <w:lang w:val="en-US"/>
        </w:rPr>
        <w:t>the opposite was observed</w:t>
      </w:r>
      <w:r w:rsidR="00CE46DA">
        <w:rPr>
          <w:rFonts w:ascii="Times New Roman" w:hAnsi="Times New Roman" w:cs="Times New Roman"/>
          <w:lang w:val="en-US"/>
        </w:rPr>
        <w:t>,</w:t>
      </w:r>
      <w:r w:rsidR="00B339AB">
        <w:rPr>
          <w:rFonts w:ascii="Times New Roman" w:hAnsi="Times New Roman" w:cs="Times New Roman"/>
          <w:lang w:val="en-US"/>
        </w:rPr>
        <w:t xml:space="preserve"> </w:t>
      </w:r>
      <w:bookmarkStart w:id="32" w:name="_Hlk74240014"/>
      <w:r w:rsidR="0025280C">
        <w:rPr>
          <w:rFonts w:ascii="Times New Roman" w:hAnsi="Times New Roman" w:cs="Times New Roman"/>
          <w:lang w:val="en-US"/>
        </w:rPr>
        <w:t>as leaf Cu concentration also increased in this treatment</w:t>
      </w:r>
      <w:bookmarkEnd w:id="32"/>
      <w:r w:rsidR="008E003E" w:rsidRPr="0098443A">
        <w:rPr>
          <w:rFonts w:ascii="Times New Roman" w:hAnsi="Times New Roman" w:cs="Times New Roman"/>
          <w:color w:val="000000"/>
          <w:lang w:val="en-US"/>
        </w:rPr>
        <w:t xml:space="preserve">. </w:t>
      </w:r>
      <w:bookmarkEnd w:id="31"/>
      <w:r w:rsidR="00E37949">
        <w:rPr>
          <w:rFonts w:ascii="Times New Roman" w:hAnsi="Times New Roman" w:cs="Times New Roman"/>
          <w:color w:val="000000"/>
          <w:lang w:val="en-US"/>
        </w:rPr>
        <w:t>O</w:t>
      </w:r>
      <w:r w:rsidR="00A9078B" w:rsidRPr="0098443A">
        <w:rPr>
          <w:rFonts w:ascii="Times New Roman" w:hAnsi="Times New Roman" w:cs="Times New Roman"/>
          <w:color w:val="000000"/>
          <w:lang w:val="en-US"/>
        </w:rPr>
        <w:t>ther studies show</w:t>
      </w:r>
      <w:r w:rsidR="00B339AB">
        <w:rPr>
          <w:rFonts w:ascii="Times New Roman" w:hAnsi="Times New Roman" w:cs="Times New Roman"/>
          <w:color w:val="000000"/>
          <w:lang w:val="en-US"/>
        </w:rPr>
        <w:t xml:space="preserve"> as well </w:t>
      </w:r>
      <w:r w:rsidR="00A9078B" w:rsidRPr="0098443A">
        <w:rPr>
          <w:rFonts w:ascii="Times New Roman" w:hAnsi="Times New Roman" w:cs="Times New Roman"/>
          <w:color w:val="000000"/>
          <w:lang w:val="en-US"/>
        </w:rPr>
        <w:t xml:space="preserve">that </w:t>
      </w:r>
      <w:r w:rsidR="006E3E77" w:rsidRPr="0098443A">
        <w:rPr>
          <w:rFonts w:ascii="Times New Roman" w:hAnsi="Times New Roman" w:cs="Times New Roman"/>
          <w:color w:val="000000"/>
          <w:lang w:val="en-US"/>
        </w:rPr>
        <w:t xml:space="preserve">the application of </w:t>
      </w:r>
      <w:r w:rsidR="00A9078B" w:rsidRPr="0098443A">
        <w:rPr>
          <w:rFonts w:ascii="Times New Roman" w:hAnsi="Times New Roman" w:cs="Times New Roman"/>
          <w:color w:val="000000"/>
          <w:lang w:val="en-US"/>
        </w:rPr>
        <w:t xml:space="preserve">EDTA </w:t>
      </w:r>
      <w:r w:rsidR="006E3E77" w:rsidRPr="0098443A">
        <w:rPr>
          <w:rFonts w:ascii="Times New Roman" w:hAnsi="Times New Roman" w:cs="Times New Roman"/>
          <w:color w:val="000000"/>
          <w:lang w:val="en-US"/>
        </w:rPr>
        <w:t>to Cu contaminated soils can importantly increase Cu concentration in shoots</w:t>
      </w:r>
      <w:r w:rsidR="00421FB6" w:rsidRPr="0098443A">
        <w:rPr>
          <w:rFonts w:ascii="Times New Roman" w:hAnsi="Times New Roman" w:cs="Times New Roman"/>
          <w:color w:val="000000"/>
          <w:lang w:val="en-US"/>
        </w:rPr>
        <w:t xml:space="preserve"> </w:t>
      </w:r>
      <w:r w:rsidR="00421FB6" w:rsidRPr="0098443A">
        <w:rPr>
          <w:rFonts w:ascii="Times New Roman" w:hAnsi="Times New Roman" w:cs="Times New Roman"/>
          <w:color w:val="000000"/>
          <w:lang w:val="en-US"/>
        </w:rPr>
        <w:fldChar w:fldCharType="begin" w:fldLock="1"/>
      </w:r>
      <w:r w:rsidR="002C7ADD" w:rsidRPr="0098443A">
        <w:rPr>
          <w:rFonts w:ascii="Times New Roman" w:hAnsi="Times New Roman" w:cs="Times New Roman"/>
          <w:color w:val="000000"/>
          <w:lang w:val="en-US"/>
        </w:rPr>
        <w:instrText>ADDIN CSL_CITATION {"citationItems":[{"id":"ITEM-1","itemData":{"DOI":"10.3390/plants9060756","ISSN":"22237747","abstract":"Copper (Cu) is an important micronutrient for a plantʹs normal growth and development. However, excess amount of Cu in the soil causes many severe problems in plants— which ultimately affect crop productivity and yield. Moreover, excess of Cu contents causes oxidative damage in the plant tissues by generating excess of reactive oxygen species (ROS). The present experiment was designed to investigate the phytoextraction potential of Cu, morpho-physiological features and biochemical reaction of jute (Corchorus capsularis L.) seedlings using ethylenediaminetetraacetic acid (EDTA) of 3 mM under different Cu levels (0 (control), 50 and 100 μM) in a hydroponic nutrient solution (Hoagland). Our results showed that elevated Cu rates (50 and 100 μM) in the nutrient solution significantly reduced plant height, fresh and dry biomass, total chlorophyll content and gaseous exchange attributes in C. capsularis seedlings. As the concentration of Cu in the medium increased (50 and 100 μM), the level of malondialdehyde (MDA) and oxidative stress in C. capsularis seedlings also increased, which could have been controlled by antioxidant activity in particular plant cells. In addition, rising Cu concentration in the nutrient solution also increased Cu uptake and accumulation in roots and leaves as well as affected the ultrastructure of chloroplast of C. capsularis seedlings. The addition of EDTA to the nutrient solution significantly alleviated Cu toxicity in C. capsularis seedlings, showing a significantly increase in plant growth and biomass. MDA contents was not significantly increased in EDTA‐induced plants, suggesting that this treatment was helpful in capturing ROS and thereby reducing ROS in in C. capsularis seedlings. EDTA modification with Cu, although the bioaccumulation factor in roots and leaves and translocation factor for the leaves of C. capsularis seedlings has significantly increased. These results indicate that C. capsularis has considerable potential to cope with Cu stress and is capable of removing a large quantity of Cu from the Cu-contaminated soil while using EDTA is a useful strategy to increase plant growth and biomass with Cu absorption capabilities.","author":[{"dropping-particle":"","family":"Saleem","given":"Muhammad Hamzah","non-dropping-particle":"","parse-names":false,"suffix":""},{"dropping-particle":"","family":"Ali","given":"Shafaqat","non-dropping-particle":"","parse-names":false,"suffix":""},{"dropping-particle":"","family":"Kamran","given":"Muhammad","non-dropping-particle":"","parse-names":false,"suffix":""},{"dropping-particle":"","family":"Iqbal","given":"Naeem","non-dropping-particle":"","parse-names":false,"suffix":""},{"dropping-particle":"","family":"Azeem","given":"Muhammad","non-dropping-particle":"","parse-names":false,"suffix":""},{"dropping-particle":"","family":"Javed","given":"Muhammad Tariq","non-dropping-particle":"","parse-names":false,"suffix":""},{"dropping-particle":"","family":"Ali","given":"Qasim","non-dropping-particle":"","parse-names":false,"suffix":""},{"dropping-particle":"","family":"Haider","given":"Muhammad Zulqurnain","non-dropping-particle":"","parse-names":false,"suffix":""},{"dropping-particle":"","family":"Irshad","given":"Sana","non-dropping-particle":"","parse-names":false,"suffix":""},{"dropping-particle":"","family":"Rizwan","given":"Muhammad","non-dropping-particle":"","parse-names":false,"suffix":""},{"dropping-particle":"","family":"Alkahtani","given":"Saad","non-dropping-particle":"","parse-names":false,"suffix":""},{"dropping-particle":"","family":"Abdel‐daim","given":"Mohamed M.","non-dropping-particle":"","parse-names":false,"suffix":""}],"container-title":"Plants","id":"ITEM-1","issue":"6","issued":{"date-parts":[["2020"]]},"page":"1-20","title":"Ethylenediaminetetraacetic acid (Edta) mitigates the toxic effect of excessive copper concentrations on growth, gaseous exchange and chloroplast ultrastructure of corchorus capsularis l. and improves copper accumulation capabilities","type":"article-journal","volume":"9"},"uris":["http://www.mendeley.com/documents/?uuid=7e8d3841-dfea-4ed1-a048-795593c9bf46"]},{"id":"ITEM-2","itemData":{"DOI":"10.1016/j.chemosphere.2004.09.100","ISSN":"00456535","PMID":"15698638","abstract":"Chemically enhanced phytoextraction has been proposed as an effective approach to removing heavy metals from contaminated soil through the use of high biomass plants. Using pot experiments, the effects of the application of EDTA, EDDS and citric acid on the uptake of Cu, Pb, Zn and Cd by corn (Zea mays L. cv. Nongda 108) and bean (Phaseolus vulgaris L. white bean) plants were studied. The results showed that EDDS was more effective than EDTA at increasing the concentration of Cu in corn and beans. The application of 5 mmol kg-1 soil EDDS to soil significantly increased concentrations of Cu in shoots, with maximum levels of 2060 and 5130 mg kg-1 DW in corn and beans, respectively, which were 45- and 135-fold higher than that in the corresponding control plants to which chelate had not been applied. Concentrations of Zn in shoots were also higher in the plants treated with EDDS than in those treated with EDTA. For Pb and Cd, EDDS was less effective than EDTA. The maximum Cu phytoextraction was found with the EDDS treatment. The application of EDTA and EDDS also significantly increased the shoot-to-root ratios of the concentrations of Cu, Pb, Zn and Cd in both plant species. The results of metal extraction with chelates showed that EDDS was more efficient at solubilizing Cu and Zn than EDTA, and that EDTA was better at solubilizing Pb and Cd than EDDS. © 2004 Elsevier Ltd. All rights reserved.","author":[{"dropping-particle":"","family":"Luo","given":"Chunling","non-dropping-particle":"","parse-names":false,"suffix":""},{"dropping-particle":"","family":"Shen","given":"Zhenguo","non-dropping-particle":"","parse-names":false,"suffix":""},{"dropping-particle":"","family":"Li","given":"Xiangdong","non-dropping-particle":"","parse-names":false,"suffix":""}],"container-title":"Chemosphere","id":"ITEM-2","issue":"1","issued":{"date-parts":[["2005"]]},"page":"1-11","title":"Enhanced phytoextraction of Cu, Pb, Zn and Cd with EDTA and EDDS","type":"article-journal","volume":"59"},"uris":["http://www.mendeley.com/documents/?uuid=018c6653-fc46-4fef-9510-4f91b6d92d2d"]},{"id":"ITEM-3","itemData":{"DOI":"10.1016/j.envpol.2006.02.012","ISSN":"02697491","PMID":"16616805","abstract":"The potential of 18 different plants to be used in the chemically enhanced phytoextraction of Cu, Pb, Zn and Cd was assessed using pot experiments. Chrysanthemum coronarium L. was the species most sensitive to the application of EDTA, and had the highest enhancement of Cu and Pb concentrations in its shoots. Compared with EDTA, EDDS was more effective in enhancing the concentration of Cu in the shoots of Chrysanthemum coronarium L. and Zea mays L. grown on multi-metal contaminated soils. The EDTA-treated soil still had a significant ability to enhance the concentrations of Cu and Pb in the shoots of Zea mays L. six months after the chelant treatment. However, the EDDS-treated soil did not have any effect in enhancing the concentrations of metals in the shoots of Zea mays L. in the second crop test. The results may indicate that EDDS biodegrades more rapidly than EDTA in soil and is better in limiting potential metal leaching. © 2006 Elsevier Ltd. All rights reserved.","author":[{"dropping-particle":"","family":"Luo","given":"Chunling","non-dropping-particle":"","parse-names":false,"suffix":""},{"dropping-particle":"","family":"Shen","given":"Zhenguo","non-dropping-particle":"","parse-names":false,"suffix":""},{"dropping-particle":"","family":"Lou","given":"Laiqing","non-dropping-particle":"","parse-names":false,"suffix":""},{"dropping-particle":"","family":"Li","given":"Xiangdong","non-dropping-particle":"","parse-names":false,"suffix":""}],"container-title":"Environmental Pollution","id":"ITEM-3","issue":"3","issued":{"date-parts":[["2006"]]},"page":"862-871","title":"EDDS and EDTA-enhanced phytoextraction of metals from artificially contaminated soil and residual effects of chelant compounds","type":"article-journal","volume":"144"},"uris":["http://www.mendeley.com/documents/?uuid=2cc29658-0f5e-46f7-b46c-af0c732ed28d"]},{"id":"ITEM-4","itemData":{"DOI":"10.1007/s11356-014-3431-5","ISSN":"16147499","PMID":"25163559","abstract":"Copper (Cu) is an essential micronutrient for normal plant growth and development, but in excess, it is also toxic to plants. The present study investigated the influence of ethylenediaminetetraacetic acid (EDTA) in enhancing Cu uptake and tolerance as well as the morphological and physiological responses of Brassica napus L. seedlings under Cu stress. Four-week-old seedlings were transferred to hydroponics containing Hoagland’s nutrient solution. After 2 weeks of transplanting, three levels (0, 50, and 100 μM) of Cu were applied with or without application of 2.5 mM EDTA and plants were further grown for 8 weeks in culture media. Results showed that Cu alone significantly decreased plant growth, biomass, photosynthetic pigments, and gas exchange characteristics. Cu stress also reduced the activities of antioxidants, such as superoxide dismutase (SOD), peroxidase (POD), ascorbate peroxidase (APX), and catalase (CAT) along with protein contents. Cu toxicity increased the concentration of reactive oxygen species (ROS) as indicated by the increased production of malondialdehyde (MDA) and hydrogen peroxide (H2O2) in both leaves and roots. The application of EDTA significantly alleviated Cu-induced toxic effects in B. napus, showing remarkable improvement in all these parameters. EDTA amendment increased the activity of antioxidant enzymes by decreasing the concentrations of MDA and H2O2 both in leaves and roots of B. napus. Although, EDTA amendment with Cu significantly increased Cu uptake in roots, stems, and leaves in decreasing order of concentration but increased the growth, photosynthetic parameters, and antioxidant enzymes. These results showed that the application of EDTA can be a useful strategy for phytoextraction of Cu by B. napus from contaminated soils.","author":[{"dropping-particle":"","family":"Habiba","given":"Ume","non-dropping-particle":"","parse-names":false,"suffix":""},{"dropping-particle":"","family":"Ali","given":"Shafaqat","non-dropping-particle":"","parse-names":false,"suffix":""},{"dropping-particle":"","family":"Farid","given":"Mujahid","non-dropping-particle":"","parse-names":false,"suffix":""},{"dropping-particle":"","family":"Shakoor","given":"Muhammad Bilal","non-dropping-particle":"","parse-names":false,"suffix":""},{"dropping-particle":"","family":"Rizwan","given":"Muhammad","non-dropping-particle":"","parse-names":false,"suffix":""},{"dropping-particle":"","family":"Ibrahim","given":"Muhammad","non-dropping-particle":"","parse-names":false,"suffix":""},{"dropping-particle":"","family":"Abbasi","given":"Ghulam Hasan","non-dropping-particle":"","parse-names":false,"suffix":""},{"dropping-particle":"","family":"Hayat","given":"Tahir","non-dropping-particle":"","parse-names":false,"suffix":""},{"dropping-particle":"","family":"Ali","given":"Basharat","non-dropping-particle":"","parse-names":false,"suffix":""}],"container-title":"Environmental Science and Pollution Research","id":"ITEM-4","issue":"2","issued":{"date-parts":[["2015"]]},"page":"1534-1544","title":"EDTA enhanced plant growth, antioxidant defense system, and phytoextraction of copper by Brassica napus L","type":"article-journal","volume":"22"},"uris":["http://www.mendeley.com/documents/?uuid=aece4670-687f-444f-b834-7001b98b3c42"]}],"mendeley":{"formattedCitation":"(Habiba et al., 2015; Luo et al., 2006, 2005; Saleem et al., 2020)","plainTextFormattedCitation":"(Habiba et al., 2015; Luo et al., 2006, 2005; Saleem et al., 2020)","previouslyFormattedCitation":"(Habiba et al., 2015; Luo et al., 2006, 2005; Saleem et al., 2020)"},"properties":{"noteIndex":0},"schema":"https://github.com/citation-style-language/schema/raw/master/csl-citation.json"}</w:instrText>
      </w:r>
      <w:r w:rsidR="00421FB6" w:rsidRPr="0098443A">
        <w:rPr>
          <w:rFonts w:ascii="Times New Roman" w:hAnsi="Times New Roman" w:cs="Times New Roman"/>
          <w:color w:val="000000"/>
          <w:lang w:val="en-US"/>
        </w:rPr>
        <w:fldChar w:fldCharType="separate"/>
      </w:r>
      <w:r w:rsidR="000E79E6" w:rsidRPr="0098443A">
        <w:rPr>
          <w:rFonts w:ascii="Times New Roman" w:hAnsi="Times New Roman" w:cs="Times New Roman"/>
          <w:noProof/>
          <w:color w:val="000000"/>
          <w:lang w:val="en-US"/>
        </w:rPr>
        <w:t>(Habiba et al., 2015; Luo et al., 2006, 2005; Saleem et al., 2020)</w:t>
      </w:r>
      <w:r w:rsidR="00421FB6" w:rsidRPr="0098443A">
        <w:rPr>
          <w:rFonts w:ascii="Times New Roman" w:hAnsi="Times New Roman" w:cs="Times New Roman"/>
          <w:color w:val="000000"/>
          <w:lang w:val="en-US"/>
        </w:rPr>
        <w:fldChar w:fldCharType="end"/>
      </w:r>
      <w:r w:rsidR="00421FB6" w:rsidRPr="0098443A">
        <w:rPr>
          <w:rFonts w:ascii="Times New Roman" w:hAnsi="Times New Roman" w:cs="Times New Roman"/>
          <w:color w:val="000000"/>
          <w:lang w:val="en-US"/>
        </w:rPr>
        <w:t xml:space="preserve">. </w:t>
      </w:r>
      <w:r w:rsidR="0001619A" w:rsidRPr="0098443A">
        <w:rPr>
          <w:rFonts w:ascii="Times New Roman" w:hAnsi="Times New Roman" w:cs="Times New Roman"/>
          <w:color w:val="000000"/>
          <w:lang w:val="en-US"/>
        </w:rPr>
        <w:t xml:space="preserve">Therefore, our results indicate that in Cu-contaminated soils application of Fe in the form of FeNaEDTA should be avoided. </w:t>
      </w:r>
    </w:p>
    <w:p w14:paraId="2292A5CB" w14:textId="5837B24B" w:rsidR="00E87B7F" w:rsidRPr="0098443A" w:rsidRDefault="0042245F" w:rsidP="0098443A">
      <w:pPr>
        <w:spacing w:after="0" w:line="480" w:lineRule="auto"/>
        <w:jc w:val="both"/>
        <w:rPr>
          <w:rFonts w:ascii="Times New Roman" w:hAnsi="Times New Roman" w:cs="Times New Roman"/>
          <w:lang w:val="en-US"/>
        </w:rPr>
      </w:pPr>
      <w:r w:rsidRPr="0098443A">
        <w:rPr>
          <w:rFonts w:ascii="Times New Roman" w:hAnsi="Times New Roman" w:cs="Times New Roman"/>
          <w:lang w:val="en-US"/>
        </w:rPr>
        <w:t xml:space="preserve">Copper </w:t>
      </w:r>
      <w:r w:rsidR="00974DFA" w:rsidRPr="0098443A">
        <w:rPr>
          <w:rFonts w:ascii="Times New Roman" w:hAnsi="Times New Roman" w:cs="Times New Roman"/>
          <w:lang w:val="en-US"/>
        </w:rPr>
        <w:t xml:space="preserve">and Zn </w:t>
      </w:r>
      <w:r w:rsidR="005B18CC" w:rsidRPr="0098443A">
        <w:rPr>
          <w:rFonts w:ascii="Times New Roman" w:hAnsi="Times New Roman" w:cs="Times New Roman"/>
          <w:lang w:val="en-US"/>
        </w:rPr>
        <w:t>can</w:t>
      </w:r>
      <w:r w:rsidR="00974DFA" w:rsidRPr="0098443A">
        <w:rPr>
          <w:rFonts w:ascii="Times New Roman" w:hAnsi="Times New Roman" w:cs="Times New Roman"/>
          <w:lang w:val="en-US"/>
        </w:rPr>
        <w:t xml:space="preserve"> also negatively interact with each other, </w:t>
      </w:r>
      <w:r w:rsidR="005B18CC" w:rsidRPr="0098443A">
        <w:rPr>
          <w:rFonts w:ascii="Times New Roman" w:hAnsi="Times New Roman" w:cs="Times New Roman"/>
          <w:lang w:val="en-US"/>
        </w:rPr>
        <w:t xml:space="preserve">as Cu competitively inhibits Zn </w:t>
      </w:r>
      <w:r w:rsidR="008E5F56">
        <w:rPr>
          <w:rFonts w:ascii="Times New Roman" w:hAnsi="Times New Roman" w:cs="Times New Roman"/>
          <w:lang w:val="en-US"/>
        </w:rPr>
        <w:t>uptake</w:t>
      </w:r>
      <w:r w:rsidR="008E5F56" w:rsidRPr="0098443A">
        <w:rPr>
          <w:rFonts w:ascii="Times New Roman" w:hAnsi="Times New Roman" w:cs="Times New Roman"/>
          <w:lang w:val="en-US"/>
        </w:rPr>
        <w:t xml:space="preserve"> </w:t>
      </w:r>
      <w:r w:rsidR="005B18CC" w:rsidRPr="0098443A">
        <w:rPr>
          <w:rFonts w:ascii="Times New Roman" w:hAnsi="Times New Roman" w:cs="Times New Roman"/>
          <w:lang w:val="en-US"/>
        </w:rPr>
        <w:fldChar w:fldCharType="begin" w:fldLock="1"/>
      </w:r>
      <w:r w:rsidR="002C7ADD" w:rsidRPr="0098443A">
        <w:rPr>
          <w:rFonts w:ascii="Times New Roman" w:hAnsi="Times New Roman" w:cs="Times New Roman"/>
          <w:lang w:val="en-US"/>
        </w:rPr>
        <w:instrText>ADDIN CSL_CITATION {"citationItems":[{"id":"ITEM-1","itemData":{"author":[{"dropping-particle":"","family":"Graham","given":"RD","non-dropping-particle":"","parse-names":false,"suffix":""}],"container-title":"Copper is soils and plants","editor":[{"dropping-particle":"","family":"Loneragan","given":"JF","non-dropping-particle":"","parse-names":false,"suffix":""},{"dropping-particle":"","family":"Robson","given":"AD","non-dropping-particle":"","parse-names":false,"suffix":""},{"dropping-particle":"","family":"Graham","given":"RD","non-dropping-particle":"","parse-names":false,"suffix":""}],"id":"ITEM-1","issued":{"date-parts":[["1981"]]},"page":"141","publisher":"Academic Press","publisher-place":"New York","title":"Absorption of copper by plant roots","type":"chapter"},"uris":["http://www.mendeley.com/documents/?uuid=8e031373-b051-49eb-8de5-c44f813ec43a"]},{"id":"ITEM-2","itemData":{"DOI":"10.1017/S0014479711000743","ISBN":"9781420093681.","author":[{"dropping-particle":"","family":"Kabata-Pendias","given":"A.","non-dropping-particle":"","parse-names":false,"suffix":""}],"edition":"4th","editor":[{"dropping-particle":"","family":"Kabata-Pendias","given":"A.","non-dropping-particle":"","parse-names":false,"suffix":""}],"id":"ITEM-2","issued":{"date-parts":[["2010"]]},"number-of-pages":"548","publisher":"CRC Press/Taylor &amp; Francis Group","publisher-place":"Boca Raton, FL","title":"Trace Elements in Soils and Plants.","type":"book"},"uris":["http://www.mendeley.com/documents/?uuid=2ec77606-4228-3547-9a2c-3159af258b95"]}],"mendeley":{"formattedCitation":"(Graham, 1981; Kabata-Pendias, 2010)","plainTextFormattedCitation":"(Graham, 1981; Kabata-Pendias, 2010)","previouslyFormattedCitation":"(Graham, 1981; Kabata-Pendias, 2010)"},"properties":{"noteIndex":0},"schema":"https://github.com/citation-style-language/schema/raw/master/csl-citation.json"}</w:instrText>
      </w:r>
      <w:r w:rsidR="005B18CC" w:rsidRPr="0098443A">
        <w:rPr>
          <w:rFonts w:ascii="Times New Roman" w:hAnsi="Times New Roman" w:cs="Times New Roman"/>
          <w:lang w:val="en-US"/>
        </w:rPr>
        <w:fldChar w:fldCharType="separate"/>
      </w:r>
      <w:r w:rsidR="000E79E6" w:rsidRPr="0098443A">
        <w:rPr>
          <w:rFonts w:ascii="Times New Roman" w:hAnsi="Times New Roman" w:cs="Times New Roman"/>
          <w:noProof/>
          <w:lang w:val="en-US"/>
        </w:rPr>
        <w:t>(Graham, 1981; Kabata-Pendias, 2010)</w:t>
      </w:r>
      <w:r w:rsidR="005B18CC" w:rsidRPr="0098443A">
        <w:rPr>
          <w:rFonts w:ascii="Times New Roman" w:hAnsi="Times New Roman" w:cs="Times New Roman"/>
          <w:lang w:val="en-US"/>
        </w:rPr>
        <w:fldChar w:fldCharType="end"/>
      </w:r>
      <w:r w:rsidR="003060F0" w:rsidRPr="0098443A">
        <w:rPr>
          <w:rFonts w:ascii="Times New Roman" w:eastAsia="MinionPro-Regular" w:hAnsi="Times New Roman" w:cs="Times New Roman"/>
          <w:color w:val="000000"/>
          <w:lang w:val="en-US"/>
        </w:rPr>
        <w:t xml:space="preserve">. </w:t>
      </w:r>
      <w:r w:rsidR="00C91DA7" w:rsidRPr="0098443A">
        <w:rPr>
          <w:rFonts w:ascii="Times New Roman" w:eastAsia="MinionPro-Regular" w:hAnsi="Times New Roman" w:cs="Times New Roman"/>
          <w:color w:val="000000"/>
          <w:lang w:val="en-US"/>
        </w:rPr>
        <w:t>In fact, in soils with</w:t>
      </w:r>
      <w:r w:rsidR="002E6F55" w:rsidRPr="0098443A">
        <w:rPr>
          <w:rFonts w:ascii="Times New Roman" w:eastAsia="MinionPro-Regular" w:hAnsi="Times New Roman" w:cs="Times New Roman"/>
          <w:color w:val="000000"/>
          <w:lang w:val="en-US"/>
        </w:rPr>
        <w:t xml:space="preserve"> high soil Cu concentration</w:t>
      </w:r>
      <w:r w:rsidR="00C91DA7" w:rsidRPr="0098443A">
        <w:rPr>
          <w:rFonts w:ascii="Times New Roman" w:eastAsia="MinionPro-Regular" w:hAnsi="Times New Roman" w:cs="Times New Roman"/>
          <w:color w:val="000000"/>
          <w:lang w:val="en-US"/>
        </w:rPr>
        <w:t>,</w:t>
      </w:r>
      <w:r w:rsidR="002E6F55" w:rsidRPr="0098443A">
        <w:rPr>
          <w:rFonts w:ascii="Times New Roman" w:eastAsia="MinionPro-Regular" w:hAnsi="Times New Roman" w:cs="Times New Roman"/>
          <w:color w:val="000000"/>
          <w:lang w:val="en-US"/>
        </w:rPr>
        <w:t xml:space="preserve"> </w:t>
      </w:r>
      <w:r w:rsidR="00944D74" w:rsidRPr="0098443A">
        <w:rPr>
          <w:rFonts w:ascii="Times New Roman" w:eastAsia="MinionPro-Regular" w:hAnsi="Times New Roman" w:cs="Times New Roman"/>
          <w:color w:val="000000"/>
          <w:lang w:val="en-US"/>
        </w:rPr>
        <w:t xml:space="preserve">Toselli et al. (2009) detected </w:t>
      </w:r>
      <w:r w:rsidR="003060F0" w:rsidRPr="0098443A">
        <w:rPr>
          <w:rFonts w:ascii="Times New Roman" w:eastAsia="MinionPro-Regular" w:hAnsi="Times New Roman" w:cs="Times New Roman"/>
          <w:color w:val="000000"/>
          <w:lang w:val="en-US"/>
        </w:rPr>
        <w:t>a decrease in root Zn content</w:t>
      </w:r>
      <w:r w:rsidR="00C91DA7" w:rsidRPr="0098443A">
        <w:rPr>
          <w:rFonts w:ascii="Times New Roman" w:eastAsia="MinionPro-Regular" w:hAnsi="Times New Roman" w:cs="Times New Roman"/>
          <w:color w:val="000000"/>
          <w:lang w:val="en-US"/>
        </w:rPr>
        <w:t xml:space="preserve"> in grapevines</w:t>
      </w:r>
      <w:r w:rsidR="00624FDF" w:rsidRPr="0098443A">
        <w:rPr>
          <w:rFonts w:ascii="Times New Roman" w:eastAsia="MinionPro-Regular" w:hAnsi="Times New Roman" w:cs="Times New Roman"/>
          <w:color w:val="000000"/>
          <w:lang w:val="en-US"/>
        </w:rPr>
        <w:t>,</w:t>
      </w:r>
      <w:r w:rsidR="003060F0" w:rsidRPr="0098443A">
        <w:rPr>
          <w:rFonts w:ascii="Times New Roman" w:eastAsia="MinionPro-Regular" w:hAnsi="Times New Roman" w:cs="Times New Roman"/>
          <w:color w:val="000000"/>
          <w:lang w:val="en-US"/>
        </w:rPr>
        <w:t xml:space="preserve"> </w:t>
      </w:r>
      <w:r w:rsidR="00147C4F" w:rsidRPr="0098443A">
        <w:rPr>
          <w:rFonts w:ascii="Times New Roman" w:eastAsia="MinionPro-Regular" w:hAnsi="Times New Roman" w:cs="Times New Roman"/>
          <w:color w:val="000000"/>
          <w:lang w:val="en-US"/>
        </w:rPr>
        <w:t>while leaf Zn content was unaffected.</w:t>
      </w:r>
      <w:r w:rsidR="00A933F0" w:rsidRPr="0098443A">
        <w:rPr>
          <w:rFonts w:ascii="Times New Roman" w:eastAsia="MinionPro-Regular" w:hAnsi="Times New Roman" w:cs="Times New Roman"/>
          <w:color w:val="000000"/>
          <w:lang w:val="en-US"/>
        </w:rPr>
        <w:t xml:space="preserve"> </w:t>
      </w:r>
      <w:r w:rsidR="00974DFA" w:rsidRPr="0098443A">
        <w:rPr>
          <w:rFonts w:ascii="Times New Roman" w:hAnsi="Times New Roman" w:cs="Times New Roman"/>
          <w:lang w:val="en-US"/>
        </w:rPr>
        <w:t xml:space="preserve">However, </w:t>
      </w:r>
      <w:r w:rsidR="00944D74" w:rsidRPr="0098443A">
        <w:rPr>
          <w:rFonts w:ascii="Times New Roman" w:hAnsi="Times New Roman" w:cs="Times New Roman"/>
          <w:lang w:val="en-US"/>
        </w:rPr>
        <w:t xml:space="preserve">the opposite response was </w:t>
      </w:r>
      <w:r w:rsidR="002E6F55" w:rsidRPr="0098443A">
        <w:rPr>
          <w:rFonts w:ascii="Times New Roman" w:hAnsi="Times New Roman" w:cs="Times New Roman"/>
          <w:lang w:val="en-US"/>
        </w:rPr>
        <w:t>reported</w:t>
      </w:r>
      <w:r w:rsidR="00944D74" w:rsidRPr="0098443A">
        <w:rPr>
          <w:rFonts w:ascii="Times New Roman" w:hAnsi="Times New Roman" w:cs="Times New Roman"/>
          <w:lang w:val="en-US"/>
        </w:rPr>
        <w:t xml:space="preserve"> </w:t>
      </w:r>
      <w:r w:rsidR="002E6F55" w:rsidRPr="0098443A">
        <w:rPr>
          <w:rFonts w:ascii="Times New Roman" w:hAnsi="Times New Roman" w:cs="Times New Roman"/>
          <w:lang w:val="en-US"/>
        </w:rPr>
        <w:t>by</w:t>
      </w:r>
      <w:r w:rsidR="00944D74" w:rsidRPr="0098443A">
        <w:rPr>
          <w:rFonts w:ascii="Times New Roman" w:hAnsi="Times New Roman" w:cs="Times New Roman"/>
          <w:lang w:val="en-US"/>
        </w:rPr>
        <w:t xml:space="preserve"> </w:t>
      </w:r>
      <w:r w:rsidR="00365DC4" w:rsidRPr="0098443A">
        <w:rPr>
          <w:rFonts w:ascii="Times New Roman" w:hAnsi="Times New Roman" w:cs="Times New Roman"/>
          <w:lang w:val="en-US"/>
        </w:rPr>
        <w:fldChar w:fldCharType="begin" w:fldLock="1"/>
      </w:r>
      <w:r w:rsidR="002C7ADD" w:rsidRPr="0098443A">
        <w:rPr>
          <w:rFonts w:ascii="Times New Roman" w:hAnsi="Times New Roman" w:cs="Times New Roman"/>
          <w:lang w:val="en-US"/>
        </w:rPr>
        <w:instrText>ADDIN CSL_CITATION {"citationItems":[{"id":"ITEM-1","itemData":{"DOI":"10.3389/fpls.2018.01906","ISSN":"1664462X","abstract":"Plant inoculation with arbuscular mycorrhizal fungi (AMF) is increasingly employed to enhance productivity and sustainability in agricultural ecosystems. In the present study, the potential benefits of AMF inoculation on young grapevines replanted in pots containing vineyard soil with high Cu concentration were evaluated. For this purpose, one-year-old cv. Touriga Nacional grapevines grafted onto 1103P rootstocks were further inoculated with Rhizoglomus irregulare or Funneliformis mosseae, or left non-inoculated, and maintained in a sterilized substrate under greenhouse conditions for three months. After this time, half of the plants were transplanted to containers filled with an Arenosol from a vineyard which had been artificially contaminated or not with 300 mg kg −1 of Cu. At the end of the growing season, soil nutrient concentration, soil dehydrogenase activity and mycorrhizal colonization rate were analyzed. Grapevine performance was assessed by measuring several vegetative growth and physiological parameters as well as nutrient concentrations in leaves and roots. In the non-contaminated soil, R. irregulare-and F. mosseae-inoculated plants had significantly greater root biomass than the non-inoculated ones. However, the opposite effect was observed in the Cu-contaminated soil, where non-inoculated plants performed better regarding shoot and root development. Concerning nutrient levels, an increase in Cu, Mg and Mn concentrations was observed in the roots of plants growing in the contaminated soil, although only Mn was translocated to leaves. This led to a large increase in leaf Mn concentrations, which was significantly higher in non-inoculated and F. mosseae-inoculated plants than in the R. irregulare-inoculated ones. Copper contamination induced a general decrease in leaf N, P and Fe concentrations as well as chlorosis symptoms. The largest decrease in N and P was observed in F. mosseae-inoculated plants, with 73 and 31.2%, respectively. However, these plants were the ones with the least decrease in Fe concentration (10% vs. almost 30% in the other two inoculation treatments). In conclusion, this study indicates that soil Cu levels can modify the outcome of AMF inoculations in young grapevines, disclosing new AMF-plant associations potentially relevant in vineyards with a tradition of Cu-based fungicide application.","author":[{"dropping-particle":"","family":"Nogales","given":"A.","non-dropping-particle":"","parse-names":false,"suffix":""},{"dropping-particle":"","family":"Santos","given":"E.S.","non-dropping-particle":"","parse-names":false,"suffix":""},{"dropping-particle":"","family":"Abreu","given":"M.M.","non-dropping-particle":"","parse-names":false,"suffix":""},{"dropping-particle":"","family":"Arán","given":"D.","non-dropping-particle":"","parse-names":false,"suffix":""},{"dropping-particle":"","family":"Victorino","given":"G.","non-dropping-particle":"","parse-names":false,"suffix":""},{"dropping-particle":"","family":"Pereira","given":"H.S.","non-dropping-particle":"","parse-names":false,"suffix":""},{"dropping-particle":"","family":"Lopes","given":"C.M.","non-dropping-particle":"","parse-names":false,"suffix":""},{"dropping-particle":"","family":"Viegas","given":"W.","non-dropping-particle":"","parse-names":false,"suffix":""}],"container-title":"Frontiers in Plant Science","id":"ITEM-1","issued":{"date-parts":[["2019"]]},"title":"Mycorrhizal inoculation differentially affects grapevine’s performance in copper contaminated and non-contaminated soils","type":"article-journal","volume":"9"},"uris":["http://www.mendeley.com/documents/?uuid=b38c2b19-5c88-34a0-8087-dc357299736f"]}],"mendeley":{"formattedCitation":"(Nogales et al., 2019)","manualFormatting":"Nogales et al. (2019)","plainTextFormattedCitation":"(Nogales et al., 2019)","previouslyFormattedCitation":"(Nogales et al., 2019)"},"properties":{"noteIndex":0},"schema":"https://github.com/citation-style-language/schema/raw/master/csl-citation.json"}</w:instrText>
      </w:r>
      <w:r w:rsidR="00365DC4" w:rsidRPr="0098443A">
        <w:rPr>
          <w:rFonts w:ascii="Times New Roman" w:hAnsi="Times New Roman" w:cs="Times New Roman"/>
          <w:lang w:val="en-US"/>
        </w:rPr>
        <w:fldChar w:fldCharType="separate"/>
      </w:r>
      <w:r w:rsidR="00365DC4" w:rsidRPr="0098443A">
        <w:rPr>
          <w:rFonts w:ascii="Times New Roman" w:hAnsi="Times New Roman" w:cs="Times New Roman"/>
          <w:noProof/>
          <w:lang w:val="en-US"/>
        </w:rPr>
        <w:t>Nogales et al. (2019)</w:t>
      </w:r>
      <w:r w:rsidR="00365DC4" w:rsidRPr="0098443A">
        <w:rPr>
          <w:rFonts w:ascii="Times New Roman" w:hAnsi="Times New Roman" w:cs="Times New Roman"/>
          <w:lang w:val="en-US"/>
        </w:rPr>
        <w:fldChar w:fldCharType="end"/>
      </w:r>
      <w:r w:rsidR="00944D74" w:rsidRPr="0098443A">
        <w:rPr>
          <w:rFonts w:ascii="Times New Roman" w:hAnsi="Times New Roman" w:cs="Times New Roman"/>
          <w:lang w:val="en-US"/>
        </w:rPr>
        <w:t xml:space="preserve">. In the present experiment, </w:t>
      </w:r>
      <w:r w:rsidR="00FA2606" w:rsidRPr="0098443A">
        <w:rPr>
          <w:rFonts w:ascii="Times New Roman" w:hAnsi="Times New Roman" w:cs="Times New Roman"/>
          <w:lang w:val="en-US"/>
        </w:rPr>
        <w:t xml:space="preserve">although </w:t>
      </w:r>
      <w:r w:rsidR="00A933F0" w:rsidRPr="0098443A">
        <w:rPr>
          <w:rFonts w:ascii="Times New Roman" w:hAnsi="Times New Roman" w:cs="Times New Roman"/>
          <w:lang w:val="en-US"/>
        </w:rPr>
        <w:t>i</w:t>
      </w:r>
      <w:r w:rsidR="00F1799D" w:rsidRPr="0098443A">
        <w:rPr>
          <w:rFonts w:ascii="Times New Roman" w:hAnsi="Times New Roman" w:cs="Times New Roman"/>
          <w:lang w:val="en-US"/>
        </w:rPr>
        <w:t xml:space="preserve">n </w:t>
      </w:r>
      <w:r w:rsidR="00F1799D" w:rsidRPr="0098443A">
        <w:rPr>
          <w:rFonts w:ascii="Times New Roman" w:hAnsi="Times New Roman" w:cs="Times New Roman"/>
          <w:i/>
          <w:lang w:val="en-US"/>
        </w:rPr>
        <w:t xml:space="preserve">R. </w:t>
      </w:r>
      <w:r w:rsidR="00B92074" w:rsidRPr="0098443A">
        <w:rPr>
          <w:rFonts w:ascii="Times New Roman" w:hAnsi="Times New Roman" w:cs="Times New Roman"/>
          <w:i/>
          <w:lang w:val="en-US"/>
        </w:rPr>
        <w:t>irregulare</w:t>
      </w:r>
      <w:r w:rsidR="00B339AB">
        <w:rPr>
          <w:rFonts w:ascii="Times New Roman" w:hAnsi="Times New Roman" w:cs="Times New Roman"/>
          <w:i/>
          <w:lang w:val="en-US"/>
        </w:rPr>
        <w:t>-</w:t>
      </w:r>
      <w:r w:rsidR="00F1799D" w:rsidRPr="0098443A">
        <w:rPr>
          <w:rFonts w:ascii="Times New Roman" w:hAnsi="Times New Roman" w:cs="Times New Roman"/>
          <w:lang w:val="en-US"/>
        </w:rPr>
        <w:t>inoculated and non-inoculated plant roots</w:t>
      </w:r>
      <w:r w:rsidR="00624FDF" w:rsidRPr="0098443A">
        <w:rPr>
          <w:rFonts w:ascii="Times New Roman" w:hAnsi="Times New Roman" w:cs="Times New Roman"/>
          <w:lang w:val="en-US"/>
        </w:rPr>
        <w:t>,</w:t>
      </w:r>
      <w:r w:rsidR="00F1799D" w:rsidRPr="0098443A">
        <w:rPr>
          <w:rFonts w:ascii="Times New Roman" w:hAnsi="Times New Roman" w:cs="Times New Roman"/>
          <w:lang w:val="en-US"/>
        </w:rPr>
        <w:t xml:space="preserve"> both, </w:t>
      </w:r>
      <w:r w:rsidR="00542927" w:rsidRPr="0098443A">
        <w:rPr>
          <w:rFonts w:ascii="Times New Roman" w:hAnsi="Times New Roman" w:cs="Times New Roman"/>
          <w:lang w:val="en-US"/>
        </w:rPr>
        <w:t xml:space="preserve">Cu and </w:t>
      </w:r>
      <w:r w:rsidR="00F1799D" w:rsidRPr="0098443A">
        <w:rPr>
          <w:rFonts w:ascii="Times New Roman" w:hAnsi="Times New Roman" w:cs="Times New Roman"/>
          <w:lang w:val="en-US"/>
        </w:rPr>
        <w:t xml:space="preserve">Zn significantly </w:t>
      </w:r>
      <w:r w:rsidR="00853ACA" w:rsidRPr="0098443A">
        <w:rPr>
          <w:rFonts w:ascii="Times New Roman" w:hAnsi="Times New Roman" w:cs="Times New Roman"/>
          <w:lang w:val="en-US"/>
        </w:rPr>
        <w:t xml:space="preserve">increased in the </w:t>
      </w:r>
      <w:r w:rsidR="00A1449E" w:rsidRPr="0098443A">
        <w:rPr>
          <w:rFonts w:ascii="Times New Roman" w:hAnsi="Times New Roman" w:cs="Times New Roman"/>
          <w:lang w:val="en-US"/>
        </w:rPr>
        <w:t>Cu-contaminated soil</w:t>
      </w:r>
      <w:r w:rsidR="00365DC4" w:rsidRPr="0098443A">
        <w:rPr>
          <w:rFonts w:ascii="Times New Roman" w:hAnsi="Times New Roman" w:cs="Times New Roman"/>
          <w:lang w:val="en-US"/>
        </w:rPr>
        <w:t xml:space="preserve">, </w:t>
      </w:r>
      <w:r w:rsidR="00E133EC" w:rsidRPr="0098443A">
        <w:rPr>
          <w:rFonts w:ascii="Times New Roman" w:hAnsi="Times New Roman" w:cs="Times New Roman"/>
          <w:lang w:val="en-US"/>
        </w:rPr>
        <w:t xml:space="preserve">agreeing with the study of </w:t>
      </w:r>
      <w:r w:rsidR="00365DC4" w:rsidRPr="0098443A">
        <w:rPr>
          <w:rFonts w:ascii="Times New Roman" w:hAnsi="Times New Roman" w:cs="Times New Roman"/>
          <w:lang w:val="en-US"/>
        </w:rPr>
        <w:fldChar w:fldCharType="begin" w:fldLock="1"/>
      </w:r>
      <w:r w:rsidR="002C7ADD" w:rsidRPr="0098443A">
        <w:rPr>
          <w:rFonts w:ascii="Times New Roman" w:hAnsi="Times New Roman" w:cs="Times New Roman"/>
          <w:lang w:val="en-US"/>
        </w:rPr>
        <w:instrText>ADDIN CSL_CITATION {"citationItems":[{"id":"ITEM-1","itemData":{"DOI":"10.3389/fpls.2018.01906","ISSN":"1664462X","abstract":"Plant inoculation with arbuscular mycorrhizal fungi (AMF) is increasingly employed to enhance productivity and sustainability in agricultural ecosystems. In the present study, the potential benefits of AMF inoculation on young grapevines replanted in pots containing vineyard soil with high Cu concentration were evaluated. For this purpose, one-year-old cv. Touriga Nacional grapevines grafted onto 1103P rootstocks were further inoculated with Rhizoglomus irregulare or Funneliformis mosseae, or left non-inoculated, and maintained in a sterilized substrate under greenhouse conditions for three months. After this time, half of the plants were transplanted to containers filled with an Arenosol from a vineyard which had been artificially contaminated or not with 300 mg kg −1 of Cu. At the end of the growing season, soil nutrient concentration, soil dehydrogenase activity and mycorrhizal colonization rate were analyzed. Grapevine performance was assessed by measuring several vegetative growth and physiological parameters as well as nutrient concentrations in leaves and roots. In the non-contaminated soil, R. irregulare-and F. mosseae-inoculated plants had significantly greater root biomass than the non-inoculated ones. However, the opposite effect was observed in the Cu-contaminated soil, where non-inoculated plants performed better regarding shoot and root development. Concerning nutrient levels, an increase in Cu, Mg and Mn concentrations was observed in the roots of plants growing in the contaminated soil, although only Mn was translocated to leaves. This led to a large increase in leaf Mn concentrations, which was significantly higher in non-inoculated and F. mosseae-inoculated plants than in the R. irregulare-inoculated ones. Copper contamination induced a general decrease in leaf N, P and Fe concentrations as well as chlorosis symptoms. The largest decrease in N and P was observed in F. mosseae-inoculated plants, with 73 and 31.2%, respectively. However, these plants were the ones with the least decrease in Fe concentration (10% vs. almost 30% in the other two inoculation treatments). In conclusion, this study indicates that soil Cu levels can modify the outcome of AMF inoculations in young grapevines, disclosing new AMF-plant associations potentially relevant in vineyards with a tradition of Cu-based fungicide application.","author":[{"dropping-particle":"","family":"Nogales","given":"A.","non-dropping-particle":"","parse-names":false,"suffix":""},{"dropping-particle":"","family":"Santos","given":"E.S.","non-dropping-particle":"","parse-names":false,"suffix":""},{"dropping-particle":"","family":"Abreu","given":"M.M.","non-dropping-particle":"","parse-names":false,"suffix":""},{"dropping-particle":"","family":"Arán","given":"D.","non-dropping-particle":"","parse-names":false,"suffix":""},{"dropping-particle":"","family":"Victorino","given":"G.","non-dropping-particle":"","parse-names":false,"suffix":""},{"dropping-particle":"","family":"Pereira","given":"H.S.","non-dropping-particle":"","parse-names":false,"suffix":""},{"dropping-particle":"","family":"Lopes","given":"C.M.","non-dropping-particle":"","parse-names":false,"suffix":""},{"dropping-particle":"","family":"Viegas","given":"W.","non-dropping-particle":"","parse-names":false,"suffix":""}],"container-title":"Frontiers in Plant Science","id":"ITEM-1","issued":{"date-parts":[["2019"]]},"title":"Mycorrhizal inoculation differentially affects grapevine’s performance in copper contaminated and non-contaminated soils","type":"article-journal","volume":"9"},"uris":["http://www.mendeley.com/documents/?uuid=b38c2b19-5c88-34a0-8087-dc357299736f"]}],"mendeley":{"formattedCitation":"(Nogales et al., 2019)","manualFormatting":"Nogales et al. (2019)","plainTextFormattedCitation":"(Nogales et al., 2019)","previouslyFormattedCitation":"(Nogales et al., 2019)"},"properties":{"noteIndex":0},"schema":"https://github.com/citation-style-language/schema/raw/master/csl-citation.json"}</w:instrText>
      </w:r>
      <w:r w:rsidR="00365DC4" w:rsidRPr="0098443A">
        <w:rPr>
          <w:rFonts w:ascii="Times New Roman" w:hAnsi="Times New Roman" w:cs="Times New Roman"/>
          <w:lang w:val="en-US"/>
        </w:rPr>
        <w:fldChar w:fldCharType="separate"/>
      </w:r>
      <w:r w:rsidR="00365DC4" w:rsidRPr="0098443A">
        <w:rPr>
          <w:rFonts w:ascii="Times New Roman" w:hAnsi="Times New Roman" w:cs="Times New Roman"/>
          <w:noProof/>
          <w:lang w:val="en-US"/>
        </w:rPr>
        <w:t>Nogales et al. (2019)</w:t>
      </w:r>
      <w:r w:rsidR="00365DC4" w:rsidRPr="0098443A">
        <w:rPr>
          <w:rFonts w:ascii="Times New Roman" w:hAnsi="Times New Roman" w:cs="Times New Roman"/>
          <w:lang w:val="en-US"/>
        </w:rPr>
        <w:fldChar w:fldCharType="end"/>
      </w:r>
      <w:r w:rsidR="00202803" w:rsidRPr="0098443A">
        <w:rPr>
          <w:rFonts w:ascii="Times New Roman" w:hAnsi="Times New Roman" w:cs="Times New Roman"/>
          <w:lang w:val="en-US"/>
        </w:rPr>
        <w:t xml:space="preserve">, </w:t>
      </w:r>
      <w:r w:rsidR="00686654" w:rsidRPr="0098443A">
        <w:rPr>
          <w:rFonts w:ascii="Times New Roman" w:hAnsi="Times New Roman" w:cs="Times New Roman"/>
          <w:lang w:val="en-US"/>
        </w:rPr>
        <w:t xml:space="preserve">in </w:t>
      </w:r>
      <w:r w:rsidR="00686654" w:rsidRPr="0098443A">
        <w:rPr>
          <w:rFonts w:ascii="Times New Roman" w:hAnsi="Times New Roman" w:cs="Times New Roman"/>
          <w:i/>
          <w:iCs/>
          <w:lang w:val="en-US"/>
        </w:rPr>
        <w:t>F. mosseae</w:t>
      </w:r>
      <w:r w:rsidR="00202803" w:rsidRPr="0098443A">
        <w:rPr>
          <w:rFonts w:ascii="Times New Roman" w:hAnsi="Times New Roman" w:cs="Times New Roman"/>
          <w:i/>
          <w:iCs/>
          <w:lang w:val="en-US"/>
        </w:rPr>
        <w:t>-</w:t>
      </w:r>
      <w:r w:rsidR="00686654" w:rsidRPr="0098443A">
        <w:rPr>
          <w:rFonts w:ascii="Times New Roman" w:hAnsi="Times New Roman" w:cs="Times New Roman"/>
          <w:lang w:val="en-US"/>
        </w:rPr>
        <w:t xml:space="preserve">inoculated </w:t>
      </w:r>
      <w:r w:rsidR="006F5876" w:rsidRPr="0098443A">
        <w:rPr>
          <w:rFonts w:ascii="Times New Roman" w:hAnsi="Times New Roman" w:cs="Times New Roman"/>
          <w:lang w:val="en-US"/>
        </w:rPr>
        <w:t>plants</w:t>
      </w:r>
      <w:r w:rsidR="00686654" w:rsidRPr="0098443A">
        <w:rPr>
          <w:rFonts w:ascii="Times New Roman" w:hAnsi="Times New Roman" w:cs="Times New Roman"/>
          <w:lang w:val="en-US"/>
        </w:rPr>
        <w:t xml:space="preserve">, </w:t>
      </w:r>
      <w:r w:rsidR="001F5DD6" w:rsidRPr="0098443A">
        <w:rPr>
          <w:rFonts w:ascii="Times New Roman" w:hAnsi="Times New Roman" w:cs="Times New Roman"/>
          <w:lang w:val="en-US"/>
        </w:rPr>
        <w:t xml:space="preserve">root </w:t>
      </w:r>
      <w:r w:rsidR="00686654" w:rsidRPr="0098443A">
        <w:rPr>
          <w:rFonts w:ascii="Times New Roman" w:hAnsi="Times New Roman" w:cs="Times New Roman"/>
          <w:lang w:val="en-US"/>
        </w:rPr>
        <w:t>Zn concentration</w:t>
      </w:r>
      <w:r w:rsidR="00853ACA" w:rsidRPr="0098443A">
        <w:rPr>
          <w:rFonts w:ascii="Times New Roman" w:hAnsi="Times New Roman" w:cs="Times New Roman"/>
          <w:lang w:val="en-US"/>
        </w:rPr>
        <w:t xml:space="preserve">s </w:t>
      </w:r>
      <w:r w:rsidR="00944D74" w:rsidRPr="0098443A">
        <w:rPr>
          <w:rFonts w:ascii="Times New Roman" w:hAnsi="Times New Roman" w:cs="Times New Roman"/>
          <w:lang w:val="en-US"/>
        </w:rPr>
        <w:t>remained in the same levels as in the</w:t>
      </w:r>
      <w:r w:rsidR="00605C7C" w:rsidRPr="0098443A">
        <w:rPr>
          <w:rFonts w:ascii="Times New Roman" w:hAnsi="Times New Roman" w:cs="Times New Roman"/>
          <w:lang w:val="en-US"/>
        </w:rPr>
        <w:t xml:space="preserve"> </w:t>
      </w:r>
      <w:r w:rsidR="0083298F">
        <w:rPr>
          <w:rFonts w:ascii="Times New Roman" w:hAnsi="Times New Roman" w:cs="Times New Roman"/>
          <w:lang w:val="en-US"/>
        </w:rPr>
        <w:t>control</w:t>
      </w:r>
      <w:r w:rsidR="00605C7C" w:rsidRPr="0098443A">
        <w:rPr>
          <w:rFonts w:ascii="Times New Roman" w:hAnsi="Times New Roman" w:cs="Times New Roman"/>
          <w:lang w:val="en-US"/>
        </w:rPr>
        <w:t xml:space="preserve"> soil</w:t>
      </w:r>
      <w:r w:rsidR="00205E84" w:rsidRPr="0098443A">
        <w:rPr>
          <w:rFonts w:ascii="Times New Roman" w:hAnsi="Times New Roman" w:cs="Times New Roman"/>
          <w:lang w:val="en-US"/>
        </w:rPr>
        <w:t xml:space="preserve"> (Table 2)</w:t>
      </w:r>
      <w:r w:rsidR="00686654" w:rsidRPr="0098443A">
        <w:rPr>
          <w:rFonts w:ascii="Times New Roman" w:hAnsi="Times New Roman" w:cs="Times New Roman"/>
          <w:lang w:val="en-US"/>
        </w:rPr>
        <w:t xml:space="preserve">. </w:t>
      </w:r>
      <w:r w:rsidR="00202803" w:rsidRPr="0098443A">
        <w:rPr>
          <w:rFonts w:ascii="Times New Roman" w:hAnsi="Times New Roman" w:cs="Times New Roman"/>
          <w:lang w:val="en-US"/>
        </w:rPr>
        <w:t>In all cases</w:t>
      </w:r>
      <w:r w:rsidR="00F812FF" w:rsidRPr="0098443A">
        <w:rPr>
          <w:rFonts w:ascii="Times New Roman" w:hAnsi="Times New Roman" w:cs="Times New Roman"/>
          <w:lang w:val="en-US"/>
        </w:rPr>
        <w:t xml:space="preserve"> translocation of Zn to shoots was </w:t>
      </w:r>
      <w:r w:rsidR="00A933F0" w:rsidRPr="0098443A">
        <w:rPr>
          <w:rFonts w:ascii="Times New Roman" w:hAnsi="Times New Roman" w:cs="Times New Roman"/>
          <w:lang w:val="en-US"/>
        </w:rPr>
        <w:t>limited</w:t>
      </w:r>
      <w:r w:rsidR="00205E84" w:rsidRPr="0098443A">
        <w:rPr>
          <w:rFonts w:ascii="Times New Roman" w:hAnsi="Times New Roman" w:cs="Times New Roman"/>
          <w:lang w:val="en-US"/>
        </w:rPr>
        <w:t>, as in</w:t>
      </w:r>
      <w:r w:rsidR="00044135" w:rsidRPr="0098443A">
        <w:rPr>
          <w:rFonts w:ascii="Times New Roman" w:hAnsi="Times New Roman" w:cs="Times New Roman"/>
          <w:lang w:val="en-US"/>
        </w:rPr>
        <w:t xml:space="preserve"> </w:t>
      </w:r>
      <w:r w:rsidR="00044135" w:rsidRPr="0098443A">
        <w:rPr>
          <w:rFonts w:ascii="Times New Roman" w:hAnsi="Times New Roman" w:cs="Times New Roman"/>
          <w:lang w:val="en-US"/>
        </w:rPr>
        <w:fldChar w:fldCharType="begin" w:fldLock="1"/>
      </w:r>
      <w:r w:rsidR="002C7ADD" w:rsidRPr="0098443A">
        <w:rPr>
          <w:rFonts w:ascii="Times New Roman" w:hAnsi="Times New Roman" w:cs="Times New Roman"/>
          <w:lang w:val="en-US"/>
        </w:rPr>
        <w:instrText>ADDIN CSL_CITATION {"citationItems":[{"id":"ITEM-1","itemData":{"DOI":"10.1111/j.1755-0238.2008.00040.x","author":[{"dropping-particle":"","family":"Toselli","given":"M.","non-dropping-particle":"","parse-names":false,"suffix":""},{"dropping-particle":"","family":"Baldi","given":"E.","non-dropping-particle":"","parse-names":false,"suffix":""},{"dropping-particle":"","family":"Marcolini","given":"G.","non-dropping-particle":"","parse-names":false,"suffix":""},{"dropping-particle":"","family":"Malaguti","given":"D.","non-dropping-particle":"","parse-names":false,"suffix":""},{"dropping-particle":"","family":"Quartieri","given":"M.","non-dropping-particle":"","parse-names":false,"suffix":""},{"dropping-particle":"","family":"Sorrenti","given":"G.","non-dropping-particle":"","parse-names":false,"suffix":""},{"dropping-particle":"","family":"Marangoni","given":"B.","non-dropping-particle":"","parse-names":false,"suffix":""}],"container-title":"Australian Journal of Grape and Wine Research","id":"ITEM-1","issue":"1","issued":{"date-parts":[["2009","2"]]},"page":"85-92","publisher":"Wiley/Blackwell (10.1111)","title":"Response of potted grapevines to increasing soil copper concentration","type":"article-journal","volume":"15"},"uris":["http://www.mendeley.com/documents/?uuid=01a87c10-5b33-3d17-8b21-7c1110fbe9fa"]}],"mendeley":{"formattedCitation":"(Toselli et al., 2009)","manualFormatting":"Toselli et al. (2009)","plainTextFormattedCitation":"(Toselli et al., 2009)","previouslyFormattedCitation":"(Toselli et al., 2009)"},"properties":{"noteIndex":0},"schema":"https://github.com/citation-style-language/schema/raw/master/csl-citation.json"}</w:instrText>
      </w:r>
      <w:r w:rsidR="00044135" w:rsidRPr="0098443A">
        <w:rPr>
          <w:rFonts w:ascii="Times New Roman" w:hAnsi="Times New Roman" w:cs="Times New Roman"/>
          <w:lang w:val="en-US"/>
        </w:rPr>
        <w:fldChar w:fldCharType="separate"/>
      </w:r>
      <w:r w:rsidR="00044135" w:rsidRPr="0098443A">
        <w:rPr>
          <w:rFonts w:ascii="Times New Roman" w:hAnsi="Times New Roman" w:cs="Times New Roman"/>
          <w:noProof/>
          <w:lang w:val="en-US"/>
        </w:rPr>
        <w:t xml:space="preserve">Toselli et al. </w:t>
      </w:r>
      <w:r w:rsidR="00365DC4" w:rsidRPr="0098443A">
        <w:rPr>
          <w:rFonts w:ascii="Times New Roman" w:hAnsi="Times New Roman" w:cs="Times New Roman"/>
          <w:noProof/>
          <w:lang w:val="en-US"/>
        </w:rPr>
        <w:t>(</w:t>
      </w:r>
      <w:r w:rsidR="00044135" w:rsidRPr="0098443A">
        <w:rPr>
          <w:rFonts w:ascii="Times New Roman" w:hAnsi="Times New Roman" w:cs="Times New Roman"/>
          <w:noProof/>
          <w:lang w:val="en-US"/>
        </w:rPr>
        <w:t>2009)</w:t>
      </w:r>
      <w:r w:rsidR="00044135" w:rsidRPr="0098443A">
        <w:rPr>
          <w:rFonts w:ascii="Times New Roman" w:hAnsi="Times New Roman" w:cs="Times New Roman"/>
          <w:lang w:val="en-US"/>
        </w:rPr>
        <w:fldChar w:fldCharType="end"/>
      </w:r>
      <w:r w:rsidR="00F812FF" w:rsidRPr="0098443A">
        <w:rPr>
          <w:rFonts w:ascii="Times New Roman" w:hAnsi="Times New Roman" w:cs="Times New Roman"/>
          <w:lang w:val="en-US"/>
        </w:rPr>
        <w:t xml:space="preserve">. In contrast, when FeNaEDTA </w:t>
      </w:r>
      <w:r w:rsidR="00EC1B76" w:rsidRPr="0098443A">
        <w:rPr>
          <w:rFonts w:ascii="Times New Roman" w:hAnsi="Times New Roman" w:cs="Times New Roman"/>
          <w:lang w:val="en-US"/>
        </w:rPr>
        <w:t xml:space="preserve">and Cu </w:t>
      </w:r>
      <w:r w:rsidR="00F812FF" w:rsidRPr="0098443A">
        <w:rPr>
          <w:rFonts w:ascii="Times New Roman" w:hAnsi="Times New Roman" w:cs="Times New Roman"/>
          <w:lang w:val="en-US"/>
        </w:rPr>
        <w:t>w</w:t>
      </w:r>
      <w:r w:rsidR="00EC1B76" w:rsidRPr="0098443A">
        <w:rPr>
          <w:rFonts w:ascii="Times New Roman" w:hAnsi="Times New Roman" w:cs="Times New Roman"/>
          <w:lang w:val="en-US"/>
        </w:rPr>
        <w:t>ere</w:t>
      </w:r>
      <w:r w:rsidR="00F812FF" w:rsidRPr="0098443A">
        <w:rPr>
          <w:rFonts w:ascii="Times New Roman" w:hAnsi="Times New Roman" w:cs="Times New Roman"/>
          <w:lang w:val="en-US"/>
        </w:rPr>
        <w:t xml:space="preserve"> applied together, Zn did not accumulate in roots, but was translocated to leaves together with Cu. In fact, both element concentrations were </w:t>
      </w:r>
      <w:r w:rsidR="00E25541" w:rsidRPr="0098443A">
        <w:rPr>
          <w:rFonts w:ascii="Times New Roman" w:hAnsi="Times New Roman" w:cs="Times New Roman"/>
          <w:lang w:val="en-US"/>
        </w:rPr>
        <w:t>positively</w:t>
      </w:r>
      <w:r w:rsidR="00F812FF" w:rsidRPr="0098443A">
        <w:rPr>
          <w:rFonts w:ascii="Times New Roman" w:hAnsi="Times New Roman" w:cs="Times New Roman"/>
          <w:lang w:val="en-US"/>
        </w:rPr>
        <w:t xml:space="preserve"> correlated </w:t>
      </w:r>
      <w:r w:rsidR="0098443A" w:rsidRPr="0098443A">
        <w:rPr>
          <w:rFonts w:ascii="Times New Roman" w:hAnsi="Times New Roman" w:cs="Times New Roman"/>
          <w:lang w:val="en-US"/>
        </w:rPr>
        <w:t xml:space="preserve">in this organ </w:t>
      </w:r>
      <w:r w:rsidR="00F812FF" w:rsidRPr="0098443A">
        <w:rPr>
          <w:rFonts w:ascii="Times New Roman" w:hAnsi="Times New Roman" w:cs="Times New Roman"/>
          <w:lang w:val="en-US"/>
        </w:rPr>
        <w:t>(</w:t>
      </w:r>
      <w:r w:rsidR="0098443A" w:rsidRPr="0098443A">
        <w:rPr>
          <w:rFonts w:ascii="Times New Roman" w:hAnsi="Times New Roman" w:cs="Times New Roman"/>
          <w:lang w:val="en-US"/>
        </w:rPr>
        <w:t xml:space="preserve">Supplementary </w:t>
      </w:r>
      <w:r w:rsidR="00EC1B76" w:rsidRPr="0098443A">
        <w:rPr>
          <w:rFonts w:ascii="Times New Roman" w:hAnsi="Times New Roman" w:cs="Times New Roman"/>
          <w:lang w:val="en-US"/>
        </w:rPr>
        <w:t>Figure 1</w:t>
      </w:r>
      <w:r w:rsidR="00F812FF" w:rsidRPr="0098443A">
        <w:rPr>
          <w:rFonts w:ascii="Times New Roman" w:hAnsi="Times New Roman" w:cs="Times New Roman"/>
          <w:lang w:val="en-US"/>
        </w:rPr>
        <w:t>).</w:t>
      </w:r>
      <w:r w:rsidR="0023766B" w:rsidRPr="0098443A">
        <w:rPr>
          <w:rFonts w:ascii="Times New Roman" w:hAnsi="Times New Roman" w:cs="Times New Roman"/>
          <w:lang w:val="en-US"/>
        </w:rPr>
        <w:t xml:space="preserve"> It seems therefore, that Zn uptake and translocation </w:t>
      </w:r>
      <w:r w:rsidRPr="0098443A">
        <w:rPr>
          <w:rFonts w:ascii="Times New Roman" w:hAnsi="Times New Roman" w:cs="Times New Roman"/>
          <w:lang w:val="en-US"/>
        </w:rPr>
        <w:t>by grapevine</w:t>
      </w:r>
      <w:r w:rsidR="00EC1B76" w:rsidRPr="0098443A">
        <w:rPr>
          <w:rFonts w:ascii="Times New Roman" w:hAnsi="Times New Roman" w:cs="Times New Roman"/>
          <w:lang w:val="en-US"/>
        </w:rPr>
        <w:t>s</w:t>
      </w:r>
      <w:r w:rsidRPr="0098443A">
        <w:rPr>
          <w:rFonts w:ascii="Times New Roman" w:hAnsi="Times New Roman" w:cs="Times New Roman"/>
          <w:lang w:val="en-US"/>
        </w:rPr>
        <w:t xml:space="preserve"> </w:t>
      </w:r>
      <w:r w:rsidR="00EC1B76" w:rsidRPr="0098443A">
        <w:rPr>
          <w:rFonts w:ascii="Times New Roman" w:hAnsi="Times New Roman" w:cs="Times New Roman"/>
          <w:lang w:val="en-US"/>
        </w:rPr>
        <w:t>at</w:t>
      </w:r>
      <w:r w:rsidR="0023766B" w:rsidRPr="0098443A">
        <w:rPr>
          <w:rFonts w:ascii="Times New Roman" w:hAnsi="Times New Roman" w:cs="Times New Roman"/>
          <w:lang w:val="en-US"/>
        </w:rPr>
        <w:t xml:space="preserve"> high soil Cu</w:t>
      </w:r>
      <w:r w:rsidR="00E07255" w:rsidRPr="0098443A">
        <w:rPr>
          <w:rFonts w:ascii="Times New Roman" w:hAnsi="Times New Roman" w:cs="Times New Roman"/>
          <w:lang w:val="en-US"/>
        </w:rPr>
        <w:t xml:space="preserve"> concentrations</w:t>
      </w:r>
      <w:r w:rsidR="0023766B" w:rsidRPr="0098443A">
        <w:rPr>
          <w:rFonts w:ascii="Times New Roman" w:hAnsi="Times New Roman" w:cs="Times New Roman"/>
          <w:lang w:val="en-US"/>
        </w:rPr>
        <w:t xml:space="preserve"> </w:t>
      </w:r>
      <w:r w:rsidR="00E87B7F" w:rsidRPr="0098443A">
        <w:rPr>
          <w:rFonts w:ascii="Times New Roman" w:hAnsi="Times New Roman" w:cs="Times New Roman"/>
          <w:lang w:val="en-US"/>
        </w:rPr>
        <w:t xml:space="preserve">depends on several factors, such as the identity of the AMF present in roots, Cu concentration in the soil, the presence of </w:t>
      </w:r>
      <w:r w:rsidR="006B3A85" w:rsidRPr="0098443A">
        <w:rPr>
          <w:rFonts w:ascii="Times New Roman" w:hAnsi="Times New Roman" w:cs="Times New Roman"/>
          <w:lang w:val="en-US"/>
        </w:rPr>
        <w:t>chelants and/or other chemical compounds, among others.</w:t>
      </w:r>
    </w:p>
    <w:p w14:paraId="5CE6AC93" w14:textId="4340782C" w:rsidR="00F84692" w:rsidRPr="0098443A" w:rsidRDefault="00F84692" w:rsidP="0098443A">
      <w:pPr>
        <w:spacing w:after="0" w:line="480" w:lineRule="auto"/>
        <w:jc w:val="both"/>
        <w:rPr>
          <w:rFonts w:ascii="Times New Roman" w:eastAsia="MinionPro-Regular" w:hAnsi="Times New Roman" w:cs="Times New Roman"/>
          <w:b/>
          <w:bCs/>
          <w:color w:val="000000"/>
          <w:lang w:val="en-US"/>
        </w:rPr>
      </w:pPr>
      <w:r w:rsidRPr="0098443A">
        <w:rPr>
          <w:rFonts w:ascii="Times New Roman" w:eastAsia="MinionPro-Regular" w:hAnsi="Times New Roman" w:cs="Times New Roman"/>
          <w:b/>
          <w:bCs/>
          <w:color w:val="000000"/>
          <w:lang w:val="en-US"/>
        </w:rPr>
        <w:t>Conclusion</w:t>
      </w:r>
      <w:r w:rsidR="00CE3B82" w:rsidRPr="0098443A">
        <w:rPr>
          <w:rFonts w:ascii="Times New Roman" w:eastAsia="MinionPro-Regular" w:hAnsi="Times New Roman" w:cs="Times New Roman"/>
          <w:b/>
          <w:bCs/>
          <w:color w:val="000000"/>
          <w:lang w:val="en-US"/>
        </w:rPr>
        <w:t>s</w:t>
      </w:r>
    </w:p>
    <w:p w14:paraId="3C547A9F" w14:textId="291B85A6" w:rsidR="00DD4907" w:rsidRDefault="00B36AE2" w:rsidP="0098443A">
      <w:pPr>
        <w:spacing w:after="0" w:line="480" w:lineRule="auto"/>
        <w:jc w:val="both"/>
        <w:rPr>
          <w:rFonts w:ascii="Times New Roman" w:hAnsi="Times New Roman" w:cs="Times New Roman"/>
          <w:lang w:val="en-US"/>
        </w:rPr>
      </w:pPr>
      <w:r>
        <w:rPr>
          <w:rFonts w:ascii="Times New Roman" w:eastAsia="MinionPro-Regular" w:hAnsi="Times New Roman" w:cs="Times New Roman"/>
          <w:color w:val="000000"/>
          <w:lang w:val="en-US"/>
        </w:rPr>
        <w:t>Y</w:t>
      </w:r>
      <w:r w:rsidR="007B51D5" w:rsidRPr="0098443A">
        <w:rPr>
          <w:rFonts w:ascii="Times New Roman" w:eastAsia="MinionPro-Regular" w:hAnsi="Times New Roman" w:cs="Times New Roman"/>
          <w:color w:val="000000"/>
          <w:lang w:val="en-US"/>
        </w:rPr>
        <w:t>oung grapevines</w:t>
      </w:r>
      <w:r w:rsidR="00DE2518" w:rsidRPr="0098443A">
        <w:rPr>
          <w:rFonts w:ascii="Times New Roman" w:eastAsia="MinionPro-Regular" w:hAnsi="Times New Roman" w:cs="Times New Roman"/>
          <w:color w:val="000000"/>
          <w:lang w:val="en-US"/>
        </w:rPr>
        <w:t xml:space="preserve">, inoculated or not with commercially sold AMF, </w:t>
      </w:r>
      <w:bookmarkStart w:id="33" w:name="_Hlk72999227"/>
      <w:r w:rsidR="00DE2518" w:rsidRPr="0098443A">
        <w:rPr>
          <w:rFonts w:ascii="Times New Roman" w:eastAsia="MinionPro-Regular" w:hAnsi="Times New Roman" w:cs="Times New Roman"/>
          <w:color w:val="000000"/>
          <w:lang w:val="en-US"/>
        </w:rPr>
        <w:t xml:space="preserve">were </w:t>
      </w:r>
      <w:r w:rsidR="00CE407B" w:rsidRPr="0098443A">
        <w:rPr>
          <w:rFonts w:ascii="Times New Roman" w:eastAsia="MinionPro-Regular" w:hAnsi="Times New Roman" w:cs="Times New Roman"/>
          <w:color w:val="000000"/>
          <w:lang w:val="en-US"/>
        </w:rPr>
        <w:t xml:space="preserve">relatively </w:t>
      </w:r>
      <w:r w:rsidR="00DE2518" w:rsidRPr="0098443A">
        <w:rPr>
          <w:rFonts w:ascii="Times New Roman" w:eastAsia="MinionPro-Regular" w:hAnsi="Times New Roman" w:cs="Times New Roman"/>
          <w:color w:val="000000"/>
          <w:lang w:val="en-US"/>
        </w:rPr>
        <w:t xml:space="preserve">tolerant to </w:t>
      </w:r>
      <w:r w:rsidR="004967E6">
        <w:rPr>
          <w:rFonts w:ascii="Times New Roman" w:eastAsia="MinionPro-Regular" w:hAnsi="Times New Roman" w:cs="Times New Roman"/>
          <w:color w:val="000000"/>
          <w:lang w:val="en-US"/>
        </w:rPr>
        <w:t xml:space="preserve">the application of </w:t>
      </w:r>
      <w:r w:rsidR="00DE2518" w:rsidRPr="0098443A">
        <w:rPr>
          <w:rFonts w:ascii="Times New Roman" w:eastAsia="MinionPro-Regular" w:hAnsi="Times New Roman" w:cs="Times New Roman"/>
          <w:color w:val="000000"/>
          <w:lang w:val="en-US"/>
        </w:rPr>
        <w:t xml:space="preserve">a </w:t>
      </w:r>
      <w:r w:rsidR="007B51D5" w:rsidRPr="0098443A">
        <w:rPr>
          <w:rFonts w:ascii="Times New Roman" w:eastAsia="MinionPro-Regular" w:hAnsi="Times New Roman" w:cs="Times New Roman"/>
          <w:color w:val="000000"/>
          <w:lang w:val="en-US"/>
        </w:rPr>
        <w:t>CuSO</w:t>
      </w:r>
      <w:r w:rsidR="007B51D5" w:rsidRPr="0098443A">
        <w:rPr>
          <w:rFonts w:ascii="Times New Roman" w:eastAsia="MinionPro-Regular" w:hAnsi="Times New Roman" w:cs="Times New Roman"/>
          <w:color w:val="000000"/>
          <w:vertAlign w:val="subscript"/>
          <w:lang w:val="en-US"/>
        </w:rPr>
        <w:t>4</w:t>
      </w:r>
      <w:r w:rsidR="007B51D5" w:rsidRPr="0098443A">
        <w:rPr>
          <w:rFonts w:ascii="Times New Roman" w:eastAsia="MinionPro-Regular" w:hAnsi="Times New Roman" w:cs="Times New Roman"/>
          <w:color w:val="000000"/>
          <w:lang w:val="en-US"/>
        </w:rPr>
        <w:t xml:space="preserve"> </w:t>
      </w:r>
      <w:r w:rsidR="00DE2518" w:rsidRPr="0098443A">
        <w:rPr>
          <w:rFonts w:ascii="Times New Roman" w:eastAsia="MinionPro-Regular" w:hAnsi="Times New Roman" w:cs="Times New Roman"/>
          <w:color w:val="000000"/>
          <w:lang w:val="en-US"/>
        </w:rPr>
        <w:t>solution to the soil</w:t>
      </w:r>
      <w:bookmarkEnd w:id="33"/>
      <w:r w:rsidR="00DD4907">
        <w:rPr>
          <w:rFonts w:ascii="Times New Roman" w:eastAsia="MinionPro-Regular" w:hAnsi="Times New Roman" w:cs="Times New Roman"/>
          <w:color w:val="000000"/>
          <w:lang w:val="en-US"/>
        </w:rPr>
        <w:t>, but</w:t>
      </w:r>
      <w:bookmarkStart w:id="34" w:name="_Hlk63673189"/>
      <w:r w:rsidR="00166546">
        <w:rPr>
          <w:rFonts w:ascii="Times New Roman" w:eastAsia="MinionPro-Regular" w:hAnsi="Times New Roman" w:cs="Times New Roman"/>
          <w:color w:val="000000"/>
          <w:lang w:val="en-US"/>
        </w:rPr>
        <w:t xml:space="preserve"> </w:t>
      </w:r>
      <w:r w:rsidR="00DD4907">
        <w:rPr>
          <w:rFonts w:ascii="Times New Roman" w:eastAsia="MinionPro-Regular" w:hAnsi="Times New Roman" w:cs="Times New Roman"/>
          <w:color w:val="000000"/>
          <w:lang w:val="en-US"/>
        </w:rPr>
        <w:t>w</w:t>
      </w:r>
      <w:r w:rsidR="00DE2518" w:rsidRPr="0098443A">
        <w:rPr>
          <w:rFonts w:ascii="Times New Roman" w:eastAsia="MinionPro-Regular" w:hAnsi="Times New Roman" w:cs="Times New Roman"/>
          <w:color w:val="000000"/>
          <w:lang w:val="en-US"/>
        </w:rPr>
        <w:t xml:space="preserve">hen FeNaEDTA was </w:t>
      </w:r>
      <w:r w:rsidR="00322C18" w:rsidRPr="0098443A">
        <w:rPr>
          <w:rFonts w:ascii="Times New Roman" w:eastAsia="MinionPro-Regular" w:hAnsi="Times New Roman" w:cs="Times New Roman"/>
          <w:color w:val="000000"/>
          <w:lang w:val="en-US"/>
        </w:rPr>
        <w:t>also added</w:t>
      </w:r>
      <w:r w:rsidR="00DE2518" w:rsidRPr="0098443A">
        <w:rPr>
          <w:rFonts w:ascii="Times New Roman" w:eastAsia="MinionPro-Regular" w:hAnsi="Times New Roman" w:cs="Times New Roman"/>
          <w:color w:val="000000"/>
          <w:lang w:val="en-US"/>
        </w:rPr>
        <w:t xml:space="preserve">, a </w:t>
      </w:r>
      <w:bookmarkEnd w:id="34"/>
      <w:r w:rsidR="00DE2518" w:rsidRPr="0098443A">
        <w:rPr>
          <w:rFonts w:ascii="Times New Roman" w:eastAsia="MinionPro-Regular" w:hAnsi="Times New Roman" w:cs="Times New Roman"/>
          <w:color w:val="000000"/>
          <w:lang w:val="en-US"/>
        </w:rPr>
        <w:t xml:space="preserve">decrease in root biomass together with a </w:t>
      </w:r>
      <w:r w:rsidR="00322C18" w:rsidRPr="0098443A">
        <w:rPr>
          <w:rFonts w:ascii="Times New Roman" w:eastAsia="MinionPro-Regular" w:hAnsi="Times New Roman" w:cs="Times New Roman"/>
          <w:color w:val="000000"/>
          <w:lang w:val="en-US"/>
        </w:rPr>
        <w:t xml:space="preserve">nutrient </w:t>
      </w:r>
      <w:r w:rsidR="00A933F0" w:rsidRPr="0098443A">
        <w:rPr>
          <w:rFonts w:ascii="Times New Roman" w:eastAsia="MinionPro-Regular" w:hAnsi="Times New Roman" w:cs="Times New Roman"/>
          <w:color w:val="000000"/>
          <w:lang w:val="en-US"/>
        </w:rPr>
        <w:t xml:space="preserve">unbalance </w:t>
      </w:r>
      <w:r w:rsidR="00322C18" w:rsidRPr="0098443A">
        <w:rPr>
          <w:rFonts w:ascii="Times New Roman" w:eastAsia="MinionPro-Regular" w:hAnsi="Times New Roman" w:cs="Times New Roman"/>
          <w:color w:val="000000"/>
          <w:lang w:val="en-US"/>
        </w:rPr>
        <w:t>was observed</w:t>
      </w:r>
      <w:r w:rsidR="00A45EAF" w:rsidRPr="0098443A">
        <w:rPr>
          <w:rFonts w:ascii="Times New Roman" w:eastAsia="MinionPro-Regular" w:hAnsi="Times New Roman" w:cs="Times New Roman"/>
          <w:color w:val="000000"/>
          <w:lang w:val="en-US"/>
        </w:rPr>
        <w:t xml:space="preserve">, and </w:t>
      </w:r>
      <w:r w:rsidR="00692873" w:rsidRPr="0098443A">
        <w:rPr>
          <w:rFonts w:ascii="Times New Roman" w:hAnsi="Times New Roman" w:cs="Times New Roman"/>
          <w:lang w:val="en-US"/>
        </w:rPr>
        <w:t>AMF inoculation</w:t>
      </w:r>
      <w:r w:rsidR="00DE2518" w:rsidRPr="0098443A">
        <w:rPr>
          <w:rFonts w:ascii="Times New Roman" w:hAnsi="Times New Roman" w:cs="Times New Roman"/>
          <w:lang w:val="en-US"/>
        </w:rPr>
        <w:t xml:space="preserve"> </w:t>
      </w:r>
      <w:r w:rsidR="00692873" w:rsidRPr="0098443A">
        <w:rPr>
          <w:rFonts w:ascii="Times New Roman" w:hAnsi="Times New Roman" w:cs="Times New Roman"/>
          <w:lang w:val="en-US"/>
        </w:rPr>
        <w:t>did not represent an advantage to plants.</w:t>
      </w:r>
      <w:r w:rsidR="008F224E" w:rsidRPr="0098443A">
        <w:rPr>
          <w:rFonts w:ascii="Times New Roman" w:hAnsi="Times New Roman" w:cs="Times New Roman"/>
          <w:lang w:val="en-US"/>
        </w:rPr>
        <w:t xml:space="preserve"> </w:t>
      </w:r>
      <w:r w:rsidR="00626588" w:rsidRPr="0098443A">
        <w:rPr>
          <w:rFonts w:ascii="Times New Roman" w:hAnsi="Times New Roman" w:cs="Times New Roman"/>
          <w:lang w:val="en-US"/>
        </w:rPr>
        <w:t xml:space="preserve">Therefore, in vineyards where Cu-based fungicides are applied together with EDTA-based </w:t>
      </w:r>
      <w:r w:rsidR="00A933F0" w:rsidRPr="0098443A">
        <w:rPr>
          <w:rFonts w:ascii="Times New Roman" w:hAnsi="Times New Roman" w:cs="Times New Roman"/>
          <w:lang w:val="en-US"/>
        </w:rPr>
        <w:t xml:space="preserve">fertilizers or </w:t>
      </w:r>
      <w:r w:rsidR="00626588" w:rsidRPr="0098443A">
        <w:rPr>
          <w:rFonts w:ascii="Times New Roman" w:hAnsi="Times New Roman" w:cs="Times New Roman"/>
          <w:lang w:val="en-US"/>
        </w:rPr>
        <w:t>m</w:t>
      </w:r>
      <w:r w:rsidR="00626588" w:rsidRPr="0098443A">
        <w:rPr>
          <w:rFonts w:ascii="Times New Roman" w:hAnsi="Times New Roman" w:cs="Times New Roman"/>
          <w:color w:val="000000" w:themeColor="text1"/>
          <w:lang w:val="en-US"/>
        </w:rPr>
        <w:t>olluscicides</w:t>
      </w:r>
      <w:r w:rsidR="00626588" w:rsidRPr="0098443A">
        <w:rPr>
          <w:rFonts w:ascii="Times New Roman" w:hAnsi="Times New Roman" w:cs="Times New Roman"/>
          <w:lang w:val="en-US"/>
        </w:rPr>
        <w:t xml:space="preserve">, </w:t>
      </w:r>
      <w:bookmarkStart w:id="35" w:name="_Hlk74470909"/>
      <w:r w:rsidR="00980449">
        <w:rPr>
          <w:rFonts w:ascii="Times New Roman" w:hAnsi="Times New Roman" w:cs="Times New Roman"/>
          <w:lang w:val="en-US"/>
        </w:rPr>
        <w:t xml:space="preserve">the </w:t>
      </w:r>
      <w:r w:rsidR="00980449" w:rsidRPr="0098443A">
        <w:rPr>
          <w:rFonts w:ascii="Times New Roman" w:hAnsi="Times New Roman" w:cs="Times New Roman"/>
          <w:lang w:val="en-US"/>
        </w:rPr>
        <w:t xml:space="preserve">effects of Cu </w:t>
      </w:r>
      <w:r w:rsidR="00980449">
        <w:rPr>
          <w:rFonts w:ascii="Times New Roman" w:hAnsi="Times New Roman" w:cs="Times New Roman"/>
          <w:lang w:val="en-US"/>
        </w:rPr>
        <w:t>contamination</w:t>
      </w:r>
      <w:r w:rsidR="00980449" w:rsidRPr="0098443A">
        <w:rPr>
          <w:rFonts w:ascii="Times New Roman" w:hAnsi="Times New Roman" w:cs="Times New Roman"/>
          <w:lang w:val="en-US"/>
        </w:rPr>
        <w:t xml:space="preserve"> in grapevines c</w:t>
      </w:r>
      <w:r w:rsidR="00980449">
        <w:rPr>
          <w:rFonts w:ascii="Times New Roman" w:hAnsi="Times New Roman" w:cs="Times New Roman"/>
          <w:lang w:val="en-US"/>
        </w:rPr>
        <w:t>ould</w:t>
      </w:r>
      <w:r w:rsidR="00980449" w:rsidRPr="0098443A">
        <w:rPr>
          <w:rFonts w:ascii="Times New Roman" w:hAnsi="Times New Roman" w:cs="Times New Roman"/>
          <w:lang w:val="en-US"/>
        </w:rPr>
        <w:t xml:space="preserve"> be amplified</w:t>
      </w:r>
      <w:r w:rsidR="00980449">
        <w:rPr>
          <w:rFonts w:ascii="Times New Roman" w:hAnsi="Times New Roman" w:cs="Times New Roman"/>
          <w:lang w:val="en-US"/>
        </w:rPr>
        <w:t xml:space="preserve">, </w:t>
      </w:r>
      <w:bookmarkEnd w:id="35"/>
      <w:r w:rsidR="00980449">
        <w:rPr>
          <w:rFonts w:ascii="Times New Roman" w:hAnsi="Times New Roman" w:cs="Times New Roman"/>
          <w:lang w:val="en-US"/>
        </w:rPr>
        <w:t>and</w:t>
      </w:r>
      <w:r w:rsidR="00980449" w:rsidRPr="0098443A">
        <w:rPr>
          <w:rFonts w:ascii="Times New Roman" w:hAnsi="Times New Roman" w:cs="Times New Roman"/>
          <w:lang w:val="en-US"/>
        </w:rPr>
        <w:t xml:space="preserve"> </w:t>
      </w:r>
      <w:r w:rsidR="00626588" w:rsidRPr="0098443A">
        <w:rPr>
          <w:rFonts w:ascii="Times New Roman" w:hAnsi="Times New Roman" w:cs="Times New Roman"/>
          <w:lang w:val="en-US"/>
        </w:rPr>
        <w:t>AMF inoculation would not be effective in improving plant performance.</w:t>
      </w:r>
      <w:r w:rsidR="00DD4907">
        <w:rPr>
          <w:rFonts w:ascii="Times New Roman" w:hAnsi="Times New Roman" w:cs="Times New Roman"/>
          <w:lang w:val="en-US"/>
        </w:rPr>
        <w:t xml:space="preserve"> In view of the </w:t>
      </w:r>
      <w:r w:rsidR="00DD4907">
        <w:rPr>
          <w:rFonts w:ascii="Times New Roman" w:hAnsi="Times New Roman" w:cs="Times New Roman"/>
          <w:lang w:val="en-US"/>
        </w:rPr>
        <w:lastRenderedPageBreak/>
        <w:t xml:space="preserve">importance of this issue for viticulture, </w:t>
      </w:r>
      <w:r w:rsidR="00E6392E" w:rsidRPr="00E6392E">
        <w:rPr>
          <w:rFonts w:ascii="Times New Roman" w:hAnsi="Times New Roman" w:cs="Times New Roman"/>
          <w:lang w:val="en-US"/>
        </w:rPr>
        <w:t xml:space="preserve">it is necessary to delve </w:t>
      </w:r>
      <w:r w:rsidR="00980449">
        <w:rPr>
          <w:rFonts w:ascii="Times New Roman" w:hAnsi="Times New Roman" w:cs="Times New Roman"/>
          <w:lang w:val="en-US"/>
        </w:rPr>
        <w:t xml:space="preserve">further </w:t>
      </w:r>
      <w:r w:rsidR="00E6392E" w:rsidRPr="00E6392E">
        <w:rPr>
          <w:rFonts w:ascii="Times New Roman" w:hAnsi="Times New Roman" w:cs="Times New Roman"/>
          <w:lang w:val="en-US"/>
        </w:rPr>
        <w:t xml:space="preserve">into these </w:t>
      </w:r>
      <w:r w:rsidR="00E6392E">
        <w:rPr>
          <w:rFonts w:ascii="Times New Roman" w:hAnsi="Times New Roman" w:cs="Times New Roman"/>
          <w:lang w:val="en-US"/>
        </w:rPr>
        <w:t xml:space="preserve">kind of </w:t>
      </w:r>
      <w:r w:rsidR="00E6392E" w:rsidRPr="00E6392E">
        <w:rPr>
          <w:rFonts w:ascii="Times New Roman" w:hAnsi="Times New Roman" w:cs="Times New Roman"/>
          <w:lang w:val="en-US"/>
        </w:rPr>
        <w:t>studies in order to</w:t>
      </w:r>
      <w:r w:rsidR="00E6392E">
        <w:rPr>
          <w:rFonts w:ascii="Times New Roman" w:hAnsi="Times New Roman" w:cs="Times New Roman"/>
          <w:lang w:val="en-US"/>
        </w:rPr>
        <w:t xml:space="preserve"> evaluate the effect of AMF on other grapevine traits such as production or berry/must quality in soils where </w:t>
      </w:r>
      <w:r w:rsidR="00E6392E" w:rsidRPr="0098443A">
        <w:rPr>
          <w:rFonts w:ascii="Times New Roman" w:hAnsi="Times New Roman" w:cs="Times New Roman"/>
          <w:lang w:val="en-US"/>
        </w:rPr>
        <w:t xml:space="preserve">both compounds are </w:t>
      </w:r>
      <w:r w:rsidR="00980449">
        <w:rPr>
          <w:rFonts w:ascii="Times New Roman" w:hAnsi="Times New Roman" w:cs="Times New Roman"/>
          <w:lang w:val="en-US"/>
        </w:rPr>
        <w:t xml:space="preserve">commonly </w:t>
      </w:r>
      <w:r w:rsidR="00E6392E" w:rsidRPr="0098443A">
        <w:rPr>
          <w:rFonts w:ascii="Times New Roman" w:hAnsi="Times New Roman" w:cs="Times New Roman"/>
          <w:lang w:val="en-US"/>
        </w:rPr>
        <w:t>applied</w:t>
      </w:r>
      <w:r w:rsidR="00E6392E">
        <w:rPr>
          <w:rFonts w:ascii="Times New Roman" w:hAnsi="Times New Roman" w:cs="Times New Roman"/>
          <w:lang w:val="en-US"/>
        </w:rPr>
        <w:t>.</w:t>
      </w:r>
    </w:p>
    <w:bookmarkEnd w:id="1"/>
    <w:bookmarkEnd w:id="19"/>
    <w:bookmarkEnd w:id="20"/>
    <w:p w14:paraId="66C2066F" w14:textId="77777777" w:rsidR="004677CB" w:rsidRDefault="004677CB" w:rsidP="004677CB">
      <w:pPr>
        <w:spacing w:after="0" w:line="480" w:lineRule="auto"/>
        <w:jc w:val="both"/>
        <w:rPr>
          <w:rFonts w:ascii="Times New Roman" w:hAnsi="Times New Roman" w:cs="Times New Roman"/>
          <w:b/>
          <w:bCs/>
          <w:sz w:val="20"/>
          <w:szCs w:val="20"/>
          <w:lang w:val="en-US"/>
        </w:rPr>
      </w:pPr>
    </w:p>
    <w:p w14:paraId="799CDB2C" w14:textId="171A4B28" w:rsidR="004677CB" w:rsidRPr="00BB1088" w:rsidRDefault="004677CB" w:rsidP="004677CB">
      <w:pPr>
        <w:spacing w:after="0" w:line="480" w:lineRule="auto"/>
        <w:jc w:val="both"/>
        <w:rPr>
          <w:rFonts w:ascii="Times New Roman" w:hAnsi="Times New Roman" w:cs="Times New Roman"/>
          <w:b/>
          <w:bCs/>
          <w:sz w:val="20"/>
          <w:szCs w:val="20"/>
          <w:lang w:val="en-US"/>
        </w:rPr>
      </w:pPr>
      <w:r w:rsidRPr="00BB1088">
        <w:rPr>
          <w:rFonts w:ascii="Times New Roman" w:hAnsi="Times New Roman" w:cs="Times New Roman"/>
          <w:b/>
          <w:bCs/>
          <w:sz w:val="20"/>
          <w:szCs w:val="20"/>
          <w:lang w:val="en-US"/>
        </w:rPr>
        <w:t>Acknowledgements</w:t>
      </w:r>
    </w:p>
    <w:p w14:paraId="11913101" w14:textId="7161EEFA" w:rsidR="004677CB" w:rsidRPr="00BB1088" w:rsidRDefault="004677CB" w:rsidP="00C75070">
      <w:pPr>
        <w:spacing w:after="0" w:line="360" w:lineRule="auto"/>
        <w:jc w:val="both"/>
        <w:rPr>
          <w:rFonts w:ascii="Times New Roman" w:hAnsi="Times New Roman" w:cs="Times New Roman"/>
          <w:sz w:val="20"/>
          <w:szCs w:val="20"/>
          <w:lang w:val="en-US"/>
        </w:rPr>
      </w:pPr>
      <w:r>
        <w:rPr>
          <w:rFonts w:ascii="Times New Roman" w:hAnsi="Times New Roman" w:cs="Times New Roman"/>
          <w:sz w:val="20"/>
          <w:szCs w:val="20"/>
          <w:lang w:val="en-US"/>
        </w:rPr>
        <w:t>Authors are grateful to Anke Berry for her helpful comments on the manuscript</w:t>
      </w:r>
      <w:r w:rsidR="00C75070">
        <w:rPr>
          <w:rFonts w:ascii="Times New Roman" w:hAnsi="Times New Roman" w:cs="Times New Roman"/>
          <w:sz w:val="20"/>
          <w:szCs w:val="20"/>
          <w:lang w:val="en-US"/>
        </w:rPr>
        <w:t xml:space="preserve"> </w:t>
      </w:r>
      <w:r w:rsidR="00C75070" w:rsidRPr="00C75070">
        <w:rPr>
          <w:rFonts w:ascii="Times New Roman" w:hAnsi="Times New Roman" w:cs="Times New Roman"/>
          <w:sz w:val="20"/>
          <w:szCs w:val="20"/>
          <w:lang w:val="en-US"/>
        </w:rPr>
        <w:t>and to Dr. Cinta Calvet and Dr. Amelia Camprubí for kindly</w:t>
      </w:r>
      <w:r w:rsidR="00C75070">
        <w:rPr>
          <w:rFonts w:ascii="Times New Roman" w:hAnsi="Times New Roman" w:cs="Times New Roman"/>
          <w:sz w:val="20"/>
          <w:szCs w:val="20"/>
          <w:lang w:val="en-US"/>
        </w:rPr>
        <w:t xml:space="preserve"> </w:t>
      </w:r>
      <w:r w:rsidR="00C75070" w:rsidRPr="00C75070">
        <w:rPr>
          <w:rFonts w:ascii="Times New Roman" w:hAnsi="Times New Roman" w:cs="Times New Roman"/>
          <w:sz w:val="20"/>
          <w:szCs w:val="20"/>
          <w:lang w:val="en-US"/>
        </w:rPr>
        <w:t>providing R. irregulare inoculum</w:t>
      </w:r>
      <w:r w:rsidRPr="00C75070">
        <w:rPr>
          <w:rFonts w:ascii="Times New Roman" w:hAnsi="Times New Roman" w:cs="Times New Roman"/>
          <w:sz w:val="20"/>
          <w:szCs w:val="20"/>
          <w:lang w:val="en-US"/>
        </w:rPr>
        <w:t>. T</w:t>
      </w:r>
      <w:r w:rsidRPr="00BB1088">
        <w:rPr>
          <w:rFonts w:ascii="Times New Roman" w:hAnsi="Times New Roman" w:cs="Times New Roman"/>
          <w:sz w:val="20"/>
          <w:szCs w:val="20"/>
          <w:lang w:val="en-US"/>
        </w:rPr>
        <w:t xml:space="preserve">his study was financially supported by FCT –Fundação para a Ciência e a Tecnologia, I.P. through the project MYCOVITIS (PTDC/AGR-PRO/0676/2014), the project Linking Landscape, Environment, Agriculture and Food Research Centre Ref. UIDB/04129/2020 and the </w:t>
      </w:r>
      <w:r>
        <w:rPr>
          <w:rFonts w:ascii="Times New Roman" w:hAnsi="Times New Roman" w:cs="Times New Roman"/>
          <w:sz w:val="20"/>
          <w:szCs w:val="20"/>
          <w:lang w:val="en-US"/>
        </w:rPr>
        <w:t xml:space="preserve">contract </w:t>
      </w:r>
      <w:r w:rsidR="00C75070" w:rsidRPr="00C75070">
        <w:rPr>
          <w:rFonts w:ascii="Times New Roman" w:hAnsi="Times New Roman" w:cs="Times New Roman"/>
          <w:sz w:val="20"/>
          <w:szCs w:val="20"/>
          <w:lang w:val="en-US"/>
        </w:rPr>
        <w:t>CEECIND/01769/2017</w:t>
      </w:r>
      <w:r w:rsidRPr="00C75070">
        <w:rPr>
          <w:rFonts w:ascii="Times New Roman" w:hAnsi="Times New Roman" w:cs="Times New Roman"/>
          <w:sz w:val="20"/>
          <w:szCs w:val="20"/>
          <w:lang w:val="en-US"/>
        </w:rPr>
        <w:t>.</w:t>
      </w:r>
    </w:p>
    <w:p w14:paraId="60974FCD" w14:textId="77777777" w:rsidR="00DD4907" w:rsidRDefault="00DD4907" w:rsidP="000570C8">
      <w:pPr>
        <w:spacing w:after="0" w:line="360" w:lineRule="auto"/>
        <w:jc w:val="both"/>
        <w:rPr>
          <w:rFonts w:ascii="Times New Roman" w:hAnsi="Times New Roman" w:cs="Times New Roman"/>
          <w:b/>
          <w:bCs/>
          <w:sz w:val="20"/>
          <w:szCs w:val="20"/>
          <w:lang w:val="en-US"/>
        </w:rPr>
      </w:pPr>
    </w:p>
    <w:p w14:paraId="673A89CB" w14:textId="1994FDDD" w:rsidR="000570C8" w:rsidRPr="000570C8" w:rsidRDefault="000570C8" w:rsidP="00D8137B">
      <w:pPr>
        <w:spacing w:after="0" w:line="360" w:lineRule="auto"/>
        <w:jc w:val="both"/>
        <w:rPr>
          <w:rFonts w:ascii="Times New Roman" w:hAnsi="Times New Roman" w:cs="Times New Roman"/>
          <w:b/>
          <w:bCs/>
          <w:sz w:val="20"/>
          <w:szCs w:val="20"/>
          <w:lang w:val="en-US"/>
        </w:rPr>
      </w:pPr>
      <w:r w:rsidRPr="000570C8">
        <w:rPr>
          <w:rFonts w:ascii="Times New Roman" w:hAnsi="Times New Roman" w:cs="Times New Roman"/>
          <w:b/>
          <w:bCs/>
          <w:sz w:val="20"/>
          <w:szCs w:val="20"/>
          <w:lang w:val="en-US"/>
        </w:rPr>
        <w:t>References</w:t>
      </w:r>
    </w:p>
    <w:p w14:paraId="04BC9335" w14:textId="2C81DB21" w:rsidR="00A53F05" w:rsidRPr="00395316" w:rsidRDefault="000570C8"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fr-FR"/>
          <w:rPrChange w:id="36" w:author="Amaia" w:date="2021-08-31T10:37:00Z">
            <w:rPr>
              <w:rFonts w:ascii="Times New Roman" w:hAnsi="Times New Roman" w:cs="Times New Roman"/>
              <w:noProof/>
              <w:sz w:val="20"/>
              <w:szCs w:val="24"/>
              <w:lang w:val="en-US"/>
            </w:rPr>
          </w:rPrChange>
        </w:rPr>
      </w:pPr>
      <w:r w:rsidRPr="000570C8">
        <w:rPr>
          <w:rFonts w:ascii="Times New Roman" w:hAnsi="Times New Roman" w:cs="Times New Roman"/>
          <w:sz w:val="20"/>
          <w:szCs w:val="20"/>
          <w:lang w:val="en-US"/>
        </w:rPr>
        <w:fldChar w:fldCharType="begin" w:fldLock="1"/>
      </w:r>
      <w:r w:rsidRPr="000570C8">
        <w:rPr>
          <w:rFonts w:ascii="Times New Roman" w:hAnsi="Times New Roman" w:cs="Times New Roman"/>
          <w:sz w:val="20"/>
          <w:szCs w:val="20"/>
          <w:lang w:val="en-US"/>
        </w:rPr>
        <w:instrText xml:space="preserve">ADDIN Mendeley Bibliography CSL_BIBLIOGRAPHY </w:instrText>
      </w:r>
      <w:r w:rsidRPr="000570C8">
        <w:rPr>
          <w:rFonts w:ascii="Times New Roman" w:hAnsi="Times New Roman" w:cs="Times New Roman"/>
          <w:sz w:val="20"/>
          <w:szCs w:val="20"/>
          <w:lang w:val="en-US"/>
        </w:rPr>
        <w:fldChar w:fldCharType="separate"/>
      </w:r>
      <w:r w:rsidR="00A53F05" w:rsidRPr="00E85217">
        <w:rPr>
          <w:rFonts w:ascii="Times New Roman" w:hAnsi="Times New Roman" w:cs="Times New Roman"/>
          <w:noProof/>
          <w:sz w:val="20"/>
          <w:szCs w:val="24"/>
          <w:lang w:val="en-US"/>
        </w:rPr>
        <w:t xml:space="preserve">Adrees, M., Ali, S., Rizwan, M., Ibrahim, M., Abbas, F., Farid, M., Zia-ur-Rehman, M., Irshad, M.K., Bharwana, S.A., 2015. The effect of excess copper on growth and physiology of important food crops: a review. </w:t>
      </w:r>
      <w:r w:rsidR="00A53F05" w:rsidRPr="00395316">
        <w:rPr>
          <w:rFonts w:ascii="Times New Roman" w:hAnsi="Times New Roman" w:cs="Times New Roman"/>
          <w:noProof/>
          <w:sz w:val="20"/>
          <w:szCs w:val="24"/>
          <w:lang w:val="fr-FR"/>
          <w:rPrChange w:id="37" w:author="Amaia" w:date="2021-08-31T10:37:00Z">
            <w:rPr>
              <w:rFonts w:ascii="Times New Roman" w:hAnsi="Times New Roman" w:cs="Times New Roman"/>
              <w:noProof/>
              <w:sz w:val="20"/>
              <w:szCs w:val="24"/>
              <w:lang w:val="en-US"/>
            </w:rPr>
          </w:rPrChange>
        </w:rPr>
        <w:t>Environ. Sci. Pollut. Res. 22, 8148–8162. https://doi.org/10.1007/s11356-015-4496-5</w:t>
      </w:r>
    </w:p>
    <w:p w14:paraId="5167F9BF"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395316">
        <w:rPr>
          <w:rFonts w:ascii="Times New Roman" w:hAnsi="Times New Roman" w:cs="Times New Roman"/>
          <w:noProof/>
          <w:sz w:val="20"/>
          <w:szCs w:val="24"/>
          <w:lang w:val="fr-FR"/>
          <w:rPrChange w:id="38" w:author="Amaia" w:date="2021-08-31T10:37:00Z">
            <w:rPr>
              <w:rFonts w:ascii="Times New Roman" w:hAnsi="Times New Roman" w:cs="Times New Roman"/>
              <w:noProof/>
              <w:sz w:val="20"/>
              <w:szCs w:val="24"/>
              <w:lang w:val="en-US"/>
            </w:rPr>
          </w:rPrChange>
        </w:rPr>
        <w:t xml:space="preserve">Allard, A.S., Renberg, L., Neilson, A.H., 1996. </w:t>
      </w:r>
      <w:r w:rsidRPr="00E85217">
        <w:rPr>
          <w:rFonts w:ascii="Times New Roman" w:hAnsi="Times New Roman" w:cs="Times New Roman"/>
          <w:noProof/>
          <w:sz w:val="20"/>
          <w:szCs w:val="24"/>
          <w:lang w:val="en-US"/>
        </w:rPr>
        <w:t xml:space="preserve">Absence of </w:t>
      </w:r>
      <w:r w:rsidRPr="00E85217">
        <w:rPr>
          <w:rFonts w:ascii="Times New Roman" w:hAnsi="Times New Roman" w:cs="Times New Roman"/>
          <w:noProof/>
          <w:sz w:val="20"/>
          <w:szCs w:val="24"/>
          <w:vertAlign w:val="superscript"/>
          <w:lang w:val="en-US"/>
        </w:rPr>
        <w:t>14</w:t>
      </w:r>
      <w:r w:rsidRPr="00E85217">
        <w:rPr>
          <w:rFonts w:ascii="Times New Roman" w:hAnsi="Times New Roman" w:cs="Times New Roman"/>
          <w:noProof/>
          <w:sz w:val="20"/>
          <w:szCs w:val="24"/>
          <w:lang w:val="en-US"/>
        </w:rPr>
        <w:t>C0</w:t>
      </w:r>
      <w:r w:rsidRPr="00E85217">
        <w:rPr>
          <w:rFonts w:ascii="Times New Roman" w:hAnsi="Times New Roman" w:cs="Times New Roman"/>
          <w:noProof/>
          <w:sz w:val="20"/>
          <w:szCs w:val="24"/>
          <w:vertAlign w:val="subscript"/>
          <w:lang w:val="en-US"/>
        </w:rPr>
        <w:t>2</w:t>
      </w:r>
      <w:r w:rsidRPr="00E85217">
        <w:rPr>
          <w:rFonts w:ascii="Times New Roman" w:hAnsi="Times New Roman" w:cs="Times New Roman"/>
          <w:noProof/>
          <w:sz w:val="20"/>
          <w:szCs w:val="24"/>
          <w:lang w:val="en-US"/>
        </w:rPr>
        <w:t xml:space="preserve"> evolution from </w:t>
      </w:r>
      <w:r w:rsidRPr="00E85217">
        <w:rPr>
          <w:rFonts w:ascii="Times New Roman" w:hAnsi="Times New Roman" w:cs="Times New Roman"/>
          <w:noProof/>
          <w:sz w:val="20"/>
          <w:szCs w:val="24"/>
          <w:vertAlign w:val="superscript"/>
          <w:lang w:val="en-US"/>
        </w:rPr>
        <w:t>14</w:t>
      </w:r>
      <w:r w:rsidRPr="00E85217">
        <w:rPr>
          <w:rFonts w:ascii="Times New Roman" w:hAnsi="Times New Roman" w:cs="Times New Roman"/>
          <w:noProof/>
          <w:sz w:val="20"/>
          <w:szCs w:val="24"/>
          <w:lang w:val="en-US"/>
        </w:rPr>
        <w:t>C-labelled EDTA and DTPA and the sediment/water partition ratio. Chemosphere 33, 577–583. https://doi.org/10.1016/0045-6535(96)00224-X</w:t>
      </w:r>
    </w:p>
    <w:p w14:paraId="1CE4F5A5"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pt-PT"/>
        </w:rPr>
      </w:pPr>
      <w:r w:rsidRPr="00E85217">
        <w:rPr>
          <w:rFonts w:ascii="Times New Roman" w:hAnsi="Times New Roman" w:cs="Times New Roman"/>
          <w:noProof/>
          <w:sz w:val="20"/>
          <w:szCs w:val="24"/>
          <w:lang w:val="en-US"/>
        </w:rPr>
        <w:t xml:space="preserve">Ambrosini, V.G., Gerent, V.J., Ludiana, C., Rosa, C.R. da, Ademar, A.F.P., José, C.J., Melo, G.W.B. de, Brunetto, G., Sousa, C.R.F., Soares, C.R.F.S., 2015. Arbuscular mycorrhizal fungi on young vines in copper contaminated soil. </w:t>
      </w:r>
      <w:r w:rsidRPr="00E85217">
        <w:rPr>
          <w:rFonts w:ascii="Times New Roman" w:hAnsi="Times New Roman" w:cs="Times New Roman"/>
          <w:noProof/>
          <w:sz w:val="20"/>
          <w:szCs w:val="24"/>
          <w:lang w:val="pt-PT"/>
        </w:rPr>
        <w:t>Brazilian J. Microbiol. 46, 1045–1052. https://doi.org/10.1590/S1517-838246420140622</w:t>
      </w:r>
    </w:p>
    <w:p w14:paraId="16B08BF1"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pt-PT"/>
        </w:rPr>
        <w:t xml:space="preserve">Ambrosini, V.G., Rosa, D.J., Bastos de Melo, G.W., Zalamena, J., Cella, C., Simão, D.G., Souza da Silva, L., Pessoa dos Santos, H., Toselli, M., Tiecher, T.L., Brunetto, G., 2018. </w:t>
      </w:r>
      <w:r w:rsidRPr="00E85217">
        <w:rPr>
          <w:rFonts w:ascii="Times New Roman" w:hAnsi="Times New Roman" w:cs="Times New Roman"/>
          <w:noProof/>
          <w:sz w:val="20"/>
          <w:szCs w:val="24"/>
          <w:lang w:val="en-US"/>
        </w:rPr>
        <w:t>High copper content in vineyard soils promotes modifications in photosynthetic parameters and morphological changes in the root system of ‘Red Niagara’ plantlets. Plant Physiol. Biochem. 128, 89–98. https://doi.org/10.1016/j.plaphy.2018.05.011</w:t>
      </w:r>
    </w:p>
    <w:p w14:paraId="0DF55D98"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en-US"/>
        </w:rPr>
        <w:t xml:space="preserve">Andrade, S.A.L., Silveira, A.P.D., Mazzafera, P., 2010. Arbuscular mycorrhiza alters metal uptake and the physiological response of </w:t>
      </w:r>
      <w:r w:rsidRPr="00E85217">
        <w:rPr>
          <w:rFonts w:ascii="Times New Roman" w:hAnsi="Times New Roman" w:cs="Times New Roman"/>
          <w:i/>
          <w:iCs/>
          <w:noProof/>
          <w:sz w:val="20"/>
          <w:szCs w:val="24"/>
          <w:lang w:val="en-US"/>
        </w:rPr>
        <w:t>Coffea arabica</w:t>
      </w:r>
      <w:r w:rsidRPr="00E85217">
        <w:rPr>
          <w:rFonts w:ascii="Times New Roman" w:hAnsi="Times New Roman" w:cs="Times New Roman"/>
          <w:noProof/>
          <w:sz w:val="20"/>
          <w:szCs w:val="24"/>
          <w:lang w:val="en-US"/>
        </w:rPr>
        <w:t xml:space="preserve"> seedlings to increasing Zn and Cu concentrations in soil. Sci. Total Environ. 408, 5381–5391. https://doi.org/10.1016/j.scitotenv.2010.07.064</w:t>
      </w:r>
    </w:p>
    <w:p w14:paraId="191436CF" w14:textId="77777777" w:rsidR="00A53F05" w:rsidRPr="00395316"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fr-FR"/>
          <w:rPrChange w:id="39" w:author="Amaia" w:date="2021-08-31T10:37:00Z">
            <w:rPr>
              <w:rFonts w:ascii="Times New Roman" w:hAnsi="Times New Roman" w:cs="Times New Roman"/>
              <w:noProof/>
              <w:sz w:val="20"/>
              <w:szCs w:val="24"/>
              <w:lang w:val="en-US"/>
            </w:rPr>
          </w:rPrChange>
        </w:rPr>
      </w:pPr>
      <w:r w:rsidRPr="00E85217">
        <w:rPr>
          <w:rFonts w:ascii="Times New Roman" w:hAnsi="Times New Roman" w:cs="Times New Roman"/>
          <w:noProof/>
          <w:sz w:val="20"/>
          <w:szCs w:val="24"/>
          <w:lang w:val="en-US"/>
        </w:rPr>
        <w:t xml:space="preserve">Arias, M., Lopez, E., Fernandez, D., Soto, B., 2004. Copper distribution and dynamics in acid vineyard soils treated with copper-based fungicides. </w:t>
      </w:r>
      <w:r w:rsidRPr="00395316">
        <w:rPr>
          <w:rFonts w:ascii="Times New Roman" w:hAnsi="Times New Roman" w:cs="Times New Roman"/>
          <w:noProof/>
          <w:sz w:val="20"/>
          <w:szCs w:val="24"/>
          <w:lang w:val="fr-FR"/>
          <w:rPrChange w:id="40" w:author="Amaia" w:date="2021-08-31T10:37:00Z">
            <w:rPr>
              <w:rFonts w:ascii="Times New Roman" w:hAnsi="Times New Roman" w:cs="Times New Roman"/>
              <w:noProof/>
              <w:sz w:val="20"/>
              <w:szCs w:val="24"/>
              <w:lang w:val="en-US"/>
            </w:rPr>
          </w:rPrChange>
        </w:rPr>
        <w:t>Soil Sci. 169, 796–805. https://doi.org/10.1097/01.ss.0000148739.82992.59</w:t>
      </w:r>
    </w:p>
    <w:p w14:paraId="37876B95"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395316">
        <w:rPr>
          <w:rFonts w:ascii="Times New Roman" w:hAnsi="Times New Roman" w:cs="Times New Roman"/>
          <w:noProof/>
          <w:sz w:val="20"/>
          <w:szCs w:val="24"/>
          <w:lang w:val="fr-FR"/>
          <w:rPrChange w:id="41" w:author="Amaia" w:date="2021-08-31T10:37:00Z">
            <w:rPr>
              <w:rFonts w:ascii="Times New Roman" w:hAnsi="Times New Roman" w:cs="Times New Roman"/>
              <w:noProof/>
              <w:sz w:val="20"/>
              <w:szCs w:val="24"/>
              <w:lang w:val="en-US"/>
            </w:rPr>
          </w:rPrChange>
        </w:rPr>
        <w:t xml:space="preserve">Balestrini, R., Brunetti, C., Chitarra, W., Nerva, L., 2020. </w:t>
      </w:r>
      <w:r w:rsidRPr="00E85217">
        <w:rPr>
          <w:rFonts w:ascii="Times New Roman" w:hAnsi="Times New Roman" w:cs="Times New Roman"/>
          <w:noProof/>
          <w:sz w:val="20"/>
          <w:szCs w:val="24"/>
          <w:lang w:val="en-US"/>
        </w:rPr>
        <w:t>Photosynthetic traits and nitrogen uptake in crops: Which is the role of arbuscular mycorrhizal fungi? Plants 9, 1–16. https://doi.org/10.3390/plants9091105</w:t>
      </w:r>
    </w:p>
    <w:p w14:paraId="6136F870"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en-US"/>
        </w:rPr>
        <w:t>Barrett, G., Campbell, C.D., Hodge, A., 2014. The direct response of the external mycelium of arbuscular mycorrhizal fungi to temperature and the implications for nutrient transfer. Soil Biol. Biochem. 78, 109–117. https://doi.org/10.1016/j.soilbio.2014.07.025</w:t>
      </w:r>
    </w:p>
    <w:p w14:paraId="14E5BB34" w14:textId="77777777" w:rsidR="00A53F05" w:rsidRPr="00395316"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fr-FR"/>
          <w:rPrChange w:id="42" w:author="Amaia" w:date="2021-08-31T10:37:00Z">
            <w:rPr>
              <w:rFonts w:ascii="Times New Roman" w:hAnsi="Times New Roman" w:cs="Times New Roman"/>
              <w:noProof/>
              <w:sz w:val="20"/>
              <w:szCs w:val="24"/>
              <w:lang w:val="en-US"/>
            </w:rPr>
          </w:rPrChange>
        </w:rPr>
      </w:pPr>
      <w:r w:rsidRPr="00E85217">
        <w:rPr>
          <w:rFonts w:ascii="Times New Roman" w:hAnsi="Times New Roman" w:cs="Times New Roman"/>
          <w:noProof/>
          <w:sz w:val="20"/>
          <w:szCs w:val="24"/>
          <w:lang w:val="en-US"/>
        </w:rPr>
        <w:t xml:space="preserve">Besnard, E., Chenu, C., Robert, M., 2001. Influence of organic amendments on copper distribution among particle-size and density fractions in Champagne vineyard soils. </w:t>
      </w:r>
      <w:r w:rsidRPr="00395316">
        <w:rPr>
          <w:rFonts w:ascii="Times New Roman" w:hAnsi="Times New Roman" w:cs="Times New Roman"/>
          <w:noProof/>
          <w:sz w:val="20"/>
          <w:szCs w:val="24"/>
          <w:lang w:val="fr-FR"/>
          <w:rPrChange w:id="43" w:author="Amaia" w:date="2021-08-31T10:37:00Z">
            <w:rPr>
              <w:rFonts w:ascii="Times New Roman" w:hAnsi="Times New Roman" w:cs="Times New Roman"/>
              <w:noProof/>
              <w:sz w:val="20"/>
              <w:szCs w:val="24"/>
              <w:lang w:val="en-US"/>
            </w:rPr>
          </w:rPrChange>
        </w:rPr>
        <w:t>Environ. Pollut. 112, 329–337. https://doi.org/10.1016/S0269-7491(00)00151-2</w:t>
      </w:r>
    </w:p>
    <w:p w14:paraId="4C4B7D8D" w14:textId="44478E4D"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395316">
        <w:rPr>
          <w:rFonts w:ascii="Times New Roman" w:hAnsi="Times New Roman" w:cs="Times New Roman"/>
          <w:noProof/>
          <w:sz w:val="20"/>
          <w:szCs w:val="24"/>
          <w:lang w:val="fr-FR"/>
          <w:rPrChange w:id="44" w:author="Amaia" w:date="2021-08-31T10:37:00Z">
            <w:rPr>
              <w:rFonts w:ascii="Times New Roman" w:hAnsi="Times New Roman" w:cs="Times New Roman"/>
              <w:noProof/>
              <w:sz w:val="20"/>
              <w:szCs w:val="24"/>
              <w:lang w:val="en-US"/>
            </w:rPr>
          </w:rPrChange>
        </w:rPr>
        <w:lastRenderedPageBreak/>
        <w:t xml:space="preserve">Betancur-Agudelo, M., Meyer, E., Lovato, P.E., 2020. </w:t>
      </w:r>
      <w:r w:rsidRPr="00E85217">
        <w:rPr>
          <w:rFonts w:ascii="Times New Roman" w:hAnsi="Times New Roman" w:cs="Times New Roman"/>
          <w:noProof/>
          <w:sz w:val="20"/>
          <w:szCs w:val="24"/>
          <w:lang w:val="en-US"/>
        </w:rPr>
        <w:t xml:space="preserve">Growth, heavy metal uptake, and photosynthesis in ’ Paulsen 1103 ’ ( </w:t>
      </w:r>
      <w:r w:rsidRPr="00E85217">
        <w:rPr>
          <w:rFonts w:ascii="Times New Roman" w:hAnsi="Times New Roman" w:cs="Times New Roman"/>
          <w:i/>
          <w:iCs/>
          <w:noProof/>
          <w:sz w:val="20"/>
          <w:szCs w:val="24"/>
          <w:lang w:val="en-US"/>
        </w:rPr>
        <w:t>Vitis berlandieri</w:t>
      </w:r>
      <w:r w:rsidRPr="00E85217">
        <w:rPr>
          <w:rFonts w:ascii="Times New Roman" w:hAnsi="Times New Roman" w:cs="Times New Roman"/>
          <w:noProof/>
          <w:sz w:val="20"/>
          <w:szCs w:val="24"/>
          <w:lang w:val="en-US"/>
        </w:rPr>
        <w:t xml:space="preserve"> x </w:t>
      </w:r>
      <w:r w:rsidRPr="00E85217">
        <w:rPr>
          <w:rFonts w:ascii="Times New Roman" w:hAnsi="Times New Roman" w:cs="Times New Roman"/>
          <w:i/>
          <w:iCs/>
          <w:noProof/>
          <w:sz w:val="20"/>
          <w:szCs w:val="24"/>
          <w:lang w:val="en-US"/>
        </w:rPr>
        <w:t>rupestris</w:t>
      </w:r>
      <w:r w:rsidRPr="00E85217">
        <w:rPr>
          <w:rFonts w:ascii="Times New Roman" w:hAnsi="Times New Roman" w:cs="Times New Roman"/>
          <w:noProof/>
          <w:sz w:val="20"/>
          <w:szCs w:val="24"/>
          <w:lang w:val="en-US"/>
        </w:rPr>
        <w:t xml:space="preserve"> ) grapevine rootstocks inoculated with arbuscular mycorrhizal fungi from vineyard soils with high copper contents. Vitis 180, 169–180. https://doi.org/10.5073/vitis.2020.59.169-180</w:t>
      </w:r>
    </w:p>
    <w:p w14:paraId="071C64E4"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en-US"/>
        </w:rPr>
        <w:t xml:space="preserve">Bharadwaj, D.P., Alström, S., Lundquist, P.O., 2012. Interactions among </w:t>
      </w:r>
      <w:r w:rsidRPr="00E85217">
        <w:rPr>
          <w:rFonts w:ascii="Times New Roman" w:hAnsi="Times New Roman" w:cs="Times New Roman"/>
          <w:i/>
          <w:iCs/>
          <w:noProof/>
          <w:sz w:val="20"/>
          <w:szCs w:val="24"/>
          <w:lang w:val="en-US"/>
        </w:rPr>
        <w:t>Glomus irregulare</w:t>
      </w:r>
      <w:r w:rsidRPr="00E85217">
        <w:rPr>
          <w:rFonts w:ascii="Times New Roman" w:hAnsi="Times New Roman" w:cs="Times New Roman"/>
          <w:noProof/>
          <w:sz w:val="20"/>
          <w:szCs w:val="24"/>
          <w:lang w:val="en-US"/>
        </w:rPr>
        <w:t>, arbuscular mycorrhizal spore-associated bacteria, and plant pathogens under in vitro conditions. Mycorrhiza 22, 437–447. https://doi.org/10.1007/s00572-011-0418-7</w:t>
      </w:r>
    </w:p>
    <w:p w14:paraId="67572A0F"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en-US"/>
        </w:rPr>
        <w:t>Bloem, E., Haneklaus, S., Haensch, R., Schnug, E., 2017. EDTA application on agricultural soils affects microelement uptake of plants. Sci. Total Environ. 577, 166–173. https://doi.org/10.1016/j.scitotenv.2016.10.153</w:t>
      </w:r>
    </w:p>
    <w:p w14:paraId="15F57A3D"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en-US"/>
        </w:rPr>
        <w:t>Bosnić, D., Bosnić, P., Nikolić, D., Nikolić, M., Samardžić, J., 2019. Silicon and iron differently alleviate copper toxicity in cucumber leaves. Plants 8. https://doi.org/10.3390/plants8120554</w:t>
      </w:r>
    </w:p>
    <w:p w14:paraId="055F2226" w14:textId="77777777" w:rsidR="00A53F05" w:rsidRPr="00395316"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fr-FR"/>
          <w:rPrChange w:id="45" w:author="Amaia" w:date="2021-08-31T10:37:00Z">
            <w:rPr>
              <w:rFonts w:ascii="Times New Roman" w:hAnsi="Times New Roman" w:cs="Times New Roman"/>
              <w:noProof/>
              <w:sz w:val="20"/>
              <w:szCs w:val="24"/>
              <w:lang w:val="en-US"/>
            </w:rPr>
          </w:rPrChange>
        </w:rPr>
      </w:pPr>
      <w:r w:rsidRPr="00E85217">
        <w:rPr>
          <w:rFonts w:ascii="Times New Roman" w:hAnsi="Times New Roman" w:cs="Times New Roman"/>
          <w:noProof/>
          <w:sz w:val="20"/>
          <w:szCs w:val="24"/>
          <w:lang w:val="en-US"/>
        </w:rPr>
        <w:t xml:space="preserve">Brun, L.., Maillet, J., Hinsinger, P., Pépin, M., 2001. Evaluation of copper availability to plants in copper-contaminated vineyard soils. </w:t>
      </w:r>
      <w:r w:rsidRPr="00395316">
        <w:rPr>
          <w:rFonts w:ascii="Times New Roman" w:hAnsi="Times New Roman" w:cs="Times New Roman"/>
          <w:noProof/>
          <w:sz w:val="20"/>
          <w:szCs w:val="24"/>
          <w:lang w:val="fr-FR"/>
          <w:rPrChange w:id="46" w:author="Amaia" w:date="2021-08-31T10:37:00Z">
            <w:rPr>
              <w:rFonts w:ascii="Times New Roman" w:hAnsi="Times New Roman" w:cs="Times New Roman"/>
              <w:noProof/>
              <w:sz w:val="20"/>
              <w:szCs w:val="24"/>
              <w:lang w:val="en-US"/>
            </w:rPr>
          </w:rPrChange>
        </w:rPr>
        <w:t>Environ. Pollut. 111, 293–302. https://doi.org/10.1016/S0269-7491(00)00067-1</w:t>
      </w:r>
    </w:p>
    <w:p w14:paraId="2DADB0D2"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395316">
        <w:rPr>
          <w:rFonts w:ascii="Times New Roman" w:hAnsi="Times New Roman" w:cs="Times New Roman"/>
          <w:noProof/>
          <w:sz w:val="20"/>
          <w:szCs w:val="24"/>
          <w:lang w:val="fr-FR"/>
          <w:rPrChange w:id="47" w:author="Amaia" w:date="2021-08-31T10:37:00Z">
            <w:rPr>
              <w:rFonts w:ascii="Times New Roman" w:hAnsi="Times New Roman" w:cs="Times New Roman"/>
              <w:noProof/>
              <w:sz w:val="20"/>
              <w:szCs w:val="24"/>
              <w:lang w:val="en-US"/>
            </w:rPr>
          </w:rPrChange>
        </w:rPr>
        <w:t xml:space="preserve">Brun, L.., Maillet, J., Richarte, J., Herrmann, P., Remy, J.., 1998. </w:t>
      </w:r>
      <w:r w:rsidRPr="00E85217">
        <w:rPr>
          <w:rFonts w:ascii="Times New Roman" w:hAnsi="Times New Roman" w:cs="Times New Roman"/>
          <w:noProof/>
          <w:sz w:val="20"/>
          <w:szCs w:val="24"/>
          <w:lang w:val="en-US"/>
        </w:rPr>
        <w:t>Relationships between extractable copper, soil properties and copper uptake by wild plants in vineyard soils. Environ. Pollut. 102, 151–161. https://doi.org/10.1016/S0269-7491(98)00120-1</w:t>
      </w:r>
    </w:p>
    <w:p w14:paraId="7B6537C9"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en-US"/>
        </w:rPr>
        <w:t>Brunetto, G., Rosa, D.J., Ambrosini, V.G., Heinzen, J., Ferreira, P.A.A., Ceretta, C.A., Soares, C.R.F.S., Melo, G.W.B., Soriani, H.H., Nicoloso, F.T., Farias, J.G., De Conti, L., Silva, L.O.S., Santana, N., Couto, R.R., Jacques, R.J.S., Tiecher, T.L., 2019. Use of phosphorus fertilization and mycorrhization as strategies for reducing copper toxicity in young grapevines. Sci. Hortic. (Amsterdam). 248, 176–183. https://doi.org/10.1016/j.scienta.2019.01.026</w:t>
      </w:r>
    </w:p>
    <w:p w14:paraId="751A0F81"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pt-PT"/>
        </w:rPr>
      </w:pPr>
      <w:r w:rsidRPr="00E85217">
        <w:rPr>
          <w:rFonts w:ascii="Times New Roman" w:hAnsi="Times New Roman" w:cs="Times New Roman"/>
          <w:noProof/>
          <w:sz w:val="20"/>
          <w:szCs w:val="24"/>
          <w:lang w:val="en-US"/>
        </w:rPr>
        <w:t xml:space="preserve">Casali, C.A., Moterle, D.F., Rheinheimer, D. dos S., Brunetto, G., Corcini, A.L.M., Kaminski, J., Melo, G.W.B. de, 2008. </w:t>
      </w:r>
      <w:r w:rsidRPr="00E85217">
        <w:rPr>
          <w:rFonts w:ascii="Times New Roman" w:hAnsi="Times New Roman" w:cs="Times New Roman"/>
          <w:noProof/>
          <w:sz w:val="20"/>
          <w:szCs w:val="24"/>
          <w:lang w:val="pt-PT"/>
        </w:rPr>
        <w:t>Formas e dessorção de cobre em solos cultivados com videira na Serra Gaúcha do Rio Grande do Sul. Rev. Bras. Ciência do Solo 32, 1479–1487. https://doi.org/10.1590/S0100-06832008000400012</w:t>
      </w:r>
    </w:p>
    <w:p w14:paraId="03D1C0E0"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pt-PT"/>
        </w:rPr>
        <w:t xml:space="preserve">Chen, B., Shen, H., Li, X., Feng, G., Christie, P., 2004. </w:t>
      </w:r>
      <w:r w:rsidRPr="00E85217">
        <w:rPr>
          <w:rFonts w:ascii="Times New Roman" w:hAnsi="Times New Roman" w:cs="Times New Roman"/>
          <w:noProof/>
          <w:sz w:val="20"/>
          <w:szCs w:val="24"/>
          <w:lang w:val="en-US"/>
        </w:rPr>
        <w:t>Effects of EDTA application and arbuscular mycorrhizal colonization on growth and zinc uptake by maize (</w:t>
      </w:r>
      <w:r w:rsidRPr="00E85217">
        <w:rPr>
          <w:rFonts w:ascii="Times New Roman" w:hAnsi="Times New Roman" w:cs="Times New Roman"/>
          <w:i/>
          <w:iCs/>
          <w:noProof/>
          <w:sz w:val="20"/>
          <w:szCs w:val="24"/>
          <w:lang w:val="en-US"/>
        </w:rPr>
        <w:t>Zea mays</w:t>
      </w:r>
      <w:r w:rsidRPr="00E85217">
        <w:rPr>
          <w:rFonts w:ascii="Times New Roman" w:hAnsi="Times New Roman" w:cs="Times New Roman"/>
          <w:noProof/>
          <w:sz w:val="20"/>
          <w:szCs w:val="24"/>
          <w:lang w:val="en-US"/>
        </w:rPr>
        <w:t xml:space="preserve"> L.) in soil experimentally contaminated with zinc. Plant Soil 261, 219–229. https://doi.org/10.1023/B:PLSO.0000035538.09222.ff</w:t>
      </w:r>
    </w:p>
    <w:p w14:paraId="20E11257"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en-US"/>
        </w:rPr>
        <w:t>Davison, J., Moora, M., Öpik, M., Adholeya, A., Ainsaar, L., Bâ, A., Burla, S., Diedhiou, A.G., Hiiesalu, I., Jairus, T., Johnson, N.C., Kane, A., Koorem, K., Kochar, M., Ndiaye, C., Pärtel, M., Reier, Saks, Singh, R., Vasar, M., Zobel, M., 2015. Global assessment of arbuscular mycorrhizal fungus diversity reveals very low endemism. Science (80-. ). 349, 970–973. https://doi.org/10.1126/science.aab1161</w:t>
      </w:r>
    </w:p>
    <w:p w14:paraId="75895996"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en-US"/>
        </w:rPr>
        <w:t>European Chemical Bureau Report, 2004. Edetic acid (EDTA) European Union Risk Assessment Report. European Commission-Joint Centre, Institute for Health and Consumer Protection, European Chemicals Bureau, Germany.</w:t>
      </w:r>
    </w:p>
    <w:p w14:paraId="313EC25C" w14:textId="77777777" w:rsidR="00A53F05" w:rsidRPr="00A53F05"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rPr>
      </w:pPr>
      <w:r w:rsidRPr="00E85217">
        <w:rPr>
          <w:rFonts w:ascii="Times New Roman" w:hAnsi="Times New Roman" w:cs="Times New Roman"/>
          <w:noProof/>
          <w:sz w:val="20"/>
          <w:szCs w:val="24"/>
          <w:lang w:val="en-US"/>
        </w:rPr>
        <w:t xml:space="preserve">Farias, J.G., Antes, F.L.G., Nunes, P.A.A., Nunes, S.T., Schaich, G., Rossato, L. V., Miotto, A., Girotto, E., Tiecher, T.L., Dressler, V.L., Nicoloso, F.T., 2013. Effects of excess copper in vineyard soils on the mineral nutrition of potato genotypes. </w:t>
      </w:r>
      <w:r w:rsidRPr="00A53F05">
        <w:rPr>
          <w:rFonts w:ascii="Times New Roman" w:hAnsi="Times New Roman" w:cs="Times New Roman"/>
          <w:noProof/>
          <w:sz w:val="20"/>
          <w:szCs w:val="24"/>
        </w:rPr>
        <w:t>Food Energy Secur. 2, 49–69. https://doi.org/10.1002/fes3.16</w:t>
      </w:r>
    </w:p>
    <w:p w14:paraId="4FB3086E"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A53F05">
        <w:rPr>
          <w:rFonts w:ascii="Times New Roman" w:hAnsi="Times New Roman" w:cs="Times New Roman"/>
          <w:noProof/>
          <w:sz w:val="20"/>
          <w:szCs w:val="24"/>
        </w:rPr>
        <w:t xml:space="preserve">Ferrol, N., González-Guerrero, M., Valderas, A., Benabdellah, K., Azcón-Aguilar, C., 2009. </w:t>
      </w:r>
      <w:r w:rsidRPr="00E85217">
        <w:rPr>
          <w:rFonts w:ascii="Times New Roman" w:hAnsi="Times New Roman" w:cs="Times New Roman"/>
          <w:noProof/>
          <w:sz w:val="20"/>
          <w:szCs w:val="24"/>
          <w:lang w:val="en-US"/>
        </w:rPr>
        <w:t xml:space="preserve">Survival strategies of </w:t>
      </w:r>
      <w:r w:rsidRPr="00E85217">
        <w:rPr>
          <w:rFonts w:ascii="Times New Roman" w:hAnsi="Times New Roman" w:cs="Times New Roman"/>
          <w:noProof/>
          <w:sz w:val="20"/>
          <w:szCs w:val="24"/>
          <w:lang w:val="en-US"/>
        </w:rPr>
        <w:lastRenderedPageBreak/>
        <w:t>arbuscular mycorrhizal fungi in Cu-polluted environments. Phytochem. Rev. 8, 551–559. https://doi.org/10.1007/s11101-009-9133-9</w:t>
      </w:r>
    </w:p>
    <w:p w14:paraId="225748F7"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en-US"/>
        </w:rPr>
        <w:t>Giovannetti, M., Mosse, B., 1980. An evaluation of techniques for measuring vesicular arbuscular mycorrhizal infection in roots. New Phytol. 84, 489–500. https://doi.org/10.1111/j.1469-8137.1980.tb04556.x</w:t>
      </w:r>
    </w:p>
    <w:p w14:paraId="0996FFE1"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en-US"/>
        </w:rPr>
        <w:t>Graham, R., 1981. Absorption of copper by plant roots, in: Loneragan, J., Robson, A., Graham, R. (Eds.), Copper Is Soils and Plants. Academic Press, New York, p. 141.</w:t>
      </w:r>
    </w:p>
    <w:p w14:paraId="00E30D8B"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en-US"/>
        </w:rPr>
        <w:t xml:space="preserve">Habiba, U., Ali, S., Farid, M., Shakoor, M.B., Rizwan, M., Ibrahim, M., Abbasi, G.H., Hayat, T., Ali, B., 2015. EDTA enhanced plant growth, antioxidant defense system, and phytoextraction of copper by </w:t>
      </w:r>
      <w:r w:rsidRPr="00E85217">
        <w:rPr>
          <w:rFonts w:ascii="Times New Roman" w:hAnsi="Times New Roman" w:cs="Times New Roman"/>
          <w:i/>
          <w:iCs/>
          <w:noProof/>
          <w:sz w:val="20"/>
          <w:szCs w:val="24"/>
          <w:lang w:val="en-US"/>
        </w:rPr>
        <w:t>Brassica napus</w:t>
      </w:r>
      <w:r w:rsidRPr="00E85217">
        <w:rPr>
          <w:rFonts w:ascii="Times New Roman" w:hAnsi="Times New Roman" w:cs="Times New Roman"/>
          <w:noProof/>
          <w:sz w:val="20"/>
          <w:szCs w:val="24"/>
          <w:lang w:val="en-US"/>
        </w:rPr>
        <w:t xml:space="preserve"> L. Environ. Sci. Pollut. Res. 22, 1534–1544. https://doi.org/10.1007/s11356-014-3431-5</w:t>
      </w:r>
    </w:p>
    <w:p w14:paraId="218B46D2"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en-US"/>
        </w:rPr>
        <w:t xml:space="preserve">Hao, Z., Fayolle, L., Van Tuinen, D., Chatagnier, O., Li, X., Gianinazzi, S., Gianinazzi-Pearson, V., 2012. Local and systemic mycorrhiza-induced protection against the ectoparasitic nematode </w:t>
      </w:r>
      <w:r w:rsidRPr="00E85217">
        <w:rPr>
          <w:rFonts w:ascii="Times New Roman" w:hAnsi="Times New Roman" w:cs="Times New Roman"/>
          <w:i/>
          <w:iCs/>
          <w:noProof/>
          <w:sz w:val="20"/>
          <w:szCs w:val="24"/>
          <w:lang w:val="en-US"/>
        </w:rPr>
        <w:t>Xiphinema index</w:t>
      </w:r>
      <w:r w:rsidRPr="00E85217">
        <w:rPr>
          <w:rFonts w:ascii="Times New Roman" w:hAnsi="Times New Roman" w:cs="Times New Roman"/>
          <w:noProof/>
          <w:sz w:val="20"/>
          <w:szCs w:val="24"/>
          <w:lang w:val="en-US"/>
        </w:rPr>
        <w:t xml:space="preserve"> involves priming of defence gene responses in grapevine. J. Exp. Bot. https://doi.org/10.1093/jxb/ers046</w:t>
      </w:r>
    </w:p>
    <w:p w14:paraId="7728980A"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en-US"/>
        </w:rPr>
        <w:t>Huang, Y.-M., Wu, Q-S, 2017. Arbuscular mycorrhizal fungi and tolerance of Fe stress in plants, in: Wu, Q.-S. (Ed.), Arbuscular Mycorrhizas and Stress Tolerance of Plants. Springer Nature Singapore, pp. 1–327. https://doi.org/10.1007/978-981-10-4115-0</w:t>
      </w:r>
    </w:p>
    <w:p w14:paraId="6B5DB459" w14:textId="5D41AD00"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en-US"/>
        </w:rPr>
        <w:t xml:space="preserve">Hummes, A.P., Bortoluzzi, E.C., Tonini, V., da Silva, L.P., Petry, C., 2019. Transfer of </w:t>
      </w:r>
      <w:r w:rsidR="009E0FDE">
        <w:rPr>
          <w:rFonts w:ascii="Times New Roman" w:hAnsi="Times New Roman" w:cs="Times New Roman"/>
          <w:noProof/>
          <w:sz w:val="20"/>
          <w:szCs w:val="24"/>
          <w:lang w:val="en-US"/>
        </w:rPr>
        <w:t>c</w:t>
      </w:r>
      <w:r w:rsidRPr="00E85217">
        <w:rPr>
          <w:rFonts w:ascii="Times New Roman" w:hAnsi="Times New Roman" w:cs="Times New Roman"/>
          <w:noProof/>
          <w:sz w:val="20"/>
          <w:szCs w:val="24"/>
          <w:lang w:val="en-US"/>
        </w:rPr>
        <w:t xml:space="preserve">opper and </w:t>
      </w:r>
      <w:r w:rsidR="009E0FDE">
        <w:rPr>
          <w:rFonts w:ascii="Times New Roman" w:hAnsi="Times New Roman" w:cs="Times New Roman"/>
          <w:noProof/>
          <w:sz w:val="20"/>
          <w:szCs w:val="24"/>
          <w:lang w:val="en-US"/>
        </w:rPr>
        <w:t>z</w:t>
      </w:r>
      <w:r w:rsidRPr="00E85217">
        <w:rPr>
          <w:rFonts w:ascii="Times New Roman" w:hAnsi="Times New Roman" w:cs="Times New Roman"/>
          <w:noProof/>
          <w:sz w:val="20"/>
          <w:szCs w:val="24"/>
          <w:lang w:val="en-US"/>
        </w:rPr>
        <w:t xml:space="preserve">inc from </w:t>
      </w:r>
      <w:r w:rsidR="009E0FDE">
        <w:rPr>
          <w:rFonts w:ascii="Times New Roman" w:hAnsi="Times New Roman" w:cs="Times New Roman"/>
          <w:noProof/>
          <w:sz w:val="20"/>
          <w:szCs w:val="24"/>
          <w:lang w:val="en-US"/>
        </w:rPr>
        <w:t>s</w:t>
      </w:r>
      <w:r w:rsidRPr="00E85217">
        <w:rPr>
          <w:rFonts w:ascii="Times New Roman" w:hAnsi="Times New Roman" w:cs="Times New Roman"/>
          <w:noProof/>
          <w:sz w:val="20"/>
          <w:szCs w:val="24"/>
          <w:lang w:val="en-US"/>
        </w:rPr>
        <w:t xml:space="preserve">oil to </w:t>
      </w:r>
      <w:r w:rsidR="009E0FDE">
        <w:rPr>
          <w:rFonts w:ascii="Times New Roman" w:hAnsi="Times New Roman" w:cs="Times New Roman"/>
          <w:noProof/>
          <w:sz w:val="20"/>
          <w:szCs w:val="24"/>
          <w:lang w:val="en-US"/>
        </w:rPr>
        <w:t>g</w:t>
      </w:r>
      <w:r w:rsidRPr="00E85217">
        <w:rPr>
          <w:rFonts w:ascii="Times New Roman" w:hAnsi="Times New Roman" w:cs="Times New Roman"/>
          <w:noProof/>
          <w:sz w:val="20"/>
          <w:szCs w:val="24"/>
          <w:lang w:val="en-US"/>
        </w:rPr>
        <w:t>rapevine-</w:t>
      </w:r>
      <w:r w:rsidR="009E0FDE">
        <w:rPr>
          <w:rFonts w:ascii="Times New Roman" w:hAnsi="Times New Roman" w:cs="Times New Roman"/>
          <w:noProof/>
          <w:sz w:val="20"/>
          <w:szCs w:val="24"/>
          <w:lang w:val="en-US"/>
        </w:rPr>
        <w:t>d</w:t>
      </w:r>
      <w:r w:rsidRPr="00E85217">
        <w:rPr>
          <w:rFonts w:ascii="Times New Roman" w:hAnsi="Times New Roman" w:cs="Times New Roman"/>
          <w:noProof/>
          <w:sz w:val="20"/>
          <w:szCs w:val="24"/>
          <w:lang w:val="en-US"/>
        </w:rPr>
        <w:t xml:space="preserve">erived </w:t>
      </w:r>
      <w:r w:rsidR="009E0FDE">
        <w:rPr>
          <w:rFonts w:ascii="Times New Roman" w:hAnsi="Times New Roman" w:cs="Times New Roman"/>
          <w:noProof/>
          <w:sz w:val="20"/>
          <w:szCs w:val="24"/>
          <w:lang w:val="en-US"/>
        </w:rPr>
        <w:t>p</w:t>
      </w:r>
      <w:r w:rsidRPr="00E85217">
        <w:rPr>
          <w:rFonts w:ascii="Times New Roman" w:hAnsi="Times New Roman" w:cs="Times New Roman"/>
          <w:noProof/>
          <w:sz w:val="20"/>
          <w:szCs w:val="24"/>
          <w:lang w:val="en-US"/>
        </w:rPr>
        <w:t xml:space="preserve">roducts in </w:t>
      </w:r>
      <w:r w:rsidR="009E0FDE">
        <w:rPr>
          <w:rFonts w:ascii="Times New Roman" w:hAnsi="Times New Roman" w:cs="Times New Roman"/>
          <w:noProof/>
          <w:sz w:val="20"/>
          <w:szCs w:val="24"/>
          <w:lang w:val="en-US"/>
        </w:rPr>
        <w:t>y</w:t>
      </w:r>
      <w:r w:rsidRPr="00E85217">
        <w:rPr>
          <w:rFonts w:ascii="Times New Roman" w:hAnsi="Times New Roman" w:cs="Times New Roman"/>
          <w:noProof/>
          <w:sz w:val="20"/>
          <w:szCs w:val="24"/>
          <w:lang w:val="en-US"/>
        </w:rPr>
        <w:t xml:space="preserve">oung and </w:t>
      </w:r>
      <w:r w:rsidR="009E0FDE">
        <w:rPr>
          <w:rFonts w:ascii="Times New Roman" w:hAnsi="Times New Roman" w:cs="Times New Roman"/>
          <w:noProof/>
          <w:sz w:val="20"/>
          <w:szCs w:val="24"/>
          <w:lang w:val="en-US"/>
        </w:rPr>
        <w:t>c</w:t>
      </w:r>
      <w:r w:rsidRPr="00E85217">
        <w:rPr>
          <w:rFonts w:ascii="Times New Roman" w:hAnsi="Times New Roman" w:cs="Times New Roman"/>
          <w:noProof/>
          <w:sz w:val="20"/>
          <w:szCs w:val="24"/>
          <w:lang w:val="en-US"/>
        </w:rPr>
        <w:t xml:space="preserve">entenarian </w:t>
      </w:r>
      <w:r w:rsidR="009E0FDE">
        <w:rPr>
          <w:rFonts w:ascii="Times New Roman" w:hAnsi="Times New Roman" w:cs="Times New Roman"/>
          <w:noProof/>
          <w:sz w:val="20"/>
          <w:szCs w:val="24"/>
          <w:lang w:val="en-US"/>
        </w:rPr>
        <w:t>v</w:t>
      </w:r>
      <w:r w:rsidRPr="00E85217">
        <w:rPr>
          <w:rFonts w:ascii="Times New Roman" w:hAnsi="Times New Roman" w:cs="Times New Roman"/>
          <w:noProof/>
          <w:sz w:val="20"/>
          <w:szCs w:val="24"/>
          <w:lang w:val="en-US"/>
        </w:rPr>
        <w:t>ineyards. Water. Air. Soil Pollut. 230, 1–11. https://doi.org/10.1007/s11270-019-4198-6</w:t>
      </w:r>
    </w:p>
    <w:p w14:paraId="04DCB48B"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en-US"/>
        </w:rPr>
        <w:t xml:space="preserve">Ibiang, Y.B., Innami, H., Sakamoto, K., 2018. Effect of excess zinc and arbuscular mycorrhizal fungus on bioproduction and trace element nutrition of Tomato ( </w:t>
      </w:r>
      <w:r w:rsidRPr="00E85217">
        <w:rPr>
          <w:rFonts w:ascii="Times New Roman" w:hAnsi="Times New Roman" w:cs="Times New Roman"/>
          <w:i/>
          <w:iCs/>
          <w:noProof/>
          <w:sz w:val="20"/>
          <w:szCs w:val="24"/>
          <w:lang w:val="en-US"/>
        </w:rPr>
        <w:t>Solanum lycopersicum</w:t>
      </w:r>
      <w:r w:rsidRPr="00E85217">
        <w:rPr>
          <w:rFonts w:ascii="Times New Roman" w:hAnsi="Times New Roman" w:cs="Times New Roman"/>
          <w:noProof/>
          <w:sz w:val="20"/>
          <w:szCs w:val="24"/>
          <w:lang w:val="en-US"/>
        </w:rPr>
        <w:t xml:space="preserve"> L. cv. Micro-Tom). Soil Sci. Plant Nutr. 64, 342–351. https://doi.org/10.1080/00380768.2018.1425103</w:t>
      </w:r>
    </w:p>
    <w:p w14:paraId="2206F5DD"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en-US"/>
        </w:rPr>
        <w:t>Jarrah, M., Ghasemi-Fasaei, R., Karimian, N., Ronaghi, A., Zarei, M., Mayel, S., 2014. Investigation of arbuscular mycorrhizal fungus and edta efficiencies on lead phytoremediation by sunflower in a calcareous soil. Bioremediat. J. 18, 71–79. https://doi.org/10.1080/10889868.2013.847401</w:t>
      </w:r>
    </w:p>
    <w:p w14:paraId="0012F010"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en-US"/>
        </w:rPr>
        <w:t>Jin, C.W., Ye, Y.Q., Jian Zheng, S., 2014. An underground tale: contribution of microbial activity to plant iron acquisition via ecological processes. Ann. Bot. 113, 7–18. https://doi.org/10.1093/aob/mct249</w:t>
      </w:r>
    </w:p>
    <w:p w14:paraId="719041F1"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en-US"/>
        </w:rPr>
        <w:t>Jurkiewicz, A., Orlowska, E., Anielska, T., Godzik, B., Turnau, K., 2004. The influence of mycorrhiza and EDTA application on heavy metal uptake by different maize varieties. Acta Biol. Cracoviensia Ser. Bot. 7–18.</w:t>
      </w:r>
    </w:p>
    <w:p w14:paraId="463EBA3B"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en-US"/>
        </w:rPr>
        <w:t>Kabata-Pendias, A., 2010. Trace Elements in Soils and Plants., 4th ed. CRC Press/Taylor &amp; Francis Group, Boca Raton, FL. https://doi.org/10.1017/S0014479711000743</w:t>
      </w:r>
    </w:p>
    <w:p w14:paraId="6F7B3E7A"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395316">
        <w:rPr>
          <w:rFonts w:ascii="Times New Roman" w:hAnsi="Times New Roman" w:cs="Times New Roman"/>
          <w:noProof/>
          <w:sz w:val="20"/>
          <w:szCs w:val="24"/>
          <w:lang w:val="fr-FR"/>
          <w:rPrChange w:id="48" w:author="Amaia" w:date="2021-08-31T10:37:00Z">
            <w:rPr>
              <w:rFonts w:ascii="Times New Roman" w:hAnsi="Times New Roman" w:cs="Times New Roman"/>
              <w:noProof/>
              <w:sz w:val="20"/>
              <w:szCs w:val="24"/>
            </w:rPr>
          </w:rPrChange>
        </w:rPr>
        <w:t xml:space="preserve">Kari, F.G., Giger, W., 1996. </w:t>
      </w:r>
      <w:r w:rsidRPr="00E85217">
        <w:rPr>
          <w:rFonts w:ascii="Times New Roman" w:hAnsi="Times New Roman" w:cs="Times New Roman"/>
          <w:noProof/>
          <w:sz w:val="20"/>
          <w:szCs w:val="24"/>
          <w:lang w:val="en-US"/>
        </w:rPr>
        <w:t>Speciation and fate of ethylenediaminetetraacetate (EDTA) in municipal wastewater treatment. Water Res. 30, 122–134. https://doi.org/10.1016/0043-1354(95)00125-5</w:t>
      </w:r>
    </w:p>
    <w:p w14:paraId="6618AE60" w14:textId="77777777" w:rsidR="00A53F05" w:rsidRPr="00395316"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fr-FR"/>
          <w:rPrChange w:id="49" w:author="Amaia" w:date="2021-08-31T10:37:00Z">
            <w:rPr>
              <w:rFonts w:ascii="Times New Roman" w:hAnsi="Times New Roman" w:cs="Times New Roman"/>
              <w:noProof/>
              <w:sz w:val="20"/>
              <w:szCs w:val="24"/>
              <w:lang w:val="en-US"/>
            </w:rPr>
          </w:rPrChange>
        </w:rPr>
      </w:pPr>
      <w:r w:rsidRPr="00E85217">
        <w:rPr>
          <w:rFonts w:ascii="Times New Roman" w:hAnsi="Times New Roman" w:cs="Times New Roman"/>
          <w:noProof/>
          <w:sz w:val="20"/>
          <w:szCs w:val="24"/>
          <w:lang w:val="en-US"/>
        </w:rPr>
        <w:t>Kopittke, P.M., Asher, C.J., Blamey, F.P.C., Menzies, N.W., 2009. Toxic effects of Cu</w:t>
      </w:r>
      <w:r w:rsidRPr="00E85217">
        <w:rPr>
          <w:rFonts w:ascii="Times New Roman" w:hAnsi="Times New Roman" w:cs="Times New Roman"/>
          <w:noProof/>
          <w:sz w:val="20"/>
          <w:szCs w:val="24"/>
          <w:vertAlign w:val="superscript"/>
          <w:lang w:val="en-US"/>
        </w:rPr>
        <w:t>2+</w:t>
      </w:r>
      <w:r w:rsidRPr="00E85217">
        <w:rPr>
          <w:rFonts w:ascii="Times New Roman" w:hAnsi="Times New Roman" w:cs="Times New Roman"/>
          <w:noProof/>
          <w:sz w:val="20"/>
          <w:szCs w:val="24"/>
          <w:lang w:val="en-US"/>
        </w:rPr>
        <w:t xml:space="preserve"> on growth, nutrition, root morphology, and distribution of Cu in roots of Sabi grass. </w:t>
      </w:r>
      <w:r w:rsidRPr="00395316">
        <w:rPr>
          <w:rFonts w:ascii="Times New Roman" w:hAnsi="Times New Roman" w:cs="Times New Roman"/>
          <w:noProof/>
          <w:sz w:val="20"/>
          <w:szCs w:val="24"/>
          <w:lang w:val="fr-FR"/>
          <w:rPrChange w:id="50" w:author="Amaia" w:date="2021-08-31T10:37:00Z">
            <w:rPr>
              <w:rFonts w:ascii="Times New Roman" w:hAnsi="Times New Roman" w:cs="Times New Roman"/>
              <w:noProof/>
              <w:sz w:val="20"/>
              <w:szCs w:val="24"/>
              <w:lang w:val="en-US"/>
            </w:rPr>
          </w:rPrChange>
        </w:rPr>
        <w:t>Sci. Total Environ. 407, 4616–4621. https://doi.org/10.1016/J.SCITOTENV.2009.04.041</w:t>
      </w:r>
    </w:p>
    <w:p w14:paraId="5BE693FB"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395316">
        <w:rPr>
          <w:rFonts w:ascii="Times New Roman" w:hAnsi="Times New Roman" w:cs="Times New Roman"/>
          <w:noProof/>
          <w:sz w:val="20"/>
          <w:szCs w:val="24"/>
          <w:lang w:val="fr-FR"/>
          <w:rPrChange w:id="51" w:author="Amaia" w:date="2021-08-31T10:37:00Z">
            <w:rPr>
              <w:rFonts w:ascii="Times New Roman" w:hAnsi="Times New Roman" w:cs="Times New Roman"/>
              <w:noProof/>
              <w:sz w:val="20"/>
              <w:szCs w:val="24"/>
              <w:lang w:val="en-US"/>
            </w:rPr>
          </w:rPrChange>
        </w:rPr>
        <w:t xml:space="preserve">Kumar, P., Tewari, R.K., Sharma, P.N., 2008. </w:t>
      </w:r>
      <w:r w:rsidRPr="00E85217">
        <w:rPr>
          <w:rFonts w:ascii="Times New Roman" w:hAnsi="Times New Roman" w:cs="Times New Roman"/>
          <w:noProof/>
          <w:sz w:val="20"/>
          <w:szCs w:val="24"/>
          <w:lang w:val="en-US"/>
        </w:rPr>
        <w:t>Modulation of copper toxicity-induced oxidative damage by excess supply of iron in maize plants. Plant Cell Rep. 27, 399–409. https://doi.org/10.1007/s00299-007-0453-1</w:t>
      </w:r>
    </w:p>
    <w:p w14:paraId="37C7EEBC"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en-US"/>
        </w:rPr>
        <w:t>Lehmann, A., Rillig, M.C., 2015. Arbuscular mycorrhizal contribution to copper, manganese and iron nutrient concentrations in crops - A meta-analysis. Soil Biol. Biochem. 81, 147–158. https://doi.org/10.1016/j.soilbio.2014.11.013</w:t>
      </w:r>
    </w:p>
    <w:p w14:paraId="0C1E6104"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en-US"/>
        </w:rPr>
        <w:lastRenderedPageBreak/>
        <w:t>Leigh, J., Hodge, A., Fitter, A.H., 2009. Arbuscular mycorrhizal fungi can transfer substantial amounts of nitrogen to their host plant from organic material. New Phytol. 181, 199–207. https://doi.org/10.1111/j.1469-8137.2008.02630.x</w:t>
      </w:r>
    </w:p>
    <w:p w14:paraId="047C8B35"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en-US"/>
        </w:rPr>
        <w:t xml:space="preserve">Lequeux, H., Hermans, C., Lutts, S., Verbruggen, N., 2010. Response to copper excess in </w:t>
      </w:r>
      <w:r w:rsidRPr="00E85217">
        <w:rPr>
          <w:rFonts w:ascii="Times New Roman" w:hAnsi="Times New Roman" w:cs="Times New Roman"/>
          <w:i/>
          <w:iCs/>
          <w:noProof/>
          <w:sz w:val="20"/>
          <w:szCs w:val="24"/>
          <w:lang w:val="en-US"/>
        </w:rPr>
        <w:t>Arabidopsis thaliana</w:t>
      </w:r>
      <w:r w:rsidRPr="00E85217">
        <w:rPr>
          <w:rFonts w:ascii="Times New Roman" w:hAnsi="Times New Roman" w:cs="Times New Roman"/>
          <w:noProof/>
          <w:sz w:val="20"/>
          <w:szCs w:val="24"/>
          <w:lang w:val="en-US"/>
        </w:rPr>
        <w:t>: Impact on the root system architecture, hormone distribution, lignin accumulation and mineral profile. Plant Physiol. Biochem. 48, 673–682. https://doi.org/10.1016/j.plaphy.2010.05.005</w:t>
      </w:r>
    </w:p>
    <w:p w14:paraId="38F51EEF" w14:textId="77777777" w:rsidR="00A53F05" w:rsidRPr="00395316"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fr-FR"/>
          <w:rPrChange w:id="52" w:author="Amaia" w:date="2021-08-31T10:37:00Z">
            <w:rPr>
              <w:rFonts w:ascii="Times New Roman" w:hAnsi="Times New Roman" w:cs="Times New Roman"/>
              <w:noProof/>
              <w:sz w:val="20"/>
              <w:szCs w:val="24"/>
              <w:lang w:val="en-US"/>
            </w:rPr>
          </w:rPrChange>
        </w:rPr>
      </w:pPr>
      <w:r w:rsidRPr="00E85217">
        <w:rPr>
          <w:rFonts w:ascii="Times New Roman" w:hAnsi="Times New Roman" w:cs="Times New Roman"/>
          <w:noProof/>
          <w:sz w:val="20"/>
          <w:szCs w:val="24"/>
          <w:lang w:val="en-US"/>
        </w:rPr>
        <w:t xml:space="preserve">Leštan, D., Luo, C. ling, Li, X. dong, 2008. The use of chelating agents in the remediation of metal-contaminated soils: A review. </w:t>
      </w:r>
      <w:r w:rsidRPr="00395316">
        <w:rPr>
          <w:rFonts w:ascii="Times New Roman" w:hAnsi="Times New Roman" w:cs="Times New Roman"/>
          <w:noProof/>
          <w:sz w:val="20"/>
          <w:szCs w:val="24"/>
          <w:lang w:val="fr-FR"/>
          <w:rPrChange w:id="53" w:author="Amaia" w:date="2021-08-31T10:37:00Z">
            <w:rPr>
              <w:rFonts w:ascii="Times New Roman" w:hAnsi="Times New Roman" w:cs="Times New Roman"/>
              <w:noProof/>
              <w:sz w:val="20"/>
              <w:szCs w:val="24"/>
              <w:lang w:val="en-US"/>
            </w:rPr>
          </w:rPrChange>
        </w:rPr>
        <w:t>Environ. Pollut. 153, 3–13. https://doi.org/10.1016/j.envpol.2007.11.015</w:t>
      </w:r>
    </w:p>
    <w:p w14:paraId="2EB096E2"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395316">
        <w:rPr>
          <w:rFonts w:ascii="Times New Roman" w:hAnsi="Times New Roman" w:cs="Times New Roman"/>
          <w:noProof/>
          <w:sz w:val="20"/>
          <w:szCs w:val="24"/>
          <w:lang w:val="fr-FR"/>
          <w:rPrChange w:id="54" w:author="Amaia" w:date="2021-08-31T10:37:00Z">
            <w:rPr>
              <w:rFonts w:ascii="Times New Roman" w:hAnsi="Times New Roman" w:cs="Times New Roman"/>
              <w:noProof/>
              <w:sz w:val="20"/>
              <w:szCs w:val="24"/>
              <w:lang w:val="en-US"/>
            </w:rPr>
          </w:rPrChange>
        </w:rPr>
        <w:t xml:space="preserve">Lindsay, W.L., Norvell, W.A., 1978. </w:t>
      </w:r>
      <w:r w:rsidRPr="00E85217">
        <w:rPr>
          <w:rFonts w:ascii="Times New Roman" w:hAnsi="Times New Roman" w:cs="Times New Roman"/>
          <w:noProof/>
          <w:sz w:val="20"/>
          <w:szCs w:val="24"/>
          <w:lang w:val="en-US"/>
        </w:rPr>
        <w:t>Development of a DTPA soil test for zinc, iron, manganese, and copper. Soil Sci. Soc. Am. J. 42, 421. https://doi.org/10.2136/sssaj1978.03615995004200030009x</w:t>
      </w:r>
    </w:p>
    <w:p w14:paraId="479930B2"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en-US"/>
        </w:rPr>
        <w:t>Luo, C., Shen, Z., Li, X., 2005. Enhanced phytoextraction of Cu, Pb, Zn and Cd with EDTA and EDDS. Chemosphere 59, 1–11. https://doi.org/10.1016/j.chemosphere.2004.09.100</w:t>
      </w:r>
    </w:p>
    <w:p w14:paraId="5AEDF946" w14:textId="77777777" w:rsidR="00A53F05" w:rsidRPr="00395316"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fr-FR"/>
          <w:rPrChange w:id="55" w:author="Amaia" w:date="2021-08-31T10:37:00Z">
            <w:rPr>
              <w:rFonts w:ascii="Times New Roman" w:hAnsi="Times New Roman" w:cs="Times New Roman"/>
              <w:noProof/>
              <w:sz w:val="20"/>
              <w:szCs w:val="24"/>
              <w:lang w:val="en-US"/>
            </w:rPr>
          </w:rPrChange>
        </w:rPr>
      </w:pPr>
      <w:r w:rsidRPr="00E85217">
        <w:rPr>
          <w:rFonts w:ascii="Times New Roman" w:hAnsi="Times New Roman" w:cs="Times New Roman"/>
          <w:noProof/>
          <w:sz w:val="20"/>
          <w:szCs w:val="24"/>
          <w:lang w:val="en-US"/>
        </w:rPr>
        <w:t xml:space="preserve">Luo, C., Shen, Z., Lou, L., Li, X., 2006. EDDS and EDTA-enhanced phytoextraction of metals from artificially contaminated soil and residual effects of chelant compounds. </w:t>
      </w:r>
      <w:r w:rsidRPr="00395316">
        <w:rPr>
          <w:rFonts w:ascii="Times New Roman" w:hAnsi="Times New Roman" w:cs="Times New Roman"/>
          <w:noProof/>
          <w:sz w:val="20"/>
          <w:szCs w:val="24"/>
          <w:lang w:val="fr-FR"/>
          <w:rPrChange w:id="56" w:author="Amaia" w:date="2021-08-31T10:37:00Z">
            <w:rPr>
              <w:rFonts w:ascii="Times New Roman" w:hAnsi="Times New Roman" w:cs="Times New Roman"/>
              <w:noProof/>
              <w:sz w:val="20"/>
              <w:szCs w:val="24"/>
              <w:lang w:val="en-US"/>
            </w:rPr>
          </w:rPrChange>
        </w:rPr>
        <w:t>Environ. Pollut. 144, 862–871. https://doi.org/10.1016/j.envpol.2006.02.012</w:t>
      </w:r>
    </w:p>
    <w:p w14:paraId="7680DFBF" w14:textId="77777777" w:rsidR="00A53F05" w:rsidRPr="00395316"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fr-FR"/>
          <w:rPrChange w:id="57" w:author="Amaia" w:date="2021-08-31T10:37:00Z">
            <w:rPr>
              <w:rFonts w:ascii="Times New Roman" w:hAnsi="Times New Roman" w:cs="Times New Roman"/>
              <w:noProof/>
              <w:sz w:val="20"/>
              <w:szCs w:val="24"/>
              <w:lang w:val="en-US"/>
            </w:rPr>
          </w:rPrChange>
        </w:rPr>
      </w:pPr>
      <w:r w:rsidRPr="00395316">
        <w:rPr>
          <w:rFonts w:ascii="Times New Roman" w:hAnsi="Times New Roman" w:cs="Times New Roman"/>
          <w:noProof/>
          <w:sz w:val="20"/>
          <w:szCs w:val="24"/>
          <w:lang w:val="fr-FR"/>
          <w:rPrChange w:id="58" w:author="Amaia" w:date="2021-08-31T10:37:00Z">
            <w:rPr>
              <w:rFonts w:ascii="Times New Roman" w:hAnsi="Times New Roman" w:cs="Times New Roman"/>
              <w:noProof/>
              <w:sz w:val="20"/>
              <w:szCs w:val="24"/>
              <w:lang w:val="en-US"/>
            </w:rPr>
          </w:rPrChange>
        </w:rPr>
        <w:t xml:space="preserve">Mackie, K.A., Müller, T., Kandeler, E., 2012. </w:t>
      </w:r>
      <w:r w:rsidRPr="00E85217">
        <w:rPr>
          <w:rFonts w:ascii="Times New Roman" w:hAnsi="Times New Roman" w:cs="Times New Roman"/>
          <w:noProof/>
          <w:sz w:val="20"/>
          <w:szCs w:val="24"/>
          <w:lang w:val="en-US"/>
        </w:rPr>
        <w:t xml:space="preserve">Remediation of copper in vineyards – A mini review. </w:t>
      </w:r>
      <w:r w:rsidRPr="00395316">
        <w:rPr>
          <w:rFonts w:ascii="Times New Roman" w:hAnsi="Times New Roman" w:cs="Times New Roman"/>
          <w:noProof/>
          <w:sz w:val="20"/>
          <w:szCs w:val="24"/>
          <w:lang w:val="fr-FR"/>
          <w:rPrChange w:id="59" w:author="Amaia" w:date="2021-08-31T10:37:00Z">
            <w:rPr>
              <w:rFonts w:ascii="Times New Roman" w:hAnsi="Times New Roman" w:cs="Times New Roman"/>
              <w:noProof/>
              <w:sz w:val="20"/>
              <w:szCs w:val="24"/>
              <w:lang w:val="en-US"/>
            </w:rPr>
          </w:rPrChange>
        </w:rPr>
        <w:t>Environ. Pollut. 167, 16–26. https://doi.org/10.1016/j.envpol.2012.03.023</w:t>
      </w:r>
    </w:p>
    <w:p w14:paraId="4914A31D"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pt-PT"/>
        </w:rPr>
      </w:pPr>
      <w:r w:rsidRPr="00395316">
        <w:rPr>
          <w:rFonts w:ascii="Times New Roman" w:hAnsi="Times New Roman" w:cs="Times New Roman"/>
          <w:noProof/>
          <w:sz w:val="20"/>
          <w:szCs w:val="24"/>
          <w:lang w:val="fr-FR"/>
          <w:rPrChange w:id="60" w:author="Amaia" w:date="2021-08-31T10:37:00Z">
            <w:rPr>
              <w:rFonts w:ascii="Times New Roman" w:hAnsi="Times New Roman" w:cs="Times New Roman"/>
              <w:noProof/>
              <w:sz w:val="20"/>
              <w:szCs w:val="24"/>
              <w:lang w:val="en-US"/>
            </w:rPr>
          </w:rPrChange>
        </w:rPr>
        <w:t xml:space="preserve">Mackie, K.A., Müller, T., Zikeli, S., Kandeler, E., 2013. </w:t>
      </w:r>
      <w:r w:rsidRPr="00E85217">
        <w:rPr>
          <w:rFonts w:ascii="Times New Roman" w:hAnsi="Times New Roman" w:cs="Times New Roman"/>
          <w:noProof/>
          <w:sz w:val="20"/>
          <w:szCs w:val="24"/>
          <w:lang w:val="en-US"/>
        </w:rPr>
        <w:t xml:space="preserve">Long-term copper application in an organic vineyard modifies spatial distribution of soil micro-organisms. </w:t>
      </w:r>
      <w:r w:rsidRPr="00E85217">
        <w:rPr>
          <w:rFonts w:ascii="Times New Roman" w:hAnsi="Times New Roman" w:cs="Times New Roman"/>
          <w:noProof/>
          <w:sz w:val="20"/>
          <w:szCs w:val="24"/>
          <w:lang w:val="pt-PT"/>
        </w:rPr>
        <w:t>Soil Biol. Biochem. 65, 245–253. https://doi.org/10.1016/J.SOILBIO.2013.06.003</w:t>
      </w:r>
    </w:p>
    <w:p w14:paraId="37C26BC6"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pt-PT"/>
        </w:rPr>
        <w:t xml:space="preserve">Magalhães, M.J., Sequeira, E.M., Lucas, M.D., 1985. </w:t>
      </w:r>
      <w:r w:rsidRPr="00E85217">
        <w:rPr>
          <w:rFonts w:ascii="Times New Roman" w:hAnsi="Times New Roman" w:cs="Times New Roman"/>
          <w:noProof/>
          <w:sz w:val="20"/>
          <w:szCs w:val="24"/>
          <w:lang w:val="en-US"/>
        </w:rPr>
        <w:t>Copper and zinc in vineyards of Central Portugal. Water. Air. Soil Pollut. 26, 1–17. https://doi.org/10.1007/BF00299485</w:t>
      </w:r>
    </w:p>
    <w:p w14:paraId="38AD5569" w14:textId="0041554D"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pt-PT"/>
        </w:rPr>
      </w:pPr>
      <w:r w:rsidRPr="00E85217">
        <w:rPr>
          <w:rFonts w:ascii="Times New Roman" w:hAnsi="Times New Roman" w:cs="Times New Roman"/>
          <w:noProof/>
          <w:sz w:val="20"/>
          <w:szCs w:val="24"/>
          <w:lang w:val="en-US"/>
        </w:rPr>
        <w:t xml:space="preserve">Marques, A.P.G.C., Oliveira, R.S., Samardjieva, K.A., Pissarra, J., Nio, A., Rangel, O.S.S., Castro, P.M.L., 2008. EDDS and EDTA-enhanced zinc accumulation by </w:t>
      </w:r>
      <w:r w:rsidR="009E0FDE" w:rsidRPr="009E0FDE">
        <w:rPr>
          <w:rFonts w:ascii="Times New Roman" w:hAnsi="Times New Roman" w:cs="Times New Roman"/>
          <w:i/>
          <w:iCs/>
          <w:noProof/>
          <w:sz w:val="20"/>
          <w:szCs w:val="24"/>
          <w:lang w:val="en-US"/>
        </w:rPr>
        <w:t>S</w:t>
      </w:r>
      <w:r w:rsidRPr="00E85217">
        <w:rPr>
          <w:rFonts w:ascii="Times New Roman" w:hAnsi="Times New Roman" w:cs="Times New Roman"/>
          <w:i/>
          <w:iCs/>
          <w:noProof/>
          <w:sz w:val="20"/>
          <w:szCs w:val="24"/>
          <w:lang w:val="en-US"/>
        </w:rPr>
        <w:t>olanum nigrum</w:t>
      </w:r>
      <w:r w:rsidRPr="00E85217">
        <w:rPr>
          <w:rFonts w:ascii="Times New Roman" w:hAnsi="Times New Roman" w:cs="Times New Roman"/>
          <w:noProof/>
          <w:sz w:val="20"/>
          <w:szCs w:val="24"/>
          <w:lang w:val="en-US"/>
        </w:rPr>
        <w:t xml:space="preserve"> inoculated with arbuscular mycorrhizal fungi grown in contaminated soil. </w:t>
      </w:r>
      <w:r w:rsidRPr="00E85217">
        <w:rPr>
          <w:rFonts w:ascii="Times New Roman" w:hAnsi="Times New Roman" w:cs="Times New Roman"/>
          <w:noProof/>
          <w:sz w:val="20"/>
          <w:szCs w:val="24"/>
          <w:lang w:val="pt-PT"/>
        </w:rPr>
        <w:t>Chemosphere 70, 1002–1014. https://doi.org/10.1016/j.chemosphere.2007.08.045</w:t>
      </w:r>
    </w:p>
    <w:p w14:paraId="6CB265BF"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pt-PT"/>
        </w:rPr>
        <w:t xml:space="preserve">Marzilli, M., Di Santo, P., Palumbo, G., Maiuro, L., Paura, B., Tognetti, R., Cocozza, C., 2018. </w:t>
      </w:r>
      <w:r w:rsidRPr="00E85217">
        <w:rPr>
          <w:rFonts w:ascii="Times New Roman" w:hAnsi="Times New Roman" w:cs="Times New Roman"/>
          <w:noProof/>
          <w:sz w:val="20"/>
          <w:szCs w:val="24"/>
          <w:lang w:val="en-US"/>
        </w:rPr>
        <w:t xml:space="preserve">Cd and Cu accumulation, translocation and tolerance in </w:t>
      </w:r>
      <w:r w:rsidRPr="00E85217">
        <w:rPr>
          <w:rFonts w:ascii="Times New Roman" w:hAnsi="Times New Roman" w:cs="Times New Roman"/>
          <w:i/>
          <w:iCs/>
          <w:noProof/>
          <w:sz w:val="20"/>
          <w:szCs w:val="24"/>
          <w:lang w:val="en-US"/>
        </w:rPr>
        <w:t>Populus alba</w:t>
      </w:r>
      <w:r w:rsidRPr="00E85217">
        <w:rPr>
          <w:rFonts w:ascii="Times New Roman" w:hAnsi="Times New Roman" w:cs="Times New Roman"/>
          <w:noProof/>
          <w:sz w:val="20"/>
          <w:szCs w:val="24"/>
          <w:lang w:val="en-US"/>
        </w:rPr>
        <w:t xml:space="preserve"> clone (Villafranca) in autotrophic </w:t>
      </w:r>
      <w:r w:rsidRPr="00E85217">
        <w:rPr>
          <w:rFonts w:ascii="Times New Roman" w:hAnsi="Times New Roman" w:cs="Times New Roman"/>
          <w:i/>
          <w:iCs/>
          <w:noProof/>
          <w:sz w:val="20"/>
          <w:szCs w:val="24"/>
          <w:lang w:val="en-US"/>
        </w:rPr>
        <w:t>in vitro</w:t>
      </w:r>
      <w:r w:rsidRPr="00E85217">
        <w:rPr>
          <w:rFonts w:ascii="Times New Roman" w:hAnsi="Times New Roman" w:cs="Times New Roman"/>
          <w:noProof/>
          <w:sz w:val="20"/>
          <w:szCs w:val="24"/>
          <w:lang w:val="en-US"/>
        </w:rPr>
        <w:t xml:space="preserve"> screening. Environ. Sci. Pollut. Res. 25, 10058–10068. https://doi.org/10.1007/s11356-018-1299-5</w:t>
      </w:r>
    </w:p>
    <w:p w14:paraId="12F650F7"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en-US"/>
        </w:rPr>
        <w:t xml:space="preserve">Massa, N., Bona, E., Novello, G., Todeschini, V., Boatti, L., Mignone, F., Gamalero, E., Lingua, G., Berta, G., Cesaro, P., 2020. AMF communities associated to </w:t>
      </w:r>
      <w:r w:rsidRPr="00E85217">
        <w:rPr>
          <w:rFonts w:ascii="Times New Roman" w:hAnsi="Times New Roman" w:cs="Times New Roman"/>
          <w:i/>
          <w:iCs/>
          <w:noProof/>
          <w:sz w:val="20"/>
          <w:szCs w:val="24"/>
          <w:lang w:val="en-US"/>
        </w:rPr>
        <w:t>Vitis vinifera</w:t>
      </w:r>
      <w:r w:rsidRPr="00E85217">
        <w:rPr>
          <w:rFonts w:ascii="Times New Roman" w:hAnsi="Times New Roman" w:cs="Times New Roman"/>
          <w:noProof/>
          <w:sz w:val="20"/>
          <w:szCs w:val="24"/>
          <w:lang w:val="en-US"/>
        </w:rPr>
        <w:t xml:space="preserve"> in an Italian vineyard subjected to integrated pest management at two different phenological stages. Sci. Rep. 10, 1–12. https://doi.org/10.1038/s41598-020-66067-w</w:t>
      </w:r>
    </w:p>
    <w:p w14:paraId="0E8CE1E2"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en-US"/>
        </w:rPr>
        <w:t xml:space="preserve">Meier, S., Azcón, R., Cartes, P., Borie, F., Cornejo, P., 2011. Alleviation of Cu toxicity in </w:t>
      </w:r>
      <w:r w:rsidRPr="00E85217">
        <w:rPr>
          <w:rFonts w:ascii="Times New Roman" w:hAnsi="Times New Roman" w:cs="Times New Roman"/>
          <w:i/>
          <w:iCs/>
          <w:noProof/>
          <w:sz w:val="20"/>
          <w:szCs w:val="24"/>
          <w:lang w:val="en-US"/>
        </w:rPr>
        <w:t>Oenothera picensis</w:t>
      </w:r>
      <w:r w:rsidRPr="00E85217">
        <w:rPr>
          <w:rFonts w:ascii="Times New Roman" w:hAnsi="Times New Roman" w:cs="Times New Roman"/>
          <w:noProof/>
          <w:sz w:val="20"/>
          <w:szCs w:val="24"/>
          <w:lang w:val="en-US"/>
        </w:rPr>
        <w:t xml:space="preserve"> by copper-adapted arbuscular mycorrhizal fungi and treated agrowaste residue. Appl. Soil Ecol. 48, 117–124. https://doi.org/10.1016/j.apsoil.2011.04.005</w:t>
      </w:r>
    </w:p>
    <w:p w14:paraId="4DC25FE3"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en-US"/>
        </w:rPr>
        <w:t>Mensah, J.A., Koch, A.M., Antunes, P.M., Kiers, E.T., Hart, M., Bücking, H., 2015. High functional diversity within species of arbuscular mycorrhizal fungi is associated with differences in phosphate and nitrogen uptake and fungal phosphate metabolism. Mycorrhiza 25, 533–546. https://doi.org/10.1007/s00572-015-0631-x</w:t>
      </w:r>
    </w:p>
    <w:p w14:paraId="34E55790"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en-US"/>
        </w:rPr>
        <w:lastRenderedPageBreak/>
        <w:t xml:space="preserve">Merlos, M.A., Zitka, O., Vojtech, A., Azcón-Aguilar, C., Ferrol, N., 2016. The arbuscular mycorrhizal fungus </w:t>
      </w:r>
      <w:r w:rsidRPr="00E85217">
        <w:rPr>
          <w:rFonts w:ascii="Times New Roman" w:hAnsi="Times New Roman" w:cs="Times New Roman"/>
          <w:i/>
          <w:iCs/>
          <w:noProof/>
          <w:sz w:val="20"/>
          <w:szCs w:val="24"/>
          <w:lang w:val="en-US"/>
        </w:rPr>
        <w:t>Rhizophagus irregularis</w:t>
      </w:r>
      <w:r w:rsidRPr="00E85217">
        <w:rPr>
          <w:rFonts w:ascii="Times New Roman" w:hAnsi="Times New Roman" w:cs="Times New Roman"/>
          <w:noProof/>
          <w:sz w:val="20"/>
          <w:szCs w:val="24"/>
          <w:lang w:val="en-US"/>
        </w:rPr>
        <w:t xml:space="preserve"> differentially regulates the copper response of two maize cultivars differing in copper tolerance. Plant Sci. 253, 68–76. https://doi.org/10.1016/j.plantsci.2016.09.010</w:t>
      </w:r>
    </w:p>
    <w:p w14:paraId="5D5D0FD2"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en-US"/>
        </w:rPr>
        <w:t>Michaud, A.M., Chappellaz, C., Hinsinger, P., 2008. Copper phytotoxicity affects root elongation and iron nutrition in durum wheat (</w:t>
      </w:r>
      <w:r w:rsidRPr="00E85217">
        <w:rPr>
          <w:rFonts w:ascii="Times New Roman" w:hAnsi="Times New Roman" w:cs="Times New Roman"/>
          <w:i/>
          <w:iCs/>
          <w:noProof/>
          <w:sz w:val="20"/>
          <w:szCs w:val="24"/>
          <w:lang w:val="en-US"/>
        </w:rPr>
        <w:t>Triticum turgidum durum</w:t>
      </w:r>
      <w:r w:rsidRPr="00E85217">
        <w:rPr>
          <w:rFonts w:ascii="Times New Roman" w:hAnsi="Times New Roman" w:cs="Times New Roman"/>
          <w:noProof/>
          <w:sz w:val="20"/>
          <w:szCs w:val="24"/>
          <w:lang w:val="en-US"/>
        </w:rPr>
        <w:t xml:space="preserve"> L.). Plant Soil 310, 151–165. https://doi.org/10.1007/s11104-008-9642-0</w:t>
      </w:r>
    </w:p>
    <w:p w14:paraId="5634C354"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en-US"/>
        </w:rPr>
        <w:t>Miotto, A., Ceretta, C.A., Brunetto, G., Nicoloso, F.T., Girotto, E., Farias, J.G., Tiecher, T.L., De Conti, L., Trentin, G., 2014. Copper uptake, accumulation and physiological changes in adult grapevines in response to excess copper in soil. Plant Soil 374, 593–610. https://doi.org/10.1007/s11104-013-1886-7</w:t>
      </w:r>
    </w:p>
    <w:p w14:paraId="413657C4"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pt-PT"/>
        </w:rPr>
      </w:pPr>
      <w:r w:rsidRPr="00E85217">
        <w:rPr>
          <w:rFonts w:ascii="Times New Roman" w:hAnsi="Times New Roman" w:cs="Times New Roman"/>
          <w:noProof/>
          <w:sz w:val="20"/>
          <w:szCs w:val="24"/>
          <w:lang w:val="en-US"/>
        </w:rPr>
        <w:t xml:space="preserve">Munkvold, L., Kjøller, R., Vestberg, M., Rosendahl, S., Jakobsen, I., 2004. High functional diversity within species of arbuscular mycorrhizal fungi. New Phytol. </w:t>
      </w:r>
      <w:r w:rsidRPr="00E85217">
        <w:rPr>
          <w:rFonts w:ascii="Times New Roman" w:hAnsi="Times New Roman" w:cs="Times New Roman"/>
          <w:noProof/>
          <w:sz w:val="20"/>
          <w:szCs w:val="24"/>
          <w:lang w:val="pt-PT"/>
        </w:rPr>
        <w:t>164, 357–364. https://doi.org/10.1111/j.1469-8137.2004.01169.x</w:t>
      </w:r>
    </w:p>
    <w:p w14:paraId="5CD1C368" w14:textId="77777777" w:rsidR="00A53F05" w:rsidRPr="00395316"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fr-FR"/>
          <w:rPrChange w:id="61" w:author="Amaia" w:date="2021-08-31T10:37:00Z">
            <w:rPr>
              <w:rFonts w:ascii="Times New Roman" w:hAnsi="Times New Roman" w:cs="Times New Roman"/>
              <w:noProof/>
              <w:sz w:val="20"/>
              <w:szCs w:val="24"/>
              <w:lang w:val="en-US"/>
            </w:rPr>
          </w:rPrChange>
        </w:rPr>
      </w:pPr>
      <w:r w:rsidRPr="00E85217">
        <w:rPr>
          <w:rFonts w:ascii="Times New Roman" w:hAnsi="Times New Roman" w:cs="Times New Roman"/>
          <w:noProof/>
          <w:sz w:val="20"/>
          <w:szCs w:val="24"/>
          <w:lang w:val="pt-PT"/>
        </w:rPr>
        <w:t xml:space="preserve">Nogales, A., Santos, E.S., Abreu, M.M., Arán, D., Victorino, G., Pereira, H.S., Lopes, C.M., Viegas, W., 2019. </w:t>
      </w:r>
      <w:r w:rsidRPr="00E85217">
        <w:rPr>
          <w:rFonts w:ascii="Times New Roman" w:hAnsi="Times New Roman" w:cs="Times New Roman"/>
          <w:noProof/>
          <w:sz w:val="20"/>
          <w:szCs w:val="24"/>
          <w:lang w:val="en-US"/>
        </w:rPr>
        <w:t xml:space="preserve">Mycorrhizal inoculation differentially affects grapevine’s performance in copper contaminated and non-contaminated soils. </w:t>
      </w:r>
      <w:r w:rsidRPr="00395316">
        <w:rPr>
          <w:rFonts w:ascii="Times New Roman" w:hAnsi="Times New Roman" w:cs="Times New Roman"/>
          <w:noProof/>
          <w:sz w:val="20"/>
          <w:szCs w:val="24"/>
          <w:lang w:val="fr-FR"/>
          <w:rPrChange w:id="62" w:author="Amaia" w:date="2021-08-31T10:37:00Z">
            <w:rPr>
              <w:rFonts w:ascii="Times New Roman" w:hAnsi="Times New Roman" w:cs="Times New Roman"/>
              <w:noProof/>
              <w:sz w:val="20"/>
              <w:szCs w:val="24"/>
              <w:lang w:val="en-US"/>
            </w:rPr>
          </w:rPrChange>
        </w:rPr>
        <w:t>Front. Plant Sci. 9. https://doi.org/10.3389/fpls.2018.01906</w:t>
      </w:r>
    </w:p>
    <w:p w14:paraId="76425860"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395316">
        <w:rPr>
          <w:rFonts w:ascii="Times New Roman" w:hAnsi="Times New Roman" w:cs="Times New Roman"/>
          <w:noProof/>
          <w:sz w:val="20"/>
          <w:szCs w:val="24"/>
          <w:lang w:val="fr-FR"/>
          <w:rPrChange w:id="63" w:author="Amaia" w:date="2021-08-31T10:37:00Z">
            <w:rPr>
              <w:rFonts w:ascii="Times New Roman" w:hAnsi="Times New Roman" w:cs="Times New Roman"/>
              <w:noProof/>
              <w:sz w:val="20"/>
              <w:szCs w:val="24"/>
              <w:lang w:val="en-US"/>
            </w:rPr>
          </w:rPrChange>
        </w:rPr>
        <w:t xml:space="preserve">Ouzounidou, G., Ilias, I., Tranopoulou, H., Karataglis, S., 1998. </w:t>
      </w:r>
      <w:r w:rsidRPr="00E85217">
        <w:rPr>
          <w:rFonts w:ascii="Times New Roman" w:hAnsi="Times New Roman" w:cs="Times New Roman"/>
          <w:noProof/>
          <w:sz w:val="20"/>
          <w:szCs w:val="24"/>
          <w:lang w:val="en-US"/>
        </w:rPr>
        <w:t>Amelioration of copper toxicity by iron on Spinach physiology. J. Plant Nutr. 21, 2089–2101. https://doi.org/10.1080/01904169809365546</w:t>
      </w:r>
    </w:p>
    <w:p w14:paraId="6A4554C8"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en-US"/>
        </w:rPr>
        <w:t>Phillips, J.M., Hayman, D.S., 1970. Improved procedures for clearing roots and staining parasitic and vesicular-arbuscular mycorrhizal fungi for rapid assessment of infection. Trans. Br. Mycol. Soc. 55, 158-IN18. https://doi.org/10.1016/S0007-1536(70)80110-3</w:t>
      </w:r>
    </w:p>
    <w:p w14:paraId="00D26AE1"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en-US"/>
        </w:rPr>
        <w:t>Saleem, M.H., Ali, S., Kamran, M., Iqbal, N., Azeem, M., Javed, M.T., Ali, Q., Haider, M.Z., Irshad, S., Rizwan, M., Alkahtani, S., Abdel‐daim, M.M., 2020. Ethylenediaminetetraacetic acid (Edta) mitigates the toxic effect of excessive copper concentrations on growth, gaseous exchange and chloroplast ultrastructure of corchorus capsularis l. and improves copper accumulation capabilities. Plants 9, 1–20. https://doi.org/10.3390/plants9060756</w:t>
      </w:r>
    </w:p>
    <w:p w14:paraId="235AF4A2"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en-US"/>
        </w:rPr>
        <w:t>Schreiner, R.., 2007. Effects of native and nonnative arbuscular mycorrhizal fungi on growth and nutrient uptake of “Pinot noir” (</w:t>
      </w:r>
      <w:r w:rsidRPr="00E85217">
        <w:rPr>
          <w:rFonts w:ascii="Times New Roman" w:hAnsi="Times New Roman" w:cs="Times New Roman"/>
          <w:i/>
          <w:iCs/>
          <w:noProof/>
          <w:sz w:val="20"/>
          <w:szCs w:val="24"/>
          <w:lang w:val="en-US"/>
        </w:rPr>
        <w:t>Vitis vinifera</w:t>
      </w:r>
      <w:r w:rsidRPr="00E85217">
        <w:rPr>
          <w:rFonts w:ascii="Times New Roman" w:hAnsi="Times New Roman" w:cs="Times New Roman"/>
          <w:noProof/>
          <w:sz w:val="20"/>
          <w:szCs w:val="24"/>
          <w:lang w:val="en-US"/>
        </w:rPr>
        <w:t xml:space="preserve"> L.) in two soils with contrasting levels of phosphorus. Appl. Soil Ecol. 36, 205–215. https://doi.org/10.1016/j.apsoil.2007.03.002</w:t>
      </w:r>
    </w:p>
    <w:p w14:paraId="7367BBD9"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en-US"/>
        </w:rPr>
        <w:t>Schü</w:t>
      </w:r>
      <w:r w:rsidRPr="00A53F05">
        <w:rPr>
          <w:rFonts w:ascii="Times New Roman" w:hAnsi="Times New Roman" w:cs="Times New Roman"/>
          <w:noProof/>
          <w:sz w:val="20"/>
          <w:szCs w:val="24"/>
        </w:rPr>
        <w:t>β</w:t>
      </w:r>
      <w:r w:rsidRPr="00E85217">
        <w:rPr>
          <w:rFonts w:ascii="Times New Roman" w:hAnsi="Times New Roman" w:cs="Times New Roman"/>
          <w:noProof/>
          <w:sz w:val="20"/>
          <w:szCs w:val="24"/>
          <w:lang w:val="en-US"/>
        </w:rPr>
        <w:t>ler, A., Schwarzott, D., Walker, C., 2001. A new fungal phylum, the Glomeromycota: phylogeny and evolution. Mycol. Res. 105, 1413–1421. https://doi.org/10.1017/S0953756201005196</w:t>
      </w:r>
    </w:p>
    <w:p w14:paraId="6D9E66BB"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en-US"/>
        </w:rPr>
        <w:t>Sembiring, H., Raun, W.R., Johnson, G. V., Stone, M.L., Solie, J.B., Phillips, S.B., 1998. Detection of nitrogen and phosphorus nutrient status in winter wheat using spectral radiance. J. Plant Nutr. 21, 1207–1233. https://doi.org/10.1080/01904169809365478</w:t>
      </w:r>
    </w:p>
    <w:p w14:paraId="70D815EE"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en-US"/>
        </w:rPr>
        <w:t>Sepp, S.K., Davison, J., Jairus, T., Vasar, M., Moora, M., Zobel, M., Öpik, M., 2019. Non-random association patterns in a plant–mycorrhizal fungal network reveal host–symbiont specificity. Mol. Ecol. 28, 365–378. https://doi.org/10.1111/mec.14924</w:t>
      </w:r>
    </w:p>
    <w:p w14:paraId="2CCE515C" w14:textId="4E6F01B1"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en-US"/>
        </w:rPr>
        <w:t>Sharpe, C., Passmore, G., Trend, B., James, A., McCarthy, A., Fennessy, R., Fisher, D., Learmonth, S., Collie, H., Mathews, A., Gordon, C., 2017. Viticulture spray guide-</w:t>
      </w:r>
      <w:r w:rsidR="009E0FDE">
        <w:rPr>
          <w:rFonts w:ascii="Times New Roman" w:hAnsi="Times New Roman" w:cs="Times New Roman"/>
          <w:noProof/>
          <w:sz w:val="20"/>
          <w:szCs w:val="24"/>
          <w:lang w:val="en-US"/>
        </w:rPr>
        <w:t>W</w:t>
      </w:r>
      <w:r w:rsidRPr="00E85217">
        <w:rPr>
          <w:rFonts w:ascii="Times New Roman" w:hAnsi="Times New Roman" w:cs="Times New Roman"/>
          <w:noProof/>
          <w:sz w:val="20"/>
          <w:szCs w:val="24"/>
          <w:lang w:val="en-US"/>
        </w:rPr>
        <w:t>ine grapes and table grapes, Bulletin 4. ed. Department of Primary Industries and Regional Dvelopment-Goverment of Australia, Bentley.</w:t>
      </w:r>
    </w:p>
    <w:p w14:paraId="021400AE"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en-US"/>
        </w:rPr>
        <w:t xml:space="preserve">Sheldon, A.R., Menzies, N.W., 2005. The effect of copper toxicity on the growth and root morphology of Rhodes </w:t>
      </w:r>
      <w:r w:rsidRPr="00E85217">
        <w:rPr>
          <w:rFonts w:ascii="Times New Roman" w:hAnsi="Times New Roman" w:cs="Times New Roman"/>
          <w:noProof/>
          <w:sz w:val="20"/>
          <w:szCs w:val="24"/>
          <w:lang w:val="en-US"/>
        </w:rPr>
        <w:lastRenderedPageBreak/>
        <w:t>Grass (</w:t>
      </w:r>
      <w:r w:rsidRPr="00E85217">
        <w:rPr>
          <w:rFonts w:ascii="Times New Roman" w:hAnsi="Times New Roman" w:cs="Times New Roman"/>
          <w:i/>
          <w:iCs/>
          <w:noProof/>
          <w:sz w:val="20"/>
          <w:szCs w:val="24"/>
          <w:lang w:val="en-US"/>
        </w:rPr>
        <w:t>Chloris gayana</w:t>
      </w:r>
      <w:r w:rsidRPr="00E85217">
        <w:rPr>
          <w:rFonts w:ascii="Times New Roman" w:hAnsi="Times New Roman" w:cs="Times New Roman"/>
          <w:noProof/>
          <w:sz w:val="20"/>
          <w:szCs w:val="24"/>
          <w:lang w:val="en-US"/>
        </w:rPr>
        <w:t xml:space="preserve"> Knuth.) in resin buffered solution culture. Plant Soil 278, 341–349. https://doi.org/10.1007/s11104-005-8815-3</w:t>
      </w:r>
    </w:p>
    <w:p w14:paraId="546AC6E9" w14:textId="565569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en-US"/>
        </w:rPr>
        <w:t xml:space="preserve">Smith, S.E., Read, D., 2008. Mycorrhizal Symbiosis. </w:t>
      </w:r>
      <w:r w:rsidR="009E0FDE" w:rsidRPr="009E0FDE">
        <w:rPr>
          <w:rFonts w:ascii="Times New Roman" w:hAnsi="Times New Roman" w:cs="Times New Roman"/>
          <w:noProof/>
          <w:sz w:val="20"/>
          <w:szCs w:val="24"/>
          <w:lang w:val="en-US"/>
        </w:rPr>
        <w:t>3</w:t>
      </w:r>
      <w:r w:rsidR="009E0FDE" w:rsidRPr="009E0FDE">
        <w:rPr>
          <w:rFonts w:ascii="Times New Roman" w:hAnsi="Times New Roman" w:cs="Times New Roman"/>
          <w:noProof/>
          <w:sz w:val="20"/>
          <w:szCs w:val="24"/>
          <w:vertAlign w:val="superscript"/>
          <w:lang w:val="en-US"/>
        </w:rPr>
        <w:t>rd</w:t>
      </w:r>
      <w:r w:rsidR="009E0FDE" w:rsidRPr="009E0FDE">
        <w:rPr>
          <w:rFonts w:ascii="Times New Roman" w:hAnsi="Times New Roman" w:cs="Times New Roman"/>
          <w:noProof/>
          <w:sz w:val="20"/>
          <w:szCs w:val="24"/>
          <w:lang w:val="en-US"/>
        </w:rPr>
        <w:t xml:space="preserve"> ed. Academic Press, London. </w:t>
      </w:r>
      <w:r w:rsidRPr="00E85217">
        <w:rPr>
          <w:rFonts w:ascii="Times New Roman" w:hAnsi="Times New Roman" w:cs="Times New Roman"/>
          <w:noProof/>
          <w:sz w:val="20"/>
          <w:szCs w:val="24"/>
          <w:lang w:val="en-US"/>
        </w:rPr>
        <w:t>https://doi.org/10.1016/B978-012370526-6.50001-5</w:t>
      </w:r>
    </w:p>
    <w:p w14:paraId="1F5DBF3A" w14:textId="5526A578"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pt-PT"/>
        </w:rPr>
        <w:t xml:space="preserve">Soares, C.R.F.S., Siqueira, J.O., 2008. </w:t>
      </w:r>
      <w:r w:rsidRPr="00E85217">
        <w:rPr>
          <w:rFonts w:ascii="Times New Roman" w:hAnsi="Times New Roman" w:cs="Times New Roman"/>
          <w:noProof/>
          <w:sz w:val="20"/>
          <w:szCs w:val="24"/>
          <w:lang w:val="en-US"/>
        </w:rPr>
        <w:t>Mycorrhiza and phosphate protection of tropical grass species against heavy metal toxicity in multi-contaminated soil. Biol. Fertil. Soils 44, 833–841. https://doi.org/10.1007/s00374-007-0265-z</w:t>
      </w:r>
    </w:p>
    <w:p w14:paraId="6A7DD1BC" w14:textId="77777777" w:rsidR="00A53F05" w:rsidRPr="00395316"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fr-FR"/>
          <w:rPrChange w:id="64" w:author="Amaia" w:date="2021-08-31T10:37:00Z">
            <w:rPr>
              <w:rFonts w:ascii="Times New Roman" w:hAnsi="Times New Roman" w:cs="Times New Roman"/>
              <w:noProof/>
              <w:sz w:val="20"/>
              <w:szCs w:val="24"/>
              <w:lang w:val="pt-PT"/>
            </w:rPr>
          </w:rPrChange>
        </w:rPr>
      </w:pPr>
      <w:r w:rsidRPr="00E85217">
        <w:rPr>
          <w:rFonts w:ascii="Times New Roman" w:hAnsi="Times New Roman" w:cs="Times New Roman"/>
          <w:noProof/>
          <w:sz w:val="20"/>
          <w:szCs w:val="24"/>
          <w:lang w:val="en-US"/>
        </w:rPr>
        <w:t xml:space="preserve">Thayalakumaran, T., Robinson, B.H., Vogeler, I., Scotter, D.R., Clothier, B.E., Percival, H.J., 2003. Plant uptake and leaching of copper during EDTA-enhanced phytoremediation of repacked and undisturbed soil. </w:t>
      </w:r>
      <w:r w:rsidRPr="00395316">
        <w:rPr>
          <w:rFonts w:ascii="Times New Roman" w:hAnsi="Times New Roman" w:cs="Times New Roman"/>
          <w:noProof/>
          <w:sz w:val="20"/>
          <w:szCs w:val="24"/>
          <w:lang w:val="fr-FR"/>
          <w:rPrChange w:id="65" w:author="Amaia" w:date="2021-08-31T10:37:00Z">
            <w:rPr>
              <w:rFonts w:ascii="Times New Roman" w:hAnsi="Times New Roman" w:cs="Times New Roman"/>
              <w:noProof/>
              <w:sz w:val="20"/>
              <w:szCs w:val="24"/>
              <w:lang w:val="pt-PT"/>
            </w:rPr>
          </w:rPrChange>
        </w:rPr>
        <w:t>Plant Soil 254, 415–423. https://doi.org/10.1023/A:1025527931486</w:t>
      </w:r>
    </w:p>
    <w:p w14:paraId="77E405F1"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395316">
        <w:rPr>
          <w:rFonts w:ascii="Times New Roman" w:hAnsi="Times New Roman" w:cs="Times New Roman"/>
          <w:noProof/>
          <w:sz w:val="20"/>
          <w:szCs w:val="24"/>
          <w:lang w:val="fr-FR"/>
          <w:rPrChange w:id="66" w:author="Amaia" w:date="2021-08-31T10:37:00Z">
            <w:rPr>
              <w:rFonts w:ascii="Times New Roman" w:hAnsi="Times New Roman" w:cs="Times New Roman"/>
              <w:noProof/>
              <w:sz w:val="20"/>
              <w:szCs w:val="24"/>
              <w:lang w:val="pt-PT"/>
            </w:rPr>
          </w:rPrChange>
        </w:rPr>
        <w:t xml:space="preserve">Toselli, M., Baldi, E., Marcolini, G., Malaguti, D., Quartieri, M., Sorrenti, G., Marangoni, B., 2009. </w:t>
      </w:r>
      <w:r w:rsidRPr="00E85217">
        <w:rPr>
          <w:rFonts w:ascii="Times New Roman" w:hAnsi="Times New Roman" w:cs="Times New Roman"/>
          <w:noProof/>
          <w:sz w:val="20"/>
          <w:szCs w:val="24"/>
          <w:lang w:val="en-US"/>
        </w:rPr>
        <w:t>Response of potted grapevines to increasing soil copper concentration. Aust. J. Grape Wine Res. 15, 85–92. https://doi.org/10.1111/j.1755-0238.2008.00040.x</w:t>
      </w:r>
    </w:p>
    <w:p w14:paraId="01C4D6EE"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en-US"/>
        </w:rPr>
        <w:t>Trouvelot, S., Bonneau, L., Redecker, D., Van Tuinen, D., Adrian, M., Wipf, D., 2015. Arbuscular mycorrhiza symbiosis in viticulture: a review. Agron. Sustain. Dev. 35, 1449–1467. https://doi.org/10.1007/s13593-015-0329-7&gt;</w:t>
      </w:r>
    </w:p>
    <w:p w14:paraId="77761CFC"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en-US"/>
        </w:rPr>
        <w:t>Yang, Y., Sun, C., Yao, Y., Zhang, Y., Achal, V., 2011. Growth and physiological responses of grape (</w:t>
      </w:r>
      <w:r w:rsidRPr="00E85217">
        <w:rPr>
          <w:rFonts w:ascii="Times New Roman" w:hAnsi="Times New Roman" w:cs="Times New Roman"/>
          <w:i/>
          <w:iCs/>
          <w:noProof/>
          <w:sz w:val="20"/>
          <w:szCs w:val="24"/>
          <w:lang w:val="en-US"/>
        </w:rPr>
        <w:t>Vitis vinifera</w:t>
      </w:r>
      <w:r w:rsidRPr="00E85217">
        <w:rPr>
          <w:rFonts w:ascii="Times New Roman" w:hAnsi="Times New Roman" w:cs="Times New Roman"/>
          <w:noProof/>
          <w:sz w:val="20"/>
          <w:szCs w:val="24"/>
          <w:lang w:val="en-US"/>
        </w:rPr>
        <w:t xml:space="preserve"> “Combier”) to excess zinc. Acta Physiol. Plant. 33, 1483–1491. https://doi.org/10.1007/s11738-010-0687-3</w:t>
      </w:r>
    </w:p>
    <w:p w14:paraId="0942D60E"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szCs w:val="24"/>
          <w:lang w:val="en-US"/>
        </w:rPr>
      </w:pPr>
      <w:r w:rsidRPr="00E85217">
        <w:rPr>
          <w:rFonts w:ascii="Times New Roman" w:hAnsi="Times New Roman" w:cs="Times New Roman"/>
          <w:noProof/>
          <w:sz w:val="20"/>
          <w:szCs w:val="24"/>
          <w:lang w:val="en-US"/>
        </w:rPr>
        <w:t>Yruela, I., 2009. Copper in plants: acquisition, transport and interactions. Funct. Plant Biol. 36, 409. https://doi.org/10.1071/FP08288</w:t>
      </w:r>
    </w:p>
    <w:p w14:paraId="641A8DDB" w14:textId="77777777" w:rsidR="00A53F05" w:rsidRPr="00E85217" w:rsidRDefault="00A53F05" w:rsidP="009E0FDE">
      <w:pPr>
        <w:widowControl w:val="0"/>
        <w:autoSpaceDE w:val="0"/>
        <w:autoSpaceDN w:val="0"/>
        <w:adjustRightInd w:val="0"/>
        <w:spacing w:after="0" w:line="360" w:lineRule="auto"/>
        <w:ind w:left="480" w:hanging="480"/>
        <w:jc w:val="both"/>
        <w:rPr>
          <w:rFonts w:ascii="Times New Roman" w:hAnsi="Times New Roman" w:cs="Times New Roman"/>
          <w:noProof/>
          <w:sz w:val="20"/>
          <w:lang w:val="en-US"/>
        </w:rPr>
      </w:pPr>
      <w:r w:rsidRPr="00E85217">
        <w:rPr>
          <w:rFonts w:ascii="Times New Roman" w:hAnsi="Times New Roman" w:cs="Times New Roman"/>
          <w:noProof/>
          <w:sz w:val="20"/>
          <w:szCs w:val="24"/>
          <w:lang w:val="en-US"/>
        </w:rPr>
        <w:t>Yruela, I., 2005. Copper in plants. Braz. J. Plant Physiol 17, 145–156.</w:t>
      </w:r>
    </w:p>
    <w:p w14:paraId="62456FC5" w14:textId="1EFCF767" w:rsidR="000570C8" w:rsidRPr="000570C8" w:rsidRDefault="000570C8" w:rsidP="009E0FDE">
      <w:pPr>
        <w:spacing w:after="0" w:line="360" w:lineRule="auto"/>
        <w:jc w:val="both"/>
        <w:rPr>
          <w:rFonts w:ascii="Times New Roman" w:hAnsi="Times New Roman" w:cs="Times New Roman"/>
          <w:sz w:val="20"/>
          <w:szCs w:val="20"/>
          <w:lang w:val="en-US"/>
        </w:rPr>
      </w:pPr>
      <w:r w:rsidRPr="000570C8">
        <w:rPr>
          <w:rFonts w:ascii="Times New Roman" w:hAnsi="Times New Roman" w:cs="Times New Roman"/>
          <w:sz w:val="20"/>
          <w:szCs w:val="20"/>
          <w:lang w:val="en-US"/>
        </w:rPr>
        <w:fldChar w:fldCharType="end"/>
      </w:r>
    </w:p>
    <w:p w14:paraId="7E83FC94" w14:textId="77777777" w:rsidR="00626588" w:rsidRPr="000570C8" w:rsidRDefault="00626588" w:rsidP="00D8137B">
      <w:pPr>
        <w:spacing w:after="0" w:line="360" w:lineRule="auto"/>
        <w:jc w:val="both"/>
        <w:rPr>
          <w:rFonts w:ascii="Times New Roman" w:hAnsi="Times New Roman" w:cs="Times New Roman"/>
          <w:sz w:val="20"/>
          <w:szCs w:val="20"/>
          <w:lang w:val="en-US"/>
        </w:rPr>
      </w:pPr>
    </w:p>
    <w:p w14:paraId="4386989D" w14:textId="6CFFC742" w:rsidR="007A24BC" w:rsidRDefault="007A24BC">
      <w:pPr>
        <w:spacing w:after="160" w:line="259" w:lineRule="auto"/>
        <w:rPr>
          <w:rFonts w:ascii="Times New Roman" w:hAnsi="Times New Roman" w:cs="Times New Roman"/>
          <w:color w:val="000000"/>
          <w:lang w:val="en-US"/>
        </w:rPr>
      </w:pPr>
      <w:r>
        <w:rPr>
          <w:rFonts w:ascii="Times New Roman" w:hAnsi="Times New Roman" w:cs="Times New Roman"/>
          <w:color w:val="000000"/>
          <w:lang w:val="en-US"/>
        </w:rPr>
        <w:br w:type="page"/>
      </w:r>
    </w:p>
    <w:p w14:paraId="249F7919" w14:textId="77777777" w:rsidR="007A24BC" w:rsidRDefault="007A24BC">
      <w:pPr>
        <w:spacing w:after="160" w:line="259" w:lineRule="auto"/>
        <w:rPr>
          <w:rFonts w:ascii="Times New Roman" w:hAnsi="Times New Roman" w:cs="Times New Roman"/>
          <w:color w:val="000000"/>
          <w:lang w:val="en-US"/>
        </w:rPr>
        <w:sectPr w:rsidR="007A24BC" w:rsidSect="009F230C">
          <w:footerReference w:type="default" r:id="rId10"/>
          <w:footerReference w:type="first" r:id="rId11"/>
          <w:pgSz w:w="11906" w:h="16838"/>
          <w:pgMar w:top="1418" w:right="1418" w:bottom="1418" w:left="1418" w:header="708" w:footer="708" w:gutter="0"/>
          <w:lnNumType w:countBy="1" w:restart="continuous"/>
          <w:pgNumType w:start="1"/>
          <w:cols w:space="708"/>
          <w:titlePg/>
          <w:docGrid w:linePitch="360"/>
        </w:sectPr>
      </w:pPr>
    </w:p>
    <w:p w14:paraId="09A9534A" w14:textId="12FF9D72" w:rsidR="007A24BC" w:rsidRDefault="007A24BC" w:rsidP="007A24BC">
      <w:pPr>
        <w:jc w:val="both"/>
        <w:rPr>
          <w:rFonts w:ascii="Times New Roman" w:hAnsi="Times New Roman" w:cs="Times New Roman"/>
          <w:lang w:val="en-US"/>
        </w:rPr>
      </w:pPr>
      <w:r>
        <w:rPr>
          <w:rFonts w:ascii="Times New Roman" w:hAnsi="Times New Roman" w:cs="Times New Roman"/>
          <w:b/>
          <w:bCs/>
          <w:lang w:val="en-US"/>
        </w:rPr>
        <w:lastRenderedPageBreak/>
        <w:t>Table 2</w:t>
      </w:r>
      <w:r>
        <w:rPr>
          <w:rFonts w:ascii="Times New Roman" w:hAnsi="Times New Roman" w:cs="Times New Roman"/>
          <w:lang w:val="en-US"/>
        </w:rPr>
        <w:t xml:space="preserve">. A) Macro- and micronutrient contents in roots of Touriga Nacional grapevines grafted onto 1103 Paulsen rootstock. Data represent average values (n = 3-4) ± standard error. Different letters indicate significant differences among the different experimental treatments, according to Duncan </w:t>
      </w:r>
      <w:r w:rsidR="007E48EE">
        <w:rPr>
          <w:rFonts w:ascii="Times New Roman" w:hAnsi="Times New Roman" w:cs="Times New Roman"/>
          <w:i/>
          <w:iCs/>
          <w:lang w:val="en-US"/>
        </w:rPr>
        <w:t>post hoc</w:t>
      </w:r>
      <w:r>
        <w:rPr>
          <w:rFonts w:ascii="Times New Roman" w:hAnsi="Times New Roman" w:cs="Times New Roman"/>
          <w:lang w:val="en-US"/>
        </w:rPr>
        <w:t xml:space="preserve"> test. B) P-values of the two-way ANOVA test for the effects of the factors “Soil treatment” and “Mycorrhizal treatment” and their interaction. Significant effect: p-value ≤ 0.05. </w:t>
      </w:r>
    </w:p>
    <w:tbl>
      <w:tblPr>
        <w:tblW w:w="5000" w:type="pct"/>
        <w:tblCellMar>
          <w:left w:w="70" w:type="dxa"/>
          <w:right w:w="70" w:type="dxa"/>
        </w:tblCellMar>
        <w:tblLook w:val="04A0" w:firstRow="1" w:lastRow="0" w:firstColumn="1" w:lastColumn="0" w:noHBand="0" w:noVBand="1"/>
      </w:tblPr>
      <w:tblGrid>
        <w:gridCol w:w="366"/>
        <w:gridCol w:w="1623"/>
        <w:gridCol w:w="1610"/>
        <w:gridCol w:w="1264"/>
        <w:gridCol w:w="1355"/>
        <w:gridCol w:w="1264"/>
        <w:gridCol w:w="241"/>
        <w:gridCol w:w="1619"/>
        <w:gridCol w:w="1509"/>
        <w:gridCol w:w="1535"/>
        <w:gridCol w:w="1616"/>
      </w:tblGrid>
      <w:tr w:rsidR="007A24BC" w14:paraId="399FA1C9" w14:textId="77777777" w:rsidTr="007A24BC">
        <w:trPr>
          <w:trHeight w:val="443"/>
        </w:trPr>
        <w:tc>
          <w:tcPr>
            <w:tcW w:w="131" w:type="pct"/>
            <w:shd w:val="clear" w:color="auto" w:fill="FFFFFF"/>
            <w:noWrap/>
            <w:vAlign w:val="bottom"/>
            <w:hideMark/>
          </w:tcPr>
          <w:p w14:paraId="3FECED2A" w14:textId="77777777" w:rsidR="007A24BC" w:rsidRDefault="007A24BC">
            <w:pPr>
              <w:spacing w:after="0" w:line="240" w:lineRule="auto"/>
              <w:jc w:val="right"/>
              <w:rPr>
                <w:rFonts w:ascii="Times New Roman" w:eastAsia="Times New Roman" w:hAnsi="Times New Roman" w:cs="Times New Roman"/>
                <w:b/>
                <w:bCs/>
                <w:sz w:val="18"/>
                <w:szCs w:val="18"/>
                <w:lang w:val="pt-PT" w:eastAsia="pt-PT"/>
              </w:rPr>
            </w:pPr>
            <w:r>
              <w:rPr>
                <w:rFonts w:ascii="Times New Roman" w:eastAsia="Times New Roman" w:hAnsi="Times New Roman" w:cs="Times New Roman"/>
                <w:b/>
                <w:bCs/>
                <w:sz w:val="18"/>
                <w:szCs w:val="18"/>
                <w:lang w:eastAsia="pt-PT"/>
              </w:rPr>
              <w:t>A)</w:t>
            </w:r>
          </w:p>
        </w:tc>
        <w:tc>
          <w:tcPr>
            <w:tcW w:w="580" w:type="pct"/>
            <w:vMerge w:val="restart"/>
            <w:tcBorders>
              <w:top w:val="nil"/>
              <w:left w:val="nil"/>
              <w:bottom w:val="single" w:sz="4" w:space="0" w:color="000000"/>
              <w:right w:val="nil"/>
            </w:tcBorders>
            <w:shd w:val="clear" w:color="auto" w:fill="FFFFFF"/>
            <w:noWrap/>
            <w:vAlign w:val="center"/>
            <w:hideMark/>
          </w:tcPr>
          <w:p w14:paraId="7F532F55" w14:textId="77777777" w:rsidR="007A24BC" w:rsidRDefault="007A24BC">
            <w:pPr>
              <w:spacing w:after="0" w:line="240" w:lineRule="auto"/>
              <w:jc w:val="center"/>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Soil treatment</w:t>
            </w:r>
          </w:p>
        </w:tc>
        <w:tc>
          <w:tcPr>
            <w:tcW w:w="575" w:type="pct"/>
            <w:vMerge w:val="restart"/>
            <w:tcBorders>
              <w:top w:val="nil"/>
              <w:left w:val="nil"/>
              <w:bottom w:val="single" w:sz="4" w:space="0" w:color="000000"/>
              <w:right w:val="nil"/>
            </w:tcBorders>
            <w:shd w:val="clear" w:color="auto" w:fill="FFFFFF"/>
            <w:vAlign w:val="center"/>
            <w:hideMark/>
          </w:tcPr>
          <w:p w14:paraId="354BD03B" w14:textId="77777777" w:rsidR="007A24BC" w:rsidRDefault="007A24BC">
            <w:pPr>
              <w:spacing w:after="0" w:line="240" w:lineRule="auto"/>
              <w:jc w:val="center"/>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Mycorrhizal treatment</w:t>
            </w:r>
          </w:p>
        </w:tc>
        <w:tc>
          <w:tcPr>
            <w:tcW w:w="1386" w:type="pct"/>
            <w:gridSpan w:val="3"/>
            <w:tcBorders>
              <w:top w:val="nil"/>
              <w:left w:val="nil"/>
              <w:bottom w:val="single" w:sz="8" w:space="0" w:color="auto"/>
              <w:right w:val="nil"/>
            </w:tcBorders>
            <w:shd w:val="clear" w:color="auto" w:fill="FFFFFF"/>
            <w:noWrap/>
            <w:vAlign w:val="center"/>
            <w:hideMark/>
          </w:tcPr>
          <w:p w14:paraId="3880471E" w14:textId="77777777" w:rsidR="007A24BC" w:rsidRDefault="007A24BC">
            <w:pPr>
              <w:spacing w:after="0" w:line="240" w:lineRule="auto"/>
              <w:jc w:val="center"/>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Macronutrient concentration (g/kg)</w:t>
            </w:r>
          </w:p>
        </w:tc>
        <w:tc>
          <w:tcPr>
            <w:tcW w:w="86" w:type="pct"/>
            <w:shd w:val="clear" w:color="auto" w:fill="FFFFFF"/>
            <w:noWrap/>
            <w:vAlign w:val="center"/>
            <w:hideMark/>
          </w:tcPr>
          <w:p w14:paraId="2C352204" w14:textId="77777777" w:rsidR="007A24BC" w:rsidRDefault="007A24BC">
            <w:pPr>
              <w:spacing w:after="0" w:line="240" w:lineRule="auto"/>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 </w:t>
            </w:r>
          </w:p>
        </w:tc>
        <w:tc>
          <w:tcPr>
            <w:tcW w:w="2243" w:type="pct"/>
            <w:gridSpan w:val="4"/>
            <w:tcBorders>
              <w:top w:val="nil"/>
              <w:left w:val="nil"/>
              <w:bottom w:val="single" w:sz="8" w:space="0" w:color="auto"/>
              <w:right w:val="nil"/>
            </w:tcBorders>
            <w:shd w:val="clear" w:color="auto" w:fill="FFFFFF"/>
            <w:noWrap/>
            <w:vAlign w:val="center"/>
            <w:hideMark/>
          </w:tcPr>
          <w:p w14:paraId="0D66BE4F" w14:textId="77777777" w:rsidR="007A24BC" w:rsidRDefault="007A24BC">
            <w:pPr>
              <w:spacing w:after="0" w:line="240" w:lineRule="auto"/>
              <w:jc w:val="center"/>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Micronutrient concentration (mg/kg)</w:t>
            </w:r>
          </w:p>
        </w:tc>
      </w:tr>
      <w:tr w:rsidR="007A24BC" w14:paraId="023C2C7D" w14:textId="77777777" w:rsidTr="007A24BC">
        <w:trPr>
          <w:trHeight w:val="420"/>
        </w:trPr>
        <w:tc>
          <w:tcPr>
            <w:tcW w:w="131" w:type="pct"/>
            <w:shd w:val="clear" w:color="auto" w:fill="FFFFFF"/>
            <w:noWrap/>
            <w:vAlign w:val="bottom"/>
            <w:hideMark/>
          </w:tcPr>
          <w:p w14:paraId="3C0E61A1" w14:textId="77777777" w:rsidR="007A24BC" w:rsidRDefault="007A24BC">
            <w:pPr>
              <w:spacing w:after="0" w:line="240" w:lineRule="auto"/>
              <w:jc w:val="right"/>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 </w:t>
            </w:r>
          </w:p>
        </w:tc>
        <w:tc>
          <w:tcPr>
            <w:tcW w:w="0" w:type="auto"/>
            <w:vMerge/>
            <w:tcBorders>
              <w:top w:val="nil"/>
              <w:left w:val="nil"/>
              <w:bottom w:val="single" w:sz="4" w:space="0" w:color="000000"/>
              <w:right w:val="nil"/>
            </w:tcBorders>
            <w:vAlign w:val="center"/>
            <w:hideMark/>
          </w:tcPr>
          <w:p w14:paraId="0EC42D84" w14:textId="77777777" w:rsidR="007A24BC" w:rsidRDefault="007A24BC">
            <w:pPr>
              <w:spacing w:after="0"/>
              <w:rPr>
                <w:rFonts w:ascii="Times New Roman" w:eastAsia="Times New Roman" w:hAnsi="Times New Roman" w:cs="Times New Roman"/>
                <w:b/>
                <w:bCs/>
                <w:sz w:val="18"/>
                <w:szCs w:val="18"/>
                <w:lang w:eastAsia="pt-PT"/>
              </w:rPr>
            </w:pPr>
          </w:p>
        </w:tc>
        <w:tc>
          <w:tcPr>
            <w:tcW w:w="0" w:type="auto"/>
            <w:vMerge/>
            <w:tcBorders>
              <w:top w:val="nil"/>
              <w:left w:val="nil"/>
              <w:bottom w:val="single" w:sz="4" w:space="0" w:color="000000"/>
              <w:right w:val="nil"/>
            </w:tcBorders>
            <w:vAlign w:val="center"/>
            <w:hideMark/>
          </w:tcPr>
          <w:p w14:paraId="1712D422" w14:textId="77777777" w:rsidR="007A24BC" w:rsidRDefault="007A24BC">
            <w:pPr>
              <w:spacing w:after="0"/>
              <w:rPr>
                <w:rFonts w:ascii="Times New Roman" w:eastAsia="Times New Roman" w:hAnsi="Times New Roman" w:cs="Times New Roman"/>
                <w:b/>
                <w:bCs/>
                <w:sz w:val="18"/>
                <w:szCs w:val="18"/>
                <w:lang w:eastAsia="pt-PT"/>
              </w:rPr>
            </w:pPr>
          </w:p>
        </w:tc>
        <w:tc>
          <w:tcPr>
            <w:tcW w:w="451" w:type="pct"/>
            <w:tcBorders>
              <w:top w:val="nil"/>
              <w:left w:val="nil"/>
              <w:bottom w:val="single" w:sz="4" w:space="0" w:color="auto"/>
              <w:right w:val="nil"/>
            </w:tcBorders>
            <w:shd w:val="clear" w:color="auto" w:fill="FFFFFF"/>
            <w:noWrap/>
            <w:vAlign w:val="center"/>
            <w:hideMark/>
          </w:tcPr>
          <w:p w14:paraId="4860D226" w14:textId="77777777" w:rsidR="007A24BC" w:rsidRDefault="007A24BC">
            <w:pPr>
              <w:spacing w:after="0" w:line="240" w:lineRule="auto"/>
              <w:jc w:val="center"/>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N</w:t>
            </w:r>
          </w:p>
        </w:tc>
        <w:tc>
          <w:tcPr>
            <w:tcW w:w="484" w:type="pct"/>
            <w:tcBorders>
              <w:top w:val="nil"/>
              <w:left w:val="nil"/>
              <w:bottom w:val="single" w:sz="4" w:space="0" w:color="auto"/>
              <w:right w:val="nil"/>
            </w:tcBorders>
            <w:shd w:val="clear" w:color="auto" w:fill="FFFFFF"/>
            <w:noWrap/>
            <w:vAlign w:val="center"/>
            <w:hideMark/>
          </w:tcPr>
          <w:p w14:paraId="456AE5AE" w14:textId="77777777" w:rsidR="007A24BC" w:rsidRDefault="007A24BC">
            <w:pPr>
              <w:spacing w:after="0" w:line="240" w:lineRule="auto"/>
              <w:jc w:val="center"/>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 xml:space="preserve">P </w:t>
            </w:r>
          </w:p>
        </w:tc>
        <w:tc>
          <w:tcPr>
            <w:tcW w:w="451" w:type="pct"/>
            <w:tcBorders>
              <w:top w:val="nil"/>
              <w:left w:val="nil"/>
              <w:bottom w:val="single" w:sz="4" w:space="0" w:color="auto"/>
              <w:right w:val="nil"/>
            </w:tcBorders>
            <w:shd w:val="clear" w:color="auto" w:fill="FFFFFF"/>
            <w:noWrap/>
            <w:vAlign w:val="center"/>
            <w:hideMark/>
          </w:tcPr>
          <w:p w14:paraId="30FA10F0" w14:textId="77777777" w:rsidR="007A24BC" w:rsidRDefault="007A24BC">
            <w:pPr>
              <w:spacing w:after="0" w:line="240" w:lineRule="auto"/>
              <w:jc w:val="center"/>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K</w:t>
            </w:r>
          </w:p>
        </w:tc>
        <w:tc>
          <w:tcPr>
            <w:tcW w:w="86" w:type="pct"/>
            <w:tcBorders>
              <w:top w:val="nil"/>
              <w:left w:val="nil"/>
              <w:bottom w:val="single" w:sz="4" w:space="0" w:color="auto"/>
              <w:right w:val="nil"/>
            </w:tcBorders>
            <w:shd w:val="clear" w:color="auto" w:fill="FFFFFF"/>
            <w:noWrap/>
            <w:vAlign w:val="center"/>
            <w:hideMark/>
          </w:tcPr>
          <w:p w14:paraId="0468A108" w14:textId="77777777" w:rsidR="007A24BC" w:rsidRDefault="007A24BC">
            <w:pPr>
              <w:spacing w:after="0" w:line="240" w:lineRule="auto"/>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 </w:t>
            </w:r>
          </w:p>
        </w:tc>
        <w:tc>
          <w:tcPr>
            <w:tcW w:w="578" w:type="pct"/>
            <w:tcBorders>
              <w:top w:val="nil"/>
              <w:left w:val="nil"/>
              <w:bottom w:val="single" w:sz="4" w:space="0" w:color="auto"/>
              <w:right w:val="nil"/>
            </w:tcBorders>
            <w:shd w:val="clear" w:color="auto" w:fill="FFFFFF"/>
            <w:noWrap/>
            <w:vAlign w:val="center"/>
            <w:hideMark/>
          </w:tcPr>
          <w:p w14:paraId="3CF65B37" w14:textId="77777777" w:rsidR="007A24BC" w:rsidRDefault="007A24BC">
            <w:pPr>
              <w:spacing w:after="0" w:line="240" w:lineRule="auto"/>
              <w:jc w:val="center"/>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 xml:space="preserve">Cu </w:t>
            </w:r>
          </w:p>
        </w:tc>
        <w:tc>
          <w:tcPr>
            <w:tcW w:w="539" w:type="pct"/>
            <w:tcBorders>
              <w:top w:val="nil"/>
              <w:left w:val="nil"/>
              <w:bottom w:val="single" w:sz="4" w:space="0" w:color="auto"/>
              <w:right w:val="nil"/>
            </w:tcBorders>
            <w:shd w:val="clear" w:color="auto" w:fill="FFFFFF"/>
            <w:noWrap/>
            <w:vAlign w:val="center"/>
            <w:hideMark/>
          </w:tcPr>
          <w:p w14:paraId="5216265F" w14:textId="77777777" w:rsidR="007A24BC" w:rsidRDefault="007A24BC">
            <w:pPr>
              <w:spacing w:after="0" w:line="240" w:lineRule="auto"/>
              <w:jc w:val="center"/>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 xml:space="preserve">Zn </w:t>
            </w:r>
          </w:p>
        </w:tc>
        <w:tc>
          <w:tcPr>
            <w:tcW w:w="548" w:type="pct"/>
            <w:tcBorders>
              <w:top w:val="nil"/>
              <w:left w:val="nil"/>
              <w:bottom w:val="single" w:sz="4" w:space="0" w:color="auto"/>
              <w:right w:val="nil"/>
            </w:tcBorders>
            <w:shd w:val="clear" w:color="auto" w:fill="FFFFFF"/>
            <w:noWrap/>
            <w:vAlign w:val="center"/>
            <w:hideMark/>
          </w:tcPr>
          <w:p w14:paraId="36CAD8BD" w14:textId="77777777" w:rsidR="007A24BC" w:rsidRDefault="007A24BC">
            <w:pPr>
              <w:spacing w:after="0" w:line="240" w:lineRule="auto"/>
              <w:jc w:val="center"/>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Mn</w:t>
            </w:r>
          </w:p>
        </w:tc>
        <w:tc>
          <w:tcPr>
            <w:tcW w:w="578" w:type="pct"/>
            <w:tcBorders>
              <w:top w:val="nil"/>
              <w:left w:val="nil"/>
              <w:bottom w:val="single" w:sz="4" w:space="0" w:color="auto"/>
              <w:right w:val="nil"/>
            </w:tcBorders>
            <w:shd w:val="clear" w:color="auto" w:fill="FFFFFF"/>
            <w:noWrap/>
            <w:vAlign w:val="center"/>
            <w:hideMark/>
          </w:tcPr>
          <w:p w14:paraId="1EE9966A" w14:textId="77777777" w:rsidR="007A24BC" w:rsidRDefault="007A24BC">
            <w:pPr>
              <w:spacing w:after="0" w:line="240" w:lineRule="auto"/>
              <w:jc w:val="center"/>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 xml:space="preserve">Fe </w:t>
            </w:r>
          </w:p>
        </w:tc>
      </w:tr>
      <w:tr w:rsidR="007A24BC" w14:paraId="578180EF" w14:textId="77777777" w:rsidTr="007A24BC">
        <w:trPr>
          <w:trHeight w:val="432"/>
        </w:trPr>
        <w:tc>
          <w:tcPr>
            <w:tcW w:w="131" w:type="pct"/>
            <w:shd w:val="clear" w:color="auto" w:fill="FFFFFF"/>
            <w:noWrap/>
            <w:vAlign w:val="bottom"/>
            <w:hideMark/>
          </w:tcPr>
          <w:p w14:paraId="598371EE"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80" w:type="pct"/>
            <w:vMerge w:val="restart"/>
            <w:tcBorders>
              <w:top w:val="nil"/>
              <w:left w:val="nil"/>
              <w:bottom w:val="single" w:sz="4" w:space="0" w:color="000000"/>
              <w:right w:val="nil"/>
            </w:tcBorders>
            <w:shd w:val="clear" w:color="auto" w:fill="FFFFFF"/>
            <w:vAlign w:val="center"/>
            <w:hideMark/>
          </w:tcPr>
          <w:p w14:paraId="22B68BFC" w14:textId="56F44DC1" w:rsidR="007A24BC" w:rsidRDefault="0083298F">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Control</w:t>
            </w:r>
          </w:p>
        </w:tc>
        <w:tc>
          <w:tcPr>
            <w:tcW w:w="575" w:type="pct"/>
            <w:shd w:val="clear" w:color="auto" w:fill="FFFFFF"/>
            <w:noWrap/>
            <w:vAlign w:val="center"/>
            <w:hideMark/>
          </w:tcPr>
          <w:p w14:paraId="502508D4"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Non-inoculated</w:t>
            </w:r>
          </w:p>
        </w:tc>
        <w:tc>
          <w:tcPr>
            <w:tcW w:w="451" w:type="pct"/>
            <w:shd w:val="clear" w:color="auto" w:fill="FFFFFF"/>
            <w:noWrap/>
            <w:vAlign w:val="center"/>
            <w:hideMark/>
          </w:tcPr>
          <w:p w14:paraId="37D09564"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5.51 ± 0.206 ab</w:t>
            </w:r>
          </w:p>
        </w:tc>
        <w:tc>
          <w:tcPr>
            <w:tcW w:w="484" w:type="pct"/>
            <w:shd w:val="clear" w:color="auto" w:fill="FFFFFF"/>
            <w:noWrap/>
            <w:vAlign w:val="center"/>
            <w:hideMark/>
          </w:tcPr>
          <w:p w14:paraId="57FFF824"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1.19 ± 0.048 a</w:t>
            </w:r>
          </w:p>
        </w:tc>
        <w:tc>
          <w:tcPr>
            <w:tcW w:w="451" w:type="pct"/>
            <w:shd w:val="clear" w:color="auto" w:fill="FFFFFF"/>
            <w:noWrap/>
            <w:vAlign w:val="center"/>
            <w:hideMark/>
          </w:tcPr>
          <w:p w14:paraId="11DF5C9D"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5.38 ± 0.367 ab</w:t>
            </w:r>
          </w:p>
        </w:tc>
        <w:tc>
          <w:tcPr>
            <w:tcW w:w="86" w:type="pct"/>
            <w:shd w:val="clear" w:color="auto" w:fill="FFFFFF"/>
            <w:noWrap/>
            <w:vAlign w:val="center"/>
            <w:hideMark/>
          </w:tcPr>
          <w:p w14:paraId="40F0BD37"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78" w:type="pct"/>
            <w:shd w:val="clear" w:color="auto" w:fill="FFFFFF"/>
            <w:noWrap/>
            <w:vAlign w:val="center"/>
            <w:hideMark/>
          </w:tcPr>
          <w:p w14:paraId="6E97BA13"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20.45 ± 2.132 b</w:t>
            </w:r>
          </w:p>
        </w:tc>
        <w:tc>
          <w:tcPr>
            <w:tcW w:w="539" w:type="pct"/>
            <w:shd w:val="clear" w:color="auto" w:fill="FFFFFF"/>
            <w:noWrap/>
            <w:vAlign w:val="center"/>
            <w:hideMark/>
          </w:tcPr>
          <w:p w14:paraId="4DCA559A"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28.49 ± 3.138 b</w:t>
            </w:r>
          </w:p>
        </w:tc>
        <w:tc>
          <w:tcPr>
            <w:tcW w:w="548" w:type="pct"/>
            <w:shd w:val="clear" w:color="auto" w:fill="FFFFFF"/>
            <w:noWrap/>
            <w:vAlign w:val="center"/>
            <w:hideMark/>
          </w:tcPr>
          <w:p w14:paraId="6642C198"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60.40 ± 9.884 ab</w:t>
            </w:r>
          </w:p>
        </w:tc>
        <w:tc>
          <w:tcPr>
            <w:tcW w:w="578" w:type="pct"/>
            <w:shd w:val="clear" w:color="auto" w:fill="FFFFFF"/>
            <w:noWrap/>
            <w:vAlign w:val="center"/>
            <w:hideMark/>
          </w:tcPr>
          <w:p w14:paraId="2A09DD74"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126.31 ± 26.171 bc</w:t>
            </w:r>
          </w:p>
        </w:tc>
      </w:tr>
      <w:tr w:rsidR="007A24BC" w14:paraId="7B5BBD6E" w14:textId="77777777" w:rsidTr="007A24BC">
        <w:trPr>
          <w:trHeight w:val="432"/>
        </w:trPr>
        <w:tc>
          <w:tcPr>
            <w:tcW w:w="131" w:type="pct"/>
            <w:shd w:val="clear" w:color="auto" w:fill="FFFFFF"/>
            <w:noWrap/>
            <w:vAlign w:val="bottom"/>
            <w:hideMark/>
          </w:tcPr>
          <w:p w14:paraId="1E3C29D7"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0" w:type="auto"/>
            <w:vMerge/>
            <w:tcBorders>
              <w:top w:val="nil"/>
              <w:left w:val="nil"/>
              <w:bottom w:val="single" w:sz="4" w:space="0" w:color="000000"/>
              <w:right w:val="nil"/>
            </w:tcBorders>
            <w:vAlign w:val="center"/>
            <w:hideMark/>
          </w:tcPr>
          <w:p w14:paraId="051DEEDB" w14:textId="77777777" w:rsidR="007A24BC" w:rsidRDefault="007A24BC">
            <w:pPr>
              <w:spacing w:after="0"/>
              <w:rPr>
                <w:rFonts w:ascii="Times New Roman" w:eastAsia="Times New Roman" w:hAnsi="Times New Roman" w:cs="Times New Roman"/>
                <w:sz w:val="18"/>
                <w:szCs w:val="18"/>
                <w:lang w:eastAsia="pt-PT"/>
              </w:rPr>
            </w:pPr>
          </w:p>
        </w:tc>
        <w:tc>
          <w:tcPr>
            <w:tcW w:w="575" w:type="pct"/>
            <w:shd w:val="clear" w:color="auto" w:fill="FFFFFF"/>
            <w:noWrap/>
            <w:vAlign w:val="center"/>
            <w:hideMark/>
          </w:tcPr>
          <w:p w14:paraId="6861018D"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Inoculated with Ri</w:t>
            </w:r>
            <w:r>
              <w:rPr>
                <w:rFonts w:ascii="Times New Roman" w:eastAsia="Times New Roman" w:hAnsi="Times New Roman" w:cs="Times New Roman"/>
                <w:sz w:val="18"/>
                <w:szCs w:val="18"/>
                <w:vertAlign w:val="superscript"/>
                <w:lang w:eastAsia="pt-PT"/>
              </w:rPr>
              <w:t>1</w:t>
            </w:r>
          </w:p>
        </w:tc>
        <w:tc>
          <w:tcPr>
            <w:tcW w:w="451" w:type="pct"/>
            <w:shd w:val="clear" w:color="auto" w:fill="FFFFFF"/>
            <w:noWrap/>
            <w:vAlign w:val="center"/>
            <w:hideMark/>
          </w:tcPr>
          <w:p w14:paraId="6C856EB0"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5.92 ± 0.475 ab</w:t>
            </w:r>
          </w:p>
        </w:tc>
        <w:tc>
          <w:tcPr>
            <w:tcW w:w="484" w:type="pct"/>
            <w:shd w:val="clear" w:color="auto" w:fill="FFFFFF"/>
            <w:noWrap/>
            <w:vAlign w:val="center"/>
            <w:hideMark/>
          </w:tcPr>
          <w:p w14:paraId="55F4486D"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1.07 ± 0.005 abc</w:t>
            </w:r>
          </w:p>
        </w:tc>
        <w:tc>
          <w:tcPr>
            <w:tcW w:w="451" w:type="pct"/>
            <w:shd w:val="clear" w:color="auto" w:fill="FFFFFF"/>
            <w:noWrap/>
            <w:vAlign w:val="center"/>
            <w:hideMark/>
          </w:tcPr>
          <w:p w14:paraId="178B6C6B"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5.49 ± 0.975 ab</w:t>
            </w:r>
          </w:p>
        </w:tc>
        <w:tc>
          <w:tcPr>
            <w:tcW w:w="86" w:type="pct"/>
            <w:shd w:val="clear" w:color="auto" w:fill="FFFFFF"/>
            <w:noWrap/>
            <w:vAlign w:val="center"/>
            <w:hideMark/>
          </w:tcPr>
          <w:p w14:paraId="5ACB1126"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78" w:type="pct"/>
            <w:shd w:val="clear" w:color="auto" w:fill="FFFFFF"/>
            <w:noWrap/>
            <w:vAlign w:val="center"/>
            <w:hideMark/>
          </w:tcPr>
          <w:p w14:paraId="3B5DB533"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19.84 ± 2.654 b</w:t>
            </w:r>
          </w:p>
        </w:tc>
        <w:tc>
          <w:tcPr>
            <w:tcW w:w="539" w:type="pct"/>
            <w:shd w:val="clear" w:color="auto" w:fill="FFFFFF"/>
            <w:noWrap/>
            <w:vAlign w:val="center"/>
            <w:hideMark/>
          </w:tcPr>
          <w:p w14:paraId="14FD2991"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28.09 ± 1.021 b</w:t>
            </w:r>
          </w:p>
        </w:tc>
        <w:tc>
          <w:tcPr>
            <w:tcW w:w="548" w:type="pct"/>
            <w:shd w:val="clear" w:color="auto" w:fill="FFFFFF"/>
            <w:noWrap/>
            <w:vAlign w:val="center"/>
            <w:hideMark/>
          </w:tcPr>
          <w:p w14:paraId="4F305074"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51.18 ± 3.226 b</w:t>
            </w:r>
          </w:p>
        </w:tc>
        <w:tc>
          <w:tcPr>
            <w:tcW w:w="578" w:type="pct"/>
            <w:shd w:val="clear" w:color="auto" w:fill="FFFFFF"/>
            <w:noWrap/>
            <w:vAlign w:val="center"/>
            <w:hideMark/>
          </w:tcPr>
          <w:p w14:paraId="0B8B5580"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77.65 ± 10.285 c</w:t>
            </w:r>
          </w:p>
        </w:tc>
      </w:tr>
      <w:tr w:rsidR="007A24BC" w14:paraId="698D8722" w14:textId="77777777" w:rsidTr="007A24BC">
        <w:trPr>
          <w:trHeight w:val="432"/>
        </w:trPr>
        <w:tc>
          <w:tcPr>
            <w:tcW w:w="131" w:type="pct"/>
            <w:shd w:val="clear" w:color="auto" w:fill="FFFFFF"/>
            <w:noWrap/>
            <w:vAlign w:val="bottom"/>
            <w:hideMark/>
          </w:tcPr>
          <w:p w14:paraId="097F0C11"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0" w:type="auto"/>
            <w:vMerge/>
            <w:tcBorders>
              <w:top w:val="nil"/>
              <w:left w:val="nil"/>
              <w:bottom w:val="single" w:sz="4" w:space="0" w:color="000000"/>
              <w:right w:val="nil"/>
            </w:tcBorders>
            <w:vAlign w:val="center"/>
            <w:hideMark/>
          </w:tcPr>
          <w:p w14:paraId="69FE9940" w14:textId="77777777" w:rsidR="007A24BC" w:rsidRDefault="007A24BC">
            <w:pPr>
              <w:spacing w:after="0"/>
              <w:rPr>
                <w:rFonts w:ascii="Times New Roman" w:eastAsia="Times New Roman" w:hAnsi="Times New Roman" w:cs="Times New Roman"/>
                <w:sz w:val="18"/>
                <w:szCs w:val="18"/>
                <w:lang w:eastAsia="pt-PT"/>
              </w:rPr>
            </w:pPr>
          </w:p>
        </w:tc>
        <w:tc>
          <w:tcPr>
            <w:tcW w:w="575" w:type="pct"/>
            <w:tcBorders>
              <w:top w:val="nil"/>
              <w:left w:val="nil"/>
              <w:bottom w:val="single" w:sz="4" w:space="0" w:color="auto"/>
              <w:right w:val="nil"/>
            </w:tcBorders>
            <w:shd w:val="clear" w:color="auto" w:fill="FFFFFF"/>
            <w:noWrap/>
            <w:vAlign w:val="center"/>
            <w:hideMark/>
          </w:tcPr>
          <w:p w14:paraId="674A2B7A"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Inoculated with Fm</w:t>
            </w:r>
            <w:r>
              <w:rPr>
                <w:rFonts w:ascii="Times New Roman" w:eastAsia="Times New Roman" w:hAnsi="Times New Roman" w:cs="Times New Roman"/>
                <w:sz w:val="18"/>
                <w:szCs w:val="18"/>
                <w:vertAlign w:val="superscript"/>
                <w:lang w:eastAsia="pt-PT"/>
              </w:rPr>
              <w:t>2</w:t>
            </w:r>
          </w:p>
        </w:tc>
        <w:tc>
          <w:tcPr>
            <w:tcW w:w="451" w:type="pct"/>
            <w:tcBorders>
              <w:top w:val="nil"/>
              <w:left w:val="nil"/>
              <w:bottom w:val="single" w:sz="4" w:space="0" w:color="auto"/>
              <w:right w:val="nil"/>
            </w:tcBorders>
            <w:shd w:val="clear" w:color="auto" w:fill="FFFFFF"/>
            <w:noWrap/>
            <w:vAlign w:val="center"/>
            <w:hideMark/>
          </w:tcPr>
          <w:p w14:paraId="2372D17F"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5.27 ± 0.179 ab</w:t>
            </w:r>
          </w:p>
        </w:tc>
        <w:tc>
          <w:tcPr>
            <w:tcW w:w="484" w:type="pct"/>
            <w:tcBorders>
              <w:top w:val="nil"/>
              <w:left w:val="nil"/>
              <w:bottom w:val="single" w:sz="4" w:space="0" w:color="auto"/>
              <w:right w:val="nil"/>
            </w:tcBorders>
            <w:shd w:val="clear" w:color="auto" w:fill="FFFFFF"/>
            <w:noWrap/>
            <w:vAlign w:val="center"/>
            <w:hideMark/>
          </w:tcPr>
          <w:p w14:paraId="06DBB761"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0.99 ± 0.028 cd</w:t>
            </w:r>
          </w:p>
        </w:tc>
        <w:tc>
          <w:tcPr>
            <w:tcW w:w="451" w:type="pct"/>
            <w:tcBorders>
              <w:top w:val="nil"/>
              <w:left w:val="nil"/>
              <w:bottom w:val="single" w:sz="4" w:space="0" w:color="auto"/>
              <w:right w:val="nil"/>
            </w:tcBorders>
            <w:shd w:val="clear" w:color="auto" w:fill="FFFFFF"/>
            <w:noWrap/>
            <w:vAlign w:val="center"/>
            <w:hideMark/>
          </w:tcPr>
          <w:p w14:paraId="3616A73B"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3.87 ± 0.422 b</w:t>
            </w:r>
          </w:p>
        </w:tc>
        <w:tc>
          <w:tcPr>
            <w:tcW w:w="86" w:type="pct"/>
            <w:tcBorders>
              <w:top w:val="nil"/>
              <w:left w:val="nil"/>
              <w:bottom w:val="single" w:sz="4" w:space="0" w:color="auto"/>
              <w:right w:val="nil"/>
            </w:tcBorders>
            <w:shd w:val="clear" w:color="auto" w:fill="FFFFFF"/>
            <w:noWrap/>
            <w:vAlign w:val="center"/>
            <w:hideMark/>
          </w:tcPr>
          <w:p w14:paraId="1E1A559B"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78" w:type="pct"/>
            <w:tcBorders>
              <w:top w:val="nil"/>
              <w:left w:val="nil"/>
              <w:bottom w:val="single" w:sz="4" w:space="0" w:color="auto"/>
              <w:right w:val="nil"/>
            </w:tcBorders>
            <w:shd w:val="clear" w:color="auto" w:fill="FFFFFF"/>
            <w:noWrap/>
            <w:vAlign w:val="center"/>
            <w:hideMark/>
          </w:tcPr>
          <w:p w14:paraId="7352E69C"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13.83 ± 1.517 b</w:t>
            </w:r>
          </w:p>
        </w:tc>
        <w:tc>
          <w:tcPr>
            <w:tcW w:w="539" w:type="pct"/>
            <w:tcBorders>
              <w:top w:val="nil"/>
              <w:left w:val="nil"/>
              <w:bottom w:val="single" w:sz="4" w:space="0" w:color="auto"/>
              <w:right w:val="nil"/>
            </w:tcBorders>
            <w:shd w:val="clear" w:color="auto" w:fill="FFFFFF"/>
            <w:noWrap/>
            <w:vAlign w:val="center"/>
            <w:hideMark/>
          </w:tcPr>
          <w:p w14:paraId="4E65DD91"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28.11 ± 0.129 b</w:t>
            </w:r>
          </w:p>
        </w:tc>
        <w:tc>
          <w:tcPr>
            <w:tcW w:w="548" w:type="pct"/>
            <w:tcBorders>
              <w:top w:val="nil"/>
              <w:left w:val="nil"/>
              <w:bottom w:val="single" w:sz="4" w:space="0" w:color="auto"/>
              <w:right w:val="nil"/>
            </w:tcBorders>
            <w:shd w:val="clear" w:color="auto" w:fill="FFFFFF"/>
            <w:noWrap/>
            <w:vAlign w:val="center"/>
            <w:hideMark/>
          </w:tcPr>
          <w:p w14:paraId="34F1D6EC"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49.08 ± 6.261 b</w:t>
            </w:r>
          </w:p>
        </w:tc>
        <w:tc>
          <w:tcPr>
            <w:tcW w:w="578" w:type="pct"/>
            <w:tcBorders>
              <w:top w:val="nil"/>
              <w:left w:val="nil"/>
              <w:bottom w:val="single" w:sz="4" w:space="0" w:color="auto"/>
              <w:right w:val="nil"/>
            </w:tcBorders>
            <w:shd w:val="clear" w:color="auto" w:fill="FFFFFF"/>
            <w:noWrap/>
            <w:vAlign w:val="center"/>
            <w:hideMark/>
          </w:tcPr>
          <w:p w14:paraId="3CCEEE02"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73.86 ± 4.182 c</w:t>
            </w:r>
          </w:p>
        </w:tc>
      </w:tr>
      <w:tr w:rsidR="007A24BC" w14:paraId="69AB2762" w14:textId="77777777" w:rsidTr="007A24BC">
        <w:trPr>
          <w:trHeight w:val="432"/>
        </w:trPr>
        <w:tc>
          <w:tcPr>
            <w:tcW w:w="131" w:type="pct"/>
            <w:shd w:val="clear" w:color="auto" w:fill="FFFFFF"/>
            <w:noWrap/>
            <w:vAlign w:val="bottom"/>
            <w:hideMark/>
          </w:tcPr>
          <w:p w14:paraId="75861D55"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80" w:type="pct"/>
            <w:vMerge w:val="restart"/>
            <w:tcBorders>
              <w:top w:val="nil"/>
              <w:left w:val="nil"/>
              <w:bottom w:val="single" w:sz="4" w:space="0" w:color="000000"/>
              <w:right w:val="nil"/>
            </w:tcBorders>
            <w:shd w:val="clear" w:color="auto" w:fill="FFFFFF"/>
            <w:vAlign w:val="center"/>
            <w:hideMark/>
          </w:tcPr>
          <w:p w14:paraId="35203AFE"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xml:space="preserve">Cu </w:t>
            </w:r>
          </w:p>
        </w:tc>
        <w:tc>
          <w:tcPr>
            <w:tcW w:w="575" w:type="pct"/>
            <w:shd w:val="clear" w:color="auto" w:fill="FFFFFF"/>
            <w:noWrap/>
            <w:vAlign w:val="center"/>
            <w:hideMark/>
          </w:tcPr>
          <w:p w14:paraId="3083F884"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Non-inoculated</w:t>
            </w:r>
          </w:p>
        </w:tc>
        <w:tc>
          <w:tcPr>
            <w:tcW w:w="451" w:type="pct"/>
            <w:shd w:val="clear" w:color="auto" w:fill="FFFFFF"/>
            <w:noWrap/>
            <w:vAlign w:val="center"/>
            <w:hideMark/>
          </w:tcPr>
          <w:p w14:paraId="51E1BC6A"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5.71 ± 0.118 ab</w:t>
            </w:r>
          </w:p>
        </w:tc>
        <w:tc>
          <w:tcPr>
            <w:tcW w:w="484" w:type="pct"/>
            <w:shd w:val="clear" w:color="auto" w:fill="FFFFFF"/>
            <w:noWrap/>
            <w:vAlign w:val="center"/>
            <w:hideMark/>
          </w:tcPr>
          <w:p w14:paraId="5C060DE4"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1.00 ± 0.024 cd</w:t>
            </w:r>
          </w:p>
        </w:tc>
        <w:tc>
          <w:tcPr>
            <w:tcW w:w="451" w:type="pct"/>
            <w:shd w:val="clear" w:color="auto" w:fill="FFFFFF"/>
            <w:noWrap/>
            <w:vAlign w:val="center"/>
            <w:hideMark/>
          </w:tcPr>
          <w:p w14:paraId="6F4FC66E"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4.49 ± 0.189 ab</w:t>
            </w:r>
          </w:p>
        </w:tc>
        <w:tc>
          <w:tcPr>
            <w:tcW w:w="86" w:type="pct"/>
            <w:shd w:val="clear" w:color="auto" w:fill="FFFFFF"/>
            <w:noWrap/>
            <w:vAlign w:val="center"/>
            <w:hideMark/>
          </w:tcPr>
          <w:p w14:paraId="627C6BA9"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78" w:type="pct"/>
            <w:shd w:val="clear" w:color="auto" w:fill="FFFFFF"/>
            <w:noWrap/>
            <w:vAlign w:val="center"/>
            <w:hideMark/>
          </w:tcPr>
          <w:p w14:paraId="5A3B1C6B"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683.94 ± 101.275 a</w:t>
            </w:r>
          </w:p>
        </w:tc>
        <w:tc>
          <w:tcPr>
            <w:tcW w:w="539" w:type="pct"/>
            <w:shd w:val="clear" w:color="auto" w:fill="FFFFFF"/>
            <w:noWrap/>
            <w:vAlign w:val="center"/>
            <w:hideMark/>
          </w:tcPr>
          <w:p w14:paraId="28BE0F89"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38.01 ± 1.355 a</w:t>
            </w:r>
          </w:p>
        </w:tc>
        <w:tc>
          <w:tcPr>
            <w:tcW w:w="548" w:type="pct"/>
            <w:shd w:val="clear" w:color="auto" w:fill="FFFFFF"/>
            <w:noWrap/>
            <w:vAlign w:val="center"/>
            <w:hideMark/>
          </w:tcPr>
          <w:p w14:paraId="1E66CC5E"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68.8 ± 3.965 ab</w:t>
            </w:r>
          </w:p>
        </w:tc>
        <w:tc>
          <w:tcPr>
            <w:tcW w:w="578" w:type="pct"/>
            <w:shd w:val="clear" w:color="auto" w:fill="FFFFFF"/>
            <w:noWrap/>
            <w:vAlign w:val="center"/>
            <w:hideMark/>
          </w:tcPr>
          <w:p w14:paraId="68BB0491"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139.48 ± 1.402 bc</w:t>
            </w:r>
          </w:p>
        </w:tc>
      </w:tr>
      <w:tr w:rsidR="007A24BC" w14:paraId="30429F18" w14:textId="77777777" w:rsidTr="007A24BC">
        <w:trPr>
          <w:trHeight w:val="432"/>
        </w:trPr>
        <w:tc>
          <w:tcPr>
            <w:tcW w:w="131" w:type="pct"/>
            <w:shd w:val="clear" w:color="auto" w:fill="FFFFFF"/>
            <w:noWrap/>
            <w:vAlign w:val="bottom"/>
            <w:hideMark/>
          </w:tcPr>
          <w:p w14:paraId="6612CC57"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0" w:type="auto"/>
            <w:vMerge/>
            <w:tcBorders>
              <w:top w:val="nil"/>
              <w:left w:val="nil"/>
              <w:bottom w:val="single" w:sz="4" w:space="0" w:color="000000"/>
              <w:right w:val="nil"/>
            </w:tcBorders>
            <w:vAlign w:val="center"/>
            <w:hideMark/>
          </w:tcPr>
          <w:p w14:paraId="7A361B77" w14:textId="77777777" w:rsidR="007A24BC" w:rsidRDefault="007A24BC">
            <w:pPr>
              <w:spacing w:after="0"/>
              <w:rPr>
                <w:rFonts w:ascii="Times New Roman" w:eastAsia="Times New Roman" w:hAnsi="Times New Roman" w:cs="Times New Roman"/>
                <w:sz w:val="18"/>
                <w:szCs w:val="18"/>
                <w:lang w:eastAsia="pt-PT"/>
              </w:rPr>
            </w:pPr>
          </w:p>
        </w:tc>
        <w:tc>
          <w:tcPr>
            <w:tcW w:w="575" w:type="pct"/>
            <w:shd w:val="clear" w:color="auto" w:fill="FFFFFF"/>
            <w:noWrap/>
            <w:vAlign w:val="center"/>
            <w:hideMark/>
          </w:tcPr>
          <w:p w14:paraId="08C899B9"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Inoculated with Ri</w:t>
            </w:r>
          </w:p>
        </w:tc>
        <w:tc>
          <w:tcPr>
            <w:tcW w:w="451" w:type="pct"/>
            <w:shd w:val="clear" w:color="auto" w:fill="FFFFFF"/>
            <w:noWrap/>
            <w:vAlign w:val="center"/>
            <w:hideMark/>
          </w:tcPr>
          <w:p w14:paraId="12BDFA7E"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6.07 ± 0.253 a</w:t>
            </w:r>
          </w:p>
        </w:tc>
        <w:tc>
          <w:tcPr>
            <w:tcW w:w="484" w:type="pct"/>
            <w:shd w:val="clear" w:color="auto" w:fill="FFFFFF"/>
            <w:noWrap/>
            <w:vAlign w:val="center"/>
            <w:hideMark/>
          </w:tcPr>
          <w:p w14:paraId="1D3F74AA"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1.15 ± 0.006 ab</w:t>
            </w:r>
          </w:p>
        </w:tc>
        <w:tc>
          <w:tcPr>
            <w:tcW w:w="451" w:type="pct"/>
            <w:shd w:val="clear" w:color="auto" w:fill="FFFFFF"/>
            <w:noWrap/>
            <w:vAlign w:val="center"/>
            <w:hideMark/>
          </w:tcPr>
          <w:p w14:paraId="266B5CC6"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5.99 ± 0.054 a</w:t>
            </w:r>
          </w:p>
        </w:tc>
        <w:tc>
          <w:tcPr>
            <w:tcW w:w="86" w:type="pct"/>
            <w:shd w:val="clear" w:color="auto" w:fill="FFFFFF"/>
            <w:noWrap/>
            <w:vAlign w:val="center"/>
            <w:hideMark/>
          </w:tcPr>
          <w:p w14:paraId="7FD2E88D"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78" w:type="pct"/>
            <w:shd w:val="clear" w:color="auto" w:fill="FFFFFF"/>
            <w:noWrap/>
            <w:vAlign w:val="center"/>
            <w:hideMark/>
          </w:tcPr>
          <w:p w14:paraId="59305425"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745.51 ± 31.371 a</w:t>
            </w:r>
          </w:p>
        </w:tc>
        <w:tc>
          <w:tcPr>
            <w:tcW w:w="539" w:type="pct"/>
            <w:shd w:val="clear" w:color="auto" w:fill="FFFFFF"/>
            <w:noWrap/>
            <w:vAlign w:val="center"/>
            <w:hideMark/>
          </w:tcPr>
          <w:p w14:paraId="2E18F113"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37.93 ± 2.799 a</w:t>
            </w:r>
          </w:p>
        </w:tc>
        <w:tc>
          <w:tcPr>
            <w:tcW w:w="548" w:type="pct"/>
            <w:shd w:val="clear" w:color="auto" w:fill="FFFFFF"/>
            <w:noWrap/>
            <w:vAlign w:val="center"/>
            <w:hideMark/>
          </w:tcPr>
          <w:p w14:paraId="0DE53362"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79.32 ± 3.380 a</w:t>
            </w:r>
          </w:p>
        </w:tc>
        <w:tc>
          <w:tcPr>
            <w:tcW w:w="578" w:type="pct"/>
            <w:shd w:val="clear" w:color="auto" w:fill="FFFFFF"/>
            <w:noWrap/>
            <w:vAlign w:val="center"/>
            <w:hideMark/>
          </w:tcPr>
          <w:p w14:paraId="2CF0E309"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256.5 ± 22.192  a</w:t>
            </w:r>
          </w:p>
        </w:tc>
      </w:tr>
      <w:tr w:rsidR="007A24BC" w14:paraId="42F8DF74" w14:textId="77777777" w:rsidTr="007A24BC">
        <w:trPr>
          <w:trHeight w:val="432"/>
        </w:trPr>
        <w:tc>
          <w:tcPr>
            <w:tcW w:w="131" w:type="pct"/>
            <w:shd w:val="clear" w:color="auto" w:fill="FFFFFF"/>
            <w:noWrap/>
            <w:vAlign w:val="bottom"/>
            <w:hideMark/>
          </w:tcPr>
          <w:p w14:paraId="06DE38DC"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0" w:type="auto"/>
            <w:vMerge/>
            <w:tcBorders>
              <w:top w:val="nil"/>
              <w:left w:val="nil"/>
              <w:bottom w:val="single" w:sz="4" w:space="0" w:color="000000"/>
              <w:right w:val="nil"/>
            </w:tcBorders>
            <w:vAlign w:val="center"/>
            <w:hideMark/>
          </w:tcPr>
          <w:p w14:paraId="1637FAEF" w14:textId="77777777" w:rsidR="007A24BC" w:rsidRDefault="007A24BC">
            <w:pPr>
              <w:spacing w:after="0"/>
              <w:rPr>
                <w:rFonts w:ascii="Times New Roman" w:eastAsia="Times New Roman" w:hAnsi="Times New Roman" w:cs="Times New Roman"/>
                <w:sz w:val="18"/>
                <w:szCs w:val="18"/>
                <w:lang w:eastAsia="pt-PT"/>
              </w:rPr>
            </w:pPr>
          </w:p>
        </w:tc>
        <w:tc>
          <w:tcPr>
            <w:tcW w:w="575" w:type="pct"/>
            <w:tcBorders>
              <w:top w:val="nil"/>
              <w:left w:val="nil"/>
              <w:bottom w:val="single" w:sz="4" w:space="0" w:color="auto"/>
              <w:right w:val="nil"/>
            </w:tcBorders>
            <w:shd w:val="clear" w:color="auto" w:fill="FFFFFF"/>
            <w:noWrap/>
            <w:vAlign w:val="center"/>
            <w:hideMark/>
          </w:tcPr>
          <w:p w14:paraId="7CA26056"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Inoculated with Fm</w:t>
            </w:r>
          </w:p>
        </w:tc>
        <w:tc>
          <w:tcPr>
            <w:tcW w:w="451" w:type="pct"/>
            <w:tcBorders>
              <w:top w:val="nil"/>
              <w:left w:val="nil"/>
              <w:bottom w:val="single" w:sz="4" w:space="0" w:color="auto"/>
              <w:right w:val="nil"/>
            </w:tcBorders>
            <w:shd w:val="clear" w:color="auto" w:fill="FFFFFF"/>
            <w:noWrap/>
            <w:vAlign w:val="center"/>
            <w:hideMark/>
          </w:tcPr>
          <w:p w14:paraId="7C56C850"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5.24 ± 0.016 b</w:t>
            </w:r>
          </w:p>
        </w:tc>
        <w:tc>
          <w:tcPr>
            <w:tcW w:w="484" w:type="pct"/>
            <w:tcBorders>
              <w:top w:val="nil"/>
              <w:left w:val="nil"/>
              <w:bottom w:val="single" w:sz="4" w:space="0" w:color="auto"/>
              <w:right w:val="nil"/>
            </w:tcBorders>
            <w:shd w:val="clear" w:color="auto" w:fill="FFFFFF"/>
            <w:noWrap/>
            <w:vAlign w:val="center"/>
            <w:hideMark/>
          </w:tcPr>
          <w:p w14:paraId="284F95AE"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1.01 ± 0.009 cd</w:t>
            </w:r>
          </w:p>
        </w:tc>
        <w:tc>
          <w:tcPr>
            <w:tcW w:w="451" w:type="pct"/>
            <w:tcBorders>
              <w:top w:val="nil"/>
              <w:left w:val="nil"/>
              <w:bottom w:val="single" w:sz="4" w:space="0" w:color="auto"/>
              <w:right w:val="nil"/>
            </w:tcBorders>
            <w:shd w:val="clear" w:color="auto" w:fill="FFFFFF"/>
            <w:noWrap/>
            <w:vAlign w:val="center"/>
            <w:hideMark/>
          </w:tcPr>
          <w:p w14:paraId="102E0E5A"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4.96 ± 0.325 ab</w:t>
            </w:r>
          </w:p>
        </w:tc>
        <w:tc>
          <w:tcPr>
            <w:tcW w:w="86" w:type="pct"/>
            <w:tcBorders>
              <w:top w:val="nil"/>
              <w:left w:val="nil"/>
              <w:bottom w:val="single" w:sz="4" w:space="0" w:color="auto"/>
              <w:right w:val="nil"/>
            </w:tcBorders>
            <w:shd w:val="clear" w:color="auto" w:fill="FFFFFF"/>
            <w:noWrap/>
            <w:vAlign w:val="center"/>
            <w:hideMark/>
          </w:tcPr>
          <w:p w14:paraId="51E959E0"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78" w:type="pct"/>
            <w:tcBorders>
              <w:top w:val="nil"/>
              <w:left w:val="nil"/>
              <w:bottom w:val="single" w:sz="4" w:space="0" w:color="auto"/>
              <w:right w:val="nil"/>
            </w:tcBorders>
            <w:shd w:val="clear" w:color="auto" w:fill="FFFFFF"/>
            <w:noWrap/>
            <w:vAlign w:val="center"/>
            <w:hideMark/>
          </w:tcPr>
          <w:p w14:paraId="0029D5A6"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734.43 ± 120.685 a</w:t>
            </w:r>
          </w:p>
        </w:tc>
        <w:tc>
          <w:tcPr>
            <w:tcW w:w="539" w:type="pct"/>
            <w:tcBorders>
              <w:top w:val="nil"/>
              <w:left w:val="nil"/>
              <w:bottom w:val="single" w:sz="4" w:space="0" w:color="auto"/>
              <w:right w:val="nil"/>
            </w:tcBorders>
            <w:shd w:val="clear" w:color="auto" w:fill="FFFFFF"/>
            <w:noWrap/>
            <w:vAlign w:val="center"/>
            <w:hideMark/>
          </w:tcPr>
          <w:p w14:paraId="5FF5EAAA"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28.9 ± 2.544 b</w:t>
            </w:r>
          </w:p>
        </w:tc>
        <w:tc>
          <w:tcPr>
            <w:tcW w:w="548" w:type="pct"/>
            <w:tcBorders>
              <w:top w:val="nil"/>
              <w:left w:val="nil"/>
              <w:bottom w:val="single" w:sz="4" w:space="0" w:color="auto"/>
              <w:right w:val="nil"/>
            </w:tcBorders>
            <w:shd w:val="clear" w:color="auto" w:fill="FFFFFF"/>
            <w:noWrap/>
            <w:vAlign w:val="center"/>
            <w:hideMark/>
          </w:tcPr>
          <w:p w14:paraId="78385FC9"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65.42 ± 6.994 ab</w:t>
            </w:r>
          </w:p>
        </w:tc>
        <w:tc>
          <w:tcPr>
            <w:tcW w:w="578" w:type="pct"/>
            <w:tcBorders>
              <w:top w:val="nil"/>
              <w:left w:val="nil"/>
              <w:bottom w:val="single" w:sz="4" w:space="0" w:color="auto"/>
              <w:right w:val="nil"/>
            </w:tcBorders>
            <w:shd w:val="clear" w:color="auto" w:fill="FFFFFF"/>
            <w:noWrap/>
            <w:vAlign w:val="center"/>
            <w:hideMark/>
          </w:tcPr>
          <w:p w14:paraId="25BF9D0E"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178.65 ± 34.319 b</w:t>
            </w:r>
          </w:p>
        </w:tc>
      </w:tr>
      <w:tr w:rsidR="007A24BC" w14:paraId="42522F3D" w14:textId="77777777" w:rsidTr="007A24BC">
        <w:trPr>
          <w:trHeight w:val="432"/>
        </w:trPr>
        <w:tc>
          <w:tcPr>
            <w:tcW w:w="131" w:type="pct"/>
            <w:shd w:val="clear" w:color="auto" w:fill="FFFFFF"/>
            <w:noWrap/>
            <w:vAlign w:val="bottom"/>
            <w:hideMark/>
          </w:tcPr>
          <w:p w14:paraId="60A135E9"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80" w:type="pct"/>
            <w:vMerge w:val="restart"/>
            <w:tcBorders>
              <w:top w:val="nil"/>
              <w:left w:val="nil"/>
              <w:bottom w:val="single" w:sz="8" w:space="0" w:color="000000"/>
              <w:right w:val="nil"/>
            </w:tcBorders>
            <w:shd w:val="clear" w:color="auto" w:fill="FFFFFF"/>
            <w:vAlign w:val="center"/>
            <w:hideMark/>
          </w:tcPr>
          <w:p w14:paraId="239E2482"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xml:space="preserve">Cu + FeNaEDTA </w:t>
            </w:r>
          </w:p>
        </w:tc>
        <w:tc>
          <w:tcPr>
            <w:tcW w:w="575" w:type="pct"/>
            <w:shd w:val="clear" w:color="auto" w:fill="FFFFFF"/>
            <w:noWrap/>
            <w:vAlign w:val="center"/>
            <w:hideMark/>
          </w:tcPr>
          <w:p w14:paraId="04EB422F"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Non-inoculated</w:t>
            </w:r>
          </w:p>
        </w:tc>
        <w:tc>
          <w:tcPr>
            <w:tcW w:w="451" w:type="pct"/>
            <w:shd w:val="clear" w:color="auto" w:fill="FFFFFF"/>
            <w:noWrap/>
            <w:vAlign w:val="center"/>
            <w:hideMark/>
          </w:tcPr>
          <w:p w14:paraId="5056A5F8"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5.35 ± 0.122 ab</w:t>
            </w:r>
          </w:p>
        </w:tc>
        <w:tc>
          <w:tcPr>
            <w:tcW w:w="484" w:type="pct"/>
            <w:shd w:val="clear" w:color="auto" w:fill="FFFFFF"/>
            <w:noWrap/>
            <w:vAlign w:val="center"/>
            <w:hideMark/>
          </w:tcPr>
          <w:p w14:paraId="2729EAF8"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0.90 ± 0.050 d</w:t>
            </w:r>
          </w:p>
        </w:tc>
        <w:tc>
          <w:tcPr>
            <w:tcW w:w="451" w:type="pct"/>
            <w:shd w:val="clear" w:color="auto" w:fill="FFFFFF"/>
            <w:noWrap/>
            <w:vAlign w:val="center"/>
            <w:hideMark/>
          </w:tcPr>
          <w:p w14:paraId="0E27F7B3"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4.23 ± 0.201 b</w:t>
            </w:r>
          </w:p>
        </w:tc>
        <w:tc>
          <w:tcPr>
            <w:tcW w:w="86" w:type="pct"/>
            <w:shd w:val="clear" w:color="auto" w:fill="FFFFFF"/>
            <w:noWrap/>
            <w:vAlign w:val="center"/>
            <w:hideMark/>
          </w:tcPr>
          <w:p w14:paraId="2E564C12"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78" w:type="pct"/>
            <w:shd w:val="clear" w:color="auto" w:fill="FFFFFF"/>
            <w:noWrap/>
            <w:vAlign w:val="center"/>
            <w:hideMark/>
          </w:tcPr>
          <w:p w14:paraId="3FB1114D"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521.93 ± 103.281 a</w:t>
            </w:r>
          </w:p>
        </w:tc>
        <w:tc>
          <w:tcPr>
            <w:tcW w:w="539" w:type="pct"/>
            <w:shd w:val="clear" w:color="auto" w:fill="FFFFFF"/>
            <w:noWrap/>
            <w:vAlign w:val="center"/>
            <w:hideMark/>
          </w:tcPr>
          <w:p w14:paraId="06F18ABF"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25.05 ± 0.553 b</w:t>
            </w:r>
          </w:p>
        </w:tc>
        <w:tc>
          <w:tcPr>
            <w:tcW w:w="548" w:type="pct"/>
            <w:shd w:val="clear" w:color="auto" w:fill="FFFFFF"/>
            <w:noWrap/>
            <w:vAlign w:val="center"/>
            <w:hideMark/>
          </w:tcPr>
          <w:p w14:paraId="7B6477B5"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49.83 ± 4.834 b</w:t>
            </w:r>
          </w:p>
        </w:tc>
        <w:tc>
          <w:tcPr>
            <w:tcW w:w="578" w:type="pct"/>
            <w:shd w:val="clear" w:color="auto" w:fill="FFFFFF"/>
            <w:noWrap/>
            <w:vAlign w:val="center"/>
            <w:hideMark/>
          </w:tcPr>
          <w:p w14:paraId="58514F0B"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161.06 ± 11.899 b</w:t>
            </w:r>
          </w:p>
        </w:tc>
      </w:tr>
      <w:tr w:rsidR="007A24BC" w14:paraId="3E81E9BF" w14:textId="77777777" w:rsidTr="007A24BC">
        <w:trPr>
          <w:trHeight w:val="432"/>
        </w:trPr>
        <w:tc>
          <w:tcPr>
            <w:tcW w:w="131" w:type="pct"/>
            <w:shd w:val="clear" w:color="auto" w:fill="FFFFFF"/>
            <w:noWrap/>
            <w:vAlign w:val="bottom"/>
            <w:hideMark/>
          </w:tcPr>
          <w:p w14:paraId="65EB139F"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0" w:type="auto"/>
            <w:vMerge/>
            <w:tcBorders>
              <w:top w:val="nil"/>
              <w:left w:val="nil"/>
              <w:bottom w:val="single" w:sz="8" w:space="0" w:color="000000"/>
              <w:right w:val="nil"/>
            </w:tcBorders>
            <w:vAlign w:val="center"/>
            <w:hideMark/>
          </w:tcPr>
          <w:p w14:paraId="065C9A26" w14:textId="77777777" w:rsidR="007A24BC" w:rsidRDefault="007A24BC">
            <w:pPr>
              <w:spacing w:after="0"/>
              <w:rPr>
                <w:rFonts w:ascii="Times New Roman" w:eastAsia="Times New Roman" w:hAnsi="Times New Roman" w:cs="Times New Roman"/>
                <w:sz w:val="18"/>
                <w:szCs w:val="18"/>
                <w:lang w:eastAsia="pt-PT"/>
              </w:rPr>
            </w:pPr>
          </w:p>
        </w:tc>
        <w:tc>
          <w:tcPr>
            <w:tcW w:w="575" w:type="pct"/>
            <w:shd w:val="clear" w:color="auto" w:fill="FFFFFF"/>
            <w:noWrap/>
            <w:vAlign w:val="center"/>
            <w:hideMark/>
          </w:tcPr>
          <w:p w14:paraId="2992600C"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Inoculated with Ri</w:t>
            </w:r>
          </w:p>
        </w:tc>
        <w:tc>
          <w:tcPr>
            <w:tcW w:w="451" w:type="pct"/>
            <w:shd w:val="clear" w:color="auto" w:fill="FFFFFF"/>
            <w:noWrap/>
            <w:vAlign w:val="center"/>
            <w:hideMark/>
          </w:tcPr>
          <w:p w14:paraId="6F7B87B2"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6.06 ± 0.084 ab</w:t>
            </w:r>
          </w:p>
        </w:tc>
        <w:tc>
          <w:tcPr>
            <w:tcW w:w="484" w:type="pct"/>
            <w:shd w:val="clear" w:color="auto" w:fill="FFFFFF"/>
            <w:noWrap/>
            <w:vAlign w:val="center"/>
            <w:hideMark/>
          </w:tcPr>
          <w:p w14:paraId="7111A19C"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1.10 ± 0.036 abc</w:t>
            </w:r>
          </w:p>
        </w:tc>
        <w:tc>
          <w:tcPr>
            <w:tcW w:w="451" w:type="pct"/>
            <w:shd w:val="clear" w:color="auto" w:fill="FFFFFF"/>
            <w:noWrap/>
            <w:vAlign w:val="center"/>
            <w:hideMark/>
          </w:tcPr>
          <w:p w14:paraId="4C71D7E1"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4.81 ± 0.103 ab</w:t>
            </w:r>
          </w:p>
        </w:tc>
        <w:tc>
          <w:tcPr>
            <w:tcW w:w="86" w:type="pct"/>
            <w:shd w:val="clear" w:color="auto" w:fill="FFFFFF"/>
            <w:noWrap/>
            <w:vAlign w:val="center"/>
            <w:hideMark/>
          </w:tcPr>
          <w:p w14:paraId="4673B678"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78" w:type="pct"/>
            <w:shd w:val="clear" w:color="auto" w:fill="FFFFFF"/>
            <w:noWrap/>
            <w:vAlign w:val="center"/>
            <w:hideMark/>
          </w:tcPr>
          <w:p w14:paraId="602BEA5D"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573.71 ± 55.357 a</w:t>
            </w:r>
          </w:p>
        </w:tc>
        <w:tc>
          <w:tcPr>
            <w:tcW w:w="539" w:type="pct"/>
            <w:shd w:val="clear" w:color="auto" w:fill="FFFFFF"/>
            <w:noWrap/>
            <w:vAlign w:val="center"/>
            <w:hideMark/>
          </w:tcPr>
          <w:p w14:paraId="0FCAEAA6"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28.25 ± 0.505 b</w:t>
            </w:r>
          </w:p>
        </w:tc>
        <w:tc>
          <w:tcPr>
            <w:tcW w:w="548" w:type="pct"/>
            <w:shd w:val="clear" w:color="auto" w:fill="FFFFFF"/>
            <w:noWrap/>
            <w:vAlign w:val="center"/>
            <w:hideMark/>
          </w:tcPr>
          <w:p w14:paraId="76989541"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54.07 ± 5.263 b</w:t>
            </w:r>
          </w:p>
        </w:tc>
        <w:tc>
          <w:tcPr>
            <w:tcW w:w="578" w:type="pct"/>
            <w:shd w:val="clear" w:color="auto" w:fill="FFFFFF"/>
            <w:noWrap/>
            <w:vAlign w:val="center"/>
            <w:hideMark/>
          </w:tcPr>
          <w:p w14:paraId="56A2CC3B"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284.64 ± 25.504 a</w:t>
            </w:r>
          </w:p>
        </w:tc>
      </w:tr>
      <w:tr w:rsidR="007A24BC" w14:paraId="5E0ECFF5" w14:textId="77777777" w:rsidTr="007A24BC">
        <w:trPr>
          <w:trHeight w:val="432"/>
        </w:trPr>
        <w:tc>
          <w:tcPr>
            <w:tcW w:w="131" w:type="pct"/>
            <w:shd w:val="clear" w:color="auto" w:fill="FFFFFF"/>
            <w:noWrap/>
            <w:vAlign w:val="bottom"/>
            <w:hideMark/>
          </w:tcPr>
          <w:p w14:paraId="18F116F6"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0" w:type="auto"/>
            <w:vMerge/>
            <w:tcBorders>
              <w:top w:val="nil"/>
              <w:left w:val="nil"/>
              <w:bottom w:val="single" w:sz="8" w:space="0" w:color="000000"/>
              <w:right w:val="nil"/>
            </w:tcBorders>
            <w:vAlign w:val="center"/>
            <w:hideMark/>
          </w:tcPr>
          <w:p w14:paraId="740A9549" w14:textId="77777777" w:rsidR="007A24BC" w:rsidRDefault="007A24BC">
            <w:pPr>
              <w:spacing w:after="0"/>
              <w:rPr>
                <w:rFonts w:ascii="Times New Roman" w:eastAsia="Times New Roman" w:hAnsi="Times New Roman" w:cs="Times New Roman"/>
                <w:sz w:val="18"/>
                <w:szCs w:val="18"/>
                <w:lang w:eastAsia="pt-PT"/>
              </w:rPr>
            </w:pPr>
          </w:p>
        </w:tc>
        <w:tc>
          <w:tcPr>
            <w:tcW w:w="575" w:type="pct"/>
            <w:tcBorders>
              <w:top w:val="nil"/>
              <w:left w:val="nil"/>
              <w:bottom w:val="single" w:sz="8" w:space="0" w:color="auto"/>
              <w:right w:val="nil"/>
            </w:tcBorders>
            <w:shd w:val="clear" w:color="auto" w:fill="FFFFFF"/>
            <w:noWrap/>
            <w:vAlign w:val="center"/>
            <w:hideMark/>
          </w:tcPr>
          <w:p w14:paraId="550DFB05"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Inoculated with Fm</w:t>
            </w:r>
          </w:p>
        </w:tc>
        <w:tc>
          <w:tcPr>
            <w:tcW w:w="451" w:type="pct"/>
            <w:tcBorders>
              <w:top w:val="nil"/>
              <w:left w:val="nil"/>
              <w:bottom w:val="single" w:sz="8" w:space="0" w:color="auto"/>
              <w:right w:val="nil"/>
            </w:tcBorders>
            <w:shd w:val="clear" w:color="auto" w:fill="FFFFFF"/>
            <w:noWrap/>
            <w:vAlign w:val="center"/>
            <w:hideMark/>
          </w:tcPr>
          <w:p w14:paraId="1463BF11"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5.70 ± 0.149 ab</w:t>
            </w:r>
          </w:p>
        </w:tc>
        <w:tc>
          <w:tcPr>
            <w:tcW w:w="484" w:type="pct"/>
            <w:tcBorders>
              <w:top w:val="nil"/>
              <w:left w:val="nil"/>
              <w:bottom w:val="single" w:sz="8" w:space="0" w:color="auto"/>
              <w:right w:val="nil"/>
            </w:tcBorders>
            <w:shd w:val="clear" w:color="auto" w:fill="FFFFFF"/>
            <w:noWrap/>
            <w:vAlign w:val="center"/>
            <w:hideMark/>
          </w:tcPr>
          <w:p w14:paraId="51A5B742"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1.04 ± 0.034 bcd</w:t>
            </w:r>
          </w:p>
        </w:tc>
        <w:tc>
          <w:tcPr>
            <w:tcW w:w="451" w:type="pct"/>
            <w:tcBorders>
              <w:top w:val="nil"/>
              <w:left w:val="nil"/>
              <w:bottom w:val="single" w:sz="8" w:space="0" w:color="auto"/>
              <w:right w:val="nil"/>
            </w:tcBorders>
            <w:shd w:val="clear" w:color="auto" w:fill="FFFFFF"/>
            <w:noWrap/>
            <w:vAlign w:val="center"/>
            <w:hideMark/>
          </w:tcPr>
          <w:p w14:paraId="5D742EC6"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4.88 ± 0.423 ab</w:t>
            </w:r>
          </w:p>
        </w:tc>
        <w:tc>
          <w:tcPr>
            <w:tcW w:w="86" w:type="pct"/>
            <w:tcBorders>
              <w:top w:val="nil"/>
              <w:left w:val="nil"/>
              <w:bottom w:val="single" w:sz="8" w:space="0" w:color="auto"/>
              <w:right w:val="nil"/>
            </w:tcBorders>
            <w:shd w:val="clear" w:color="auto" w:fill="FFFFFF"/>
            <w:noWrap/>
            <w:vAlign w:val="center"/>
            <w:hideMark/>
          </w:tcPr>
          <w:p w14:paraId="4D334CED"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78" w:type="pct"/>
            <w:tcBorders>
              <w:top w:val="nil"/>
              <w:left w:val="nil"/>
              <w:bottom w:val="single" w:sz="8" w:space="0" w:color="auto"/>
              <w:right w:val="nil"/>
            </w:tcBorders>
            <w:shd w:val="clear" w:color="auto" w:fill="FFFFFF"/>
            <w:noWrap/>
            <w:vAlign w:val="center"/>
            <w:hideMark/>
          </w:tcPr>
          <w:p w14:paraId="441B089F"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647.35 ± 71.572 a</w:t>
            </w:r>
          </w:p>
        </w:tc>
        <w:tc>
          <w:tcPr>
            <w:tcW w:w="539" w:type="pct"/>
            <w:tcBorders>
              <w:top w:val="nil"/>
              <w:left w:val="nil"/>
              <w:bottom w:val="single" w:sz="8" w:space="0" w:color="auto"/>
              <w:right w:val="nil"/>
            </w:tcBorders>
            <w:shd w:val="clear" w:color="auto" w:fill="FFFFFF"/>
            <w:noWrap/>
            <w:vAlign w:val="center"/>
            <w:hideMark/>
          </w:tcPr>
          <w:p w14:paraId="5C26A483"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29.77 ± 2.219 b</w:t>
            </w:r>
          </w:p>
        </w:tc>
        <w:tc>
          <w:tcPr>
            <w:tcW w:w="548" w:type="pct"/>
            <w:tcBorders>
              <w:top w:val="nil"/>
              <w:left w:val="nil"/>
              <w:bottom w:val="single" w:sz="8" w:space="0" w:color="auto"/>
              <w:right w:val="nil"/>
            </w:tcBorders>
            <w:shd w:val="clear" w:color="auto" w:fill="FFFFFF"/>
            <w:noWrap/>
            <w:vAlign w:val="center"/>
            <w:hideMark/>
          </w:tcPr>
          <w:p w14:paraId="51820CE1"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46.79 ± 6.260 b</w:t>
            </w:r>
          </w:p>
        </w:tc>
        <w:tc>
          <w:tcPr>
            <w:tcW w:w="578" w:type="pct"/>
            <w:tcBorders>
              <w:top w:val="nil"/>
              <w:left w:val="nil"/>
              <w:bottom w:val="single" w:sz="8" w:space="0" w:color="auto"/>
              <w:right w:val="nil"/>
            </w:tcBorders>
            <w:shd w:val="clear" w:color="auto" w:fill="FFFFFF"/>
            <w:noWrap/>
            <w:vAlign w:val="center"/>
            <w:hideMark/>
          </w:tcPr>
          <w:p w14:paraId="05350509"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259.6 ± 24.190  a</w:t>
            </w:r>
          </w:p>
        </w:tc>
      </w:tr>
      <w:tr w:rsidR="007A24BC" w14:paraId="34902230" w14:textId="77777777" w:rsidTr="007A24BC">
        <w:trPr>
          <w:trHeight w:val="255"/>
        </w:trPr>
        <w:tc>
          <w:tcPr>
            <w:tcW w:w="131" w:type="pct"/>
            <w:shd w:val="clear" w:color="auto" w:fill="FFFFFF"/>
            <w:noWrap/>
            <w:vAlign w:val="bottom"/>
          </w:tcPr>
          <w:p w14:paraId="794CD1DA" w14:textId="77777777" w:rsidR="007A24BC" w:rsidRDefault="007A24BC">
            <w:pPr>
              <w:spacing w:after="0" w:line="240" w:lineRule="auto"/>
              <w:rPr>
                <w:rFonts w:ascii="Times New Roman" w:eastAsia="Times New Roman" w:hAnsi="Times New Roman" w:cs="Times New Roman"/>
                <w:sz w:val="18"/>
                <w:szCs w:val="18"/>
                <w:lang w:eastAsia="pt-PT"/>
              </w:rPr>
            </w:pPr>
          </w:p>
        </w:tc>
        <w:tc>
          <w:tcPr>
            <w:tcW w:w="580" w:type="pct"/>
            <w:shd w:val="clear" w:color="auto" w:fill="FFFFFF"/>
            <w:noWrap/>
            <w:vAlign w:val="bottom"/>
          </w:tcPr>
          <w:p w14:paraId="131B8EF6" w14:textId="77777777" w:rsidR="007A24BC" w:rsidRDefault="007A24BC">
            <w:pPr>
              <w:spacing w:after="0" w:line="240" w:lineRule="auto"/>
              <w:rPr>
                <w:rFonts w:ascii="Times New Roman" w:eastAsia="Times New Roman" w:hAnsi="Times New Roman" w:cs="Times New Roman"/>
                <w:sz w:val="18"/>
                <w:szCs w:val="18"/>
                <w:lang w:eastAsia="pt-PT"/>
              </w:rPr>
            </w:pPr>
          </w:p>
        </w:tc>
        <w:tc>
          <w:tcPr>
            <w:tcW w:w="575" w:type="pct"/>
            <w:shd w:val="clear" w:color="auto" w:fill="FFFFFF"/>
            <w:noWrap/>
            <w:vAlign w:val="bottom"/>
          </w:tcPr>
          <w:p w14:paraId="23482319" w14:textId="77777777" w:rsidR="007A24BC" w:rsidRDefault="007A24BC">
            <w:pPr>
              <w:spacing w:after="0" w:line="240" w:lineRule="auto"/>
              <w:rPr>
                <w:rFonts w:ascii="Times New Roman" w:eastAsia="Times New Roman" w:hAnsi="Times New Roman" w:cs="Times New Roman"/>
                <w:sz w:val="18"/>
                <w:szCs w:val="18"/>
                <w:lang w:eastAsia="pt-PT"/>
              </w:rPr>
            </w:pPr>
          </w:p>
        </w:tc>
        <w:tc>
          <w:tcPr>
            <w:tcW w:w="451" w:type="pct"/>
            <w:shd w:val="clear" w:color="auto" w:fill="FFFFFF"/>
            <w:noWrap/>
            <w:vAlign w:val="bottom"/>
          </w:tcPr>
          <w:p w14:paraId="2177449C" w14:textId="77777777" w:rsidR="007A24BC" w:rsidRDefault="007A24BC">
            <w:pPr>
              <w:spacing w:after="0" w:line="240" w:lineRule="auto"/>
              <w:rPr>
                <w:rFonts w:ascii="Times New Roman" w:eastAsia="Times New Roman" w:hAnsi="Times New Roman" w:cs="Times New Roman"/>
                <w:sz w:val="18"/>
                <w:szCs w:val="18"/>
                <w:lang w:eastAsia="pt-PT"/>
              </w:rPr>
            </w:pPr>
          </w:p>
        </w:tc>
        <w:tc>
          <w:tcPr>
            <w:tcW w:w="484" w:type="pct"/>
            <w:shd w:val="clear" w:color="auto" w:fill="FFFFFF"/>
            <w:noWrap/>
            <w:vAlign w:val="bottom"/>
          </w:tcPr>
          <w:p w14:paraId="778FD5EE" w14:textId="77777777" w:rsidR="007A24BC" w:rsidRDefault="007A24BC">
            <w:pPr>
              <w:spacing w:after="0" w:line="240" w:lineRule="auto"/>
              <w:rPr>
                <w:rFonts w:ascii="Times New Roman" w:eastAsia="Times New Roman" w:hAnsi="Times New Roman" w:cs="Times New Roman"/>
                <w:sz w:val="18"/>
                <w:szCs w:val="18"/>
                <w:lang w:eastAsia="pt-PT"/>
              </w:rPr>
            </w:pPr>
          </w:p>
        </w:tc>
        <w:tc>
          <w:tcPr>
            <w:tcW w:w="451" w:type="pct"/>
            <w:shd w:val="clear" w:color="auto" w:fill="FFFFFF"/>
            <w:noWrap/>
            <w:vAlign w:val="bottom"/>
          </w:tcPr>
          <w:p w14:paraId="640F13AE" w14:textId="77777777" w:rsidR="007A24BC" w:rsidRDefault="007A24BC">
            <w:pPr>
              <w:spacing w:after="0" w:line="240" w:lineRule="auto"/>
              <w:rPr>
                <w:rFonts w:ascii="Times New Roman" w:eastAsia="Times New Roman" w:hAnsi="Times New Roman" w:cs="Times New Roman"/>
                <w:sz w:val="18"/>
                <w:szCs w:val="18"/>
                <w:lang w:eastAsia="pt-PT"/>
              </w:rPr>
            </w:pPr>
          </w:p>
        </w:tc>
        <w:tc>
          <w:tcPr>
            <w:tcW w:w="86" w:type="pct"/>
            <w:shd w:val="clear" w:color="auto" w:fill="FFFFFF"/>
            <w:noWrap/>
            <w:vAlign w:val="bottom"/>
          </w:tcPr>
          <w:p w14:paraId="3172DCBE" w14:textId="77777777" w:rsidR="007A24BC" w:rsidRDefault="007A24BC">
            <w:pPr>
              <w:spacing w:after="0" w:line="240" w:lineRule="auto"/>
              <w:rPr>
                <w:rFonts w:ascii="Times New Roman" w:eastAsia="Times New Roman" w:hAnsi="Times New Roman" w:cs="Times New Roman"/>
                <w:sz w:val="18"/>
                <w:szCs w:val="18"/>
                <w:lang w:eastAsia="pt-PT"/>
              </w:rPr>
            </w:pPr>
          </w:p>
        </w:tc>
        <w:tc>
          <w:tcPr>
            <w:tcW w:w="578" w:type="pct"/>
            <w:shd w:val="clear" w:color="auto" w:fill="FFFFFF"/>
            <w:noWrap/>
            <w:vAlign w:val="bottom"/>
          </w:tcPr>
          <w:p w14:paraId="1E8B3965" w14:textId="77777777" w:rsidR="007A24BC" w:rsidRDefault="007A24BC">
            <w:pPr>
              <w:spacing w:after="0" w:line="240" w:lineRule="auto"/>
              <w:rPr>
                <w:rFonts w:ascii="Times New Roman" w:eastAsia="Times New Roman" w:hAnsi="Times New Roman" w:cs="Times New Roman"/>
                <w:sz w:val="18"/>
                <w:szCs w:val="18"/>
                <w:lang w:eastAsia="pt-PT"/>
              </w:rPr>
            </w:pPr>
          </w:p>
        </w:tc>
        <w:tc>
          <w:tcPr>
            <w:tcW w:w="539" w:type="pct"/>
            <w:shd w:val="clear" w:color="auto" w:fill="FFFFFF"/>
            <w:noWrap/>
            <w:vAlign w:val="bottom"/>
          </w:tcPr>
          <w:p w14:paraId="5E259F65" w14:textId="77777777" w:rsidR="007A24BC" w:rsidRDefault="007A24BC">
            <w:pPr>
              <w:spacing w:after="0" w:line="240" w:lineRule="auto"/>
              <w:rPr>
                <w:rFonts w:ascii="Times New Roman" w:eastAsia="Times New Roman" w:hAnsi="Times New Roman" w:cs="Times New Roman"/>
                <w:sz w:val="18"/>
                <w:szCs w:val="18"/>
                <w:lang w:eastAsia="pt-PT"/>
              </w:rPr>
            </w:pPr>
          </w:p>
        </w:tc>
        <w:tc>
          <w:tcPr>
            <w:tcW w:w="548" w:type="pct"/>
            <w:shd w:val="clear" w:color="auto" w:fill="FFFFFF"/>
            <w:noWrap/>
            <w:vAlign w:val="bottom"/>
          </w:tcPr>
          <w:p w14:paraId="6460DF60" w14:textId="77777777" w:rsidR="007A24BC" w:rsidRDefault="007A24BC">
            <w:pPr>
              <w:spacing w:after="0" w:line="240" w:lineRule="auto"/>
              <w:rPr>
                <w:rFonts w:ascii="Times New Roman" w:eastAsia="Times New Roman" w:hAnsi="Times New Roman" w:cs="Times New Roman"/>
                <w:sz w:val="18"/>
                <w:szCs w:val="18"/>
                <w:lang w:eastAsia="pt-PT"/>
              </w:rPr>
            </w:pPr>
          </w:p>
        </w:tc>
        <w:tc>
          <w:tcPr>
            <w:tcW w:w="578" w:type="pct"/>
            <w:shd w:val="clear" w:color="auto" w:fill="FFFFFF"/>
            <w:noWrap/>
            <w:vAlign w:val="bottom"/>
          </w:tcPr>
          <w:p w14:paraId="73663F1D" w14:textId="77777777" w:rsidR="007A24BC" w:rsidRDefault="007A24BC">
            <w:pPr>
              <w:spacing w:after="0" w:line="240" w:lineRule="auto"/>
              <w:rPr>
                <w:rFonts w:ascii="Times New Roman" w:eastAsia="Times New Roman" w:hAnsi="Times New Roman" w:cs="Times New Roman"/>
                <w:sz w:val="18"/>
                <w:szCs w:val="18"/>
                <w:lang w:eastAsia="pt-PT"/>
              </w:rPr>
            </w:pPr>
          </w:p>
        </w:tc>
      </w:tr>
      <w:tr w:rsidR="007A24BC" w14:paraId="3A990D73" w14:textId="77777777" w:rsidTr="007A24BC">
        <w:trPr>
          <w:trHeight w:val="255"/>
        </w:trPr>
        <w:tc>
          <w:tcPr>
            <w:tcW w:w="131" w:type="pct"/>
            <w:shd w:val="clear" w:color="auto" w:fill="FFFFFF"/>
            <w:noWrap/>
            <w:vAlign w:val="bottom"/>
            <w:hideMark/>
          </w:tcPr>
          <w:p w14:paraId="187C5F96"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80" w:type="pct"/>
            <w:shd w:val="clear" w:color="auto" w:fill="FFFFFF"/>
            <w:noWrap/>
            <w:vAlign w:val="bottom"/>
            <w:hideMark/>
          </w:tcPr>
          <w:p w14:paraId="766BB04A"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75" w:type="pct"/>
            <w:shd w:val="clear" w:color="auto" w:fill="FFFFFF"/>
            <w:noWrap/>
            <w:vAlign w:val="bottom"/>
            <w:hideMark/>
          </w:tcPr>
          <w:p w14:paraId="1C570CEF"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451" w:type="pct"/>
            <w:shd w:val="clear" w:color="auto" w:fill="FFFFFF"/>
            <w:noWrap/>
            <w:vAlign w:val="bottom"/>
            <w:hideMark/>
          </w:tcPr>
          <w:p w14:paraId="5297DEA7"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484" w:type="pct"/>
            <w:shd w:val="clear" w:color="auto" w:fill="FFFFFF"/>
            <w:noWrap/>
            <w:vAlign w:val="bottom"/>
            <w:hideMark/>
          </w:tcPr>
          <w:p w14:paraId="27457E7E"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451" w:type="pct"/>
            <w:shd w:val="clear" w:color="auto" w:fill="FFFFFF"/>
            <w:noWrap/>
            <w:vAlign w:val="bottom"/>
            <w:hideMark/>
          </w:tcPr>
          <w:p w14:paraId="301268BD"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86" w:type="pct"/>
            <w:shd w:val="clear" w:color="auto" w:fill="FFFFFF"/>
            <w:noWrap/>
            <w:vAlign w:val="bottom"/>
            <w:hideMark/>
          </w:tcPr>
          <w:p w14:paraId="4D48E0A5"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78" w:type="pct"/>
            <w:shd w:val="clear" w:color="auto" w:fill="FFFFFF"/>
            <w:noWrap/>
            <w:vAlign w:val="bottom"/>
            <w:hideMark/>
          </w:tcPr>
          <w:p w14:paraId="7FDEE671"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39" w:type="pct"/>
            <w:shd w:val="clear" w:color="auto" w:fill="FFFFFF"/>
            <w:noWrap/>
            <w:vAlign w:val="bottom"/>
            <w:hideMark/>
          </w:tcPr>
          <w:p w14:paraId="253B685A"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48" w:type="pct"/>
            <w:shd w:val="clear" w:color="auto" w:fill="FFFFFF"/>
            <w:noWrap/>
            <w:vAlign w:val="bottom"/>
            <w:hideMark/>
          </w:tcPr>
          <w:p w14:paraId="731EFC5D"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78" w:type="pct"/>
            <w:shd w:val="clear" w:color="auto" w:fill="FFFFFF"/>
            <w:noWrap/>
            <w:vAlign w:val="bottom"/>
            <w:hideMark/>
          </w:tcPr>
          <w:p w14:paraId="06C47A6B"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r>
      <w:tr w:rsidR="007A24BC" w14:paraId="5EE4F8C6" w14:textId="77777777" w:rsidTr="007A24BC">
        <w:trPr>
          <w:trHeight w:val="315"/>
        </w:trPr>
        <w:tc>
          <w:tcPr>
            <w:tcW w:w="131" w:type="pct"/>
            <w:shd w:val="clear" w:color="auto" w:fill="FFFFFF"/>
            <w:noWrap/>
            <w:vAlign w:val="bottom"/>
            <w:hideMark/>
          </w:tcPr>
          <w:p w14:paraId="1CA5BF8F" w14:textId="77777777" w:rsidR="007A24BC" w:rsidRDefault="007A24BC">
            <w:pPr>
              <w:spacing w:after="0" w:line="240" w:lineRule="auto"/>
              <w:jc w:val="right"/>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B)</w:t>
            </w:r>
          </w:p>
        </w:tc>
        <w:tc>
          <w:tcPr>
            <w:tcW w:w="1154" w:type="pct"/>
            <w:gridSpan w:val="2"/>
            <w:tcBorders>
              <w:top w:val="nil"/>
              <w:left w:val="nil"/>
              <w:bottom w:val="single" w:sz="8" w:space="0" w:color="auto"/>
              <w:right w:val="nil"/>
            </w:tcBorders>
            <w:shd w:val="clear" w:color="auto" w:fill="FFFFFF"/>
            <w:noWrap/>
            <w:vAlign w:val="center"/>
            <w:hideMark/>
          </w:tcPr>
          <w:p w14:paraId="1DB28F11" w14:textId="77777777" w:rsidR="007A24BC" w:rsidRDefault="007A24BC">
            <w:pPr>
              <w:spacing w:after="0" w:line="240" w:lineRule="auto"/>
              <w:jc w:val="center"/>
              <w:rPr>
                <w:rFonts w:ascii="Times New Roman" w:eastAsia="Times New Roman" w:hAnsi="Times New Roman" w:cs="Times New Roman"/>
                <w:b/>
                <w:bCs/>
                <w:color w:val="000000"/>
                <w:sz w:val="18"/>
                <w:szCs w:val="18"/>
                <w:lang w:eastAsia="pt-PT"/>
              </w:rPr>
            </w:pPr>
            <w:r>
              <w:rPr>
                <w:rFonts w:ascii="Times New Roman" w:eastAsia="Times New Roman" w:hAnsi="Times New Roman" w:cs="Times New Roman"/>
                <w:b/>
                <w:bCs/>
                <w:color w:val="000000"/>
                <w:sz w:val="18"/>
                <w:szCs w:val="18"/>
                <w:lang w:eastAsia="pt-PT"/>
              </w:rPr>
              <w:t>Factor</w:t>
            </w:r>
          </w:p>
        </w:tc>
        <w:tc>
          <w:tcPr>
            <w:tcW w:w="451" w:type="pct"/>
            <w:tcBorders>
              <w:top w:val="nil"/>
              <w:left w:val="nil"/>
              <w:bottom w:val="single" w:sz="8" w:space="0" w:color="auto"/>
              <w:right w:val="nil"/>
            </w:tcBorders>
            <w:shd w:val="clear" w:color="auto" w:fill="FFFFFF"/>
            <w:vAlign w:val="center"/>
            <w:hideMark/>
          </w:tcPr>
          <w:p w14:paraId="662748E7" w14:textId="77777777" w:rsidR="007A24BC" w:rsidRDefault="007A24BC">
            <w:pPr>
              <w:spacing w:after="0" w:line="240" w:lineRule="auto"/>
              <w:jc w:val="center"/>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N</w:t>
            </w:r>
          </w:p>
        </w:tc>
        <w:tc>
          <w:tcPr>
            <w:tcW w:w="484" w:type="pct"/>
            <w:tcBorders>
              <w:top w:val="nil"/>
              <w:left w:val="nil"/>
              <w:bottom w:val="single" w:sz="8" w:space="0" w:color="auto"/>
              <w:right w:val="nil"/>
            </w:tcBorders>
            <w:shd w:val="clear" w:color="auto" w:fill="FFFFFF"/>
            <w:vAlign w:val="center"/>
            <w:hideMark/>
          </w:tcPr>
          <w:p w14:paraId="0C24BBEF" w14:textId="77777777" w:rsidR="007A24BC" w:rsidRDefault="007A24BC">
            <w:pPr>
              <w:spacing w:after="0" w:line="240" w:lineRule="auto"/>
              <w:jc w:val="center"/>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P</w:t>
            </w:r>
          </w:p>
        </w:tc>
        <w:tc>
          <w:tcPr>
            <w:tcW w:w="451" w:type="pct"/>
            <w:tcBorders>
              <w:top w:val="nil"/>
              <w:left w:val="nil"/>
              <w:bottom w:val="single" w:sz="8" w:space="0" w:color="auto"/>
              <w:right w:val="nil"/>
            </w:tcBorders>
            <w:shd w:val="clear" w:color="auto" w:fill="FFFFFF"/>
            <w:vAlign w:val="center"/>
            <w:hideMark/>
          </w:tcPr>
          <w:p w14:paraId="784A7685" w14:textId="77777777" w:rsidR="007A24BC" w:rsidRDefault="007A24BC">
            <w:pPr>
              <w:spacing w:after="0" w:line="240" w:lineRule="auto"/>
              <w:jc w:val="center"/>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K</w:t>
            </w:r>
          </w:p>
        </w:tc>
        <w:tc>
          <w:tcPr>
            <w:tcW w:w="86" w:type="pct"/>
            <w:tcBorders>
              <w:top w:val="nil"/>
              <w:left w:val="nil"/>
              <w:bottom w:val="single" w:sz="8" w:space="0" w:color="auto"/>
              <w:right w:val="nil"/>
            </w:tcBorders>
            <w:shd w:val="clear" w:color="auto" w:fill="FFFFFF"/>
            <w:noWrap/>
            <w:vAlign w:val="bottom"/>
            <w:hideMark/>
          </w:tcPr>
          <w:p w14:paraId="5BB1BD15"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78" w:type="pct"/>
            <w:tcBorders>
              <w:top w:val="nil"/>
              <w:left w:val="nil"/>
              <w:bottom w:val="single" w:sz="8" w:space="0" w:color="auto"/>
              <w:right w:val="nil"/>
            </w:tcBorders>
            <w:shd w:val="clear" w:color="auto" w:fill="FFFFFF"/>
            <w:vAlign w:val="center"/>
            <w:hideMark/>
          </w:tcPr>
          <w:p w14:paraId="4CAFB6B4" w14:textId="77777777" w:rsidR="007A24BC" w:rsidRDefault="007A24BC">
            <w:pPr>
              <w:spacing w:after="0" w:line="240" w:lineRule="auto"/>
              <w:jc w:val="center"/>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Cu</w:t>
            </w:r>
          </w:p>
        </w:tc>
        <w:tc>
          <w:tcPr>
            <w:tcW w:w="539" w:type="pct"/>
            <w:tcBorders>
              <w:top w:val="nil"/>
              <w:left w:val="nil"/>
              <w:bottom w:val="single" w:sz="8" w:space="0" w:color="auto"/>
              <w:right w:val="nil"/>
            </w:tcBorders>
            <w:shd w:val="clear" w:color="auto" w:fill="FFFFFF"/>
            <w:vAlign w:val="center"/>
            <w:hideMark/>
          </w:tcPr>
          <w:p w14:paraId="0C00FCB2" w14:textId="77777777" w:rsidR="007A24BC" w:rsidRDefault="007A24BC">
            <w:pPr>
              <w:spacing w:after="0" w:line="240" w:lineRule="auto"/>
              <w:jc w:val="center"/>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Zn</w:t>
            </w:r>
          </w:p>
        </w:tc>
        <w:tc>
          <w:tcPr>
            <w:tcW w:w="548" w:type="pct"/>
            <w:tcBorders>
              <w:top w:val="nil"/>
              <w:left w:val="nil"/>
              <w:bottom w:val="single" w:sz="8" w:space="0" w:color="auto"/>
              <w:right w:val="nil"/>
            </w:tcBorders>
            <w:shd w:val="clear" w:color="auto" w:fill="FFFFFF"/>
            <w:vAlign w:val="center"/>
            <w:hideMark/>
          </w:tcPr>
          <w:p w14:paraId="1CEB0252" w14:textId="77777777" w:rsidR="007A24BC" w:rsidRDefault="007A24BC">
            <w:pPr>
              <w:spacing w:after="0" w:line="240" w:lineRule="auto"/>
              <w:jc w:val="center"/>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Mn</w:t>
            </w:r>
          </w:p>
        </w:tc>
        <w:tc>
          <w:tcPr>
            <w:tcW w:w="578" w:type="pct"/>
            <w:tcBorders>
              <w:top w:val="nil"/>
              <w:left w:val="nil"/>
              <w:bottom w:val="single" w:sz="8" w:space="0" w:color="auto"/>
              <w:right w:val="nil"/>
            </w:tcBorders>
            <w:shd w:val="clear" w:color="auto" w:fill="FFFFFF"/>
            <w:vAlign w:val="center"/>
            <w:hideMark/>
          </w:tcPr>
          <w:p w14:paraId="7EC4CC77" w14:textId="77777777" w:rsidR="007A24BC" w:rsidRDefault="007A24BC">
            <w:pPr>
              <w:spacing w:after="0" w:line="240" w:lineRule="auto"/>
              <w:jc w:val="center"/>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Fe</w:t>
            </w:r>
          </w:p>
        </w:tc>
      </w:tr>
      <w:tr w:rsidR="007A24BC" w14:paraId="28C27FF4" w14:textId="77777777" w:rsidTr="007A24BC">
        <w:trPr>
          <w:trHeight w:val="300"/>
        </w:trPr>
        <w:tc>
          <w:tcPr>
            <w:tcW w:w="131" w:type="pct"/>
            <w:shd w:val="clear" w:color="auto" w:fill="FFFFFF"/>
            <w:noWrap/>
            <w:vAlign w:val="bottom"/>
            <w:hideMark/>
          </w:tcPr>
          <w:p w14:paraId="1128B466"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1154" w:type="pct"/>
            <w:gridSpan w:val="2"/>
            <w:shd w:val="clear" w:color="auto" w:fill="FFFFFF"/>
            <w:noWrap/>
            <w:vAlign w:val="center"/>
            <w:hideMark/>
          </w:tcPr>
          <w:p w14:paraId="619D792E" w14:textId="77777777" w:rsidR="007A24BC" w:rsidRDefault="007A24BC">
            <w:pPr>
              <w:spacing w:after="0" w:line="240" w:lineRule="auto"/>
              <w:jc w:val="center"/>
              <w:rPr>
                <w:rFonts w:ascii="Times New Roman" w:eastAsia="Times New Roman" w:hAnsi="Times New Roman" w:cs="Times New Roman"/>
                <w:color w:val="000000"/>
                <w:sz w:val="18"/>
                <w:szCs w:val="18"/>
                <w:lang w:eastAsia="pt-PT"/>
              </w:rPr>
            </w:pPr>
            <w:r>
              <w:rPr>
                <w:rFonts w:ascii="Times New Roman" w:eastAsia="Times New Roman" w:hAnsi="Times New Roman" w:cs="Times New Roman"/>
                <w:color w:val="000000"/>
                <w:sz w:val="18"/>
                <w:szCs w:val="18"/>
                <w:lang w:eastAsia="pt-PT"/>
              </w:rPr>
              <w:t>Mycorrhizal treatment</w:t>
            </w:r>
          </w:p>
        </w:tc>
        <w:tc>
          <w:tcPr>
            <w:tcW w:w="451" w:type="pct"/>
            <w:shd w:val="clear" w:color="auto" w:fill="FFFFFF"/>
            <w:noWrap/>
            <w:vAlign w:val="center"/>
            <w:hideMark/>
          </w:tcPr>
          <w:p w14:paraId="713EC887" w14:textId="77777777" w:rsidR="007A24BC" w:rsidRDefault="007A24BC">
            <w:pPr>
              <w:spacing w:after="0" w:line="240" w:lineRule="auto"/>
              <w:jc w:val="center"/>
              <w:rPr>
                <w:rFonts w:ascii="Times New Roman" w:eastAsia="Times New Roman" w:hAnsi="Times New Roman" w:cs="Times New Roman"/>
                <w:color w:val="000000"/>
                <w:sz w:val="18"/>
                <w:szCs w:val="18"/>
                <w:lang w:eastAsia="pt-PT"/>
              </w:rPr>
            </w:pPr>
            <w:r>
              <w:rPr>
                <w:rFonts w:ascii="Times New Roman" w:eastAsia="Times New Roman" w:hAnsi="Times New Roman" w:cs="Times New Roman"/>
                <w:color w:val="000000"/>
                <w:sz w:val="18"/>
                <w:szCs w:val="18"/>
                <w:lang w:eastAsia="pt-PT"/>
              </w:rPr>
              <w:t>0.014</w:t>
            </w:r>
          </w:p>
        </w:tc>
        <w:tc>
          <w:tcPr>
            <w:tcW w:w="484" w:type="pct"/>
            <w:shd w:val="clear" w:color="auto" w:fill="FFFFFF"/>
            <w:noWrap/>
            <w:vAlign w:val="center"/>
            <w:hideMark/>
          </w:tcPr>
          <w:p w14:paraId="109FD5B0" w14:textId="77777777" w:rsidR="007A24BC" w:rsidRDefault="007A24BC">
            <w:pPr>
              <w:spacing w:after="0" w:line="240" w:lineRule="auto"/>
              <w:jc w:val="center"/>
              <w:rPr>
                <w:rFonts w:ascii="Times New Roman" w:eastAsia="Times New Roman" w:hAnsi="Times New Roman" w:cs="Times New Roman"/>
                <w:color w:val="000000"/>
                <w:sz w:val="18"/>
                <w:szCs w:val="18"/>
                <w:lang w:eastAsia="pt-PT"/>
              </w:rPr>
            </w:pPr>
            <w:r>
              <w:rPr>
                <w:rFonts w:ascii="Times New Roman" w:eastAsia="Times New Roman" w:hAnsi="Times New Roman" w:cs="Times New Roman"/>
                <w:color w:val="000000"/>
                <w:sz w:val="18"/>
                <w:szCs w:val="18"/>
                <w:lang w:eastAsia="pt-PT"/>
              </w:rPr>
              <w:t>0.039</w:t>
            </w:r>
          </w:p>
        </w:tc>
        <w:tc>
          <w:tcPr>
            <w:tcW w:w="451" w:type="pct"/>
            <w:shd w:val="clear" w:color="auto" w:fill="FFFFFF"/>
            <w:noWrap/>
            <w:vAlign w:val="bottom"/>
            <w:hideMark/>
          </w:tcPr>
          <w:p w14:paraId="5ED5711D"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0.088</w:t>
            </w:r>
          </w:p>
        </w:tc>
        <w:tc>
          <w:tcPr>
            <w:tcW w:w="86" w:type="pct"/>
            <w:shd w:val="clear" w:color="auto" w:fill="FFFFFF"/>
            <w:noWrap/>
            <w:vAlign w:val="bottom"/>
            <w:hideMark/>
          </w:tcPr>
          <w:p w14:paraId="3D615DDF"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78" w:type="pct"/>
            <w:shd w:val="clear" w:color="auto" w:fill="FFFFFF"/>
            <w:noWrap/>
            <w:vAlign w:val="bottom"/>
            <w:hideMark/>
          </w:tcPr>
          <w:p w14:paraId="5B5B02E9"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0.235</w:t>
            </w:r>
          </w:p>
        </w:tc>
        <w:tc>
          <w:tcPr>
            <w:tcW w:w="539" w:type="pct"/>
            <w:shd w:val="clear" w:color="auto" w:fill="FFFFFF"/>
            <w:noWrap/>
            <w:vAlign w:val="bottom"/>
            <w:hideMark/>
          </w:tcPr>
          <w:p w14:paraId="4D8B88C0"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0.363</w:t>
            </w:r>
          </w:p>
        </w:tc>
        <w:tc>
          <w:tcPr>
            <w:tcW w:w="548" w:type="pct"/>
            <w:shd w:val="clear" w:color="auto" w:fill="FFFFFF"/>
            <w:noWrap/>
            <w:vAlign w:val="bottom"/>
            <w:hideMark/>
          </w:tcPr>
          <w:p w14:paraId="7D09FAFF"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0.318</w:t>
            </w:r>
          </w:p>
        </w:tc>
        <w:tc>
          <w:tcPr>
            <w:tcW w:w="578" w:type="pct"/>
            <w:shd w:val="clear" w:color="auto" w:fill="FFFFFF"/>
            <w:noWrap/>
            <w:vAlign w:val="bottom"/>
            <w:hideMark/>
          </w:tcPr>
          <w:p w14:paraId="02EF1342"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0.022</w:t>
            </w:r>
          </w:p>
        </w:tc>
      </w:tr>
      <w:tr w:rsidR="007A24BC" w14:paraId="11A0066A" w14:textId="77777777" w:rsidTr="007A24BC">
        <w:trPr>
          <w:trHeight w:val="315"/>
        </w:trPr>
        <w:tc>
          <w:tcPr>
            <w:tcW w:w="131" w:type="pct"/>
            <w:shd w:val="clear" w:color="auto" w:fill="FFFFFF"/>
            <w:noWrap/>
            <w:vAlign w:val="bottom"/>
            <w:hideMark/>
          </w:tcPr>
          <w:p w14:paraId="48B3773A"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1154" w:type="pct"/>
            <w:gridSpan w:val="2"/>
            <w:shd w:val="clear" w:color="auto" w:fill="FFFFFF"/>
            <w:noWrap/>
            <w:vAlign w:val="center"/>
            <w:hideMark/>
          </w:tcPr>
          <w:p w14:paraId="27F1D6C5" w14:textId="77777777" w:rsidR="007A24BC" w:rsidRDefault="007A24BC">
            <w:pPr>
              <w:spacing w:after="0" w:line="240" w:lineRule="auto"/>
              <w:jc w:val="center"/>
              <w:rPr>
                <w:rFonts w:ascii="Times New Roman" w:eastAsia="Times New Roman" w:hAnsi="Times New Roman" w:cs="Times New Roman"/>
                <w:color w:val="000000"/>
                <w:sz w:val="18"/>
                <w:szCs w:val="18"/>
                <w:lang w:eastAsia="pt-PT"/>
              </w:rPr>
            </w:pPr>
            <w:r>
              <w:rPr>
                <w:rFonts w:ascii="Times New Roman" w:eastAsia="Times New Roman" w:hAnsi="Times New Roman" w:cs="Times New Roman"/>
                <w:color w:val="000000"/>
                <w:sz w:val="18"/>
                <w:szCs w:val="18"/>
                <w:lang w:eastAsia="pt-PT"/>
              </w:rPr>
              <w:t>Soil treatment</w:t>
            </w:r>
          </w:p>
        </w:tc>
        <w:tc>
          <w:tcPr>
            <w:tcW w:w="451" w:type="pct"/>
            <w:shd w:val="clear" w:color="auto" w:fill="FFFFFF"/>
            <w:noWrap/>
            <w:vAlign w:val="center"/>
            <w:hideMark/>
          </w:tcPr>
          <w:p w14:paraId="03C91039" w14:textId="77777777" w:rsidR="007A24BC" w:rsidRDefault="007A24BC">
            <w:pPr>
              <w:spacing w:after="0" w:line="240" w:lineRule="auto"/>
              <w:jc w:val="center"/>
              <w:rPr>
                <w:rFonts w:ascii="Times New Roman" w:eastAsia="Times New Roman" w:hAnsi="Times New Roman" w:cs="Times New Roman"/>
                <w:color w:val="000000"/>
                <w:sz w:val="18"/>
                <w:szCs w:val="18"/>
                <w:lang w:eastAsia="pt-PT"/>
              </w:rPr>
            </w:pPr>
            <w:r>
              <w:rPr>
                <w:rFonts w:ascii="Times New Roman" w:eastAsia="Times New Roman" w:hAnsi="Times New Roman" w:cs="Times New Roman"/>
                <w:color w:val="000000"/>
                <w:sz w:val="18"/>
                <w:szCs w:val="18"/>
                <w:lang w:eastAsia="pt-PT"/>
              </w:rPr>
              <w:t>0.763</w:t>
            </w:r>
          </w:p>
        </w:tc>
        <w:tc>
          <w:tcPr>
            <w:tcW w:w="484" w:type="pct"/>
            <w:shd w:val="clear" w:color="auto" w:fill="FFFFFF"/>
            <w:noWrap/>
            <w:vAlign w:val="center"/>
            <w:hideMark/>
          </w:tcPr>
          <w:p w14:paraId="53800737" w14:textId="77777777" w:rsidR="007A24BC" w:rsidRDefault="007A24BC">
            <w:pPr>
              <w:spacing w:after="0" w:line="240" w:lineRule="auto"/>
              <w:jc w:val="center"/>
              <w:rPr>
                <w:rFonts w:ascii="Times New Roman" w:eastAsia="Times New Roman" w:hAnsi="Times New Roman" w:cs="Times New Roman"/>
                <w:color w:val="000000"/>
                <w:sz w:val="18"/>
                <w:szCs w:val="18"/>
                <w:lang w:eastAsia="pt-PT"/>
              </w:rPr>
            </w:pPr>
            <w:r>
              <w:rPr>
                <w:rFonts w:ascii="Times New Roman" w:eastAsia="Times New Roman" w:hAnsi="Times New Roman" w:cs="Times New Roman"/>
                <w:color w:val="000000"/>
                <w:sz w:val="18"/>
                <w:szCs w:val="18"/>
                <w:lang w:eastAsia="pt-PT"/>
              </w:rPr>
              <w:t>0.192</w:t>
            </w:r>
          </w:p>
        </w:tc>
        <w:tc>
          <w:tcPr>
            <w:tcW w:w="451" w:type="pct"/>
            <w:shd w:val="clear" w:color="auto" w:fill="FFFFFF"/>
            <w:noWrap/>
            <w:vAlign w:val="bottom"/>
            <w:hideMark/>
          </w:tcPr>
          <w:p w14:paraId="71A19EC5"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0.432</w:t>
            </w:r>
          </w:p>
        </w:tc>
        <w:tc>
          <w:tcPr>
            <w:tcW w:w="86" w:type="pct"/>
            <w:shd w:val="clear" w:color="auto" w:fill="FFFFFF"/>
            <w:noWrap/>
            <w:vAlign w:val="bottom"/>
            <w:hideMark/>
          </w:tcPr>
          <w:p w14:paraId="6054EAF1"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78" w:type="pct"/>
            <w:shd w:val="clear" w:color="auto" w:fill="FFFFFF"/>
            <w:noWrap/>
            <w:vAlign w:val="bottom"/>
            <w:hideMark/>
          </w:tcPr>
          <w:p w14:paraId="34C617A9"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&lt;0.001</w:t>
            </w:r>
          </w:p>
        </w:tc>
        <w:tc>
          <w:tcPr>
            <w:tcW w:w="539" w:type="pct"/>
            <w:shd w:val="clear" w:color="auto" w:fill="FFFFFF"/>
            <w:noWrap/>
            <w:vAlign w:val="bottom"/>
            <w:hideMark/>
          </w:tcPr>
          <w:p w14:paraId="2E868EC1"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0.001</w:t>
            </w:r>
          </w:p>
        </w:tc>
        <w:tc>
          <w:tcPr>
            <w:tcW w:w="548" w:type="pct"/>
            <w:shd w:val="clear" w:color="auto" w:fill="FFFFFF"/>
            <w:noWrap/>
            <w:vAlign w:val="bottom"/>
            <w:hideMark/>
          </w:tcPr>
          <w:p w14:paraId="7B1F4C37"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0.003</w:t>
            </w:r>
          </w:p>
        </w:tc>
        <w:tc>
          <w:tcPr>
            <w:tcW w:w="578" w:type="pct"/>
            <w:shd w:val="clear" w:color="auto" w:fill="FFFFFF"/>
            <w:noWrap/>
            <w:vAlign w:val="bottom"/>
            <w:hideMark/>
          </w:tcPr>
          <w:p w14:paraId="7ABBCC78"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&lt;0.001</w:t>
            </w:r>
          </w:p>
        </w:tc>
      </w:tr>
      <w:tr w:rsidR="007A24BC" w14:paraId="068B9225" w14:textId="77777777" w:rsidTr="007A24BC">
        <w:trPr>
          <w:trHeight w:val="345"/>
        </w:trPr>
        <w:tc>
          <w:tcPr>
            <w:tcW w:w="131" w:type="pct"/>
            <w:shd w:val="clear" w:color="auto" w:fill="FFFFFF"/>
            <w:noWrap/>
            <w:vAlign w:val="bottom"/>
            <w:hideMark/>
          </w:tcPr>
          <w:p w14:paraId="4322DCDC"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1154" w:type="pct"/>
            <w:gridSpan w:val="2"/>
            <w:tcBorders>
              <w:top w:val="nil"/>
              <w:left w:val="nil"/>
              <w:bottom w:val="single" w:sz="8" w:space="0" w:color="auto"/>
              <w:right w:val="nil"/>
            </w:tcBorders>
            <w:shd w:val="clear" w:color="auto" w:fill="FFFFFF"/>
            <w:noWrap/>
            <w:vAlign w:val="center"/>
            <w:hideMark/>
          </w:tcPr>
          <w:p w14:paraId="2B7FC149" w14:textId="77777777" w:rsidR="007A24BC" w:rsidRDefault="007A24BC">
            <w:pPr>
              <w:spacing w:after="0" w:line="240" w:lineRule="auto"/>
              <w:jc w:val="center"/>
              <w:rPr>
                <w:rFonts w:ascii="Times New Roman" w:eastAsia="Times New Roman" w:hAnsi="Times New Roman" w:cs="Times New Roman"/>
                <w:color w:val="000000"/>
                <w:sz w:val="18"/>
                <w:szCs w:val="18"/>
                <w:lang w:eastAsia="pt-PT"/>
              </w:rPr>
            </w:pPr>
            <w:r>
              <w:rPr>
                <w:rFonts w:ascii="Times New Roman" w:eastAsia="Times New Roman" w:hAnsi="Times New Roman" w:cs="Times New Roman"/>
                <w:color w:val="000000"/>
                <w:sz w:val="18"/>
                <w:szCs w:val="18"/>
                <w:lang w:eastAsia="pt-PT"/>
              </w:rPr>
              <w:t>Interaction</w:t>
            </w:r>
          </w:p>
        </w:tc>
        <w:tc>
          <w:tcPr>
            <w:tcW w:w="451" w:type="pct"/>
            <w:tcBorders>
              <w:top w:val="nil"/>
              <w:left w:val="nil"/>
              <w:bottom w:val="single" w:sz="8" w:space="0" w:color="auto"/>
              <w:right w:val="nil"/>
            </w:tcBorders>
            <w:shd w:val="clear" w:color="auto" w:fill="FFFFFF"/>
            <w:noWrap/>
            <w:vAlign w:val="center"/>
            <w:hideMark/>
          </w:tcPr>
          <w:p w14:paraId="5F26CD6F" w14:textId="77777777" w:rsidR="007A24BC" w:rsidRDefault="007A24BC">
            <w:pPr>
              <w:spacing w:after="0" w:line="240" w:lineRule="auto"/>
              <w:jc w:val="center"/>
              <w:rPr>
                <w:rFonts w:ascii="Times New Roman" w:eastAsia="Times New Roman" w:hAnsi="Times New Roman" w:cs="Times New Roman"/>
                <w:color w:val="000000"/>
                <w:sz w:val="18"/>
                <w:szCs w:val="18"/>
                <w:lang w:eastAsia="pt-PT"/>
              </w:rPr>
            </w:pPr>
            <w:r>
              <w:rPr>
                <w:rFonts w:ascii="Times New Roman" w:eastAsia="Times New Roman" w:hAnsi="Times New Roman" w:cs="Times New Roman"/>
                <w:color w:val="000000"/>
                <w:sz w:val="18"/>
                <w:szCs w:val="18"/>
                <w:lang w:eastAsia="pt-PT"/>
              </w:rPr>
              <w:t>0.528</w:t>
            </w:r>
          </w:p>
        </w:tc>
        <w:tc>
          <w:tcPr>
            <w:tcW w:w="484" w:type="pct"/>
            <w:tcBorders>
              <w:top w:val="nil"/>
              <w:left w:val="nil"/>
              <w:bottom w:val="single" w:sz="8" w:space="0" w:color="auto"/>
              <w:right w:val="nil"/>
            </w:tcBorders>
            <w:shd w:val="clear" w:color="auto" w:fill="FFFFFF"/>
            <w:noWrap/>
            <w:vAlign w:val="center"/>
            <w:hideMark/>
          </w:tcPr>
          <w:p w14:paraId="6EA3F2D7" w14:textId="77777777" w:rsidR="007A24BC" w:rsidRDefault="007A24BC">
            <w:pPr>
              <w:spacing w:after="0" w:line="240" w:lineRule="auto"/>
              <w:jc w:val="center"/>
              <w:rPr>
                <w:rFonts w:ascii="Times New Roman" w:eastAsia="Times New Roman" w:hAnsi="Times New Roman" w:cs="Times New Roman"/>
                <w:color w:val="000000"/>
                <w:sz w:val="18"/>
                <w:szCs w:val="18"/>
                <w:lang w:eastAsia="pt-PT"/>
              </w:rPr>
            </w:pPr>
            <w:r>
              <w:rPr>
                <w:rFonts w:ascii="Times New Roman" w:eastAsia="Times New Roman" w:hAnsi="Times New Roman" w:cs="Times New Roman"/>
                <w:color w:val="000000"/>
                <w:sz w:val="18"/>
                <w:szCs w:val="18"/>
                <w:lang w:eastAsia="pt-PT"/>
              </w:rPr>
              <w:t>0.004</w:t>
            </w:r>
          </w:p>
        </w:tc>
        <w:tc>
          <w:tcPr>
            <w:tcW w:w="451" w:type="pct"/>
            <w:tcBorders>
              <w:top w:val="nil"/>
              <w:left w:val="nil"/>
              <w:bottom w:val="single" w:sz="8" w:space="0" w:color="auto"/>
              <w:right w:val="nil"/>
            </w:tcBorders>
            <w:shd w:val="clear" w:color="auto" w:fill="FFFFFF"/>
            <w:noWrap/>
            <w:vAlign w:val="bottom"/>
            <w:hideMark/>
          </w:tcPr>
          <w:p w14:paraId="22A801F1"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0.155</w:t>
            </w:r>
          </w:p>
        </w:tc>
        <w:tc>
          <w:tcPr>
            <w:tcW w:w="86" w:type="pct"/>
            <w:tcBorders>
              <w:top w:val="nil"/>
              <w:left w:val="nil"/>
              <w:bottom w:val="single" w:sz="8" w:space="0" w:color="auto"/>
              <w:right w:val="nil"/>
            </w:tcBorders>
            <w:shd w:val="clear" w:color="auto" w:fill="FFFFFF"/>
            <w:noWrap/>
            <w:vAlign w:val="bottom"/>
            <w:hideMark/>
          </w:tcPr>
          <w:p w14:paraId="225F3A51"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78" w:type="pct"/>
            <w:tcBorders>
              <w:top w:val="nil"/>
              <w:left w:val="nil"/>
              <w:bottom w:val="single" w:sz="8" w:space="0" w:color="auto"/>
              <w:right w:val="nil"/>
            </w:tcBorders>
            <w:shd w:val="clear" w:color="auto" w:fill="FFFFFF"/>
            <w:noWrap/>
            <w:vAlign w:val="bottom"/>
            <w:hideMark/>
          </w:tcPr>
          <w:p w14:paraId="3A4CFF02"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0.473</w:t>
            </w:r>
          </w:p>
        </w:tc>
        <w:tc>
          <w:tcPr>
            <w:tcW w:w="539" w:type="pct"/>
            <w:tcBorders>
              <w:top w:val="nil"/>
              <w:left w:val="nil"/>
              <w:bottom w:val="single" w:sz="8" w:space="0" w:color="auto"/>
              <w:right w:val="nil"/>
            </w:tcBorders>
            <w:shd w:val="clear" w:color="auto" w:fill="FFFFFF"/>
            <w:noWrap/>
            <w:vAlign w:val="bottom"/>
            <w:hideMark/>
          </w:tcPr>
          <w:p w14:paraId="36DFB171"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0.033</w:t>
            </w:r>
          </w:p>
        </w:tc>
        <w:tc>
          <w:tcPr>
            <w:tcW w:w="548" w:type="pct"/>
            <w:tcBorders>
              <w:top w:val="nil"/>
              <w:left w:val="nil"/>
              <w:bottom w:val="single" w:sz="8" w:space="0" w:color="auto"/>
              <w:right w:val="nil"/>
            </w:tcBorders>
            <w:shd w:val="clear" w:color="auto" w:fill="FFFFFF"/>
            <w:noWrap/>
            <w:vAlign w:val="bottom"/>
            <w:hideMark/>
          </w:tcPr>
          <w:p w14:paraId="3EA6FAFE"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0.724</w:t>
            </w:r>
          </w:p>
        </w:tc>
        <w:tc>
          <w:tcPr>
            <w:tcW w:w="578" w:type="pct"/>
            <w:tcBorders>
              <w:top w:val="nil"/>
              <w:left w:val="nil"/>
              <w:bottom w:val="single" w:sz="8" w:space="0" w:color="auto"/>
              <w:right w:val="nil"/>
            </w:tcBorders>
            <w:shd w:val="clear" w:color="auto" w:fill="FFFFFF"/>
            <w:noWrap/>
            <w:vAlign w:val="bottom"/>
            <w:hideMark/>
          </w:tcPr>
          <w:p w14:paraId="26F7ABEE"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0.012</w:t>
            </w:r>
          </w:p>
        </w:tc>
      </w:tr>
    </w:tbl>
    <w:p w14:paraId="33725043" w14:textId="77777777" w:rsidR="007A24BC" w:rsidRDefault="007A24BC" w:rsidP="007A24BC">
      <w:pPr>
        <w:spacing w:line="240" w:lineRule="auto"/>
        <w:ind w:left="708"/>
        <w:jc w:val="both"/>
        <w:rPr>
          <w:rFonts w:ascii="Times New Roman" w:hAnsi="Times New Roman" w:cs="Times New Roman"/>
          <w:sz w:val="16"/>
          <w:szCs w:val="16"/>
          <w:lang w:val="en-US"/>
        </w:rPr>
      </w:pPr>
      <w:r>
        <w:rPr>
          <w:rFonts w:ascii="Times New Roman" w:hAnsi="Times New Roman" w:cs="Times New Roman"/>
          <w:sz w:val="16"/>
          <w:szCs w:val="16"/>
          <w:vertAlign w:val="superscript"/>
          <w:lang w:val="en-US"/>
        </w:rPr>
        <w:t>1</w:t>
      </w:r>
      <w:r>
        <w:rPr>
          <w:rFonts w:ascii="Times New Roman" w:hAnsi="Times New Roman" w:cs="Times New Roman"/>
          <w:i/>
          <w:iCs/>
          <w:sz w:val="16"/>
          <w:szCs w:val="16"/>
          <w:lang w:val="en-US"/>
        </w:rPr>
        <w:t>Rhizoglomus irregulare</w:t>
      </w:r>
      <w:r>
        <w:rPr>
          <w:rFonts w:ascii="Times New Roman" w:hAnsi="Times New Roman" w:cs="Times New Roman"/>
          <w:sz w:val="16"/>
          <w:szCs w:val="16"/>
          <w:lang w:val="en-US"/>
        </w:rPr>
        <w:t xml:space="preserve"> </w:t>
      </w:r>
    </w:p>
    <w:p w14:paraId="437DE45E" w14:textId="77777777" w:rsidR="007A24BC" w:rsidRDefault="007A24BC" w:rsidP="007A24BC">
      <w:pPr>
        <w:spacing w:line="240" w:lineRule="auto"/>
        <w:ind w:left="708"/>
        <w:jc w:val="both"/>
        <w:rPr>
          <w:rFonts w:ascii="Times New Roman" w:hAnsi="Times New Roman" w:cs="Times New Roman"/>
          <w:b/>
          <w:bCs/>
          <w:lang w:val="en-US"/>
        </w:rPr>
      </w:pPr>
      <w:r>
        <w:rPr>
          <w:rFonts w:ascii="Times New Roman" w:hAnsi="Times New Roman" w:cs="Times New Roman"/>
          <w:sz w:val="16"/>
          <w:szCs w:val="16"/>
          <w:vertAlign w:val="superscript"/>
          <w:lang w:val="en-US"/>
        </w:rPr>
        <w:t>2</w:t>
      </w:r>
      <w:r>
        <w:rPr>
          <w:rFonts w:ascii="Times New Roman" w:hAnsi="Times New Roman" w:cs="Times New Roman"/>
          <w:i/>
          <w:iCs/>
          <w:sz w:val="16"/>
          <w:szCs w:val="16"/>
          <w:lang w:val="en-US"/>
        </w:rPr>
        <w:t>Funneliformis mosseae</w:t>
      </w:r>
    </w:p>
    <w:p w14:paraId="0147F411" w14:textId="5C63A0D1" w:rsidR="007A24BC" w:rsidRDefault="007A24BC" w:rsidP="007A24BC">
      <w:pPr>
        <w:jc w:val="both"/>
        <w:rPr>
          <w:rFonts w:ascii="Times New Roman" w:hAnsi="Times New Roman" w:cs="Times New Roman"/>
          <w:lang w:val="en-US"/>
        </w:rPr>
      </w:pPr>
      <w:r>
        <w:rPr>
          <w:rFonts w:ascii="Times New Roman" w:hAnsi="Times New Roman" w:cs="Times New Roman"/>
          <w:b/>
          <w:bCs/>
          <w:lang w:val="en-US"/>
        </w:rPr>
        <w:lastRenderedPageBreak/>
        <w:t>Table 3</w:t>
      </w:r>
      <w:r>
        <w:rPr>
          <w:rFonts w:ascii="Times New Roman" w:hAnsi="Times New Roman" w:cs="Times New Roman"/>
          <w:lang w:val="en-US"/>
        </w:rPr>
        <w:t xml:space="preserve">. A) Macro- and micronutrient contents in leaves of Touriga Nacional grapevines grafted onto 1103 Paulsen rootstock. Data represent average values (n = 3-4) ± standard error. Different letters indicate significant differences among the different experimental treatments, according to Duncan </w:t>
      </w:r>
      <w:r w:rsidR="007E48EE">
        <w:rPr>
          <w:rFonts w:ascii="Times New Roman" w:hAnsi="Times New Roman" w:cs="Times New Roman"/>
          <w:i/>
          <w:iCs/>
          <w:lang w:val="en-US"/>
        </w:rPr>
        <w:t>post hoc</w:t>
      </w:r>
      <w:r>
        <w:rPr>
          <w:rFonts w:ascii="Times New Roman" w:hAnsi="Times New Roman" w:cs="Times New Roman"/>
          <w:lang w:val="en-US"/>
        </w:rPr>
        <w:t xml:space="preserve"> test. B) P-values of the two-way ANOVA test for the effects of the factors “Soil treatment” and “Mycorrhizal treatment” and their interaction. Significant effect: p-value ≤ 0.05. </w:t>
      </w:r>
    </w:p>
    <w:tbl>
      <w:tblPr>
        <w:tblW w:w="5000" w:type="pct"/>
        <w:tblCellMar>
          <w:left w:w="70" w:type="dxa"/>
          <w:right w:w="70" w:type="dxa"/>
        </w:tblCellMar>
        <w:tblLook w:val="04A0" w:firstRow="1" w:lastRow="0" w:firstColumn="1" w:lastColumn="0" w:noHBand="0" w:noVBand="1"/>
      </w:tblPr>
      <w:tblGrid>
        <w:gridCol w:w="378"/>
        <w:gridCol w:w="1563"/>
        <w:gridCol w:w="1616"/>
        <w:gridCol w:w="1453"/>
        <w:gridCol w:w="1322"/>
        <w:gridCol w:w="1322"/>
        <w:gridCol w:w="269"/>
        <w:gridCol w:w="1411"/>
        <w:gridCol w:w="1439"/>
        <w:gridCol w:w="1655"/>
        <w:gridCol w:w="1574"/>
      </w:tblGrid>
      <w:tr w:rsidR="007A24BC" w14:paraId="320B0E48" w14:textId="77777777" w:rsidTr="007A24BC">
        <w:trPr>
          <w:trHeight w:val="495"/>
        </w:trPr>
        <w:tc>
          <w:tcPr>
            <w:tcW w:w="135" w:type="pct"/>
            <w:shd w:val="clear" w:color="auto" w:fill="FFFFFF"/>
            <w:noWrap/>
            <w:vAlign w:val="bottom"/>
            <w:hideMark/>
          </w:tcPr>
          <w:p w14:paraId="406AD5B7" w14:textId="77777777" w:rsidR="007A24BC" w:rsidRDefault="007A24BC">
            <w:pPr>
              <w:spacing w:after="0" w:line="240" w:lineRule="auto"/>
              <w:jc w:val="right"/>
              <w:rPr>
                <w:rFonts w:ascii="Times New Roman" w:eastAsia="Times New Roman" w:hAnsi="Times New Roman" w:cs="Times New Roman"/>
                <w:b/>
                <w:bCs/>
                <w:sz w:val="18"/>
                <w:szCs w:val="18"/>
                <w:lang w:val="pt-PT" w:eastAsia="pt-PT"/>
              </w:rPr>
            </w:pPr>
            <w:r>
              <w:rPr>
                <w:rFonts w:ascii="Times New Roman" w:eastAsia="Times New Roman" w:hAnsi="Times New Roman" w:cs="Times New Roman"/>
                <w:b/>
                <w:bCs/>
                <w:sz w:val="18"/>
                <w:szCs w:val="18"/>
                <w:lang w:eastAsia="pt-PT"/>
              </w:rPr>
              <w:t>A)</w:t>
            </w:r>
          </w:p>
        </w:tc>
        <w:tc>
          <w:tcPr>
            <w:tcW w:w="558" w:type="pct"/>
            <w:vMerge w:val="restart"/>
            <w:tcBorders>
              <w:top w:val="nil"/>
              <w:left w:val="nil"/>
              <w:bottom w:val="single" w:sz="4" w:space="0" w:color="000000"/>
              <w:right w:val="nil"/>
            </w:tcBorders>
            <w:shd w:val="clear" w:color="auto" w:fill="FFFFFF"/>
            <w:noWrap/>
            <w:vAlign w:val="center"/>
            <w:hideMark/>
          </w:tcPr>
          <w:p w14:paraId="5D95A765" w14:textId="77777777" w:rsidR="007A24BC" w:rsidRDefault="007A24BC">
            <w:pPr>
              <w:spacing w:after="0" w:line="240" w:lineRule="auto"/>
              <w:jc w:val="center"/>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Soil treatment</w:t>
            </w:r>
          </w:p>
        </w:tc>
        <w:tc>
          <w:tcPr>
            <w:tcW w:w="577" w:type="pct"/>
            <w:vMerge w:val="restart"/>
            <w:tcBorders>
              <w:top w:val="nil"/>
              <w:left w:val="nil"/>
              <w:bottom w:val="single" w:sz="4" w:space="0" w:color="000000"/>
              <w:right w:val="nil"/>
            </w:tcBorders>
            <w:shd w:val="clear" w:color="auto" w:fill="FFFFFF"/>
            <w:vAlign w:val="center"/>
            <w:hideMark/>
          </w:tcPr>
          <w:p w14:paraId="5143B1CB" w14:textId="77777777" w:rsidR="007A24BC" w:rsidRDefault="007A24BC">
            <w:pPr>
              <w:spacing w:after="0" w:line="240" w:lineRule="auto"/>
              <w:jc w:val="center"/>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Mycorrhizal treatment</w:t>
            </w:r>
          </w:p>
        </w:tc>
        <w:tc>
          <w:tcPr>
            <w:tcW w:w="1463" w:type="pct"/>
            <w:gridSpan w:val="3"/>
            <w:tcBorders>
              <w:top w:val="nil"/>
              <w:left w:val="nil"/>
              <w:bottom w:val="single" w:sz="8" w:space="0" w:color="auto"/>
              <w:right w:val="nil"/>
            </w:tcBorders>
            <w:shd w:val="clear" w:color="auto" w:fill="FFFFFF"/>
            <w:noWrap/>
            <w:vAlign w:val="center"/>
            <w:hideMark/>
          </w:tcPr>
          <w:p w14:paraId="2D08AC5D" w14:textId="77777777" w:rsidR="007A24BC" w:rsidRDefault="007A24BC">
            <w:pPr>
              <w:spacing w:after="0" w:line="240" w:lineRule="auto"/>
              <w:jc w:val="center"/>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Macronutrient concentration (g/kg)</w:t>
            </w:r>
          </w:p>
        </w:tc>
        <w:tc>
          <w:tcPr>
            <w:tcW w:w="96" w:type="pct"/>
            <w:shd w:val="clear" w:color="auto" w:fill="FFFFFF"/>
            <w:noWrap/>
            <w:vAlign w:val="center"/>
            <w:hideMark/>
          </w:tcPr>
          <w:p w14:paraId="40C929AD" w14:textId="77777777" w:rsidR="007A24BC" w:rsidRDefault="007A24BC">
            <w:pPr>
              <w:spacing w:after="0" w:line="240" w:lineRule="auto"/>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 </w:t>
            </w:r>
          </w:p>
        </w:tc>
        <w:tc>
          <w:tcPr>
            <w:tcW w:w="2171" w:type="pct"/>
            <w:gridSpan w:val="4"/>
            <w:tcBorders>
              <w:top w:val="nil"/>
              <w:left w:val="nil"/>
              <w:bottom w:val="single" w:sz="8" w:space="0" w:color="auto"/>
              <w:right w:val="nil"/>
            </w:tcBorders>
            <w:shd w:val="clear" w:color="auto" w:fill="FFFFFF"/>
            <w:noWrap/>
            <w:vAlign w:val="center"/>
            <w:hideMark/>
          </w:tcPr>
          <w:p w14:paraId="0050AD0A" w14:textId="77777777" w:rsidR="007A24BC" w:rsidRDefault="007A24BC">
            <w:pPr>
              <w:spacing w:after="0" w:line="240" w:lineRule="auto"/>
              <w:jc w:val="center"/>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Micronutrient concentration (mg/kg)</w:t>
            </w:r>
          </w:p>
        </w:tc>
      </w:tr>
      <w:tr w:rsidR="007A24BC" w14:paraId="08995B1D" w14:textId="77777777" w:rsidTr="007A24BC">
        <w:trPr>
          <w:trHeight w:val="300"/>
        </w:trPr>
        <w:tc>
          <w:tcPr>
            <w:tcW w:w="135" w:type="pct"/>
            <w:shd w:val="clear" w:color="auto" w:fill="FFFFFF"/>
            <w:noWrap/>
            <w:vAlign w:val="bottom"/>
            <w:hideMark/>
          </w:tcPr>
          <w:p w14:paraId="6D2FBC18" w14:textId="77777777" w:rsidR="007A24BC" w:rsidRDefault="007A24BC">
            <w:pPr>
              <w:spacing w:after="0" w:line="240" w:lineRule="auto"/>
              <w:jc w:val="right"/>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 </w:t>
            </w:r>
          </w:p>
        </w:tc>
        <w:tc>
          <w:tcPr>
            <w:tcW w:w="0" w:type="auto"/>
            <w:vMerge/>
            <w:tcBorders>
              <w:top w:val="nil"/>
              <w:left w:val="nil"/>
              <w:bottom w:val="single" w:sz="4" w:space="0" w:color="000000"/>
              <w:right w:val="nil"/>
            </w:tcBorders>
            <w:vAlign w:val="center"/>
            <w:hideMark/>
          </w:tcPr>
          <w:p w14:paraId="5B4FC813" w14:textId="77777777" w:rsidR="007A24BC" w:rsidRDefault="007A24BC">
            <w:pPr>
              <w:spacing w:after="0"/>
              <w:rPr>
                <w:rFonts w:ascii="Times New Roman" w:eastAsia="Times New Roman" w:hAnsi="Times New Roman" w:cs="Times New Roman"/>
                <w:b/>
                <w:bCs/>
                <w:sz w:val="18"/>
                <w:szCs w:val="18"/>
                <w:lang w:eastAsia="pt-PT"/>
              </w:rPr>
            </w:pPr>
          </w:p>
        </w:tc>
        <w:tc>
          <w:tcPr>
            <w:tcW w:w="0" w:type="auto"/>
            <w:vMerge/>
            <w:tcBorders>
              <w:top w:val="nil"/>
              <w:left w:val="nil"/>
              <w:bottom w:val="single" w:sz="4" w:space="0" w:color="000000"/>
              <w:right w:val="nil"/>
            </w:tcBorders>
            <w:vAlign w:val="center"/>
            <w:hideMark/>
          </w:tcPr>
          <w:p w14:paraId="1EBB5559" w14:textId="77777777" w:rsidR="007A24BC" w:rsidRDefault="007A24BC">
            <w:pPr>
              <w:spacing w:after="0"/>
              <w:rPr>
                <w:rFonts w:ascii="Times New Roman" w:eastAsia="Times New Roman" w:hAnsi="Times New Roman" w:cs="Times New Roman"/>
                <w:b/>
                <w:bCs/>
                <w:sz w:val="18"/>
                <w:szCs w:val="18"/>
                <w:lang w:eastAsia="pt-PT"/>
              </w:rPr>
            </w:pPr>
          </w:p>
        </w:tc>
        <w:tc>
          <w:tcPr>
            <w:tcW w:w="519" w:type="pct"/>
            <w:tcBorders>
              <w:top w:val="nil"/>
              <w:left w:val="nil"/>
              <w:bottom w:val="single" w:sz="4" w:space="0" w:color="auto"/>
              <w:right w:val="nil"/>
            </w:tcBorders>
            <w:shd w:val="clear" w:color="auto" w:fill="FFFFFF"/>
            <w:noWrap/>
            <w:vAlign w:val="center"/>
            <w:hideMark/>
          </w:tcPr>
          <w:p w14:paraId="13C60602" w14:textId="77777777" w:rsidR="007A24BC" w:rsidRDefault="007A24BC">
            <w:pPr>
              <w:spacing w:after="0" w:line="240" w:lineRule="auto"/>
              <w:jc w:val="center"/>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N</w:t>
            </w:r>
          </w:p>
        </w:tc>
        <w:tc>
          <w:tcPr>
            <w:tcW w:w="472" w:type="pct"/>
            <w:tcBorders>
              <w:top w:val="nil"/>
              <w:left w:val="nil"/>
              <w:bottom w:val="single" w:sz="4" w:space="0" w:color="auto"/>
              <w:right w:val="nil"/>
            </w:tcBorders>
            <w:shd w:val="clear" w:color="auto" w:fill="FFFFFF"/>
            <w:noWrap/>
            <w:vAlign w:val="center"/>
            <w:hideMark/>
          </w:tcPr>
          <w:p w14:paraId="2EE149ED" w14:textId="77777777" w:rsidR="007A24BC" w:rsidRDefault="007A24BC">
            <w:pPr>
              <w:spacing w:after="0" w:line="240" w:lineRule="auto"/>
              <w:jc w:val="center"/>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 xml:space="preserve">P </w:t>
            </w:r>
          </w:p>
        </w:tc>
        <w:tc>
          <w:tcPr>
            <w:tcW w:w="472" w:type="pct"/>
            <w:tcBorders>
              <w:top w:val="nil"/>
              <w:left w:val="nil"/>
              <w:bottom w:val="single" w:sz="4" w:space="0" w:color="auto"/>
              <w:right w:val="nil"/>
            </w:tcBorders>
            <w:shd w:val="clear" w:color="auto" w:fill="FFFFFF"/>
            <w:noWrap/>
            <w:vAlign w:val="center"/>
            <w:hideMark/>
          </w:tcPr>
          <w:p w14:paraId="13DDE2B7" w14:textId="77777777" w:rsidR="007A24BC" w:rsidRDefault="007A24BC">
            <w:pPr>
              <w:spacing w:after="0" w:line="240" w:lineRule="auto"/>
              <w:jc w:val="center"/>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K</w:t>
            </w:r>
          </w:p>
        </w:tc>
        <w:tc>
          <w:tcPr>
            <w:tcW w:w="96" w:type="pct"/>
            <w:tcBorders>
              <w:top w:val="nil"/>
              <w:left w:val="nil"/>
              <w:bottom w:val="single" w:sz="4" w:space="0" w:color="auto"/>
              <w:right w:val="nil"/>
            </w:tcBorders>
            <w:shd w:val="clear" w:color="auto" w:fill="FFFFFF"/>
            <w:noWrap/>
            <w:vAlign w:val="center"/>
            <w:hideMark/>
          </w:tcPr>
          <w:p w14:paraId="424F433F" w14:textId="77777777" w:rsidR="007A24BC" w:rsidRDefault="007A24BC">
            <w:pPr>
              <w:spacing w:after="0" w:line="240" w:lineRule="auto"/>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 </w:t>
            </w:r>
          </w:p>
        </w:tc>
        <w:tc>
          <w:tcPr>
            <w:tcW w:w="504" w:type="pct"/>
            <w:tcBorders>
              <w:top w:val="nil"/>
              <w:left w:val="nil"/>
              <w:bottom w:val="single" w:sz="4" w:space="0" w:color="auto"/>
              <w:right w:val="nil"/>
            </w:tcBorders>
            <w:shd w:val="clear" w:color="auto" w:fill="FFFFFF"/>
            <w:noWrap/>
            <w:vAlign w:val="center"/>
            <w:hideMark/>
          </w:tcPr>
          <w:p w14:paraId="75D3ADA3" w14:textId="77777777" w:rsidR="007A24BC" w:rsidRDefault="007A24BC">
            <w:pPr>
              <w:spacing w:after="0" w:line="240" w:lineRule="auto"/>
              <w:jc w:val="center"/>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 xml:space="preserve">Cu </w:t>
            </w:r>
          </w:p>
        </w:tc>
        <w:tc>
          <w:tcPr>
            <w:tcW w:w="514" w:type="pct"/>
            <w:tcBorders>
              <w:top w:val="nil"/>
              <w:left w:val="nil"/>
              <w:bottom w:val="single" w:sz="4" w:space="0" w:color="auto"/>
              <w:right w:val="nil"/>
            </w:tcBorders>
            <w:shd w:val="clear" w:color="auto" w:fill="FFFFFF"/>
            <w:noWrap/>
            <w:vAlign w:val="center"/>
            <w:hideMark/>
          </w:tcPr>
          <w:p w14:paraId="54B939AE" w14:textId="77777777" w:rsidR="007A24BC" w:rsidRDefault="007A24BC">
            <w:pPr>
              <w:spacing w:after="0" w:line="240" w:lineRule="auto"/>
              <w:jc w:val="center"/>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 xml:space="preserve">Zn </w:t>
            </w:r>
          </w:p>
        </w:tc>
        <w:tc>
          <w:tcPr>
            <w:tcW w:w="591" w:type="pct"/>
            <w:tcBorders>
              <w:top w:val="nil"/>
              <w:left w:val="nil"/>
              <w:bottom w:val="single" w:sz="4" w:space="0" w:color="auto"/>
              <w:right w:val="nil"/>
            </w:tcBorders>
            <w:shd w:val="clear" w:color="auto" w:fill="FFFFFF"/>
            <w:noWrap/>
            <w:vAlign w:val="center"/>
            <w:hideMark/>
          </w:tcPr>
          <w:p w14:paraId="60E69E9A" w14:textId="77777777" w:rsidR="007A24BC" w:rsidRDefault="007A24BC">
            <w:pPr>
              <w:spacing w:after="0" w:line="240" w:lineRule="auto"/>
              <w:jc w:val="center"/>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Mn</w:t>
            </w:r>
          </w:p>
        </w:tc>
        <w:tc>
          <w:tcPr>
            <w:tcW w:w="562" w:type="pct"/>
            <w:tcBorders>
              <w:top w:val="nil"/>
              <w:left w:val="nil"/>
              <w:bottom w:val="single" w:sz="4" w:space="0" w:color="auto"/>
              <w:right w:val="nil"/>
            </w:tcBorders>
            <w:shd w:val="clear" w:color="auto" w:fill="FFFFFF"/>
            <w:noWrap/>
            <w:vAlign w:val="center"/>
            <w:hideMark/>
          </w:tcPr>
          <w:p w14:paraId="0A5F6459" w14:textId="77777777" w:rsidR="007A24BC" w:rsidRDefault="007A24BC">
            <w:pPr>
              <w:spacing w:after="0" w:line="240" w:lineRule="auto"/>
              <w:jc w:val="center"/>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 xml:space="preserve">Fe </w:t>
            </w:r>
          </w:p>
        </w:tc>
      </w:tr>
      <w:tr w:rsidR="007A24BC" w14:paraId="464E67DB" w14:textId="77777777" w:rsidTr="007A24BC">
        <w:trPr>
          <w:trHeight w:val="432"/>
        </w:trPr>
        <w:tc>
          <w:tcPr>
            <w:tcW w:w="135" w:type="pct"/>
            <w:shd w:val="clear" w:color="auto" w:fill="FFFFFF"/>
            <w:noWrap/>
            <w:vAlign w:val="bottom"/>
            <w:hideMark/>
          </w:tcPr>
          <w:p w14:paraId="7E492486"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58" w:type="pct"/>
            <w:vMerge w:val="restart"/>
            <w:tcBorders>
              <w:top w:val="nil"/>
              <w:left w:val="nil"/>
              <w:bottom w:val="single" w:sz="4" w:space="0" w:color="000000"/>
              <w:right w:val="nil"/>
            </w:tcBorders>
            <w:shd w:val="clear" w:color="auto" w:fill="FFFFFF"/>
            <w:vAlign w:val="center"/>
            <w:hideMark/>
          </w:tcPr>
          <w:p w14:paraId="570B2356" w14:textId="3B5189F1" w:rsidR="007A24BC" w:rsidRDefault="0083298F">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Control</w:t>
            </w:r>
          </w:p>
        </w:tc>
        <w:tc>
          <w:tcPr>
            <w:tcW w:w="577" w:type="pct"/>
            <w:shd w:val="clear" w:color="auto" w:fill="FFFFFF"/>
            <w:noWrap/>
            <w:vAlign w:val="center"/>
            <w:hideMark/>
          </w:tcPr>
          <w:p w14:paraId="6157816B"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Non-inoculated</w:t>
            </w:r>
          </w:p>
        </w:tc>
        <w:tc>
          <w:tcPr>
            <w:tcW w:w="519" w:type="pct"/>
            <w:shd w:val="clear" w:color="auto" w:fill="FFFFFF"/>
            <w:noWrap/>
            <w:vAlign w:val="bottom"/>
            <w:hideMark/>
          </w:tcPr>
          <w:p w14:paraId="750CC447"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17.98 ± 1.533 ab</w:t>
            </w:r>
          </w:p>
        </w:tc>
        <w:tc>
          <w:tcPr>
            <w:tcW w:w="472" w:type="pct"/>
            <w:shd w:val="clear" w:color="auto" w:fill="FFFFFF"/>
            <w:noWrap/>
            <w:vAlign w:val="bottom"/>
            <w:hideMark/>
          </w:tcPr>
          <w:p w14:paraId="05D2D2E7"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3.27 ± 0.234 ab</w:t>
            </w:r>
          </w:p>
        </w:tc>
        <w:tc>
          <w:tcPr>
            <w:tcW w:w="472" w:type="pct"/>
            <w:shd w:val="clear" w:color="auto" w:fill="FFFFFF"/>
            <w:noWrap/>
            <w:vAlign w:val="bottom"/>
            <w:hideMark/>
          </w:tcPr>
          <w:p w14:paraId="03F1AC2E"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7.52 ± 0.300 c</w:t>
            </w:r>
          </w:p>
        </w:tc>
        <w:tc>
          <w:tcPr>
            <w:tcW w:w="96" w:type="pct"/>
            <w:shd w:val="clear" w:color="auto" w:fill="FFFFFF"/>
            <w:noWrap/>
            <w:vAlign w:val="center"/>
            <w:hideMark/>
          </w:tcPr>
          <w:p w14:paraId="69672664"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04" w:type="pct"/>
            <w:shd w:val="clear" w:color="auto" w:fill="FFFFFF"/>
            <w:noWrap/>
            <w:vAlign w:val="bottom"/>
            <w:hideMark/>
          </w:tcPr>
          <w:p w14:paraId="3538C7AF"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8.19 ± 1.861 c</w:t>
            </w:r>
          </w:p>
        </w:tc>
        <w:tc>
          <w:tcPr>
            <w:tcW w:w="514" w:type="pct"/>
            <w:shd w:val="clear" w:color="auto" w:fill="FFFFFF"/>
            <w:noWrap/>
            <w:vAlign w:val="bottom"/>
            <w:hideMark/>
          </w:tcPr>
          <w:p w14:paraId="5E5159FE"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19.57 ± 1.022 c</w:t>
            </w:r>
          </w:p>
        </w:tc>
        <w:tc>
          <w:tcPr>
            <w:tcW w:w="591" w:type="pct"/>
            <w:shd w:val="clear" w:color="auto" w:fill="FFFFFF"/>
            <w:noWrap/>
            <w:vAlign w:val="bottom"/>
            <w:hideMark/>
          </w:tcPr>
          <w:p w14:paraId="71F641CF"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381.62 ± 24.460 a</w:t>
            </w:r>
          </w:p>
        </w:tc>
        <w:tc>
          <w:tcPr>
            <w:tcW w:w="562" w:type="pct"/>
            <w:shd w:val="clear" w:color="auto" w:fill="FFFFFF"/>
            <w:noWrap/>
            <w:vAlign w:val="bottom"/>
            <w:hideMark/>
          </w:tcPr>
          <w:p w14:paraId="0F47888E"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78.83 ± 7.361 b</w:t>
            </w:r>
          </w:p>
        </w:tc>
      </w:tr>
      <w:tr w:rsidR="007A24BC" w14:paraId="184D4E52" w14:textId="77777777" w:rsidTr="007A24BC">
        <w:trPr>
          <w:trHeight w:val="432"/>
        </w:trPr>
        <w:tc>
          <w:tcPr>
            <w:tcW w:w="135" w:type="pct"/>
            <w:shd w:val="clear" w:color="auto" w:fill="FFFFFF"/>
            <w:noWrap/>
            <w:vAlign w:val="bottom"/>
            <w:hideMark/>
          </w:tcPr>
          <w:p w14:paraId="48F32635"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0" w:type="auto"/>
            <w:vMerge/>
            <w:tcBorders>
              <w:top w:val="nil"/>
              <w:left w:val="nil"/>
              <w:bottom w:val="single" w:sz="4" w:space="0" w:color="000000"/>
              <w:right w:val="nil"/>
            </w:tcBorders>
            <w:vAlign w:val="center"/>
            <w:hideMark/>
          </w:tcPr>
          <w:p w14:paraId="330D9D71" w14:textId="77777777" w:rsidR="007A24BC" w:rsidRDefault="007A24BC">
            <w:pPr>
              <w:spacing w:after="0"/>
              <w:rPr>
                <w:rFonts w:ascii="Times New Roman" w:eastAsia="Times New Roman" w:hAnsi="Times New Roman" w:cs="Times New Roman"/>
                <w:sz w:val="18"/>
                <w:szCs w:val="18"/>
                <w:lang w:eastAsia="pt-PT"/>
              </w:rPr>
            </w:pPr>
          </w:p>
        </w:tc>
        <w:tc>
          <w:tcPr>
            <w:tcW w:w="577" w:type="pct"/>
            <w:shd w:val="clear" w:color="auto" w:fill="FFFFFF"/>
            <w:noWrap/>
            <w:vAlign w:val="center"/>
            <w:hideMark/>
          </w:tcPr>
          <w:p w14:paraId="2C5DB7E4"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Inoculated with Ri</w:t>
            </w:r>
            <w:r>
              <w:rPr>
                <w:rFonts w:ascii="Times New Roman" w:eastAsia="Times New Roman" w:hAnsi="Times New Roman" w:cs="Times New Roman"/>
                <w:sz w:val="18"/>
                <w:szCs w:val="18"/>
                <w:vertAlign w:val="superscript"/>
                <w:lang w:eastAsia="pt-PT"/>
              </w:rPr>
              <w:t>1</w:t>
            </w:r>
          </w:p>
        </w:tc>
        <w:tc>
          <w:tcPr>
            <w:tcW w:w="519" w:type="pct"/>
            <w:shd w:val="clear" w:color="auto" w:fill="FFFFFF"/>
            <w:noWrap/>
            <w:vAlign w:val="bottom"/>
            <w:hideMark/>
          </w:tcPr>
          <w:p w14:paraId="22647661"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19.56 ± 0.356 a</w:t>
            </w:r>
          </w:p>
        </w:tc>
        <w:tc>
          <w:tcPr>
            <w:tcW w:w="472" w:type="pct"/>
            <w:shd w:val="clear" w:color="auto" w:fill="FFFFFF"/>
            <w:noWrap/>
            <w:vAlign w:val="bottom"/>
            <w:hideMark/>
          </w:tcPr>
          <w:p w14:paraId="031E24D5"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2.97 ± 0.128 ab</w:t>
            </w:r>
          </w:p>
        </w:tc>
        <w:tc>
          <w:tcPr>
            <w:tcW w:w="472" w:type="pct"/>
            <w:shd w:val="clear" w:color="auto" w:fill="FFFFFF"/>
            <w:noWrap/>
            <w:vAlign w:val="bottom"/>
            <w:hideMark/>
          </w:tcPr>
          <w:p w14:paraId="3677BEB2"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8.03 ± 0.299 bc</w:t>
            </w:r>
          </w:p>
        </w:tc>
        <w:tc>
          <w:tcPr>
            <w:tcW w:w="96" w:type="pct"/>
            <w:shd w:val="clear" w:color="auto" w:fill="FFFFFF"/>
            <w:noWrap/>
            <w:vAlign w:val="center"/>
            <w:hideMark/>
          </w:tcPr>
          <w:p w14:paraId="2ADB78CD"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04" w:type="pct"/>
            <w:shd w:val="clear" w:color="auto" w:fill="FFFFFF"/>
            <w:noWrap/>
            <w:vAlign w:val="bottom"/>
            <w:hideMark/>
          </w:tcPr>
          <w:p w14:paraId="40B61B8D"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5.87 ± 0.769 c</w:t>
            </w:r>
          </w:p>
        </w:tc>
        <w:tc>
          <w:tcPr>
            <w:tcW w:w="514" w:type="pct"/>
            <w:shd w:val="clear" w:color="auto" w:fill="FFFFFF"/>
            <w:noWrap/>
            <w:vAlign w:val="bottom"/>
            <w:hideMark/>
          </w:tcPr>
          <w:p w14:paraId="254BCA37"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25.74 ± 1.706 abc</w:t>
            </w:r>
          </w:p>
        </w:tc>
        <w:tc>
          <w:tcPr>
            <w:tcW w:w="591" w:type="pct"/>
            <w:shd w:val="clear" w:color="auto" w:fill="FFFFFF"/>
            <w:noWrap/>
            <w:vAlign w:val="bottom"/>
            <w:hideMark/>
          </w:tcPr>
          <w:p w14:paraId="67995939"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297.91 ± 18.519 bc</w:t>
            </w:r>
          </w:p>
        </w:tc>
        <w:tc>
          <w:tcPr>
            <w:tcW w:w="562" w:type="pct"/>
            <w:shd w:val="clear" w:color="auto" w:fill="FFFFFF"/>
            <w:noWrap/>
            <w:vAlign w:val="bottom"/>
            <w:hideMark/>
          </w:tcPr>
          <w:p w14:paraId="0100D739"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124.5 ± 9.654 a</w:t>
            </w:r>
          </w:p>
        </w:tc>
      </w:tr>
      <w:tr w:rsidR="007A24BC" w14:paraId="41FF9D37" w14:textId="77777777" w:rsidTr="007A24BC">
        <w:trPr>
          <w:trHeight w:val="432"/>
        </w:trPr>
        <w:tc>
          <w:tcPr>
            <w:tcW w:w="135" w:type="pct"/>
            <w:shd w:val="clear" w:color="auto" w:fill="FFFFFF"/>
            <w:noWrap/>
            <w:vAlign w:val="bottom"/>
            <w:hideMark/>
          </w:tcPr>
          <w:p w14:paraId="68C2647F"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0" w:type="auto"/>
            <w:vMerge/>
            <w:tcBorders>
              <w:top w:val="nil"/>
              <w:left w:val="nil"/>
              <w:bottom w:val="single" w:sz="4" w:space="0" w:color="000000"/>
              <w:right w:val="nil"/>
            </w:tcBorders>
            <w:vAlign w:val="center"/>
            <w:hideMark/>
          </w:tcPr>
          <w:p w14:paraId="04965723" w14:textId="77777777" w:rsidR="007A24BC" w:rsidRDefault="007A24BC">
            <w:pPr>
              <w:spacing w:after="0"/>
              <w:rPr>
                <w:rFonts w:ascii="Times New Roman" w:eastAsia="Times New Roman" w:hAnsi="Times New Roman" w:cs="Times New Roman"/>
                <w:sz w:val="18"/>
                <w:szCs w:val="18"/>
                <w:lang w:eastAsia="pt-PT"/>
              </w:rPr>
            </w:pPr>
          </w:p>
        </w:tc>
        <w:tc>
          <w:tcPr>
            <w:tcW w:w="577" w:type="pct"/>
            <w:tcBorders>
              <w:top w:val="nil"/>
              <w:left w:val="nil"/>
              <w:bottom w:val="single" w:sz="4" w:space="0" w:color="auto"/>
              <w:right w:val="nil"/>
            </w:tcBorders>
            <w:shd w:val="clear" w:color="auto" w:fill="FFFFFF"/>
            <w:noWrap/>
            <w:vAlign w:val="center"/>
            <w:hideMark/>
          </w:tcPr>
          <w:p w14:paraId="1699803B"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Inoculated with Fm</w:t>
            </w:r>
            <w:r>
              <w:rPr>
                <w:rFonts w:ascii="Times New Roman" w:eastAsia="Times New Roman" w:hAnsi="Times New Roman" w:cs="Times New Roman"/>
                <w:sz w:val="18"/>
                <w:szCs w:val="18"/>
                <w:vertAlign w:val="superscript"/>
                <w:lang w:eastAsia="pt-PT"/>
              </w:rPr>
              <w:t>2</w:t>
            </w:r>
          </w:p>
        </w:tc>
        <w:tc>
          <w:tcPr>
            <w:tcW w:w="519" w:type="pct"/>
            <w:tcBorders>
              <w:top w:val="nil"/>
              <w:left w:val="nil"/>
              <w:bottom w:val="single" w:sz="4" w:space="0" w:color="auto"/>
              <w:right w:val="nil"/>
            </w:tcBorders>
            <w:shd w:val="clear" w:color="auto" w:fill="FFFFFF"/>
            <w:noWrap/>
            <w:vAlign w:val="bottom"/>
            <w:hideMark/>
          </w:tcPr>
          <w:p w14:paraId="19D918D9"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17.39 ± 1.128 ab</w:t>
            </w:r>
          </w:p>
        </w:tc>
        <w:tc>
          <w:tcPr>
            <w:tcW w:w="472" w:type="pct"/>
            <w:tcBorders>
              <w:top w:val="nil"/>
              <w:left w:val="nil"/>
              <w:bottom w:val="single" w:sz="4" w:space="0" w:color="auto"/>
              <w:right w:val="nil"/>
            </w:tcBorders>
            <w:shd w:val="clear" w:color="auto" w:fill="FFFFFF"/>
            <w:noWrap/>
            <w:vAlign w:val="bottom"/>
            <w:hideMark/>
          </w:tcPr>
          <w:p w14:paraId="389B0643"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3.30 ± 0.141 ab</w:t>
            </w:r>
          </w:p>
        </w:tc>
        <w:tc>
          <w:tcPr>
            <w:tcW w:w="568" w:type="pct"/>
            <w:gridSpan w:val="2"/>
            <w:tcBorders>
              <w:top w:val="nil"/>
              <w:left w:val="nil"/>
              <w:bottom w:val="single" w:sz="4" w:space="0" w:color="auto"/>
              <w:right w:val="nil"/>
            </w:tcBorders>
            <w:shd w:val="clear" w:color="auto" w:fill="FFFFFF"/>
            <w:noWrap/>
            <w:vAlign w:val="bottom"/>
            <w:hideMark/>
          </w:tcPr>
          <w:p w14:paraId="2E4C127B"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8.76 ± 0.172 abc</w:t>
            </w:r>
          </w:p>
        </w:tc>
        <w:tc>
          <w:tcPr>
            <w:tcW w:w="504" w:type="pct"/>
            <w:tcBorders>
              <w:top w:val="nil"/>
              <w:left w:val="nil"/>
              <w:bottom w:val="single" w:sz="4" w:space="0" w:color="auto"/>
              <w:right w:val="nil"/>
            </w:tcBorders>
            <w:shd w:val="clear" w:color="auto" w:fill="FFFFFF"/>
            <w:noWrap/>
            <w:vAlign w:val="bottom"/>
            <w:hideMark/>
          </w:tcPr>
          <w:p w14:paraId="376DBFDE"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12.52 ± 5.091 bc</w:t>
            </w:r>
          </w:p>
        </w:tc>
        <w:tc>
          <w:tcPr>
            <w:tcW w:w="514" w:type="pct"/>
            <w:tcBorders>
              <w:top w:val="nil"/>
              <w:left w:val="nil"/>
              <w:bottom w:val="single" w:sz="4" w:space="0" w:color="auto"/>
              <w:right w:val="nil"/>
            </w:tcBorders>
            <w:shd w:val="clear" w:color="auto" w:fill="FFFFFF"/>
            <w:noWrap/>
            <w:vAlign w:val="bottom"/>
            <w:hideMark/>
          </w:tcPr>
          <w:p w14:paraId="0866708F"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17.84 ± 0.175 c</w:t>
            </w:r>
          </w:p>
        </w:tc>
        <w:tc>
          <w:tcPr>
            <w:tcW w:w="591" w:type="pct"/>
            <w:tcBorders>
              <w:top w:val="nil"/>
              <w:left w:val="nil"/>
              <w:bottom w:val="single" w:sz="4" w:space="0" w:color="auto"/>
              <w:right w:val="nil"/>
            </w:tcBorders>
            <w:shd w:val="clear" w:color="auto" w:fill="FFFFFF"/>
            <w:noWrap/>
            <w:vAlign w:val="bottom"/>
            <w:hideMark/>
          </w:tcPr>
          <w:p w14:paraId="5CF8C74F"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343.32 ± 14.941 abc</w:t>
            </w:r>
          </w:p>
        </w:tc>
        <w:tc>
          <w:tcPr>
            <w:tcW w:w="562" w:type="pct"/>
            <w:tcBorders>
              <w:top w:val="nil"/>
              <w:left w:val="nil"/>
              <w:bottom w:val="single" w:sz="4" w:space="0" w:color="auto"/>
              <w:right w:val="nil"/>
            </w:tcBorders>
            <w:shd w:val="clear" w:color="auto" w:fill="FFFFFF"/>
            <w:noWrap/>
            <w:vAlign w:val="bottom"/>
            <w:hideMark/>
          </w:tcPr>
          <w:p w14:paraId="4F0305BA"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74.2 ± 1.644 b</w:t>
            </w:r>
          </w:p>
        </w:tc>
      </w:tr>
      <w:tr w:rsidR="007A24BC" w14:paraId="4318A7B3" w14:textId="77777777" w:rsidTr="007A24BC">
        <w:trPr>
          <w:trHeight w:val="432"/>
        </w:trPr>
        <w:tc>
          <w:tcPr>
            <w:tcW w:w="135" w:type="pct"/>
            <w:shd w:val="clear" w:color="auto" w:fill="FFFFFF"/>
            <w:noWrap/>
            <w:vAlign w:val="bottom"/>
            <w:hideMark/>
          </w:tcPr>
          <w:p w14:paraId="063F2F5C"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58" w:type="pct"/>
            <w:vMerge w:val="restart"/>
            <w:tcBorders>
              <w:top w:val="nil"/>
              <w:left w:val="nil"/>
              <w:bottom w:val="single" w:sz="4" w:space="0" w:color="000000"/>
              <w:right w:val="nil"/>
            </w:tcBorders>
            <w:shd w:val="clear" w:color="auto" w:fill="FFFFFF"/>
            <w:vAlign w:val="center"/>
            <w:hideMark/>
          </w:tcPr>
          <w:p w14:paraId="410890DF"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xml:space="preserve">Cu </w:t>
            </w:r>
          </w:p>
        </w:tc>
        <w:tc>
          <w:tcPr>
            <w:tcW w:w="577" w:type="pct"/>
            <w:shd w:val="clear" w:color="auto" w:fill="FFFFFF"/>
            <w:noWrap/>
            <w:vAlign w:val="center"/>
            <w:hideMark/>
          </w:tcPr>
          <w:p w14:paraId="00AA9A8D"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Non-inoculated</w:t>
            </w:r>
          </w:p>
        </w:tc>
        <w:tc>
          <w:tcPr>
            <w:tcW w:w="519" w:type="pct"/>
            <w:shd w:val="clear" w:color="auto" w:fill="FFFFFF"/>
            <w:noWrap/>
            <w:vAlign w:val="bottom"/>
            <w:hideMark/>
          </w:tcPr>
          <w:p w14:paraId="2BF7B70A"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17.73 ± 0.180 ab</w:t>
            </w:r>
          </w:p>
        </w:tc>
        <w:tc>
          <w:tcPr>
            <w:tcW w:w="472" w:type="pct"/>
            <w:shd w:val="clear" w:color="auto" w:fill="FFFFFF"/>
            <w:noWrap/>
            <w:vAlign w:val="bottom"/>
            <w:hideMark/>
          </w:tcPr>
          <w:p w14:paraId="5935CDBA"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3.32 ± 0.168 ab</w:t>
            </w:r>
          </w:p>
        </w:tc>
        <w:tc>
          <w:tcPr>
            <w:tcW w:w="568" w:type="pct"/>
            <w:gridSpan w:val="2"/>
            <w:shd w:val="clear" w:color="auto" w:fill="FFFFFF"/>
            <w:noWrap/>
            <w:vAlign w:val="bottom"/>
            <w:hideMark/>
          </w:tcPr>
          <w:p w14:paraId="00224EC6"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9.58 ± 0.595 abc</w:t>
            </w:r>
          </w:p>
        </w:tc>
        <w:tc>
          <w:tcPr>
            <w:tcW w:w="504" w:type="pct"/>
            <w:shd w:val="clear" w:color="auto" w:fill="FFFFFF"/>
            <w:noWrap/>
            <w:vAlign w:val="bottom"/>
            <w:hideMark/>
          </w:tcPr>
          <w:p w14:paraId="3F34B6D4"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7.07 ± 1.382 c</w:t>
            </w:r>
          </w:p>
        </w:tc>
        <w:tc>
          <w:tcPr>
            <w:tcW w:w="514" w:type="pct"/>
            <w:shd w:val="clear" w:color="auto" w:fill="FFFFFF"/>
            <w:noWrap/>
            <w:vAlign w:val="bottom"/>
            <w:hideMark/>
          </w:tcPr>
          <w:p w14:paraId="6456C5FF"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19.27 ± 2.142 c</w:t>
            </w:r>
          </w:p>
        </w:tc>
        <w:tc>
          <w:tcPr>
            <w:tcW w:w="591" w:type="pct"/>
            <w:shd w:val="clear" w:color="auto" w:fill="FFFFFF"/>
            <w:noWrap/>
            <w:vAlign w:val="bottom"/>
            <w:hideMark/>
          </w:tcPr>
          <w:p w14:paraId="6FF6ADD6"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349.82 ± 21.001 ab</w:t>
            </w:r>
          </w:p>
        </w:tc>
        <w:tc>
          <w:tcPr>
            <w:tcW w:w="562" w:type="pct"/>
            <w:shd w:val="clear" w:color="auto" w:fill="FFFFFF"/>
            <w:noWrap/>
            <w:vAlign w:val="bottom"/>
            <w:hideMark/>
          </w:tcPr>
          <w:p w14:paraId="6577E1A7"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81.49 ± 13.450 b</w:t>
            </w:r>
          </w:p>
        </w:tc>
      </w:tr>
      <w:tr w:rsidR="007A24BC" w14:paraId="377058CF" w14:textId="77777777" w:rsidTr="007A24BC">
        <w:trPr>
          <w:trHeight w:val="432"/>
        </w:trPr>
        <w:tc>
          <w:tcPr>
            <w:tcW w:w="135" w:type="pct"/>
            <w:shd w:val="clear" w:color="auto" w:fill="FFFFFF"/>
            <w:noWrap/>
            <w:vAlign w:val="bottom"/>
            <w:hideMark/>
          </w:tcPr>
          <w:p w14:paraId="23E64450"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0" w:type="auto"/>
            <w:vMerge/>
            <w:tcBorders>
              <w:top w:val="nil"/>
              <w:left w:val="nil"/>
              <w:bottom w:val="single" w:sz="4" w:space="0" w:color="000000"/>
              <w:right w:val="nil"/>
            </w:tcBorders>
            <w:vAlign w:val="center"/>
            <w:hideMark/>
          </w:tcPr>
          <w:p w14:paraId="53D77313" w14:textId="77777777" w:rsidR="007A24BC" w:rsidRDefault="007A24BC">
            <w:pPr>
              <w:spacing w:after="0"/>
              <w:rPr>
                <w:rFonts w:ascii="Times New Roman" w:eastAsia="Times New Roman" w:hAnsi="Times New Roman" w:cs="Times New Roman"/>
                <w:sz w:val="18"/>
                <w:szCs w:val="18"/>
                <w:lang w:eastAsia="pt-PT"/>
              </w:rPr>
            </w:pPr>
          </w:p>
        </w:tc>
        <w:tc>
          <w:tcPr>
            <w:tcW w:w="577" w:type="pct"/>
            <w:shd w:val="clear" w:color="auto" w:fill="FFFFFF"/>
            <w:noWrap/>
            <w:vAlign w:val="center"/>
            <w:hideMark/>
          </w:tcPr>
          <w:p w14:paraId="0B667AB8"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Inoculated with Ri</w:t>
            </w:r>
          </w:p>
        </w:tc>
        <w:tc>
          <w:tcPr>
            <w:tcW w:w="519" w:type="pct"/>
            <w:shd w:val="clear" w:color="auto" w:fill="FFFFFF"/>
            <w:noWrap/>
            <w:vAlign w:val="bottom"/>
            <w:hideMark/>
          </w:tcPr>
          <w:p w14:paraId="757E9E03"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18.53 ± 0.815 ab</w:t>
            </w:r>
          </w:p>
        </w:tc>
        <w:tc>
          <w:tcPr>
            <w:tcW w:w="472" w:type="pct"/>
            <w:shd w:val="clear" w:color="auto" w:fill="FFFFFF"/>
            <w:noWrap/>
            <w:vAlign w:val="bottom"/>
            <w:hideMark/>
          </w:tcPr>
          <w:p w14:paraId="1580C9A3"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2.94 ± 0.208 ab</w:t>
            </w:r>
          </w:p>
        </w:tc>
        <w:tc>
          <w:tcPr>
            <w:tcW w:w="472" w:type="pct"/>
            <w:shd w:val="clear" w:color="auto" w:fill="FFFFFF"/>
            <w:noWrap/>
            <w:vAlign w:val="bottom"/>
            <w:hideMark/>
          </w:tcPr>
          <w:p w14:paraId="08C41F1A"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7.6 ± 1.490 c</w:t>
            </w:r>
          </w:p>
        </w:tc>
        <w:tc>
          <w:tcPr>
            <w:tcW w:w="96" w:type="pct"/>
            <w:shd w:val="clear" w:color="auto" w:fill="FFFFFF"/>
            <w:noWrap/>
            <w:vAlign w:val="center"/>
            <w:hideMark/>
          </w:tcPr>
          <w:p w14:paraId="66E9D45A"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04" w:type="pct"/>
            <w:shd w:val="clear" w:color="auto" w:fill="FFFFFF"/>
            <w:noWrap/>
            <w:vAlign w:val="bottom"/>
            <w:hideMark/>
          </w:tcPr>
          <w:p w14:paraId="33846B78"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9.37 ± 2.521 bc</w:t>
            </w:r>
          </w:p>
        </w:tc>
        <w:tc>
          <w:tcPr>
            <w:tcW w:w="514" w:type="pct"/>
            <w:shd w:val="clear" w:color="auto" w:fill="FFFFFF"/>
            <w:noWrap/>
            <w:vAlign w:val="bottom"/>
            <w:hideMark/>
          </w:tcPr>
          <w:p w14:paraId="7A1BAE36"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26.02 ± 2.426 abc</w:t>
            </w:r>
          </w:p>
        </w:tc>
        <w:tc>
          <w:tcPr>
            <w:tcW w:w="591" w:type="pct"/>
            <w:shd w:val="clear" w:color="auto" w:fill="FFFFFF"/>
            <w:noWrap/>
            <w:vAlign w:val="bottom"/>
            <w:hideMark/>
          </w:tcPr>
          <w:p w14:paraId="12F742BC"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301.98 ± 8.383 abc</w:t>
            </w:r>
          </w:p>
        </w:tc>
        <w:tc>
          <w:tcPr>
            <w:tcW w:w="562" w:type="pct"/>
            <w:shd w:val="clear" w:color="auto" w:fill="FFFFFF"/>
            <w:noWrap/>
            <w:vAlign w:val="bottom"/>
            <w:hideMark/>
          </w:tcPr>
          <w:p w14:paraId="32C7D62D"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74.08 ± 4.174 b</w:t>
            </w:r>
          </w:p>
        </w:tc>
      </w:tr>
      <w:tr w:rsidR="007A24BC" w14:paraId="2FDB20DD" w14:textId="77777777" w:rsidTr="007A24BC">
        <w:trPr>
          <w:trHeight w:val="432"/>
        </w:trPr>
        <w:tc>
          <w:tcPr>
            <w:tcW w:w="135" w:type="pct"/>
            <w:shd w:val="clear" w:color="auto" w:fill="FFFFFF"/>
            <w:noWrap/>
            <w:vAlign w:val="bottom"/>
            <w:hideMark/>
          </w:tcPr>
          <w:p w14:paraId="6C0BDC95"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0" w:type="auto"/>
            <w:vMerge/>
            <w:tcBorders>
              <w:top w:val="nil"/>
              <w:left w:val="nil"/>
              <w:bottom w:val="single" w:sz="4" w:space="0" w:color="000000"/>
              <w:right w:val="nil"/>
            </w:tcBorders>
            <w:vAlign w:val="center"/>
            <w:hideMark/>
          </w:tcPr>
          <w:p w14:paraId="1E1A22BD" w14:textId="77777777" w:rsidR="007A24BC" w:rsidRDefault="007A24BC">
            <w:pPr>
              <w:spacing w:after="0"/>
              <w:rPr>
                <w:rFonts w:ascii="Times New Roman" w:eastAsia="Times New Roman" w:hAnsi="Times New Roman" w:cs="Times New Roman"/>
                <w:sz w:val="18"/>
                <w:szCs w:val="18"/>
                <w:lang w:eastAsia="pt-PT"/>
              </w:rPr>
            </w:pPr>
          </w:p>
        </w:tc>
        <w:tc>
          <w:tcPr>
            <w:tcW w:w="577" w:type="pct"/>
            <w:tcBorders>
              <w:top w:val="nil"/>
              <w:left w:val="nil"/>
              <w:bottom w:val="single" w:sz="4" w:space="0" w:color="auto"/>
              <w:right w:val="nil"/>
            </w:tcBorders>
            <w:shd w:val="clear" w:color="auto" w:fill="FFFFFF"/>
            <w:noWrap/>
            <w:vAlign w:val="center"/>
            <w:hideMark/>
          </w:tcPr>
          <w:p w14:paraId="6BB361A2"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Inoculated with Fm</w:t>
            </w:r>
          </w:p>
        </w:tc>
        <w:tc>
          <w:tcPr>
            <w:tcW w:w="519" w:type="pct"/>
            <w:tcBorders>
              <w:top w:val="nil"/>
              <w:left w:val="nil"/>
              <w:bottom w:val="single" w:sz="4" w:space="0" w:color="auto"/>
              <w:right w:val="nil"/>
            </w:tcBorders>
            <w:shd w:val="clear" w:color="auto" w:fill="FFFFFF"/>
            <w:noWrap/>
            <w:vAlign w:val="bottom"/>
            <w:hideMark/>
          </w:tcPr>
          <w:p w14:paraId="5BB56DCC"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16.87 ± 0.294 b</w:t>
            </w:r>
          </w:p>
        </w:tc>
        <w:tc>
          <w:tcPr>
            <w:tcW w:w="472" w:type="pct"/>
            <w:tcBorders>
              <w:top w:val="nil"/>
              <w:left w:val="nil"/>
              <w:bottom w:val="single" w:sz="4" w:space="0" w:color="auto"/>
              <w:right w:val="nil"/>
            </w:tcBorders>
            <w:shd w:val="clear" w:color="auto" w:fill="FFFFFF"/>
            <w:noWrap/>
            <w:vAlign w:val="bottom"/>
            <w:hideMark/>
          </w:tcPr>
          <w:p w14:paraId="5A422551"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2.79 ± 0.325 b</w:t>
            </w:r>
          </w:p>
        </w:tc>
        <w:tc>
          <w:tcPr>
            <w:tcW w:w="472" w:type="pct"/>
            <w:tcBorders>
              <w:top w:val="nil"/>
              <w:left w:val="nil"/>
              <w:bottom w:val="single" w:sz="4" w:space="0" w:color="auto"/>
              <w:right w:val="nil"/>
            </w:tcBorders>
            <w:shd w:val="clear" w:color="auto" w:fill="FFFFFF"/>
            <w:noWrap/>
            <w:vAlign w:val="bottom"/>
            <w:hideMark/>
          </w:tcPr>
          <w:p w14:paraId="369E7815"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8.12 ± 0.231 bc</w:t>
            </w:r>
          </w:p>
        </w:tc>
        <w:tc>
          <w:tcPr>
            <w:tcW w:w="96" w:type="pct"/>
            <w:tcBorders>
              <w:top w:val="nil"/>
              <w:left w:val="nil"/>
              <w:bottom w:val="single" w:sz="4" w:space="0" w:color="auto"/>
              <w:right w:val="nil"/>
            </w:tcBorders>
            <w:shd w:val="clear" w:color="auto" w:fill="FFFFFF"/>
            <w:noWrap/>
            <w:vAlign w:val="center"/>
            <w:hideMark/>
          </w:tcPr>
          <w:p w14:paraId="7871876E"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04" w:type="pct"/>
            <w:tcBorders>
              <w:top w:val="nil"/>
              <w:left w:val="nil"/>
              <w:bottom w:val="single" w:sz="4" w:space="0" w:color="auto"/>
              <w:right w:val="nil"/>
            </w:tcBorders>
            <w:shd w:val="clear" w:color="auto" w:fill="FFFFFF"/>
            <w:noWrap/>
            <w:vAlign w:val="bottom"/>
            <w:hideMark/>
          </w:tcPr>
          <w:p w14:paraId="366583F1"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4.35 ± 0.290 c</w:t>
            </w:r>
          </w:p>
        </w:tc>
        <w:tc>
          <w:tcPr>
            <w:tcW w:w="514" w:type="pct"/>
            <w:tcBorders>
              <w:top w:val="nil"/>
              <w:left w:val="nil"/>
              <w:bottom w:val="single" w:sz="4" w:space="0" w:color="auto"/>
              <w:right w:val="nil"/>
            </w:tcBorders>
            <w:shd w:val="clear" w:color="auto" w:fill="FFFFFF"/>
            <w:noWrap/>
            <w:vAlign w:val="bottom"/>
            <w:hideMark/>
          </w:tcPr>
          <w:p w14:paraId="6F838D7D"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20.91 ± 3.184 bc</w:t>
            </w:r>
          </w:p>
        </w:tc>
        <w:tc>
          <w:tcPr>
            <w:tcW w:w="591" w:type="pct"/>
            <w:tcBorders>
              <w:top w:val="nil"/>
              <w:left w:val="nil"/>
              <w:bottom w:val="single" w:sz="4" w:space="0" w:color="auto"/>
              <w:right w:val="nil"/>
            </w:tcBorders>
            <w:shd w:val="clear" w:color="auto" w:fill="FFFFFF"/>
            <w:noWrap/>
            <w:vAlign w:val="bottom"/>
            <w:hideMark/>
          </w:tcPr>
          <w:p w14:paraId="24D7E58E"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315.3 ± 25.963 abc</w:t>
            </w:r>
          </w:p>
        </w:tc>
        <w:tc>
          <w:tcPr>
            <w:tcW w:w="562" w:type="pct"/>
            <w:tcBorders>
              <w:top w:val="nil"/>
              <w:left w:val="nil"/>
              <w:bottom w:val="single" w:sz="4" w:space="0" w:color="auto"/>
              <w:right w:val="nil"/>
            </w:tcBorders>
            <w:shd w:val="clear" w:color="auto" w:fill="FFFFFF"/>
            <w:noWrap/>
            <w:vAlign w:val="bottom"/>
            <w:hideMark/>
          </w:tcPr>
          <w:p w14:paraId="098E36DB"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84.29 ± 2.942 b</w:t>
            </w:r>
          </w:p>
        </w:tc>
      </w:tr>
      <w:tr w:rsidR="007A24BC" w14:paraId="789DF5D1" w14:textId="77777777" w:rsidTr="007A24BC">
        <w:trPr>
          <w:trHeight w:val="432"/>
        </w:trPr>
        <w:tc>
          <w:tcPr>
            <w:tcW w:w="135" w:type="pct"/>
            <w:shd w:val="clear" w:color="auto" w:fill="FFFFFF"/>
            <w:noWrap/>
            <w:vAlign w:val="bottom"/>
            <w:hideMark/>
          </w:tcPr>
          <w:p w14:paraId="048885B2"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58" w:type="pct"/>
            <w:vMerge w:val="restart"/>
            <w:tcBorders>
              <w:top w:val="nil"/>
              <w:left w:val="nil"/>
              <w:bottom w:val="single" w:sz="8" w:space="0" w:color="000000"/>
              <w:right w:val="nil"/>
            </w:tcBorders>
            <w:shd w:val="clear" w:color="auto" w:fill="FFFFFF"/>
            <w:vAlign w:val="center"/>
            <w:hideMark/>
          </w:tcPr>
          <w:p w14:paraId="047DB51D"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xml:space="preserve">Cu + FeNaEDTA </w:t>
            </w:r>
          </w:p>
        </w:tc>
        <w:tc>
          <w:tcPr>
            <w:tcW w:w="577" w:type="pct"/>
            <w:shd w:val="clear" w:color="auto" w:fill="FFFFFF"/>
            <w:noWrap/>
            <w:vAlign w:val="center"/>
            <w:hideMark/>
          </w:tcPr>
          <w:p w14:paraId="6599DCE5"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Non-inoculated</w:t>
            </w:r>
          </w:p>
        </w:tc>
        <w:tc>
          <w:tcPr>
            <w:tcW w:w="519" w:type="pct"/>
            <w:shd w:val="clear" w:color="auto" w:fill="FFFFFF"/>
            <w:noWrap/>
            <w:vAlign w:val="bottom"/>
            <w:hideMark/>
          </w:tcPr>
          <w:p w14:paraId="5ABC2258"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17.04 ± 0.328 b</w:t>
            </w:r>
          </w:p>
        </w:tc>
        <w:tc>
          <w:tcPr>
            <w:tcW w:w="472" w:type="pct"/>
            <w:shd w:val="clear" w:color="auto" w:fill="FFFFFF"/>
            <w:noWrap/>
            <w:vAlign w:val="bottom"/>
            <w:hideMark/>
          </w:tcPr>
          <w:p w14:paraId="7E7E6C0C"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3.69 ± 0.153 a</w:t>
            </w:r>
          </w:p>
        </w:tc>
        <w:tc>
          <w:tcPr>
            <w:tcW w:w="472" w:type="pct"/>
            <w:shd w:val="clear" w:color="auto" w:fill="FFFFFF"/>
            <w:noWrap/>
            <w:vAlign w:val="bottom"/>
            <w:hideMark/>
          </w:tcPr>
          <w:p w14:paraId="5303FFA5"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11.24 ± 0.723 a</w:t>
            </w:r>
          </w:p>
        </w:tc>
        <w:tc>
          <w:tcPr>
            <w:tcW w:w="96" w:type="pct"/>
            <w:shd w:val="clear" w:color="auto" w:fill="FFFFFF"/>
            <w:noWrap/>
            <w:vAlign w:val="center"/>
            <w:hideMark/>
          </w:tcPr>
          <w:p w14:paraId="5B733D5F"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04" w:type="pct"/>
            <w:shd w:val="clear" w:color="auto" w:fill="FFFFFF"/>
            <w:noWrap/>
            <w:vAlign w:val="bottom"/>
            <w:hideMark/>
          </w:tcPr>
          <w:p w14:paraId="6F065CF2"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26.87 ± 3.387 a</w:t>
            </w:r>
          </w:p>
        </w:tc>
        <w:tc>
          <w:tcPr>
            <w:tcW w:w="514" w:type="pct"/>
            <w:shd w:val="clear" w:color="auto" w:fill="FFFFFF"/>
            <w:noWrap/>
            <w:vAlign w:val="bottom"/>
            <w:hideMark/>
          </w:tcPr>
          <w:p w14:paraId="62289E48"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32.15 ± 1.687 a</w:t>
            </w:r>
          </w:p>
        </w:tc>
        <w:tc>
          <w:tcPr>
            <w:tcW w:w="591" w:type="pct"/>
            <w:shd w:val="clear" w:color="auto" w:fill="FFFFFF"/>
            <w:noWrap/>
            <w:vAlign w:val="bottom"/>
            <w:hideMark/>
          </w:tcPr>
          <w:p w14:paraId="4B4D1F6D"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262.18 ± 26.203 cd</w:t>
            </w:r>
          </w:p>
        </w:tc>
        <w:tc>
          <w:tcPr>
            <w:tcW w:w="562" w:type="pct"/>
            <w:shd w:val="clear" w:color="auto" w:fill="FFFFFF"/>
            <w:noWrap/>
            <w:vAlign w:val="bottom"/>
            <w:hideMark/>
          </w:tcPr>
          <w:p w14:paraId="68BB6852"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113.99 ± 11.130 ab</w:t>
            </w:r>
          </w:p>
        </w:tc>
      </w:tr>
      <w:tr w:rsidR="007A24BC" w14:paraId="616F90B8" w14:textId="77777777" w:rsidTr="007A24BC">
        <w:trPr>
          <w:trHeight w:val="432"/>
        </w:trPr>
        <w:tc>
          <w:tcPr>
            <w:tcW w:w="135" w:type="pct"/>
            <w:shd w:val="clear" w:color="auto" w:fill="FFFFFF"/>
            <w:noWrap/>
            <w:vAlign w:val="bottom"/>
            <w:hideMark/>
          </w:tcPr>
          <w:p w14:paraId="5EEC3F92"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0" w:type="auto"/>
            <w:vMerge/>
            <w:tcBorders>
              <w:top w:val="nil"/>
              <w:left w:val="nil"/>
              <w:bottom w:val="single" w:sz="8" w:space="0" w:color="000000"/>
              <w:right w:val="nil"/>
            </w:tcBorders>
            <w:vAlign w:val="center"/>
            <w:hideMark/>
          </w:tcPr>
          <w:p w14:paraId="284FAC91" w14:textId="77777777" w:rsidR="007A24BC" w:rsidRDefault="007A24BC">
            <w:pPr>
              <w:spacing w:after="0"/>
              <w:rPr>
                <w:rFonts w:ascii="Times New Roman" w:eastAsia="Times New Roman" w:hAnsi="Times New Roman" w:cs="Times New Roman"/>
                <w:sz w:val="18"/>
                <w:szCs w:val="18"/>
                <w:lang w:eastAsia="pt-PT"/>
              </w:rPr>
            </w:pPr>
          </w:p>
        </w:tc>
        <w:tc>
          <w:tcPr>
            <w:tcW w:w="577" w:type="pct"/>
            <w:shd w:val="clear" w:color="auto" w:fill="FFFFFF"/>
            <w:noWrap/>
            <w:vAlign w:val="center"/>
            <w:hideMark/>
          </w:tcPr>
          <w:p w14:paraId="139BF911"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Inoculated with Ri</w:t>
            </w:r>
          </w:p>
        </w:tc>
        <w:tc>
          <w:tcPr>
            <w:tcW w:w="519" w:type="pct"/>
            <w:shd w:val="clear" w:color="auto" w:fill="FFFFFF"/>
            <w:noWrap/>
            <w:vAlign w:val="bottom"/>
            <w:hideMark/>
          </w:tcPr>
          <w:p w14:paraId="61AEB21A"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17.50 ± 0.129 ab</w:t>
            </w:r>
          </w:p>
        </w:tc>
        <w:tc>
          <w:tcPr>
            <w:tcW w:w="472" w:type="pct"/>
            <w:shd w:val="clear" w:color="auto" w:fill="FFFFFF"/>
            <w:noWrap/>
            <w:vAlign w:val="bottom"/>
            <w:hideMark/>
          </w:tcPr>
          <w:p w14:paraId="05F380BE"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2.74 ± 0.297 b</w:t>
            </w:r>
          </w:p>
        </w:tc>
        <w:tc>
          <w:tcPr>
            <w:tcW w:w="568" w:type="pct"/>
            <w:gridSpan w:val="2"/>
            <w:shd w:val="clear" w:color="auto" w:fill="FFFFFF"/>
            <w:noWrap/>
            <w:vAlign w:val="bottom"/>
            <w:hideMark/>
          </w:tcPr>
          <w:p w14:paraId="699E9EB6"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10.57 ± 0.389 ab</w:t>
            </w:r>
          </w:p>
        </w:tc>
        <w:tc>
          <w:tcPr>
            <w:tcW w:w="504" w:type="pct"/>
            <w:shd w:val="clear" w:color="auto" w:fill="FFFFFF"/>
            <w:noWrap/>
            <w:vAlign w:val="bottom"/>
            <w:hideMark/>
          </w:tcPr>
          <w:p w14:paraId="053B93F9"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21.77 ± 3.548 ab</w:t>
            </w:r>
          </w:p>
        </w:tc>
        <w:tc>
          <w:tcPr>
            <w:tcW w:w="514" w:type="pct"/>
            <w:shd w:val="clear" w:color="auto" w:fill="FFFFFF"/>
            <w:noWrap/>
            <w:vAlign w:val="bottom"/>
            <w:hideMark/>
          </w:tcPr>
          <w:p w14:paraId="59A8617E"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29.67 ± 2.408 a</w:t>
            </w:r>
          </w:p>
        </w:tc>
        <w:tc>
          <w:tcPr>
            <w:tcW w:w="591" w:type="pct"/>
            <w:shd w:val="clear" w:color="auto" w:fill="FFFFFF"/>
            <w:noWrap/>
            <w:vAlign w:val="bottom"/>
            <w:hideMark/>
          </w:tcPr>
          <w:p w14:paraId="2BB0F4CB"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199.93 ± 16.805 d</w:t>
            </w:r>
          </w:p>
        </w:tc>
        <w:tc>
          <w:tcPr>
            <w:tcW w:w="562" w:type="pct"/>
            <w:shd w:val="clear" w:color="auto" w:fill="FFFFFF"/>
            <w:noWrap/>
            <w:vAlign w:val="bottom"/>
            <w:hideMark/>
          </w:tcPr>
          <w:p w14:paraId="3EABD74E"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134.36 ± 10.963 a</w:t>
            </w:r>
          </w:p>
        </w:tc>
      </w:tr>
      <w:tr w:rsidR="007A24BC" w14:paraId="6801CC28" w14:textId="77777777" w:rsidTr="007A24BC">
        <w:trPr>
          <w:trHeight w:val="432"/>
        </w:trPr>
        <w:tc>
          <w:tcPr>
            <w:tcW w:w="135" w:type="pct"/>
            <w:shd w:val="clear" w:color="auto" w:fill="FFFFFF"/>
            <w:noWrap/>
            <w:vAlign w:val="bottom"/>
            <w:hideMark/>
          </w:tcPr>
          <w:p w14:paraId="100FC454"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0" w:type="auto"/>
            <w:vMerge/>
            <w:tcBorders>
              <w:top w:val="nil"/>
              <w:left w:val="nil"/>
              <w:bottom w:val="single" w:sz="8" w:space="0" w:color="000000"/>
              <w:right w:val="nil"/>
            </w:tcBorders>
            <w:vAlign w:val="center"/>
            <w:hideMark/>
          </w:tcPr>
          <w:p w14:paraId="47EB8A0E" w14:textId="77777777" w:rsidR="007A24BC" w:rsidRDefault="007A24BC">
            <w:pPr>
              <w:spacing w:after="0"/>
              <w:rPr>
                <w:rFonts w:ascii="Times New Roman" w:eastAsia="Times New Roman" w:hAnsi="Times New Roman" w:cs="Times New Roman"/>
                <w:sz w:val="18"/>
                <w:szCs w:val="18"/>
                <w:lang w:eastAsia="pt-PT"/>
              </w:rPr>
            </w:pPr>
          </w:p>
        </w:tc>
        <w:tc>
          <w:tcPr>
            <w:tcW w:w="577" w:type="pct"/>
            <w:tcBorders>
              <w:top w:val="nil"/>
              <w:left w:val="nil"/>
              <w:bottom w:val="single" w:sz="8" w:space="0" w:color="auto"/>
              <w:right w:val="nil"/>
            </w:tcBorders>
            <w:shd w:val="clear" w:color="auto" w:fill="FFFFFF"/>
            <w:noWrap/>
            <w:vAlign w:val="center"/>
            <w:hideMark/>
          </w:tcPr>
          <w:p w14:paraId="321C1620"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Inoculated with Fm</w:t>
            </w:r>
          </w:p>
        </w:tc>
        <w:tc>
          <w:tcPr>
            <w:tcW w:w="519" w:type="pct"/>
            <w:tcBorders>
              <w:top w:val="nil"/>
              <w:left w:val="nil"/>
              <w:bottom w:val="single" w:sz="8" w:space="0" w:color="auto"/>
              <w:right w:val="nil"/>
            </w:tcBorders>
            <w:shd w:val="clear" w:color="auto" w:fill="FFFFFF"/>
            <w:noWrap/>
            <w:vAlign w:val="bottom"/>
            <w:hideMark/>
          </w:tcPr>
          <w:p w14:paraId="7A8997B2"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17.58 ± 0.407 ab</w:t>
            </w:r>
          </w:p>
        </w:tc>
        <w:tc>
          <w:tcPr>
            <w:tcW w:w="472" w:type="pct"/>
            <w:tcBorders>
              <w:top w:val="nil"/>
              <w:left w:val="nil"/>
              <w:bottom w:val="single" w:sz="8" w:space="0" w:color="auto"/>
              <w:right w:val="nil"/>
            </w:tcBorders>
            <w:shd w:val="clear" w:color="auto" w:fill="FFFFFF"/>
            <w:noWrap/>
            <w:vAlign w:val="bottom"/>
            <w:hideMark/>
          </w:tcPr>
          <w:p w14:paraId="0B8D9236"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3.06 ± 0.084 ab</w:t>
            </w:r>
          </w:p>
        </w:tc>
        <w:tc>
          <w:tcPr>
            <w:tcW w:w="472" w:type="pct"/>
            <w:tcBorders>
              <w:top w:val="nil"/>
              <w:left w:val="nil"/>
              <w:bottom w:val="single" w:sz="8" w:space="0" w:color="auto"/>
              <w:right w:val="nil"/>
            </w:tcBorders>
            <w:shd w:val="clear" w:color="auto" w:fill="FFFFFF"/>
            <w:noWrap/>
            <w:vAlign w:val="bottom"/>
            <w:hideMark/>
          </w:tcPr>
          <w:p w14:paraId="512ECF8C"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11.34 ± 0.646 a</w:t>
            </w:r>
          </w:p>
        </w:tc>
        <w:tc>
          <w:tcPr>
            <w:tcW w:w="96" w:type="pct"/>
            <w:tcBorders>
              <w:top w:val="nil"/>
              <w:left w:val="nil"/>
              <w:bottom w:val="single" w:sz="8" w:space="0" w:color="auto"/>
              <w:right w:val="nil"/>
            </w:tcBorders>
            <w:shd w:val="clear" w:color="auto" w:fill="FFFFFF"/>
            <w:noWrap/>
            <w:vAlign w:val="center"/>
            <w:hideMark/>
          </w:tcPr>
          <w:p w14:paraId="0BDD14F7"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04" w:type="pct"/>
            <w:tcBorders>
              <w:top w:val="nil"/>
              <w:left w:val="nil"/>
              <w:bottom w:val="single" w:sz="8" w:space="0" w:color="auto"/>
              <w:right w:val="nil"/>
            </w:tcBorders>
            <w:shd w:val="clear" w:color="auto" w:fill="FFFFFF"/>
            <w:noWrap/>
            <w:vAlign w:val="bottom"/>
            <w:hideMark/>
          </w:tcPr>
          <w:p w14:paraId="3B79F8CF"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20.90 ± 4.733 ab</w:t>
            </w:r>
          </w:p>
        </w:tc>
        <w:tc>
          <w:tcPr>
            <w:tcW w:w="514" w:type="pct"/>
            <w:tcBorders>
              <w:top w:val="nil"/>
              <w:left w:val="nil"/>
              <w:bottom w:val="single" w:sz="8" w:space="0" w:color="auto"/>
              <w:right w:val="nil"/>
            </w:tcBorders>
            <w:shd w:val="clear" w:color="auto" w:fill="FFFFFF"/>
            <w:noWrap/>
            <w:vAlign w:val="bottom"/>
            <w:hideMark/>
          </w:tcPr>
          <w:p w14:paraId="514AF610"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27.15 ± 0.903 ab</w:t>
            </w:r>
          </w:p>
        </w:tc>
        <w:tc>
          <w:tcPr>
            <w:tcW w:w="591" w:type="pct"/>
            <w:tcBorders>
              <w:top w:val="nil"/>
              <w:left w:val="nil"/>
              <w:bottom w:val="single" w:sz="8" w:space="0" w:color="auto"/>
              <w:right w:val="nil"/>
            </w:tcBorders>
            <w:shd w:val="clear" w:color="auto" w:fill="FFFFFF"/>
            <w:noWrap/>
            <w:vAlign w:val="bottom"/>
            <w:hideMark/>
          </w:tcPr>
          <w:p w14:paraId="43CEADFC"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161.73 ± 32.424 d</w:t>
            </w:r>
          </w:p>
        </w:tc>
        <w:tc>
          <w:tcPr>
            <w:tcW w:w="562" w:type="pct"/>
            <w:tcBorders>
              <w:top w:val="nil"/>
              <w:left w:val="nil"/>
              <w:bottom w:val="single" w:sz="8" w:space="0" w:color="auto"/>
              <w:right w:val="nil"/>
            </w:tcBorders>
            <w:shd w:val="clear" w:color="auto" w:fill="FFFFFF"/>
            <w:noWrap/>
            <w:vAlign w:val="bottom"/>
            <w:hideMark/>
          </w:tcPr>
          <w:p w14:paraId="6AF58525"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98.64 ± 14.065 ab</w:t>
            </w:r>
          </w:p>
        </w:tc>
      </w:tr>
      <w:tr w:rsidR="007A24BC" w14:paraId="0DFB05FA" w14:textId="77777777" w:rsidTr="007A24BC">
        <w:trPr>
          <w:trHeight w:val="255"/>
        </w:trPr>
        <w:tc>
          <w:tcPr>
            <w:tcW w:w="135" w:type="pct"/>
            <w:shd w:val="clear" w:color="auto" w:fill="FFFFFF"/>
            <w:noWrap/>
            <w:vAlign w:val="bottom"/>
            <w:hideMark/>
          </w:tcPr>
          <w:p w14:paraId="28021424"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58" w:type="pct"/>
            <w:shd w:val="clear" w:color="auto" w:fill="FFFFFF"/>
            <w:noWrap/>
            <w:vAlign w:val="bottom"/>
            <w:hideMark/>
          </w:tcPr>
          <w:p w14:paraId="72CB7B59"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77" w:type="pct"/>
            <w:shd w:val="clear" w:color="auto" w:fill="FFFFFF"/>
            <w:noWrap/>
            <w:vAlign w:val="bottom"/>
            <w:hideMark/>
          </w:tcPr>
          <w:p w14:paraId="0347F01C"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19" w:type="pct"/>
            <w:shd w:val="clear" w:color="auto" w:fill="FFFFFF"/>
            <w:noWrap/>
            <w:vAlign w:val="bottom"/>
            <w:hideMark/>
          </w:tcPr>
          <w:p w14:paraId="79D30F80"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472" w:type="pct"/>
            <w:shd w:val="clear" w:color="auto" w:fill="FFFFFF"/>
            <w:noWrap/>
            <w:vAlign w:val="bottom"/>
            <w:hideMark/>
          </w:tcPr>
          <w:p w14:paraId="31069D96"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472" w:type="pct"/>
            <w:shd w:val="clear" w:color="auto" w:fill="FFFFFF"/>
            <w:noWrap/>
            <w:vAlign w:val="bottom"/>
            <w:hideMark/>
          </w:tcPr>
          <w:p w14:paraId="65D84640"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96" w:type="pct"/>
            <w:shd w:val="clear" w:color="auto" w:fill="FFFFFF"/>
            <w:noWrap/>
            <w:vAlign w:val="bottom"/>
            <w:hideMark/>
          </w:tcPr>
          <w:p w14:paraId="350BFF62"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04" w:type="pct"/>
            <w:shd w:val="clear" w:color="auto" w:fill="FFFFFF"/>
            <w:noWrap/>
            <w:vAlign w:val="bottom"/>
            <w:hideMark/>
          </w:tcPr>
          <w:p w14:paraId="28512F4A"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14" w:type="pct"/>
            <w:shd w:val="clear" w:color="auto" w:fill="FFFFFF"/>
            <w:noWrap/>
            <w:vAlign w:val="bottom"/>
            <w:hideMark/>
          </w:tcPr>
          <w:p w14:paraId="4D8FF7CF"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91" w:type="pct"/>
            <w:shd w:val="clear" w:color="auto" w:fill="FFFFFF"/>
            <w:noWrap/>
            <w:vAlign w:val="bottom"/>
            <w:hideMark/>
          </w:tcPr>
          <w:p w14:paraId="27229672"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62" w:type="pct"/>
            <w:shd w:val="clear" w:color="auto" w:fill="FFFFFF"/>
            <w:noWrap/>
            <w:vAlign w:val="bottom"/>
            <w:hideMark/>
          </w:tcPr>
          <w:p w14:paraId="74F24982"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r>
      <w:tr w:rsidR="007A24BC" w14:paraId="4DD33AC6" w14:textId="77777777" w:rsidTr="007A24BC">
        <w:trPr>
          <w:trHeight w:val="255"/>
        </w:trPr>
        <w:tc>
          <w:tcPr>
            <w:tcW w:w="135" w:type="pct"/>
            <w:shd w:val="clear" w:color="auto" w:fill="FFFFFF"/>
            <w:noWrap/>
            <w:vAlign w:val="bottom"/>
            <w:hideMark/>
          </w:tcPr>
          <w:p w14:paraId="72210423"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58" w:type="pct"/>
            <w:shd w:val="clear" w:color="auto" w:fill="FFFFFF"/>
            <w:noWrap/>
            <w:vAlign w:val="bottom"/>
            <w:hideMark/>
          </w:tcPr>
          <w:p w14:paraId="77A89505"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77" w:type="pct"/>
            <w:shd w:val="clear" w:color="auto" w:fill="FFFFFF"/>
            <w:noWrap/>
            <w:vAlign w:val="bottom"/>
            <w:hideMark/>
          </w:tcPr>
          <w:p w14:paraId="1969C6A6"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19" w:type="pct"/>
            <w:shd w:val="clear" w:color="auto" w:fill="FFFFFF"/>
            <w:noWrap/>
            <w:vAlign w:val="bottom"/>
            <w:hideMark/>
          </w:tcPr>
          <w:p w14:paraId="09F67C17"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472" w:type="pct"/>
            <w:shd w:val="clear" w:color="auto" w:fill="FFFFFF"/>
            <w:noWrap/>
            <w:vAlign w:val="bottom"/>
            <w:hideMark/>
          </w:tcPr>
          <w:p w14:paraId="50033128"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472" w:type="pct"/>
            <w:shd w:val="clear" w:color="auto" w:fill="FFFFFF"/>
            <w:noWrap/>
            <w:vAlign w:val="bottom"/>
            <w:hideMark/>
          </w:tcPr>
          <w:p w14:paraId="2581AB37"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96" w:type="pct"/>
            <w:shd w:val="clear" w:color="auto" w:fill="FFFFFF"/>
            <w:noWrap/>
            <w:vAlign w:val="bottom"/>
            <w:hideMark/>
          </w:tcPr>
          <w:p w14:paraId="7A923518"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04" w:type="pct"/>
            <w:shd w:val="clear" w:color="auto" w:fill="FFFFFF"/>
            <w:noWrap/>
            <w:vAlign w:val="bottom"/>
            <w:hideMark/>
          </w:tcPr>
          <w:p w14:paraId="560BCAEF"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14" w:type="pct"/>
            <w:shd w:val="clear" w:color="auto" w:fill="FFFFFF"/>
            <w:noWrap/>
            <w:vAlign w:val="bottom"/>
            <w:hideMark/>
          </w:tcPr>
          <w:p w14:paraId="1D751E59"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91" w:type="pct"/>
            <w:shd w:val="clear" w:color="auto" w:fill="FFFFFF"/>
            <w:noWrap/>
            <w:vAlign w:val="bottom"/>
            <w:hideMark/>
          </w:tcPr>
          <w:p w14:paraId="311A08E9"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62" w:type="pct"/>
            <w:shd w:val="clear" w:color="auto" w:fill="FFFFFF"/>
            <w:noWrap/>
            <w:vAlign w:val="bottom"/>
            <w:hideMark/>
          </w:tcPr>
          <w:p w14:paraId="4ED49E8C"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r>
      <w:tr w:rsidR="007A24BC" w14:paraId="7676F5F8" w14:textId="77777777" w:rsidTr="007A24BC">
        <w:trPr>
          <w:trHeight w:val="315"/>
        </w:trPr>
        <w:tc>
          <w:tcPr>
            <w:tcW w:w="135" w:type="pct"/>
            <w:shd w:val="clear" w:color="auto" w:fill="FFFFFF"/>
            <w:noWrap/>
            <w:vAlign w:val="bottom"/>
            <w:hideMark/>
          </w:tcPr>
          <w:p w14:paraId="3B829692" w14:textId="77777777" w:rsidR="007A24BC" w:rsidRDefault="007A24BC">
            <w:pPr>
              <w:spacing w:after="0" w:line="240" w:lineRule="auto"/>
              <w:jc w:val="right"/>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B)</w:t>
            </w:r>
          </w:p>
        </w:tc>
        <w:tc>
          <w:tcPr>
            <w:tcW w:w="1135" w:type="pct"/>
            <w:gridSpan w:val="2"/>
            <w:tcBorders>
              <w:top w:val="nil"/>
              <w:left w:val="nil"/>
              <w:bottom w:val="single" w:sz="8" w:space="0" w:color="auto"/>
              <w:right w:val="nil"/>
            </w:tcBorders>
            <w:shd w:val="clear" w:color="auto" w:fill="FFFFFF"/>
            <w:noWrap/>
            <w:vAlign w:val="center"/>
            <w:hideMark/>
          </w:tcPr>
          <w:p w14:paraId="1BD7344F" w14:textId="77777777" w:rsidR="007A24BC" w:rsidRDefault="007A24BC">
            <w:pPr>
              <w:spacing w:after="0" w:line="240" w:lineRule="auto"/>
              <w:jc w:val="center"/>
              <w:rPr>
                <w:rFonts w:ascii="Times New Roman" w:eastAsia="Times New Roman" w:hAnsi="Times New Roman" w:cs="Times New Roman"/>
                <w:b/>
                <w:bCs/>
                <w:color w:val="000000"/>
                <w:sz w:val="18"/>
                <w:szCs w:val="18"/>
                <w:lang w:eastAsia="pt-PT"/>
              </w:rPr>
            </w:pPr>
            <w:r>
              <w:rPr>
                <w:rFonts w:ascii="Times New Roman" w:eastAsia="Times New Roman" w:hAnsi="Times New Roman" w:cs="Times New Roman"/>
                <w:b/>
                <w:bCs/>
                <w:color w:val="000000"/>
                <w:sz w:val="18"/>
                <w:szCs w:val="18"/>
                <w:lang w:eastAsia="pt-PT"/>
              </w:rPr>
              <w:t>Factor</w:t>
            </w:r>
          </w:p>
        </w:tc>
        <w:tc>
          <w:tcPr>
            <w:tcW w:w="519" w:type="pct"/>
            <w:tcBorders>
              <w:top w:val="nil"/>
              <w:left w:val="nil"/>
              <w:bottom w:val="single" w:sz="8" w:space="0" w:color="auto"/>
              <w:right w:val="nil"/>
            </w:tcBorders>
            <w:shd w:val="clear" w:color="auto" w:fill="FFFFFF"/>
            <w:vAlign w:val="center"/>
            <w:hideMark/>
          </w:tcPr>
          <w:p w14:paraId="29FE894D" w14:textId="77777777" w:rsidR="007A24BC" w:rsidRDefault="007A24BC">
            <w:pPr>
              <w:spacing w:after="0" w:line="240" w:lineRule="auto"/>
              <w:jc w:val="center"/>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N</w:t>
            </w:r>
          </w:p>
        </w:tc>
        <w:tc>
          <w:tcPr>
            <w:tcW w:w="472" w:type="pct"/>
            <w:tcBorders>
              <w:top w:val="nil"/>
              <w:left w:val="nil"/>
              <w:bottom w:val="single" w:sz="8" w:space="0" w:color="auto"/>
              <w:right w:val="nil"/>
            </w:tcBorders>
            <w:shd w:val="clear" w:color="auto" w:fill="FFFFFF"/>
            <w:vAlign w:val="center"/>
            <w:hideMark/>
          </w:tcPr>
          <w:p w14:paraId="24E61735" w14:textId="77777777" w:rsidR="007A24BC" w:rsidRDefault="007A24BC">
            <w:pPr>
              <w:spacing w:after="0" w:line="240" w:lineRule="auto"/>
              <w:jc w:val="center"/>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P</w:t>
            </w:r>
          </w:p>
        </w:tc>
        <w:tc>
          <w:tcPr>
            <w:tcW w:w="472" w:type="pct"/>
            <w:tcBorders>
              <w:top w:val="nil"/>
              <w:left w:val="nil"/>
              <w:bottom w:val="single" w:sz="8" w:space="0" w:color="auto"/>
              <w:right w:val="nil"/>
            </w:tcBorders>
            <w:shd w:val="clear" w:color="auto" w:fill="FFFFFF"/>
            <w:vAlign w:val="center"/>
            <w:hideMark/>
          </w:tcPr>
          <w:p w14:paraId="2A1503A1" w14:textId="77777777" w:rsidR="007A24BC" w:rsidRDefault="007A24BC">
            <w:pPr>
              <w:spacing w:after="0" w:line="240" w:lineRule="auto"/>
              <w:jc w:val="center"/>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K</w:t>
            </w:r>
          </w:p>
        </w:tc>
        <w:tc>
          <w:tcPr>
            <w:tcW w:w="96" w:type="pct"/>
            <w:tcBorders>
              <w:top w:val="nil"/>
              <w:left w:val="nil"/>
              <w:bottom w:val="single" w:sz="8" w:space="0" w:color="auto"/>
              <w:right w:val="nil"/>
            </w:tcBorders>
            <w:shd w:val="clear" w:color="auto" w:fill="FFFFFF"/>
            <w:noWrap/>
            <w:vAlign w:val="bottom"/>
            <w:hideMark/>
          </w:tcPr>
          <w:p w14:paraId="0338F3E2"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04" w:type="pct"/>
            <w:tcBorders>
              <w:top w:val="nil"/>
              <w:left w:val="nil"/>
              <w:bottom w:val="single" w:sz="8" w:space="0" w:color="auto"/>
              <w:right w:val="nil"/>
            </w:tcBorders>
            <w:shd w:val="clear" w:color="auto" w:fill="FFFFFF"/>
            <w:vAlign w:val="center"/>
            <w:hideMark/>
          </w:tcPr>
          <w:p w14:paraId="3AF0E803" w14:textId="77777777" w:rsidR="007A24BC" w:rsidRDefault="007A24BC">
            <w:pPr>
              <w:spacing w:after="0" w:line="240" w:lineRule="auto"/>
              <w:jc w:val="center"/>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Cu</w:t>
            </w:r>
          </w:p>
        </w:tc>
        <w:tc>
          <w:tcPr>
            <w:tcW w:w="514" w:type="pct"/>
            <w:tcBorders>
              <w:top w:val="nil"/>
              <w:left w:val="nil"/>
              <w:bottom w:val="single" w:sz="8" w:space="0" w:color="auto"/>
              <w:right w:val="nil"/>
            </w:tcBorders>
            <w:shd w:val="clear" w:color="auto" w:fill="FFFFFF"/>
            <w:vAlign w:val="center"/>
            <w:hideMark/>
          </w:tcPr>
          <w:p w14:paraId="47019CCC" w14:textId="77777777" w:rsidR="007A24BC" w:rsidRDefault="007A24BC">
            <w:pPr>
              <w:spacing w:after="0" w:line="240" w:lineRule="auto"/>
              <w:jc w:val="center"/>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Zn</w:t>
            </w:r>
          </w:p>
        </w:tc>
        <w:tc>
          <w:tcPr>
            <w:tcW w:w="591" w:type="pct"/>
            <w:tcBorders>
              <w:top w:val="nil"/>
              <w:left w:val="nil"/>
              <w:bottom w:val="single" w:sz="8" w:space="0" w:color="auto"/>
              <w:right w:val="nil"/>
            </w:tcBorders>
            <w:shd w:val="clear" w:color="auto" w:fill="FFFFFF"/>
            <w:vAlign w:val="center"/>
            <w:hideMark/>
          </w:tcPr>
          <w:p w14:paraId="23E9298F" w14:textId="77777777" w:rsidR="007A24BC" w:rsidRDefault="007A24BC">
            <w:pPr>
              <w:spacing w:after="0" w:line="240" w:lineRule="auto"/>
              <w:jc w:val="center"/>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Mn</w:t>
            </w:r>
          </w:p>
        </w:tc>
        <w:tc>
          <w:tcPr>
            <w:tcW w:w="562" w:type="pct"/>
            <w:tcBorders>
              <w:top w:val="nil"/>
              <w:left w:val="nil"/>
              <w:bottom w:val="single" w:sz="8" w:space="0" w:color="auto"/>
              <w:right w:val="nil"/>
            </w:tcBorders>
            <w:shd w:val="clear" w:color="auto" w:fill="FFFFFF"/>
            <w:vAlign w:val="center"/>
            <w:hideMark/>
          </w:tcPr>
          <w:p w14:paraId="42EC188F" w14:textId="77777777" w:rsidR="007A24BC" w:rsidRDefault="007A24BC">
            <w:pPr>
              <w:spacing w:after="0" w:line="240" w:lineRule="auto"/>
              <w:jc w:val="center"/>
              <w:rPr>
                <w:rFonts w:ascii="Times New Roman" w:eastAsia="Times New Roman" w:hAnsi="Times New Roman" w:cs="Times New Roman"/>
                <w:b/>
                <w:bCs/>
                <w:sz w:val="18"/>
                <w:szCs w:val="18"/>
                <w:lang w:eastAsia="pt-PT"/>
              </w:rPr>
            </w:pPr>
            <w:r>
              <w:rPr>
                <w:rFonts w:ascii="Times New Roman" w:eastAsia="Times New Roman" w:hAnsi="Times New Roman" w:cs="Times New Roman"/>
                <w:b/>
                <w:bCs/>
                <w:sz w:val="18"/>
                <w:szCs w:val="18"/>
                <w:lang w:eastAsia="pt-PT"/>
              </w:rPr>
              <w:t>Fe</w:t>
            </w:r>
          </w:p>
        </w:tc>
      </w:tr>
      <w:tr w:rsidR="007A24BC" w14:paraId="789B9988" w14:textId="77777777" w:rsidTr="007A24BC">
        <w:trPr>
          <w:trHeight w:val="300"/>
        </w:trPr>
        <w:tc>
          <w:tcPr>
            <w:tcW w:w="135" w:type="pct"/>
            <w:shd w:val="clear" w:color="auto" w:fill="FFFFFF"/>
            <w:noWrap/>
            <w:vAlign w:val="bottom"/>
            <w:hideMark/>
          </w:tcPr>
          <w:p w14:paraId="4CC72AFF"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1135" w:type="pct"/>
            <w:gridSpan w:val="2"/>
            <w:shd w:val="clear" w:color="auto" w:fill="FFFFFF"/>
            <w:noWrap/>
            <w:vAlign w:val="center"/>
            <w:hideMark/>
          </w:tcPr>
          <w:p w14:paraId="0FC954E0" w14:textId="77777777" w:rsidR="007A24BC" w:rsidRDefault="007A24BC">
            <w:pPr>
              <w:spacing w:after="0" w:line="240" w:lineRule="auto"/>
              <w:jc w:val="center"/>
              <w:rPr>
                <w:rFonts w:ascii="Times New Roman" w:eastAsia="Times New Roman" w:hAnsi="Times New Roman" w:cs="Times New Roman"/>
                <w:color w:val="000000"/>
                <w:sz w:val="18"/>
                <w:szCs w:val="18"/>
                <w:lang w:eastAsia="pt-PT"/>
              </w:rPr>
            </w:pPr>
            <w:r>
              <w:rPr>
                <w:rFonts w:ascii="Times New Roman" w:eastAsia="Times New Roman" w:hAnsi="Times New Roman" w:cs="Times New Roman"/>
                <w:color w:val="000000"/>
                <w:sz w:val="18"/>
                <w:szCs w:val="18"/>
                <w:lang w:eastAsia="pt-PT"/>
              </w:rPr>
              <w:t>Mycorrhizal treatment</w:t>
            </w:r>
          </w:p>
        </w:tc>
        <w:tc>
          <w:tcPr>
            <w:tcW w:w="519" w:type="pct"/>
            <w:shd w:val="clear" w:color="auto" w:fill="FFFFFF"/>
            <w:noWrap/>
            <w:vAlign w:val="center"/>
            <w:hideMark/>
          </w:tcPr>
          <w:p w14:paraId="39C9DFDB" w14:textId="77777777" w:rsidR="007A24BC" w:rsidRDefault="007A24BC">
            <w:pPr>
              <w:spacing w:after="0" w:line="240" w:lineRule="auto"/>
              <w:jc w:val="center"/>
              <w:rPr>
                <w:rFonts w:ascii="Times New Roman" w:eastAsia="Times New Roman" w:hAnsi="Times New Roman" w:cs="Times New Roman"/>
                <w:color w:val="000000"/>
                <w:sz w:val="18"/>
                <w:szCs w:val="18"/>
                <w:lang w:eastAsia="pt-PT"/>
              </w:rPr>
            </w:pPr>
            <w:r>
              <w:rPr>
                <w:rFonts w:ascii="Times New Roman" w:eastAsia="Times New Roman" w:hAnsi="Times New Roman" w:cs="Times New Roman"/>
                <w:color w:val="000000"/>
                <w:sz w:val="18"/>
                <w:szCs w:val="18"/>
                <w:lang w:eastAsia="pt-PT"/>
              </w:rPr>
              <w:t>0.078</w:t>
            </w:r>
          </w:p>
        </w:tc>
        <w:tc>
          <w:tcPr>
            <w:tcW w:w="472" w:type="pct"/>
            <w:shd w:val="clear" w:color="auto" w:fill="FFFFFF"/>
            <w:noWrap/>
            <w:vAlign w:val="center"/>
            <w:hideMark/>
          </w:tcPr>
          <w:p w14:paraId="109D9D2B" w14:textId="77777777" w:rsidR="007A24BC" w:rsidRDefault="007A24BC">
            <w:pPr>
              <w:spacing w:after="0" w:line="240" w:lineRule="auto"/>
              <w:jc w:val="center"/>
              <w:rPr>
                <w:rFonts w:ascii="Times New Roman" w:eastAsia="Times New Roman" w:hAnsi="Times New Roman" w:cs="Times New Roman"/>
                <w:color w:val="000000"/>
                <w:sz w:val="18"/>
                <w:szCs w:val="18"/>
                <w:lang w:eastAsia="pt-PT"/>
              </w:rPr>
            </w:pPr>
            <w:r>
              <w:rPr>
                <w:rFonts w:ascii="Times New Roman" w:eastAsia="Times New Roman" w:hAnsi="Times New Roman" w:cs="Times New Roman"/>
                <w:color w:val="000000"/>
                <w:sz w:val="18"/>
                <w:szCs w:val="18"/>
                <w:lang w:eastAsia="pt-PT"/>
              </w:rPr>
              <w:t>0.048</w:t>
            </w:r>
          </w:p>
        </w:tc>
        <w:tc>
          <w:tcPr>
            <w:tcW w:w="472" w:type="pct"/>
            <w:shd w:val="clear" w:color="auto" w:fill="FFFFFF"/>
            <w:noWrap/>
            <w:vAlign w:val="bottom"/>
            <w:hideMark/>
          </w:tcPr>
          <w:p w14:paraId="09A32E7A"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0.507</w:t>
            </w:r>
          </w:p>
        </w:tc>
        <w:tc>
          <w:tcPr>
            <w:tcW w:w="96" w:type="pct"/>
            <w:shd w:val="clear" w:color="auto" w:fill="FFFFFF"/>
            <w:noWrap/>
            <w:vAlign w:val="bottom"/>
            <w:hideMark/>
          </w:tcPr>
          <w:p w14:paraId="543AA61B"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04" w:type="pct"/>
            <w:shd w:val="clear" w:color="auto" w:fill="FFFFFF"/>
            <w:noWrap/>
            <w:vAlign w:val="bottom"/>
            <w:hideMark/>
          </w:tcPr>
          <w:p w14:paraId="690344F4"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0.838</w:t>
            </w:r>
          </w:p>
        </w:tc>
        <w:tc>
          <w:tcPr>
            <w:tcW w:w="514" w:type="pct"/>
            <w:shd w:val="clear" w:color="auto" w:fill="FFFFFF"/>
            <w:noWrap/>
            <w:vAlign w:val="center"/>
            <w:hideMark/>
          </w:tcPr>
          <w:p w14:paraId="3D793B1A" w14:textId="77777777" w:rsidR="007A24BC" w:rsidRDefault="007A24BC">
            <w:pPr>
              <w:spacing w:after="0" w:line="240" w:lineRule="auto"/>
              <w:jc w:val="center"/>
              <w:rPr>
                <w:rFonts w:ascii="Times New Roman" w:eastAsia="Times New Roman" w:hAnsi="Times New Roman" w:cs="Times New Roman"/>
                <w:color w:val="000000"/>
                <w:sz w:val="18"/>
                <w:szCs w:val="18"/>
                <w:lang w:eastAsia="pt-PT"/>
              </w:rPr>
            </w:pPr>
            <w:r>
              <w:rPr>
                <w:rFonts w:ascii="Times New Roman" w:eastAsia="Times New Roman" w:hAnsi="Times New Roman" w:cs="Times New Roman"/>
                <w:color w:val="000000"/>
                <w:sz w:val="18"/>
                <w:szCs w:val="18"/>
                <w:lang w:eastAsia="pt-PT"/>
              </w:rPr>
              <w:t>0.072</w:t>
            </w:r>
          </w:p>
        </w:tc>
        <w:tc>
          <w:tcPr>
            <w:tcW w:w="591" w:type="pct"/>
            <w:shd w:val="clear" w:color="auto" w:fill="FFFFFF"/>
            <w:noWrap/>
            <w:hideMark/>
          </w:tcPr>
          <w:p w14:paraId="6EDD34F3" w14:textId="77777777" w:rsidR="007A24BC" w:rsidRDefault="007A24BC">
            <w:pPr>
              <w:spacing w:after="0" w:line="240" w:lineRule="auto"/>
              <w:jc w:val="center"/>
              <w:rPr>
                <w:rFonts w:ascii="Times New Roman" w:eastAsia="Times New Roman" w:hAnsi="Times New Roman" w:cs="Times New Roman"/>
                <w:color w:val="000000"/>
                <w:sz w:val="18"/>
                <w:szCs w:val="18"/>
                <w:lang w:eastAsia="pt-PT"/>
              </w:rPr>
            </w:pPr>
            <w:r>
              <w:rPr>
                <w:rFonts w:ascii="Times New Roman" w:eastAsia="Times New Roman" w:hAnsi="Times New Roman" w:cs="Times New Roman"/>
                <w:color w:val="000000"/>
                <w:sz w:val="18"/>
                <w:szCs w:val="18"/>
                <w:lang w:eastAsia="pt-PT"/>
              </w:rPr>
              <w:t>0.014</w:t>
            </w:r>
          </w:p>
        </w:tc>
        <w:tc>
          <w:tcPr>
            <w:tcW w:w="562" w:type="pct"/>
            <w:shd w:val="clear" w:color="auto" w:fill="FFFFFF"/>
            <w:vAlign w:val="center"/>
            <w:hideMark/>
          </w:tcPr>
          <w:p w14:paraId="37454CAF" w14:textId="77777777" w:rsidR="007A24BC" w:rsidRDefault="007A24BC">
            <w:pPr>
              <w:spacing w:after="0" w:line="240" w:lineRule="auto"/>
              <w:jc w:val="center"/>
              <w:rPr>
                <w:rFonts w:ascii="Times New Roman" w:eastAsia="Times New Roman" w:hAnsi="Times New Roman" w:cs="Times New Roman"/>
                <w:color w:val="000000"/>
                <w:sz w:val="18"/>
                <w:szCs w:val="18"/>
                <w:lang w:eastAsia="pt-PT"/>
              </w:rPr>
            </w:pPr>
            <w:r>
              <w:rPr>
                <w:rFonts w:ascii="Times New Roman" w:eastAsia="Times New Roman" w:hAnsi="Times New Roman" w:cs="Times New Roman"/>
                <w:color w:val="000000"/>
                <w:sz w:val="18"/>
                <w:szCs w:val="18"/>
                <w:lang w:eastAsia="pt-PT"/>
              </w:rPr>
              <w:t>0.048</w:t>
            </w:r>
          </w:p>
        </w:tc>
      </w:tr>
      <w:tr w:rsidR="007A24BC" w14:paraId="32E8EF22" w14:textId="77777777" w:rsidTr="007A24BC">
        <w:trPr>
          <w:trHeight w:val="300"/>
        </w:trPr>
        <w:tc>
          <w:tcPr>
            <w:tcW w:w="135" w:type="pct"/>
            <w:shd w:val="clear" w:color="auto" w:fill="FFFFFF"/>
            <w:noWrap/>
            <w:vAlign w:val="bottom"/>
            <w:hideMark/>
          </w:tcPr>
          <w:p w14:paraId="045DECF2"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1135" w:type="pct"/>
            <w:gridSpan w:val="2"/>
            <w:shd w:val="clear" w:color="auto" w:fill="FFFFFF"/>
            <w:noWrap/>
            <w:vAlign w:val="center"/>
            <w:hideMark/>
          </w:tcPr>
          <w:p w14:paraId="2257C12E" w14:textId="77777777" w:rsidR="007A24BC" w:rsidRDefault="007A24BC">
            <w:pPr>
              <w:spacing w:after="0" w:line="240" w:lineRule="auto"/>
              <w:jc w:val="center"/>
              <w:rPr>
                <w:rFonts w:ascii="Times New Roman" w:eastAsia="Times New Roman" w:hAnsi="Times New Roman" w:cs="Times New Roman"/>
                <w:color w:val="000000"/>
                <w:sz w:val="18"/>
                <w:szCs w:val="18"/>
                <w:lang w:eastAsia="pt-PT"/>
              </w:rPr>
            </w:pPr>
            <w:r>
              <w:rPr>
                <w:rFonts w:ascii="Times New Roman" w:eastAsia="Times New Roman" w:hAnsi="Times New Roman" w:cs="Times New Roman"/>
                <w:color w:val="000000"/>
                <w:sz w:val="18"/>
                <w:szCs w:val="18"/>
                <w:lang w:eastAsia="pt-PT"/>
              </w:rPr>
              <w:t>Soil treatment</w:t>
            </w:r>
          </w:p>
        </w:tc>
        <w:tc>
          <w:tcPr>
            <w:tcW w:w="519" w:type="pct"/>
            <w:shd w:val="clear" w:color="auto" w:fill="FFFFFF"/>
            <w:noWrap/>
            <w:vAlign w:val="center"/>
            <w:hideMark/>
          </w:tcPr>
          <w:p w14:paraId="1B9ABD35" w14:textId="77777777" w:rsidR="007A24BC" w:rsidRDefault="007A24BC">
            <w:pPr>
              <w:spacing w:after="0" w:line="240" w:lineRule="auto"/>
              <w:jc w:val="center"/>
              <w:rPr>
                <w:rFonts w:ascii="Times New Roman" w:eastAsia="Times New Roman" w:hAnsi="Times New Roman" w:cs="Times New Roman"/>
                <w:color w:val="000000"/>
                <w:sz w:val="18"/>
                <w:szCs w:val="18"/>
                <w:lang w:eastAsia="pt-PT"/>
              </w:rPr>
            </w:pPr>
            <w:r>
              <w:rPr>
                <w:rFonts w:ascii="Times New Roman" w:eastAsia="Times New Roman" w:hAnsi="Times New Roman" w:cs="Times New Roman"/>
                <w:color w:val="000000"/>
                <w:sz w:val="18"/>
                <w:szCs w:val="18"/>
                <w:lang w:eastAsia="pt-PT"/>
              </w:rPr>
              <w:t>0.257</w:t>
            </w:r>
          </w:p>
        </w:tc>
        <w:tc>
          <w:tcPr>
            <w:tcW w:w="472" w:type="pct"/>
            <w:shd w:val="clear" w:color="auto" w:fill="FFFFFF"/>
            <w:noWrap/>
            <w:vAlign w:val="center"/>
            <w:hideMark/>
          </w:tcPr>
          <w:p w14:paraId="1A595646" w14:textId="77777777" w:rsidR="007A24BC" w:rsidRDefault="007A24BC">
            <w:pPr>
              <w:spacing w:after="0" w:line="240" w:lineRule="auto"/>
              <w:jc w:val="center"/>
              <w:rPr>
                <w:rFonts w:ascii="Times New Roman" w:eastAsia="Times New Roman" w:hAnsi="Times New Roman" w:cs="Times New Roman"/>
                <w:color w:val="000000"/>
                <w:sz w:val="18"/>
                <w:szCs w:val="18"/>
                <w:lang w:eastAsia="pt-PT"/>
              </w:rPr>
            </w:pPr>
            <w:r>
              <w:rPr>
                <w:rFonts w:ascii="Times New Roman" w:eastAsia="Times New Roman" w:hAnsi="Times New Roman" w:cs="Times New Roman"/>
                <w:color w:val="000000"/>
                <w:sz w:val="18"/>
                <w:szCs w:val="18"/>
                <w:lang w:eastAsia="pt-PT"/>
              </w:rPr>
              <w:t>0.715</w:t>
            </w:r>
          </w:p>
        </w:tc>
        <w:tc>
          <w:tcPr>
            <w:tcW w:w="472" w:type="pct"/>
            <w:shd w:val="clear" w:color="auto" w:fill="FFFFFF"/>
            <w:noWrap/>
            <w:vAlign w:val="bottom"/>
            <w:hideMark/>
          </w:tcPr>
          <w:p w14:paraId="704F81DC"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&lt;0.001</w:t>
            </w:r>
          </w:p>
        </w:tc>
        <w:tc>
          <w:tcPr>
            <w:tcW w:w="96" w:type="pct"/>
            <w:shd w:val="clear" w:color="auto" w:fill="FFFFFF"/>
            <w:noWrap/>
            <w:vAlign w:val="bottom"/>
            <w:hideMark/>
          </w:tcPr>
          <w:p w14:paraId="3535CB3C"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04" w:type="pct"/>
            <w:shd w:val="clear" w:color="auto" w:fill="FFFFFF"/>
            <w:noWrap/>
            <w:vAlign w:val="bottom"/>
            <w:hideMark/>
          </w:tcPr>
          <w:p w14:paraId="6BC28F71"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&lt;0.001</w:t>
            </w:r>
          </w:p>
        </w:tc>
        <w:tc>
          <w:tcPr>
            <w:tcW w:w="514" w:type="pct"/>
            <w:shd w:val="clear" w:color="auto" w:fill="FFFFFF"/>
            <w:noWrap/>
            <w:vAlign w:val="bottom"/>
            <w:hideMark/>
          </w:tcPr>
          <w:p w14:paraId="2205C94E"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&lt;0.001</w:t>
            </w:r>
          </w:p>
        </w:tc>
        <w:tc>
          <w:tcPr>
            <w:tcW w:w="591" w:type="pct"/>
            <w:shd w:val="clear" w:color="auto" w:fill="FFFFFF"/>
            <w:noWrap/>
            <w:vAlign w:val="bottom"/>
            <w:hideMark/>
          </w:tcPr>
          <w:p w14:paraId="53087480"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&lt;0.001</w:t>
            </w:r>
          </w:p>
        </w:tc>
        <w:tc>
          <w:tcPr>
            <w:tcW w:w="562" w:type="pct"/>
            <w:shd w:val="clear" w:color="auto" w:fill="FFFFFF"/>
            <w:noWrap/>
            <w:vAlign w:val="bottom"/>
            <w:hideMark/>
          </w:tcPr>
          <w:p w14:paraId="066A3110"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0.004</w:t>
            </w:r>
          </w:p>
        </w:tc>
      </w:tr>
      <w:tr w:rsidR="007A24BC" w14:paraId="6DB25F5F" w14:textId="77777777" w:rsidTr="007A24BC">
        <w:trPr>
          <w:trHeight w:val="315"/>
        </w:trPr>
        <w:tc>
          <w:tcPr>
            <w:tcW w:w="135" w:type="pct"/>
            <w:shd w:val="clear" w:color="auto" w:fill="FFFFFF"/>
            <w:noWrap/>
            <w:vAlign w:val="bottom"/>
            <w:hideMark/>
          </w:tcPr>
          <w:p w14:paraId="2D2AA74C"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1135" w:type="pct"/>
            <w:gridSpan w:val="2"/>
            <w:tcBorders>
              <w:top w:val="nil"/>
              <w:left w:val="nil"/>
              <w:bottom w:val="single" w:sz="8" w:space="0" w:color="auto"/>
              <w:right w:val="nil"/>
            </w:tcBorders>
            <w:shd w:val="clear" w:color="auto" w:fill="FFFFFF"/>
            <w:noWrap/>
            <w:vAlign w:val="center"/>
            <w:hideMark/>
          </w:tcPr>
          <w:p w14:paraId="5860CE13" w14:textId="77777777" w:rsidR="007A24BC" w:rsidRDefault="007A24BC">
            <w:pPr>
              <w:spacing w:after="0" w:line="240" w:lineRule="auto"/>
              <w:jc w:val="center"/>
              <w:rPr>
                <w:rFonts w:ascii="Times New Roman" w:eastAsia="Times New Roman" w:hAnsi="Times New Roman" w:cs="Times New Roman"/>
                <w:color w:val="000000"/>
                <w:sz w:val="18"/>
                <w:szCs w:val="18"/>
                <w:lang w:eastAsia="pt-PT"/>
              </w:rPr>
            </w:pPr>
            <w:r>
              <w:rPr>
                <w:rFonts w:ascii="Times New Roman" w:eastAsia="Times New Roman" w:hAnsi="Times New Roman" w:cs="Times New Roman"/>
                <w:color w:val="000000"/>
                <w:sz w:val="18"/>
                <w:szCs w:val="18"/>
                <w:lang w:eastAsia="pt-PT"/>
              </w:rPr>
              <w:t>Interaction</w:t>
            </w:r>
          </w:p>
        </w:tc>
        <w:tc>
          <w:tcPr>
            <w:tcW w:w="519" w:type="pct"/>
            <w:tcBorders>
              <w:top w:val="nil"/>
              <w:left w:val="nil"/>
              <w:bottom w:val="single" w:sz="8" w:space="0" w:color="auto"/>
              <w:right w:val="nil"/>
            </w:tcBorders>
            <w:shd w:val="clear" w:color="auto" w:fill="FFFFFF"/>
            <w:noWrap/>
            <w:vAlign w:val="center"/>
            <w:hideMark/>
          </w:tcPr>
          <w:p w14:paraId="14CE82FA" w14:textId="77777777" w:rsidR="007A24BC" w:rsidRDefault="007A24BC">
            <w:pPr>
              <w:spacing w:after="0" w:line="240" w:lineRule="auto"/>
              <w:jc w:val="center"/>
              <w:rPr>
                <w:rFonts w:ascii="Times New Roman" w:eastAsia="Times New Roman" w:hAnsi="Times New Roman" w:cs="Times New Roman"/>
                <w:color w:val="000000"/>
                <w:sz w:val="18"/>
                <w:szCs w:val="18"/>
                <w:lang w:eastAsia="pt-PT"/>
              </w:rPr>
            </w:pPr>
            <w:r>
              <w:rPr>
                <w:rFonts w:ascii="Times New Roman" w:eastAsia="Times New Roman" w:hAnsi="Times New Roman" w:cs="Times New Roman"/>
                <w:color w:val="000000"/>
                <w:sz w:val="18"/>
                <w:szCs w:val="18"/>
                <w:lang w:eastAsia="pt-PT"/>
              </w:rPr>
              <w:t>0.469</w:t>
            </w:r>
          </w:p>
        </w:tc>
        <w:tc>
          <w:tcPr>
            <w:tcW w:w="472" w:type="pct"/>
            <w:tcBorders>
              <w:top w:val="nil"/>
              <w:left w:val="nil"/>
              <w:bottom w:val="single" w:sz="8" w:space="0" w:color="auto"/>
              <w:right w:val="nil"/>
            </w:tcBorders>
            <w:shd w:val="clear" w:color="auto" w:fill="FFFFFF"/>
            <w:noWrap/>
            <w:vAlign w:val="center"/>
            <w:hideMark/>
          </w:tcPr>
          <w:p w14:paraId="51835CA7" w14:textId="77777777" w:rsidR="007A24BC" w:rsidRDefault="007A24BC">
            <w:pPr>
              <w:spacing w:after="0" w:line="240" w:lineRule="auto"/>
              <w:jc w:val="center"/>
              <w:rPr>
                <w:rFonts w:ascii="Times New Roman" w:eastAsia="Times New Roman" w:hAnsi="Times New Roman" w:cs="Times New Roman"/>
                <w:color w:val="000000"/>
                <w:sz w:val="18"/>
                <w:szCs w:val="18"/>
                <w:lang w:eastAsia="pt-PT"/>
              </w:rPr>
            </w:pPr>
            <w:r>
              <w:rPr>
                <w:rFonts w:ascii="Times New Roman" w:eastAsia="Times New Roman" w:hAnsi="Times New Roman" w:cs="Times New Roman"/>
                <w:color w:val="000000"/>
                <w:sz w:val="18"/>
                <w:szCs w:val="18"/>
                <w:lang w:eastAsia="pt-PT"/>
              </w:rPr>
              <w:t>0.496</w:t>
            </w:r>
          </w:p>
        </w:tc>
        <w:tc>
          <w:tcPr>
            <w:tcW w:w="472" w:type="pct"/>
            <w:tcBorders>
              <w:top w:val="nil"/>
              <w:left w:val="nil"/>
              <w:bottom w:val="single" w:sz="8" w:space="0" w:color="auto"/>
              <w:right w:val="nil"/>
            </w:tcBorders>
            <w:shd w:val="clear" w:color="auto" w:fill="FFFFFF"/>
            <w:noWrap/>
            <w:vAlign w:val="bottom"/>
            <w:hideMark/>
          </w:tcPr>
          <w:p w14:paraId="37865679"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0.571</w:t>
            </w:r>
          </w:p>
        </w:tc>
        <w:tc>
          <w:tcPr>
            <w:tcW w:w="96" w:type="pct"/>
            <w:tcBorders>
              <w:top w:val="nil"/>
              <w:left w:val="nil"/>
              <w:bottom w:val="single" w:sz="8" w:space="0" w:color="auto"/>
              <w:right w:val="nil"/>
            </w:tcBorders>
            <w:shd w:val="clear" w:color="auto" w:fill="FFFFFF"/>
            <w:noWrap/>
            <w:vAlign w:val="bottom"/>
            <w:hideMark/>
          </w:tcPr>
          <w:p w14:paraId="37B037B3" w14:textId="77777777" w:rsidR="007A24BC" w:rsidRDefault="007A24BC">
            <w:pPr>
              <w:spacing w:after="0" w:line="240" w:lineRule="auto"/>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 </w:t>
            </w:r>
          </w:p>
        </w:tc>
        <w:tc>
          <w:tcPr>
            <w:tcW w:w="504" w:type="pct"/>
            <w:tcBorders>
              <w:top w:val="nil"/>
              <w:left w:val="nil"/>
              <w:bottom w:val="single" w:sz="8" w:space="0" w:color="auto"/>
              <w:right w:val="nil"/>
            </w:tcBorders>
            <w:shd w:val="clear" w:color="auto" w:fill="FFFFFF"/>
            <w:noWrap/>
            <w:vAlign w:val="bottom"/>
            <w:hideMark/>
          </w:tcPr>
          <w:p w14:paraId="7E559C66" w14:textId="77777777" w:rsidR="007A24BC" w:rsidRDefault="007A24BC">
            <w:pPr>
              <w:spacing w:after="0" w:line="240" w:lineRule="auto"/>
              <w:jc w:val="center"/>
              <w:rPr>
                <w:rFonts w:ascii="Times New Roman" w:eastAsia="Times New Roman" w:hAnsi="Times New Roman" w:cs="Times New Roman"/>
                <w:sz w:val="18"/>
                <w:szCs w:val="18"/>
                <w:lang w:eastAsia="pt-PT"/>
              </w:rPr>
            </w:pPr>
            <w:r>
              <w:rPr>
                <w:rFonts w:ascii="Times New Roman" w:eastAsia="Times New Roman" w:hAnsi="Times New Roman" w:cs="Times New Roman"/>
                <w:sz w:val="18"/>
                <w:szCs w:val="18"/>
                <w:lang w:eastAsia="pt-PT"/>
              </w:rPr>
              <w:t>0.564</w:t>
            </w:r>
          </w:p>
        </w:tc>
        <w:tc>
          <w:tcPr>
            <w:tcW w:w="514" w:type="pct"/>
            <w:tcBorders>
              <w:top w:val="nil"/>
              <w:left w:val="nil"/>
              <w:bottom w:val="single" w:sz="8" w:space="0" w:color="auto"/>
              <w:right w:val="nil"/>
            </w:tcBorders>
            <w:shd w:val="clear" w:color="auto" w:fill="FFFFFF"/>
            <w:vAlign w:val="center"/>
            <w:hideMark/>
          </w:tcPr>
          <w:p w14:paraId="355DF51C" w14:textId="77777777" w:rsidR="007A24BC" w:rsidRDefault="007A24BC">
            <w:pPr>
              <w:spacing w:after="0" w:line="240" w:lineRule="auto"/>
              <w:jc w:val="center"/>
              <w:rPr>
                <w:rFonts w:ascii="Times New Roman" w:eastAsia="Times New Roman" w:hAnsi="Times New Roman" w:cs="Times New Roman"/>
                <w:color w:val="000000"/>
                <w:sz w:val="18"/>
                <w:szCs w:val="18"/>
                <w:lang w:eastAsia="pt-PT"/>
              </w:rPr>
            </w:pPr>
            <w:r>
              <w:rPr>
                <w:rFonts w:ascii="Times New Roman" w:eastAsia="Times New Roman" w:hAnsi="Times New Roman" w:cs="Times New Roman"/>
                <w:color w:val="000000"/>
                <w:sz w:val="18"/>
                <w:szCs w:val="18"/>
                <w:lang w:eastAsia="pt-PT"/>
              </w:rPr>
              <w:t>0.274</w:t>
            </w:r>
          </w:p>
        </w:tc>
        <w:tc>
          <w:tcPr>
            <w:tcW w:w="591" w:type="pct"/>
            <w:tcBorders>
              <w:top w:val="nil"/>
              <w:left w:val="nil"/>
              <w:bottom w:val="single" w:sz="8" w:space="0" w:color="auto"/>
              <w:right w:val="nil"/>
            </w:tcBorders>
            <w:shd w:val="clear" w:color="auto" w:fill="FFFFFF"/>
            <w:hideMark/>
          </w:tcPr>
          <w:p w14:paraId="7090F6FB" w14:textId="77777777" w:rsidR="007A24BC" w:rsidRDefault="007A24BC">
            <w:pPr>
              <w:spacing w:after="0" w:line="240" w:lineRule="auto"/>
              <w:jc w:val="center"/>
              <w:rPr>
                <w:rFonts w:ascii="Times New Roman" w:eastAsia="Times New Roman" w:hAnsi="Times New Roman" w:cs="Times New Roman"/>
                <w:color w:val="000000"/>
                <w:sz w:val="18"/>
                <w:szCs w:val="18"/>
                <w:lang w:eastAsia="pt-PT"/>
              </w:rPr>
            </w:pPr>
            <w:r>
              <w:rPr>
                <w:rFonts w:ascii="Times New Roman" w:eastAsia="Times New Roman" w:hAnsi="Times New Roman" w:cs="Times New Roman"/>
                <w:color w:val="000000"/>
                <w:sz w:val="18"/>
                <w:szCs w:val="18"/>
                <w:lang w:eastAsia="pt-PT"/>
              </w:rPr>
              <w:t>0.851</w:t>
            </w:r>
          </w:p>
        </w:tc>
        <w:tc>
          <w:tcPr>
            <w:tcW w:w="562" w:type="pct"/>
            <w:tcBorders>
              <w:top w:val="nil"/>
              <w:left w:val="nil"/>
              <w:bottom w:val="single" w:sz="8" w:space="0" w:color="auto"/>
              <w:right w:val="nil"/>
            </w:tcBorders>
            <w:shd w:val="clear" w:color="auto" w:fill="FFFFFF"/>
            <w:noWrap/>
            <w:vAlign w:val="center"/>
            <w:hideMark/>
          </w:tcPr>
          <w:p w14:paraId="045FE3CA" w14:textId="77777777" w:rsidR="007A24BC" w:rsidRDefault="007A24BC">
            <w:pPr>
              <w:spacing w:after="0" w:line="240" w:lineRule="auto"/>
              <w:jc w:val="center"/>
              <w:rPr>
                <w:rFonts w:ascii="Times New Roman" w:eastAsia="Times New Roman" w:hAnsi="Times New Roman" w:cs="Times New Roman"/>
                <w:color w:val="000000"/>
                <w:sz w:val="18"/>
                <w:szCs w:val="18"/>
                <w:lang w:eastAsia="pt-PT"/>
              </w:rPr>
            </w:pPr>
            <w:r>
              <w:rPr>
                <w:rFonts w:ascii="Times New Roman" w:eastAsia="Times New Roman" w:hAnsi="Times New Roman" w:cs="Times New Roman"/>
                <w:color w:val="000000"/>
                <w:sz w:val="18"/>
                <w:szCs w:val="18"/>
                <w:lang w:eastAsia="pt-PT"/>
              </w:rPr>
              <w:t>0.156</w:t>
            </w:r>
          </w:p>
        </w:tc>
      </w:tr>
    </w:tbl>
    <w:p w14:paraId="6F01B90B" w14:textId="77777777" w:rsidR="007A24BC" w:rsidRDefault="007A24BC" w:rsidP="007A24BC">
      <w:pPr>
        <w:spacing w:line="240" w:lineRule="auto"/>
        <w:ind w:left="708"/>
        <w:jc w:val="both"/>
        <w:rPr>
          <w:rFonts w:ascii="Times New Roman" w:hAnsi="Times New Roman" w:cs="Times New Roman"/>
          <w:sz w:val="16"/>
          <w:szCs w:val="16"/>
          <w:lang w:val="en-US"/>
        </w:rPr>
      </w:pPr>
      <w:r>
        <w:rPr>
          <w:rFonts w:ascii="Times New Roman" w:hAnsi="Times New Roman" w:cs="Times New Roman"/>
          <w:sz w:val="16"/>
          <w:szCs w:val="16"/>
          <w:vertAlign w:val="superscript"/>
          <w:lang w:val="en-US"/>
        </w:rPr>
        <w:t>1</w:t>
      </w:r>
      <w:r>
        <w:rPr>
          <w:rFonts w:ascii="Times New Roman" w:hAnsi="Times New Roman" w:cs="Times New Roman"/>
          <w:i/>
          <w:iCs/>
          <w:sz w:val="16"/>
          <w:szCs w:val="16"/>
          <w:lang w:val="en-US"/>
        </w:rPr>
        <w:t>Rhizoglomus irregulare</w:t>
      </w:r>
      <w:r>
        <w:rPr>
          <w:rFonts w:ascii="Times New Roman" w:hAnsi="Times New Roman" w:cs="Times New Roman"/>
          <w:sz w:val="16"/>
          <w:szCs w:val="16"/>
          <w:lang w:val="en-US"/>
        </w:rPr>
        <w:t xml:space="preserve"> </w:t>
      </w:r>
    </w:p>
    <w:p w14:paraId="1DA4FE3A" w14:textId="0F344AAF" w:rsidR="0097568E" w:rsidRPr="000570C8" w:rsidRDefault="007A24BC" w:rsidP="007A24BC">
      <w:pPr>
        <w:spacing w:line="240" w:lineRule="auto"/>
        <w:ind w:left="708"/>
        <w:jc w:val="both"/>
        <w:rPr>
          <w:rFonts w:ascii="Times New Roman" w:hAnsi="Times New Roman" w:cs="Times New Roman"/>
          <w:color w:val="000000"/>
          <w:lang w:val="en-US"/>
        </w:rPr>
      </w:pPr>
      <w:r>
        <w:rPr>
          <w:rFonts w:ascii="Times New Roman" w:hAnsi="Times New Roman" w:cs="Times New Roman"/>
          <w:sz w:val="16"/>
          <w:szCs w:val="16"/>
          <w:vertAlign w:val="superscript"/>
          <w:lang w:val="en-US"/>
        </w:rPr>
        <w:t>2</w:t>
      </w:r>
      <w:r>
        <w:rPr>
          <w:rFonts w:ascii="Times New Roman" w:hAnsi="Times New Roman" w:cs="Times New Roman"/>
          <w:i/>
          <w:iCs/>
          <w:sz w:val="16"/>
          <w:szCs w:val="16"/>
          <w:lang w:val="en-US"/>
        </w:rPr>
        <w:t>Funneliformis mosseae</w:t>
      </w:r>
      <w:r>
        <w:rPr>
          <w:rFonts w:ascii="Times New Roman" w:hAnsi="Times New Roman" w:cs="Times New Roman"/>
          <w:sz w:val="16"/>
          <w:szCs w:val="16"/>
          <w:lang w:val="en-US"/>
        </w:rPr>
        <w:t xml:space="preserve"> </w:t>
      </w:r>
    </w:p>
    <w:sectPr w:rsidR="0097568E" w:rsidRPr="000570C8" w:rsidSect="007A24BC">
      <w:footerReference w:type="first" r:id="rId12"/>
      <w:pgSz w:w="16838" w:h="11906" w:orient="landscape"/>
      <w:pgMar w:top="1418" w:right="1418" w:bottom="1418" w:left="1418"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E1FFD6" w14:textId="77777777" w:rsidR="000B2E69" w:rsidRDefault="000B2E69" w:rsidP="002D4997">
      <w:pPr>
        <w:spacing w:after="0" w:line="240" w:lineRule="auto"/>
      </w:pPr>
      <w:r>
        <w:separator/>
      </w:r>
    </w:p>
  </w:endnote>
  <w:endnote w:type="continuationSeparator" w:id="0">
    <w:p w14:paraId="7783CD63" w14:textId="77777777" w:rsidR="000B2E69" w:rsidRDefault="000B2E69" w:rsidP="002D49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OpenSans-Bold">
    <w:altName w:val="Yu Gothic"/>
    <w:panose1 w:val="00000000000000000000"/>
    <w:charset w:val="80"/>
    <w:family w:val="auto"/>
    <w:notTrueType/>
    <w:pitch w:val="default"/>
    <w:sig w:usb0="00000001" w:usb1="08070000" w:usb2="00000010" w:usb3="00000000" w:csb0="00020000" w:csb1="00000000"/>
  </w:font>
  <w:font w:name="OpenSans">
    <w:altName w:val="Yu Gothic"/>
    <w:panose1 w:val="00000000000000000000"/>
    <w:charset w:val="80"/>
    <w:family w:val="auto"/>
    <w:notTrueType/>
    <w:pitch w:val="default"/>
    <w:sig w:usb0="00000001" w:usb1="08070000" w:usb2="00000010" w:usb3="00000000" w:csb0="00020000" w:csb1="00000000"/>
  </w:font>
  <w:font w:name="MinionPro-Regular">
    <w:altName w:val="MS Mincho"/>
    <w:panose1 w:val="00000000000000000000"/>
    <w:charset w:val="80"/>
    <w:family w:val="auto"/>
    <w:notTrueType/>
    <w:pitch w:val="default"/>
    <w:sig w:usb0="00000003" w:usb1="08070000" w:usb2="00000010" w:usb3="00000000" w:csb0="00020001" w:csb1="00000000"/>
  </w:font>
  <w:font w:name="MTSY">
    <w:altName w:val="Yu Gothic"/>
    <w:panose1 w:val="00000000000000000000"/>
    <w:charset w:val="80"/>
    <w:family w:val="auto"/>
    <w:notTrueType/>
    <w:pitch w:val="default"/>
    <w:sig w:usb0="00000001"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18971910"/>
      <w:docPartObj>
        <w:docPartGallery w:val="Page Numbers (Bottom of Page)"/>
        <w:docPartUnique/>
      </w:docPartObj>
    </w:sdtPr>
    <w:sdtEndPr/>
    <w:sdtContent>
      <w:p w14:paraId="762BC95B" w14:textId="4D6F7CFF" w:rsidR="00F3546A" w:rsidRDefault="00F3546A">
        <w:pPr>
          <w:pStyle w:val="Rodap"/>
          <w:jc w:val="center"/>
        </w:pPr>
        <w:r>
          <w:fldChar w:fldCharType="begin"/>
        </w:r>
        <w:r>
          <w:instrText>PAGE   \* MERGEFORMAT</w:instrText>
        </w:r>
        <w:r>
          <w:fldChar w:fldCharType="separate"/>
        </w:r>
        <w:r w:rsidR="00B3553E" w:rsidRPr="00B3553E">
          <w:rPr>
            <w:noProof/>
            <w:lang w:val="pt-PT"/>
          </w:rPr>
          <w:t>4</w:t>
        </w:r>
        <w:r>
          <w:fldChar w:fldCharType="end"/>
        </w:r>
      </w:p>
    </w:sdtContent>
  </w:sdt>
  <w:p w14:paraId="243C7144" w14:textId="77777777" w:rsidR="00F3546A" w:rsidRDefault="00F3546A">
    <w:pPr>
      <w:pStyle w:val="Rodap"/>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69948321"/>
      <w:docPartObj>
        <w:docPartGallery w:val="Page Numbers (Bottom of Page)"/>
        <w:docPartUnique/>
      </w:docPartObj>
    </w:sdtPr>
    <w:sdtEndPr/>
    <w:sdtContent>
      <w:p w14:paraId="16DD0085" w14:textId="34EF929E" w:rsidR="00F3546A" w:rsidRDefault="00F3546A">
        <w:pPr>
          <w:pStyle w:val="Rodap"/>
          <w:jc w:val="center"/>
        </w:pPr>
        <w:r>
          <w:fldChar w:fldCharType="begin"/>
        </w:r>
        <w:r>
          <w:instrText>PAGE   \* MERGEFORMAT</w:instrText>
        </w:r>
        <w:r>
          <w:fldChar w:fldCharType="separate"/>
        </w:r>
        <w:r w:rsidR="00B3553E" w:rsidRPr="00B3553E">
          <w:rPr>
            <w:noProof/>
            <w:lang w:val="pt-PT"/>
          </w:rPr>
          <w:t>1</w:t>
        </w:r>
        <w:r>
          <w:fldChar w:fldCharType="end"/>
        </w:r>
      </w:p>
    </w:sdtContent>
  </w:sdt>
  <w:p w14:paraId="0FA9C14A" w14:textId="53D4696B" w:rsidR="00F3546A" w:rsidRDefault="00F3546A">
    <w:pPr>
      <w:pStyle w:val="Rodap"/>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57439357"/>
      <w:docPartObj>
        <w:docPartGallery w:val="Page Numbers (Bottom of Page)"/>
        <w:docPartUnique/>
      </w:docPartObj>
    </w:sdtPr>
    <w:sdtEndPr/>
    <w:sdtContent>
      <w:p w14:paraId="77853F98" w14:textId="29EA8782" w:rsidR="00DD41A2" w:rsidRDefault="00DD41A2">
        <w:pPr>
          <w:pStyle w:val="Rodap"/>
          <w:jc w:val="center"/>
        </w:pPr>
        <w:r>
          <w:t>19</w:t>
        </w:r>
      </w:p>
    </w:sdtContent>
  </w:sdt>
  <w:p w14:paraId="4DE59045" w14:textId="77777777" w:rsidR="00DD41A2" w:rsidRDefault="00DD41A2">
    <w:pPr>
      <w:pStyle w:val="Rodap"/>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2BC8A7" w14:textId="77777777" w:rsidR="000B2E69" w:rsidRDefault="000B2E69" w:rsidP="002D4997">
      <w:pPr>
        <w:spacing w:after="0" w:line="240" w:lineRule="auto"/>
      </w:pPr>
      <w:r>
        <w:separator/>
      </w:r>
    </w:p>
  </w:footnote>
  <w:footnote w:type="continuationSeparator" w:id="0">
    <w:p w14:paraId="4CEE8320" w14:textId="77777777" w:rsidR="000B2E69" w:rsidRDefault="000B2E69" w:rsidP="002D499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4BA09CB"/>
    <w:multiLevelType w:val="multilevel"/>
    <w:tmpl w:val="DC4CC8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8335898"/>
    <w:multiLevelType w:val="hybridMultilevel"/>
    <w:tmpl w:val="EC5AC2B8"/>
    <w:lvl w:ilvl="0" w:tplc="2D86CC02">
      <w:numFmt w:val="bullet"/>
      <w:lvlText w:val="*"/>
      <w:lvlJc w:val="left"/>
      <w:pPr>
        <w:ind w:left="720" w:hanging="360"/>
      </w:pPr>
      <w:rPr>
        <w:rFonts w:ascii="Times New Roman" w:eastAsiaTheme="minorHAnsi" w:hAnsi="Times New Roman" w:cs="Times New Roman"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maia">
    <w15:presenceInfo w15:providerId="Windows Live" w15:userId="2fa9123d0d2c7bc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D7A"/>
    <w:rsid w:val="00000315"/>
    <w:rsid w:val="000120B4"/>
    <w:rsid w:val="00014DB0"/>
    <w:rsid w:val="0001522A"/>
    <w:rsid w:val="0001619A"/>
    <w:rsid w:val="000170B6"/>
    <w:rsid w:val="0002021F"/>
    <w:rsid w:val="00020F18"/>
    <w:rsid w:val="0002206B"/>
    <w:rsid w:val="00022E09"/>
    <w:rsid w:val="00024D87"/>
    <w:rsid w:val="00032288"/>
    <w:rsid w:val="000361C2"/>
    <w:rsid w:val="0003640A"/>
    <w:rsid w:val="00037E7B"/>
    <w:rsid w:val="00041C24"/>
    <w:rsid w:val="00042067"/>
    <w:rsid w:val="00042AED"/>
    <w:rsid w:val="00043734"/>
    <w:rsid w:val="00044135"/>
    <w:rsid w:val="000445A1"/>
    <w:rsid w:val="000457D2"/>
    <w:rsid w:val="00045F75"/>
    <w:rsid w:val="00046BB5"/>
    <w:rsid w:val="00046C43"/>
    <w:rsid w:val="00052632"/>
    <w:rsid w:val="000570C8"/>
    <w:rsid w:val="000606FF"/>
    <w:rsid w:val="00061788"/>
    <w:rsid w:val="0006269A"/>
    <w:rsid w:val="000628EE"/>
    <w:rsid w:val="00065F1F"/>
    <w:rsid w:val="000666E1"/>
    <w:rsid w:val="00071C60"/>
    <w:rsid w:val="000727D6"/>
    <w:rsid w:val="00075F70"/>
    <w:rsid w:val="00081982"/>
    <w:rsid w:val="0008686C"/>
    <w:rsid w:val="00087C21"/>
    <w:rsid w:val="00091A92"/>
    <w:rsid w:val="00093D86"/>
    <w:rsid w:val="000945F5"/>
    <w:rsid w:val="00095B3A"/>
    <w:rsid w:val="00095ED7"/>
    <w:rsid w:val="00097DD5"/>
    <w:rsid w:val="000A134C"/>
    <w:rsid w:val="000A1888"/>
    <w:rsid w:val="000A3493"/>
    <w:rsid w:val="000A6B6C"/>
    <w:rsid w:val="000A7DD9"/>
    <w:rsid w:val="000B083A"/>
    <w:rsid w:val="000B17F2"/>
    <w:rsid w:val="000B1B74"/>
    <w:rsid w:val="000B1C43"/>
    <w:rsid w:val="000B2E69"/>
    <w:rsid w:val="000B438E"/>
    <w:rsid w:val="000B4653"/>
    <w:rsid w:val="000B5747"/>
    <w:rsid w:val="000B731A"/>
    <w:rsid w:val="000C42D0"/>
    <w:rsid w:val="000C6C11"/>
    <w:rsid w:val="000D47DB"/>
    <w:rsid w:val="000D5ABF"/>
    <w:rsid w:val="000D5F7D"/>
    <w:rsid w:val="000D6E88"/>
    <w:rsid w:val="000E24B1"/>
    <w:rsid w:val="000E37E8"/>
    <w:rsid w:val="000E4334"/>
    <w:rsid w:val="000E79E6"/>
    <w:rsid w:val="000F005E"/>
    <w:rsid w:val="000F50A0"/>
    <w:rsid w:val="000F5AD0"/>
    <w:rsid w:val="000F7A48"/>
    <w:rsid w:val="00102582"/>
    <w:rsid w:val="00112A2B"/>
    <w:rsid w:val="00113546"/>
    <w:rsid w:val="00113F01"/>
    <w:rsid w:val="00115D3A"/>
    <w:rsid w:val="0011619F"/>
    <w:rsid w:val="00123D27"/>
    <w:rsid w:val="0012415C"/>
    <w:rsid w:val="00126138"/>
    <w:rsid w:val="0012691D"/>
    <w:rsid w:val="00127D62"/>
    <w:rsid w:val="0013084A"/>
    <w:rsid w:val="00131A66"/>
    <w:rsid w:val="0013246B"/>
    <w:rsid w:val="00133811"/>
    <w:rsid w:val="001347E7"/>
    <w:rsid w:val="00137954"/>
    <w:rsid w:val="00140D5D"/>
    <w:rsid w:val="001414A6"/>
    <w:rsid w:val="001424D8"/>
    <w:rsid w:val="00142B32"/>
    <w:rsid w:val="00146E05"/>
    <w:rsid w:val="00147C4F"/>
    <w:rsid w:val="00147DF7"/>
    <w:rsid w:val="00151AE6"/>
    <w:rsid w:val="001547B5"/>
    <w:rsid w:val="00154EB4"/>
    <w:rsid w:val="001561D9"/>
    <w:rsid w:val="001567E8"/>
    <w:rsid w:val="00156A09"/>
    <w:rsid w:val="00156CF3"/>
    <w:rsid w:val="00157543"/>
    <w:rsid w:val="00163214"/>
    <w:rsid w:val="00164400"/>
    <w:rsid w:val="00166546"/>
    <w:rsid w:val="00180940"/>
    <w:rsid w:val="001815D8"/>
    <w:rsid w:val="001838A5"/>
    <w:rsid w:val="001848C2"/>
    <w:rsid w:val="00185603"/>
    <w:rsid w:val="0018696B"/>
    <w:rsid w:val="00187221"/>
    <w:rsid w:val="001873E6"/>
    <w:rsid w:val="001874C5"/>
    <w:rsid w:val="001879AA"/>
    <w:rsid w:val="00190981"/>
    <w:rsid w:val="001925BD"/>
    <w:rsid w:val="00192766"/>
    <w:rsid w:val="001935B8"/>
    <w:rsid w:val="00194F78"/>
    <w:rsid w:val="00196350"/>
    <w:rsid w:val="001A17CD"/>
    <w:rsid w:val="001A1B0D"/>
    <w:rsid w:val="001A352C"/>
    <w:rsid w:val="001A5C15"/>
    <w:rsid w:val="001A6AA8"/>
    <w:rsid w:val="001A6EEA"/>
    <w:rsid w:val="001B0BAC"/>
    <w:rsid w:val="001B1FB2"/>
    <w:rsid w:val="001B29F4"/>
    <w:rsid w:val="001B77D8"/>
    <w:rsid w:val="001B7CB1"/>
    <w:rsid w:val="001C1AC0"/>
    <w:rsid w:val="001C36F0"/>
    <w:rsid w:val="001C3ADC"/>
    <w:rsid w:val="001C41AE"/>
    <w:rsid w:val="001C5E37"/>
    <w:rsid w:val="001C6349"/>
    <w:rsid w:val="001C6B3A"/>
    <w:rsid w:val="001C72A3"/>
    <w:rsid w:val="001D10B9"/>
    <w:rsid w:val="001D1FD2"/>
    <w:rsid w:val="001D3ABC"/>
    <w:rsid w:val="001D3CB0"/>
    <w:rsid w:val="001D4AE5"/>
    <w:rsid w:val="001D5FE1"/>
    <w:rsid w:val="001E10E6"/>
    <w:rsid w:val="001E628D"/>
    <w:rsid w:val="001E6582"/>
    <w:rsid w:val="001E7F42"/>
    <w:rsid w:val="001F1167"/>
    <w:rsid w:val="001F138B"/>
    <w:rsid w:val="001F18F0"/>
    <w:rsid w:val="001F3546"/>
    <w:rsid w:val="001F3713"/>
    <w:rsid w:val="001F45BA"/>
    <w:rsid w:val="001F4D5B"/>
    <w:rsid w:val="001F50D8"/>
    <w:rsid w:val="001F5DD6"/>
    <w:rsid w:val="001F7BC0"/>
    <w:rsid w:val="002003CD"/>
    <w:rsid w:val="00200E29"/>
    <w:rsid w:val="00202803"/>
    <w:rsid w:val="00205E84"/>
    <w:rsid w:val="002064A1"/>
    <w:rsid w:val="00207466"/>
    <w:rsid w:val="002076F3"/>
    <w:rsid w:val="00207822"/>
    <w:rsid w:val="002103F2"/>
    <w:rsid w:val="002107AC"/>
    <w:rsid w:val="00211D49"/>
    <w:rsid w:val="00214969"/>
    <w:rsid w:val="002161F3"/>
    <w:rsid w:val="00216A5E"/>
    <w:rsid w:val="002173F5"/>
    <w:rsid w:val="00220D78"/>
    <w:rsid w:val="002219BF"/>
    <w:rsid w:val="00221DF7"/>
    <w:rsid w:val="00222C8C"/>
    <w:rsid w:val="00222CA9"/>
    <w:rsid w:val="00223BF8"/>
    <w:rsid w:val="00224106"/>
    <w:rsid w:val="00224CB9"/>
    <w:rsid w:val="002256DB"/>
    <w:rsid w:val="00227F8D"/>
    <w:rsid w:val="00230A4E"/>
    <w:rsid w:val="00231419"/>
    <w:rsid w:val="00231944"/>
    <w:rsid w:val="00232057"/>
    <w:rsid w:val="0023489B"/>
    <w:rsid w:val="0023766B"/>
    <w:rsid w:val="002403F3"/>
    <w:rsid w:val="002424E3"/>
    <w:rsid w:val="00243F6A"/>
    <w:rsid w:val="0024712B"/>
    <w:rsid w:val="002477B6"/>
    <w:rsid w:val="0025280C"/>
    <w:rsid w:val="00252F1E"/>
    <w:rsid w:val="00253EAE"/>
    <w:rsid w:val="00255B0E"/>
    <w:rsid w:val="00256EF5"/>
    <w:rsid w:val="00256FDF"/>
    <w:rsid w:val="002605C6"/>
    <w:rsid w:val="00263CCC"/>
    <w:rsid w:val="002647DC"/>
    <w:rsid w:val="002667FF"/>
    <w:rsid w:val="002679D2"/>
    <w:rsid w:val="00271BB5"/>
    <w:rsid w:val="00273623"/>
    <w:rsid w:val="00273DFD"/>
    <w:rsid w:val="002745E5"/>
    <w:rsid w:val="00277BD4"/>
    <w:rsid w:val="00280861"/>
    <w:rsid w:val="002816F7"/>
    <w:rsid w:val="00281857"/>
    <w:rsid w:val="00287650"/>
    <w:rsid w:val="002909C2"/>
    <w:rsid w:val="00292080"/>
    <w:rsid w:val="00293D5F"/>
    <w:rsid w:val="00295175"/>
    <w:rsid w:val="00296720"/>
    <w:rsid w:val="002A091B"/>
    <w:rsid w:val="002A4921"/>
    <w:rsid w:val="002A6E00"/>
    <w:rsid w:val="002A71FB"/>
    <w:rsid w:val="002A7857"/>
    <w:rsid w:val="002A78D8"/>
    <w:rsid w:val="002A796E"/>
    <w:rsid w:val="002B152E"/>
    <w:rsid w:val="002B3C71"/>
    <w:rsid w:val="002B43E8"/>
    <w:rsid w:val="002B73C5"/>
    <w:rsid w:val="002C04F7"/>
    <w:rsid w:val="002C1A53"/>
    <w:rsid w:val="002C41EC"/>
    <w:rsid w:val="002C4EE5"/>
    <w:rsid w:val="002C66D8"/>
    <w:rsid w:val="002C7ADD"/>
    <w:rsid w:val="002D096E"/>
    <w:rsid w:val="002D2E9A"/>
    <w:rsid w:val="002D34E4"/>
    <w:rsid w:val="002D3E0C"/>
    <w:rsid w:val="002D4997"/>
    <w:rsid w:val="002D63C3"/>
    <w:rsid w:val="002E080F"/>
    <w:rsid w:val="002E208C"/>
    <w:rsid w:val="002E2F6E"/>
    <w:rsid w:val="002E4A21"/>
    <w:rsid w:val="002E4E00"/>
    <w:rsid w:val="002E57B8"/>
    <w:rsid w:val="002E5E17"/>
    <w:rsid w:val="002E6BCF"/>
    <w:rsid w:val="002E6F55"/>
    <w:rsid w:val="002F31D3"/>
    <w:rsid w:val="002F6352"/>
    <w:rsid w:val="00300049"/>
    <w:rsid w:val="003039C6"/>
    <w:rsid w:val="00304C9C"/>
    <w:rsid w:val="00305184"/>
    <w:rsid w:val="00305FB4"/>
    <w:rsid w:val="003060F0"/>
    <w:rsid w:val="00306CB2"/>
    <w:rsid w:val="003073E2"/>
    <w:rsid w:val="003102E6"/>
    <w:rsid w:val="00312E4D"/>
    <w:rsid w:val="00314F0F"/>
    <w:rsid w:val="00315DB7"/>
    <w:rsid w:val="00315E78"/>
    <w:rsid w:val="0031783A"/>
    <w:rsid w:val="0032091B"/>
    <w:rsid w:val="00322C18"/>
    <w:rsid w:val="003269CD"/>
    <w:rsid w:val="00331307"/>
    <w:rsid w:val="003315EC"/>
    <w:rsid w:val="003319A3"/>
    <w:rsid w:val="0033206B"/>
    <w:rsid w:val="00333D78"/>
    <w:rsid w:val="00334786"/>
    <w:rsid w:val="00336E53"/>
    <w:rsid w:val="003419E3"/>
    <w:rsid w:val="00342A0D"/>
    <w:rsid w:val="00346514"/>
    <w:rsid w:val="003469ED"/>
    <w:rsid w:val="00354459"/>
    <w:rsid w:val="00356388"/>
    <w:rsid w:val="00356E92"/>
    <w:rsid w:val="00357689"/>
    <w:rsid w:val="00357B93"/>
    <w:rsid w:val="00357E7A"/>
    <w:rsid w:val="00357E97"/>
    <w:rsid w:val="003600B9"/>
    <w:rsid w:val="00361C73"/>
    <w:rsid w:val="00362292"/>
    <w:rsid w:val="00363099"/>
    <w:rsid w:val="00365272"/>
    <w:rsid w:val="00365DC4"/>
    <w:rsid w:val="003666C3"/>
    <w:rsid w:val="0036793D"/>
    <w:rsid w:val="00367B5A"/>
    <w:rsid w:val="0037056F"/>
    <w:rsid w:val="0037107F"/>
    <w:rsid w:val="003715C0"/>
    <w:rsid w:val="00372A57"/>
    <w:rsid w:val="00374B96"/>
    <w:rsid w:val="00377E79"/>
    <w:rsid w:val="0038058A"/>
    <w:rsid w:val="00381279"/>
    <w:rsid w:val="003818B1"/>
    <w:rsid w:val="00382454"/>
    <w:rsid w:val="003831C2"/>
    <w:rsid w:val="00383837"/>
    <w:rsid w:val="00384315"/>
    <w:rsid w:val="00385A30"/>
    <w:rsid w:val="00385CED"/>
    <w:rsid w:val="003861A5"/>
    <w:rsid w:val="00387478"/>
    <w:rsid w:val="003929D4"/>
    <w:rsid w:val="00395316"/>
    <w:rsid w:val="003A13B0"/>
    <w:rsid w:val="003A349D"/>
    <w:rsid w:val="003A41F7"/>
    <w:rsid w:val="003A4AE7"/>
    <w:rsid w:val="003A5C92"/>
    <w:rsid w:val="003B114A"/>
    <w:rsid w:val="003B29A1"/>
    <w:rsid w:val="003B4CD0"/>
    <w:rsid w:val="003B715A"/>
    <w:rsid w:val="003B7EE3"/>
    <w:rsid w:val="003C1FAD"/>
    <w:rsid w:val="003C3F06"/>
    <w:rsid w:val="003C6FAD"/>
    <w:rsid w:val="003D31CF"/>
    <w:rsid w:val="003D7498"/>
    <w:rsid w:val="003E1185"/>
    <w:rsid w:val="003E24E0"/>
    <w:rsid w:val="003E33D3"/>
    <w:rsid w:val="003E5176"/>
    <w:rsid w:val="003E6667"/>
    <w:rsid w:val="003E76FA"/>
    <w:rsid w:val="003F2850"/>
    <w:rsid w:val="003F2AEA"/>
    <w:rsid w:val="003F2FD4"/>
    <w:rsid w:val="003F4824"/>
    <w:rsid w:val="003F6E4B"/>
    <w:rsid w:val="00401BA8"/>
    <w:rsid w:val="00412C17"/>
    <w:rsid w:val="00413DF8"/>
    <w:rsid w:val="0041403B"/>
    <w:rsid w:val="0041546E"/>
    <w:rsid w:val="00415AA1"/>
    <w:rsid w:val="004165AA"/>
    <w:rsid w:val="00417F9D"/>
    <w:rsid w:val="0042199E"/>
    <w:rsid w:val="00421DA6"/>
    <w:rsid w:val="00421FB6"/>
    <w:rsid w:val="0042245F"/>
    <w:rsid w:val="00422B3A"/>
    <w:rsid w:val="004235BC"/>
    <w:rsid w:val="0042415E"/>
    <w:rsid w:val="00431BF1"/>
    <w:rsid w:val="004352B3"/>
    <w:rsid w:val="00435EB4"/>
    <w:rsid w:val="00436194"/>
    <w:rsid w:val="004376D5"/>
    <w:rsid w:val="00441D5B"/>
    <w:rsid w:val="004423AD"/>
    <w:rsid w:val="00442E73"/>
    <w:rsid w:val="0044342B"/>
    <w:rsid w:val="00444673"/>
    <w:rsid w:val="00444D4D"/>
    <w:rsid w:val="00445E9A"/>
    <w:rsid w:val="00450287"/>
    <w:rsid w:val="004513EE"/>
    <w:rsid w:val="004519ED"/>
    <w:rsid w:val="004538A8"/>
    <w:rsid w:val="00454258"/>
    <w:rsid w:val="00454697"/>
    <w:rsid w:val="00455F08"/>
    <w:rsid w:val="0045623E"/>
    <w:rsid w:val="004566EF"/>
    <w:rsid w:val="00462FB5"/>
    <w:rsid w:val="00466604"/>
    <w:rsid w:val="004677CB"/>
    <w:rsid w:val="00470C6B"/>
    <w:rsid w:val="00471541"/>
    <w:rsid w:val="00472B45"/>
    <w:rsid w:val="004769BF"/>
    <w:rsid w:val="004806BF"/>
    <w:rsid w:val="00484C98"/>
    <w:rsid w:val="00485DA0"/>
    <w:rsid w:val="00485FE3"/>
    <w:rsid w:val="004866A0"/>
    <w:rsid w:val="00487E39"/>
    <w:rsid w:val="00491183"/>
    <w:rsid w:val="0049267D"/>
    <w:rsid w:val="00493338"/>
    <w:rsid w:val="00493B10"/>
    <w:rsid w:val="00493D27"/>
    <w:rsid w:val="0049650D"/>
    <w:rsid w:val="004967E6"/>
    <w:rsid w:val="004A024E"/>
    <w:rsid w:val="004A049B"/>
    <w:rsid w:val="004A456D"/>
    <w:rsid w:val="004A4F25"/>
    <w:rsid w:val="004A5732"/>
    <w:rsid w:val="004A7DD9"/>
    <w:rsid w:val="004B0C3F"/>
    <w:rsid w:val="004B0C40"/>
    <w:rsid w:val="004B2176"/>
    <w:rsid w:val="004B602D"/>
    <w:rsid w:val="004B63BB"/>
    <w:rsid w:val="004C15D2"/>
    <w:rsid w:val="004C624A"/>
    <w:rsid w:val="004C6621"/>
    <w:rsid w:val="004C74E5"/>
    <w:rsid w:val="004C783A"/>
    <w:rsid w:val="004E02A6"/>
    <w:rsid w:val="004E07FD"/>
    <w:rsid w:val="004E0C7F"/>
    <w:rsid w:val="004E2A55"/>
    <w:rsid w:val="004E2BDC"/>
    <w:rsid w:val="004E7188"/>
    <w:rsid w:val="004F252B"/>
    <w:rsid w:val="004F5731"/>
    <w:rsid w:val="00501DA1"/>
    <w:rsid w:val="00502BBE"/>
    <w:rsid w:val="0050352E"/>
    <w:rsid w:val="00506192"/>
    <w:rsid w:val="00506898"/>
    <w:rsid w:val="00507609"/>
    <w:rsid w:val="0050768B"/>
    <w:rsid w:val="0050787B"/>
    <w:rsid w:val="00511D4C"/>
    <w:rsid w:val="005138FA"/>
    <w:rsid w:val="00513E94"/>
    <w:rsid w:val="00515382"/>
    <w:rsid w:val="00516C74"/>
    <w:rsid w:val="00520210"/>
    <w:rsid w:val="00521780"/>
    <w:rsid w:val="00523FB2"/>
    <w:rsid w:val="00525D83"/>
    <w:rsid w:val="00526ED2"/>
    <w:rsid w:val="00527EAC"/>
    <w:rsid w:val="00530AA2"/>
    <w:rsid w:val="00532C0F"/>
    <w:rsid w:val="00534DE7"/>
    <w:rsid w:val="00534F5C"/>
    <w:rsid w:val="00536A99"/>
    <w:rsid w:val="005374DD"/>
    <w:rsid w:val="00542927"/>
    <w:rsid w:val="00543795"/>
    <w:rsid w:val="00543861"/>
    <w:rsid w:val="005462C1"/>
    <w:rsid w:val="00547F10"/>
    <w:rsid w:val="00550563"/>
    <w:rsid w:val="00550686"/>
    <w:rsid w:val="00556545"/>
    <w:rsid w:val="0056058B"/>
    <w:rsid w:val="00560D6D"/>
    <w:rsid w:val="00560FED"/>
    <w:rsid w:val="00561B11"/>
    <w:rsid w:val="0056232F"/>
    <w:rsid w:val="0056239C"/>
    <w:rsid w:val="00563008"/>
    <w:rsid w:val="00563C6D"/>
    <w:rsid w:val="00570BF8"/>
    <w:rsid w:val="00577BBA"/>
    <w:rsid w:val="00577D8A"/>
    <w:rsid w:val="00577F69"/>
    <w:rsid w:val="005802F1"/>
    <w:rsid w:val="00580A84"/>
    <w:rsid w:val="005815B9"/>
    <w:rsid w:val="005828CA"/>
    <w:rsid w:val="005842F3"/>
    <w:rsid w:val="00584404"/>
    <w:rsid w:val="005854B6"/>
    <w:rsid w:val="00587941"/>
    <w:rsid w:val="00587B28"/>
    <w:rsid w:val="00587CE1"/>
    <w:rsid w:val="00592B75"/>
    <w:rsid w:val="00592E8E"/>
    <w:rsid w:val="005A0315"/>
    <w:rsid w:val="005A0CB1"/>
    <w:rsid w:val="005A0EC8"/>
    <w:rsid w:val="005A3507"/>
    <w:rsid w:val="005A3647"/>
    <w:rsid w:val="005A3677"/>
    <w:rsid w:val="005A3F05"/>
    <w:rsid w:val="005A70F1"/>
    <w:rsid w:val="005B014C"/>
    <w:rsid w:val="005B067A"/>
    <w:rsid w:val="005B1596"/>
    <w:rsid w:val="005B18CC"/>
    <w:rsid w:val="005B2F1C"/>
    <w:rsid w:val="005B3B7F"/>
    <w:rsid w:val="005B4896"/>
    <w:rsid w:val="005B754B"/>
    <w:rsid w:val="005B7A3F"/>
    <w:rsid w:val="005B7AA4"/>
    <w:rsid w:val="005C26F5"/>
    <w:rsid w:val="005C5CB2"/>
    <w:rsid w:val="005C61AF"/>
    <w:rsid w:val="005C7C6D"/>
    <w:rsid w:val="005D36F9"/>
    <w:rsid w:val="005D60B4"/>
    <w:rsid w:val="005E11E2"/>
    <w:rsid w:val="005E14C9"/>
    <w:rsid w:val="005E1608"/>
    <w:rsid w:val="005E33B5"/>
    <w:rsid w:val="005E671B"/>
    <w:rsid w:val="005F3110"/>
    <w:rsid w:val="005F37CB"/>
    <w:rsid w:val="005F550E"/>
    <w:rsid w:val="005F6CF2"/>
    <w:rsid w:val="006011C8"/>
    <w:rsid w:val="00601EDF"/>
    <w:rsid w:val="0060248B"/>
    <w:rsid w:val="0060343B"/>
    <w:rsid w:val="006036FB"/>
    <w:rsid w:val="0060513D"/>
    <w:rsid w:val="00605C7C"/>
    <w:rsid w:val="0060655B"/>
    <w:rsid w:val="006075D5"/>
    <w:rsid w:val="00610953"/>
    <w:rsid w:val="00614797"/>
    <w:rsid w:val="00616317"/>
    <w:rsid w:val="006165F3"/>
    <w:rsid w:val="0062203D"/>
    <w:rsid w:val="00622557"/>
    <w:rsid w:val="00622E05"/>
    <w:rsid w:val="006230C0"/>
    <w:rsid w:val="00623595"/>
    <w:rsid w:val="00623710"/>
    <w:rsid w:val="00623A1B"/>
    <w:rsid w:val="00624FDF"/>
    <w:rsid w:val="00625B0A"/>
    <w:rsid w:val="00625E2D"/>
    <w:rsid w:val="00626588"/>
    <w:rsid w:val="006336D6"/>
    <w:rsid w:val="006345FE"/>
    <w:rsid w:val="00635F5B"/>
    <w:rsid w:val="00636BAF"/>
    <w:rsid w:val="006402DC"/>
    <w:rsid w:val="00641124"/>
    <w:rsid w:val="00642152"/>
    <w:rsid w:val="00643659"/>
    <w:rsid w:val="00643721"/>
    <w:rsid w:val="00645F5E"/>
    <w:rsid w:val="006500F3"/>
    <w:rsid w:val="00651AF8"/>
    <w:rsid w:val="00652B5E"/>
    <w:rsid w:val="00653493"/>
    <w:rsid w:val="0065458F"/>
    <w:rsid w:val="006555D2"/>
    <w:rsid w:val="00656CA3"/>
    <w:rsid w:val="00657130"/>
    <w:rsid w:val="0066264A"/>
    <w:rsid w:val="00662914"/>
    <w:rsid w:val="006648A4"/>
    <w:rsid w:val="00666601"/>
    <w:rsid w:val="00671640"/>
    <w:rsid w:val="00671754"/>
    <w:rsid w:val="00671FBF"/>
    <w:rsid w:val="006728CC"/>
    <w:rsid w:val="00674F83"/>
    <w:rsid w:val="0067504E"/>
    <w:rsid w:val="00676680"/>
    <w:rsid w:val="0067680B"/>
    <w:rsid w:val="006774F1"/>
    <w:rsid w:val="00677C3B"/>
    <w:rsid w:val="006826C9"/>
    <w:rsid w:val="00683B58"/>
    <w:rsid w:val="00686654"/>
    <w:rsid w:val="00686F31"/>
    <w:rsid w:val="00690B76"/>
    <w:rsid w:val="0069246B"/>
    <w:rsid w:val="00692873"/>
    <w:rsid w:val="00692BB9"/>
    <w:rsid w:val="00695D6B"/>
    <w:rsid w:val="00695DD1"/>
    <w:rsid w:val="00695FC1"/>
    <w:rsid w:val="006A01C9"/>
    <w:rsid w:val="006A23CB"/>
    <w:rsid w:val="006A2E63"/>
    <w:rsid w:val="006A4325"/>
    <w:rsid w:val="006B16E2"/>
    <w:rsid w:val="006B3A85"/>
    <w:rsid w:val="006B45D0"/>
    <w:rsid w:val="006B5870"/>
    <w:rsid w:val="006B6A48"/>
    <w:rsid w:val="006B7821"/>
    <w:rsid w:val="006C199C"/>
    <w:rsid w:val="006C1F0B"/>
    <w:rsid w:val="006C253C"/>
    <w:rsid w:val="006C425E"/>
    <w:rsid w:val="006C4AC4"/>
    <w:rsid w:val="006C4DFE"/>
    <w:rsid w:val="006C67EC"/>
    <w:rsid w:val="006C76A9"/>
    <w:rsid w:val="006D01CD"/>
    <w:rsid w:val="006D026B"/>
    <w:rsid w:val="006D1F3B"/>
    <w:rsid w:val="006D577C"/>
    <w:rsid w:val="006D60F3"/>
    <w:rsid w:val="006D627A"/>
    <w:rsid w:val="006D6586"/>
    <w:rsid w:val="006D6CE5"/>
    <w:rsid w:val="006D7149"/>
    <w:rsid w:val="006D7271"/>
    <w:rsid w:val="006D73C2"/>
    <w:rsid w:val="006E0D25"/>
    <w:rsid w:val="006E2F75"/>
    <w:rsid w:val="006E3E77"/>
    <w:rsid w:val="006E5AD1"/>
    <w:rsid w:val="006E6B97"/>
    <w:rsid w:val="006E7B38"/>
    <w:rsid w:val="006F0B09"/>
    <w:rsid w:val="006F12D2"/>
    <w:rsid w:val="006F224F"/>
    <w:rsid w:val="006F270C"/>
    <w:rsid w:val="006F3E61"/>
    <w:rsid w:val="006F40C6"/>
    <w:rsid w:val="006F4909"/>
    <w:rsid w:val="006F5876"/>
    <w:rsid w:val="006F7040"/>
    <w:rsid w:val="00703E73"/>
    <w:rsid w:val="0070620C"/>
    <w:rsid w:val="00706C6B"/>
    <w:rsid w:val="007103EF"/>
    <w:rsid w:val="007128CA"/>
    <w:rsid w:val="0071560C"/>
    <w:rsid w:val="00717CC1"/>
    <w:rsid w:val="0072157E"/>
    <w:rsid w:val="00722687"/>
    <w:rsid w:val="00723210"/>
    <w:rsid w:val="00723EEC"/>
    <w:rsid w:val="007249C6"/>
    <w:rsid w:val="00725DC0"/>
    <w:rsid w:val="00726676"/>
    <w:rsid w:val="00731A64"/>
    <w:rsid w:val="0073500D"/>
    <w:rsid w:val="00735595"/>
    <w:rsid w:val="00737F60"/>
    <w:rsid w:val="00737FFA"/>
    <w:rsid w:val="00742982"/>
    <w:rsid w:val="00743157"/>
    <w:rsid w:val="00743F01"/>
    <w:rsid w:val="00744CB2"/>
    <w:rsid w:val="00747CBC"/>
    <w:rsid w:val="007504DE"/>
    <w:rsid w:val="00750812"/>
    <w:rsid w:val="007519A1"/>
    <w:rsid w:val="007523FB"/>
    <w:rsid w:val="0075522C"/>
    <w:rsid w:val="00755CC3"/>
    <w:rsid w:val="00756B89"/>
    <w:rsid w:val="00757B27"/>
    <w:rsid w:val="00760556"/>
    <w:rsid w:val="00764A24"/>
    <w:rsid w:val="0076544F"/>
    <w:rsid w:val="00766524"/>
    <w:rsid w:val="00766ACB"/>
    <w:rsid w:val="007675FE"/>
    <w:rsid w:val="00770229"/>
    <w:rsid w:val="0077446C"/>
    <w:rsid w:val="00776B50"/>
    <w:rsid w:val="007777A5"/>
    <w:rsid w:val="007816E1"/>
    <w:rsid w:val="00781997"/>
    <w:rsid w:val="00785D7A"/>
    <w:rsid w:val="00787A85"/>
    <w:rsid w:val="007938FB"/>
    <w:rsid w:val="00794529"/>
    <w:rsid w:val="00796D88"/>
    <w:rsid w:val="007A00EF"/>
    <w:rsid w:val="007A021E"/>
    <w:rsid w:val="007A0368"/>
    <w:rsid w:val="007A0D7F"/>
    <w:rsid w:val="007A12C0"/>
    <w:rsid w:val="007A24BC"/>
    <w:rsid w:val="007A4972"/>
    <w:rsid w:val="007A5A28"/>
    <w:rsid w:val="007A63F5"/>
    <w:rsid w:val="007A7666"/>
    <w:rsid w:val="007B08B5"/>
    <w:rsid w:val="007B2ADB"/>
    <w:rsid w:val="007B327A"/>
    <w:rsid w:val="007B465D"/>
    <w:rsid w:val="007B51D5"/>
    <w:rsid w:val="007B563C"/>
    <w:rsid w:val="007C00AA"/>
    <w:rsid w:val="007C00ED"/>
    <w:rsid w:val="007C0136"/>
    <w:rsid w:val="007C3321"/>
    <w:rsid w:val="007C4E65"/>
    <w:rsid w:val="007D2E14"/>
    <w:rsid w:val="007D314C"/>
    <w:rsid w:val="007D448D"/>
    <w:rsid w:val="007D6F09"/>
    <w:rsid w:val="007D7565"/>
    <w:rsid w:val="007E1375"/>
    <w:rsid w:val="007E2B58"/>
    <w:rsid w:val="007E2DC9"/>
    <w:rsid w:val="007E48EE"/>
    <w:rsid w:val="007E50D7"/>
    <w:rsid w:val="007E539B"/>
    <w:rsid w:val="007E64AA"/>
    <w:rsid w:val="007F0386"/>
    <w:rsid w:val="007F0868"/>
    <w:rsid w:val="007F0A8D"/>
    <w:rsid w:val="007F2376"/>
    <w:rsid w:val="007F700F"/>
    <w:rsid w:val="007F71B8"/>
    <w:rsid w:val="007F74DF"/>
    <w:rsid w:val="00800AE3"/>
    <w:rsid w:val="008011BE"/>
    <w:rsid w:val="00803878"/>
    <w:rsid w:val="008064B4"/>
    <w:rsid w:val="00810955"/>
    <w:rsid w:val="00811F19"/>
    <w:rsid w:val="00812EE1"/>
    <w:rsid w:val="008144E7"/>
    <w:rsid w:val="00814920"/>
    <w:rsid w:val="008151CC"/>
    <w:rsid w:val="0081585C"/>
    <w:rsid w:val="008173B0"/>
    <w:rsid w:val="008212E4"/>
    <w:rsid w:val="0082273B"/>
    <w:rsid w:val="008240FD"/>
    <w:rsid w:val="00825AB5"/>
    <w:rsid w:val="0083004B"/>
    <w:rsid w:val="00830DF4"/>
    <w:rsid w:val="00831ABE"/>
    <w:rsid w:val="008321D4"/>
    <w:rsid w:val="0083298F"/>
    <w:rsid w:val="00833943"/>
    <w:rsid w:val="00834133"/>
    <w:rsid w:val="00834DB0"/>
    <w:rsid w:val="008352DC"/>
    <w:rsid w:val="008353F8"/>
    <w:rsid w:val="00837B57"/>
    <w:rsid w:val="00840037"/>
    <w:rsid w:val="00840618"/>
    <w:rsid w:val="008413EF"/>
    <w:rsid w:val="00841781"/>
    <w:rsid w:val="0084231F"/>
    <w:rsid w:val="00842674"/>
    <w:rsid w:val="00846053"/>
    <w:rsid w:val="008462D4"/>
    <w:rsid w:val="008464D5"/>
    <w:rsid w:val="008469AD"/>
    <w:rsid w:val="00852A7E"/>
    <w:rsid w:val="00853ACA"/>
    <w:rsid w:val="00861FA7"/>
    <w:rsid w:val="00863F62"/>
    <w:rsid w:val="00864A9D"/>
    <w:rsid w:val="00865EA7"/>
    <w:rsid w:val="00867C5C"/>
    <w:rsid w:val="00870874"/>
    <w:rsid w:val="008712EA"/>
    <w:rsid w:val="008713B8"/>
    <w:rsid w:val="00873A7A"/>
    <w:rsid w:val="00875290"/>
    <w:rsid w:val="008760CD"/>
    <w:rsid w:val="0088114E"/>
    <w:rsid w:val="0088188A"/>
    <w:rsid w:val="008818AE"/>
    <w:rsid w:val="00882BC7"/>
    <w:rsid w:val="00882C7C"/>
    <w:rsid w:val="00883BB5"/>
    <w:rsid w:val="00884271"/>
    <w:rsid w:val="008854A6"/>
    <w:rsid w:val="00885CD0"/>
    <w:rsid w:val="00890CA2"/>
    <w:rsid w:val="00890F05"/>
    <w:rsid w:val="00893E41"/>
    <w:rsid w:val="00895C3B"/>
    <w:rsid w:val="00897081"/>
    <w:rsid w:val="008974F2"/>
    <w:rsid w:val="008A0F3D"/>
    <w:rsid w:val="008A258D"/>
    <w:rsid w:val="008A4B03"/>
    <w:rsid w:val="008A71A4"/>
    <w:rsid w:val="008B00E3"/>
    <w:rsid w:val="008B297F"/>
    <w:rsid w:val="008B3AD4"/>
    <w:rsid w:val="008B3BF9"/>
    <w:rsid w:val="008B51F2"/>
    <w:rsid w:val="008B5485"/>
    <w:rsid w:val="008B5EF7"/>
    <w:rsid w:val="008B7DC7"/>
    <w:rsid w:val="008C05D7"/>
    <w:rsid w:val="008C1731"/>
    <w:rsid w:val="008C3ACE"/>
    <w:rsid w:val="008C47C3"/>
    <w:rsid w:val="008D005A"/>
    <w:rsid w:val="008D0CFB"/>
    <w:rsid w:val="008D14EA"/>
    <w:rsid w:val="008D1EDA"/>
    <w:rsid w:val="008D4F15"/>
    <w:rsid w:val="008D664F"/>
    <w:rsid w:val="008E003E"/>
    <w:rsid w:val="008E06E5"/>
    <w:rsid w:val="008E163D"/>
    <w:rsid w:val="008E19AC"/>
    <w:rsid w:val="008E2698"/>
    <w:rsid w:val="008E5F56"/>
    <w:rsid w:val="008E61A8"/>
    <w:rsid w:val="008E6D30"/>
    <w:rsid w:val="008F224E"/>
    <w:rsid w:val="008F2D64"/>
    <w:rsid w:val="008F44BD"/>
    <w:rsid w:val="008F5BFA"/>
    <w:rsid w:val="008F6331"/>
    <w:rsid w:val="008F7E74"/>
    <w:rsid w:val="00900653"/>
    <w:rsid w:val="009006E7"/>
    <w:rsid w:val="009104B2"/>
    <w:rsid w:val="00913BCD"/>
    <w:rsid w:val="009155CF"/>
    <w:rsid w:val="00915A6F"/>
    <w:rsid w:val="009243DF"/>
    <w:rsid w:val="0092463F"/>
    <w:rsid w:val="009269B9"/>
    <w:rsid w:val="00932620"/>
    <w:rsid w:val="00932837"/>
    <w:rsid w:val="00932C46"/>
    <w:rsid w:val="00932F0D"/>
    <w:rsid w:val="00934620"/>
    <w:rsid w:val="0094076B"/>
    <w:rsid w:val="00944D74"/>
    <w:rsid w:val="00945F72"/>
    <w:rsid w:val="00946997"/>
    <w:rsid w:val="009469BD"/>
    <w:rsid w:val="00947F50"/>
    <w:rsid w:val="009527F3"/>
    <w:rsid w:val="00952BEB"/>
    <w:rsid w:val="00955285"/>
    <w:rsid w:val="009562D4"/>
    <w:rsid w:val="0095762C"/>
    <w:rsid w:val="00961A11"/>
    <w:rsid w:val="00961B80"/>
    <w:rsid w:val="00963C55"/>
    <w:rsid w:val="00967DF1"/>
    <w:rsid w:val="00967E31"/>
    <w:rsid w:val="009701B9"/>
    <w:rsid w:val="00970974"/>
    <w:rsid w:val="00970ED1"/>
    <w:rsid w:val="0097149C"/>
    <w:rsid w:val="00972E2B"/>
    <w:rsid w:val="00974DFA"/>
    <w:rsid w:val="0097568E"/>
    <w:rsid w:val="009769A5"/>
    <w:rsid w:val="00980449"/>
    <w:rsid w:val="00981F8D"/>
    <w:rsid w:val="0098443A"/>
    <w:rsid w:val="00985701"/>
    <w:rsid w:val="00987715"/>
    <w:rsid w:val="00992368"/>
    <w:rsid w:val="00992821"/>
    <w:rsid w:val="0099498B"/>
    <w:rsid w:val="00997282"/>
    <w:rsid w:val="009A1443"/>
    <w:rsid w:val="009A14BC"/>
    <w:rsid w:val="009A2AE2"/>
    <w:rsid w:val="009A5E60"/>
    <w:rsid w:val="009B0788"/>
    <w:rsid w:val="009B1A20"/>
    <w:rsid w:val="009B4294"/>
    <w:rsid w:val="009C0101"/>
    <w:rsid w:val="009C3C6F"/>
    <w:rsid w:val="009C6260"/>
    <w:rsid w:val="009C688B"/>
    <w:rsid w:val="009C7184"/>
    <w:rsid w:val="009D2135"/>
    <w:rsid w:val="009D2D58"/>
    <w:rsid w:val="009D3820"/>
    <w:rsid w:val="009D49BD"/>
    <w:rsid w:val="009D54B7"/>
    <w:rsid w:val="009D5B9C"/>
    <w:rsid w:val="009E0798"/>
    <w:rsid w:val="009E0FDE"/>
    <w:rsid w:val="009E373A"/>
    <w:rsid w:val="009E443E"/>
    <w:rsid w:val="009E53D4"/>
    <w:rsid w:val="009E5D3D"/>
    <w:rsid w:val="009F11B9"/>
    <w:rsid w:val="009F230C"/>
    <w:rsid w:val="009F30A5"/>
    <w:rsid w:val="009F326E"/>
    <w:rsid w:val="009F47C2"/>
    <w:rsid w:val="009F5F25"/>
    <w:rsid w:val="009F68A5"/>
    <w:rsid w:val="00A06013"/>
    <w:rsid w:val="00A07DCE"/>
    <w:rsid w:val="00A11503"/>
    <w:rsid w:val="00A120CD"/>
    <w:rsid w:val="00A1449E"/>
    <w:rsid w:val="00A173A2"/>
    <w:rsid w:val="00A20EDE"/>
    <w:rsid w:val="00A20F93"/>
    <w:rsid w:val="00A21B21"/>
    <w:rsid w:val="00A21F25"/>
    <w:rsid w:val="00A2218A"/>
    <w:rsid w:val="00A237C0"/>
    <w:rsid w:val="00A23A98"/>
    <w:rsid w:val="00A26D42"/>
    <w:rsid w:val="00A2751E"/>
    <w:rsid w:val="00A27867"/>
    <w:rsid w:val="00A300B7"/>
    <w:rsid w:val="00A30999"/>
    <w:rsid w:val="00A30A49"/>
    <w:rsid w:val="00A30C28"/>
    <w:rsid w:val="00A32FF1"/>
    <w:rsid w:val="00A331BE"/>
    <w:rsid w:val="00A33D77"/>
    <w:rsid w:val="00A37E7C"/>
    <w:rsid w:val="00A40A20"/>
    <w:rsid w:val="00A40DDC"/>
    <w:rsid w:val="00A4371D"/>
    <w:rsid w:val="00A43CDB"/>
    <w:rsid w:val="00A44486"/>
    <w:rsid w:val="00A44F12"/>
    <w:rsid w:val="00A45EAF"/>
    <w:rsid w:val="00A461D0"/>
    <w:rsid w:val="00A46AAB"/>
    <w:rsid w:val="00A46C4B"/>
    <w:rsid w:val="00A50B17"/>
    <w:rsid w:val="00A514FF"/>
    <w:rsid w:val="00A5259F"/>
    <w:rsid w:val="00A532A3"/>
    <w:rsid w:val="00A53F05"/>
    <w:rsid w:val="00A53FCE"/>
    <w:rsid w:val="00A54094"/>
    <w:rsid w:val="00A54FCA"/>
    <w:rsid w:val="00A55A18"/>
    <w:rsid w:val="00A5637E"/>
    <w:rsid w:val="00A573A1"/>
    <w:rsid w:val="00A6072E"/>
    <w:rsid w:val="00A61ED2"/>
    <w:rsid w:val="00A66EBE"/>
    <w:rsid w:val="00A72064"/>
    <w:rsid w:val="00A73D32"/>
    <w:rsid w:val="00A809EA"/>
    <w:rsid w:val="00A80A1B"/>
    <w:rsid w:val="00A81017"/>
    <w:rsid w:val="00A81E74"/>
    <w:rsid w:val="00A85D49"/>
    <w:rsid w:val="00A86B19"/>
    <w:rsid w:val="00A873DD"/>
    <w:rsid w:val="00A9078B"/>
    <w:rsid w:val="00A9088C"/>
    <w:rsid w:val="00A91563"/>
    <w:rsid w:val="00A919EB"/>
    <w:rsid w:val="00A92AF5"/>
    <w:rsid w:val="00A933F0"/>
    <w:rsid w:val="00A9619A"/>
    <w:rsid w:val="00A961A4"/>
    <w:rsid w:val="00A961F9"/>
    <w:rsid w:val="00AB018E"/>
    <w:rsid w:val="00AB3260"/>
    <w:rsid w:val="00AB34AD"/>
    <w:rsid w:val="00AB65CE"/>
    <w:rsid w:val="00AB67E3"/>
    <w:rsid w:val="00AB7ADD"/>
    <w:rsid w:val="00AC2BB2"/>
    <w:rsid w:val="00AC32B1"/>
    <w:rsid w:val="00AC43B3"/>
    <w:rsid w:val="00AC658E"/>
    <w:rsid w:val="00AD2A32"/>
    <w:rsid w:val="00AD2BB8"/>
    <w:rsid w:val="00AD3F04"/>
    <w:rsid w:val="00AD4A8B"/>
    <w:rsid w:val="00AD50DA"/>
    <w:rsid w:val="00AE0B69"/>
    <w:rsid w:val="00AE7386"/>
    <w:rsid w:val="00AF1F02"/>
    <w:rsid w:val="00AF252A"/>
    <w:rsid w:val="00AF2C42"/>
    <w:rsid w:val="00AF3A88"/>
    <w:rsid w:val="00B00720"/>
    <w:rsid w:val="00B015E1"/>
    <w:rsid w:val="00B032FD"/>
    <w:rsid w:val="00B0480E"/>
    <w:rsid w:val="00B0557C"/>
    <w:rsid w:val="00B072B8"/>
    <w:rsid w:val="00B10CF2"/>
    <w:rsid w:val="00B10EF4"/>
    <w:rsid w:val="00B125E8"/>
    <w:rsid w:val="00B13141"/>
    <w:rsid w:val="00B151C4"/>
    <w:rsid w:val="00B158A2"/>
    <w:rsid w:val="00B205CF"/>
    <w:rsid w:val="00B20FA5"/>
    <w:rsid w:val="00B2137D"/>
    <w:rsid w:val="00B24B6E"/>
    <w:rsid w:val="00B260F7"/>
    <w:rsid w:val="00B3201A"/>
    <w:rsid w:val="00B32110"/>
    <w:rsid w:val="00B333CE"/>
    <w:rsid w:val="00B339AB"/>
    <w:rsid w:val="00B33D24"/>
    <w:rsid w:val="00B34567"/>
    <w:rsid w:val="00B3553E"/>
    <w:rsid w:val="00B36509"/>
    <w:rsid w:val="00B36AE2"/>
    <w:rsid w:val="00B4033E"/>
    <w:rsid w:val="00B4086A"/>
    <w:rsid w:val="00B417EC"/>
    <w:rsid w:val="00B42B90"/>
    <w:rsid w:val="00B44A33"/>
    <w:rsid w:val="00B4531B"/>
    <w:rsid w:val="00B46694"/>
    <w:rsid w:val="00B518E9"/>
    <w:rsid w:val="00B52C4E"/>
    <w:rsid w:val="00B52D69"/>
    <w:rsid w:val="00B5309F"/>
    <w:rsid w:val="00B53112"/>
    <w:rsid w:val="00B53427"/>
    <w:rsid w:val="00B60206"/>
    <w:rsid w:val="00B6250F"/>
    <w:rsid w:val="00B63530"/>
    <w:rsid w:val="00B7084F"/>
    <w:rsid w:val="00B7291B"/>
    <w:rsid w:val="00B73AD8"/>
    <w:rsid w:val="00B766D6"/>
    <w:rsid w:val="00B76FD0"/>
    <w:rsid w:val="00B7769D"/>
    <w:rsid w:val="00B82255"/>
    <w:rsid w:val="00B86A12"/>
    <w:rsid w:val="00B86CA4"/>
    <w:rsid w:val="00B8752B"/>
    <w:rsid w:val="00B91AE1"/>
    <w:rsid w:val="00B92074"/>
    <w:rsid w:val="00B97542"/>
    <w:rsid w:val="00B9766A"/>
    <w:rsid w:val="00BA1341"/>
    <w:rsid w:val="00BA2B2E"/>
    <w:rsid w:val="00BA3325"/>
    <w:rsid w:val="00BA53AF"/>
    <w:rsid w:val="00BA6092"/>
    <w:rsid w:val="00BB05AC"/>
    <w:rsid w:val="00BB1088"/>
    <w:rsid w:val="00BB120E"/>
    <w:rsid w:val="00BB2235"/>
    <w:rsid w:val="00BB5474"/>
    <w:rsid w:val="00BB75FB"/>
    <w:rsid w:val="00BC011F"/>
    <w:rsid w:val="00BC024B"/>
    <w:rsid w:val="00BC1340"/>
    <w:rsid w:val="00BC6AAC"/>
    <w:rsid w:val="00BC6DB9"/>
    <w:rsid w:val="00BD226E"/>
    <w:rsid w:val="00BD5003"/>
    <w:rsid w:val="00BD7633"/>
    <w:rsid w:val="00BE16D4"/>
    <w:rsid w:val="00BE2363"/>
    <w:rsid w:val="00BE488B"/>
    <w:rsid w:val="00BE48AC"/>
    <w:rsid w:val="00BE4FF9"/>
    <w:rsid w:val="00BE5C37"/>
    <w:rsid w:val="00BE7002"/>
    <w:rsid w:val="00BE707A"/>
    <w:rsid w:val="00BF142C"/>
    <w:rsid w:val="00BF20B4"/>
    <w:rsid w:val="00BF3343"/>
    <w:rsid w:val="00BF487F"/>
    <w:rsid w:val="00BF49EC"/>
    <w:rsid w:val="00BF62FD"/>
    <w:rsid w:val="00BF68E8"/>
    <w:rsid w:val="00BF7264"/>
    <w:rsid w:val="00BF7F7A"/>
    <w:rsid w:val="00C031BA"/>
    <w:rsid w:val="00C0581D"/>
    <w:rsid w:val="00C0619A"/>
    <w:rsid w:val="00C109E6"/>
    <w:rsid w:val="00C11406"/>
    <w:rsid w:val="00C11A1D"/>
    <w:rsid w:val="00C12055"/>
    <w:rsid w:val="00C12CC1"/>
    <w:rsid w:val="00C153C6"/>
    <w:rsid w:val="00C15E70"/>
    <w:rsid w:val="00C175EB"/>
    <w:rsid w:val="00C179AD"/>
    <w:rsid w:val="00C21A6F"/>
    <w:rsid w:val="00C21E96"/>
    <w:rsid w:val="00C23103"/>
    <w:rsid w:val="00C23A11"/>
    <w:rsid w:val="00C26926"/>
    <w:rsid w:val="00C303B5"/>
    <w:rsid w:val="00C326D6"/>
    <w:rsid w:val="00C35147"/>
    <w:rsid w:val="00C352EC"/>
    <w:rsid w:val="00C359B2"/>
    <w:rsid w:val="00C44BC7"/>
    <w:rsid w:val="00C45124"/>
    <w:rsid w:val="00C47BFB"/>
    <w:rsid w:val="00C47CEB"/>
    <w:rsid w:val="00C51485"/>
    <w:rsid w:val="00C514B2"/>
    <w:rsid w:val="00C554AE"/>
    <w:rsid w:val="00C60736"/>
    <w:rsid w:val="00C6435E"/>
    <w:rsid w:val="00C644F2"/>
    <w:rsid w:val="00C70120"/>
    <w:rsid w:val="00C71081"/>
    <w:rsid w:val="00C7128B"/>
    <w:rsid w:val="00C71E11"/>
    <w:rsid w:val="00C75070"/>
    <w:rsid w:val="00C765C8"/>
    <w:rsid w:val="00C90C2D"/>
    <w:rsid w:val="00C91DA7"/>
    <w:rsid w:val="00C941D5"/>
    <w:rsid w:val="00CA03F2"/>
    <w:rsid w:val="00CA0767"/>
    <w:rsid w:val="00CA1870"/>
    <w:rsid w:val="00CA44D9"/>
    <w:rsid w:val="00CA671D"/>
    <w:rsid w:val="00CA7407"/>
    <w:rsid w:val="00CB08C7"/>
    <w:rsid w:val="00CB1D59"/>
    <w:rsid w:val="00CB1FC1"/>
    <w:rsid w:val="00CB249E"/>
    <w:rsid w:val="00CB2969"/>
    <w:rsid w:val="00CB6C2E"/>
    <w:rsid w:val="00CC0510"/>
    <w:rsid w:val="00CC15C6"/>
    <w:rsid w:val="00CC1F0A"/>
    <w:rsid w:val="00CC2F2C"/>
    <w:rsid w:val="00CC5B1C"/>
    <w:rsid w:val="00CC72C0"/>
    <w:rsid w:val="00CC7ED0"/>
    <w:rsid w:val="00CD0ED0"/>
    <w:rsid w:val="00CD0FF0"/>
    <w:rsid w:val="00CD2D34"/>
    <w:rsid w:val="00CD6738"/>
    <w:rsid w:val="00CD6EAA"/>
    <w:rsid w:val="00CE0381"/>
    <w:rsid w:val="00CE2021"/>
    <w:rsid w:val="00CE2963"/>
    <w:rsid w:val="00CE3B82"/>
    <w:rsid w:val="00CE407B"/>
    <w:rsid w:val="00CE46DA"/>
    <w:rsid w:val="00CE5185"/>
    <w:rsid w:val="00CE5782"/>
    <w:rsid w:val="00CE604E"/>
    <w:rsid w:val="00CF01E5"/>
    <w:rsid w:val="00CF0278"/>
    <w:rsid w:val="00CF0808"/>
    <w:rsid w:val="00CF3D9C"/>
    <w:rsid w:val="00CF480E"/>
    <w:rsid w:val="00CF588B"/>
    <w:rsid w:val="00CF5D32"/>
    <w:rsid w:val="00CF5D83"/>
    <w:rsid w:val="00CF7420"/>
    <w:rsid w:val="00CF781C"/>
    <w:rsid w:val="00D03DC7"/>
    <w:rsid w:val="00D04931"/>
    <w:rsid w:val="00D0520E"/>
    <w:rsid w:val="00D05643"/>
    <w:rsid w:val="00D1409D"/>
    <w:rsid w:val="00D14799"/>
    <w:rsid w:val="00D15B71"/>
    <w:rsid w:val="00D2073B"/>
    <w:rsid w:val="00D22406"/>
    <w:rsid w:val="00D2314D"/>
    <w:rsid w:val="00D31D06"/>
    <w:rsid w:val="00D31F1D"/>
    <w:rsid w:val="00D3501D"/>
    <w:rsid w:val="00D3622B"/>
    <w:rsid w:val="00D368B7"/>
    <w:rsid w:val="00D4087D"/>
    <w:rsid w:val="00D42086"/>
    <w:rsid w:val="00D469FD"/>
    <w:rsid w:val="00D50CF9"/>
    <w:rsid w:val="00D532C7"/>
    <w:rsid w:val="00D554D5"/>
    <w:rsid w:val="00D55808"/>
    <w:rsid w:val="00D56A8F"/>
    <w:rsid w:val="00D6171D"/>
    <w:rsid w:val="00D6341B"/>
    <w:rsid w:val="00D63A64"/>
    <w:rsid w:val="00D65EFA"/>
    <w:rsid w:val="00D672EF"/>
    <w:rsid w:val="00D677E5"/>
    <w:rsid w:val="00D744A3"/>
    <w:rsid w:val="00D751B4"/>
    <w:rsid w:val="00D7727D"/>
    <w:rsid w:val="00D8137B"/>
    <w:rsid w:val="00D815BD"/>
    <w:rsid w:val="00D84E9B"/>
    <w:rsid w:val="00D85129"/>
    <w:rsid w:val="00D855DE"/>
    <w:rsid w:val="00D866BD"/>
    <w:rsid w:val="00D8767A"/>
    <w:rsid w:val="00D906A6"/>
    <w:rsid w:val="00D9072F"/>
    <w:rsid w:val="00D9085F"/>
    <w:rsid w:val="00D95505"/>
    <w:rsid w:val="00D95F6A"/>
    <w:rsid w:val="00D96FB8"/>
    <w:rsid w:val="00DA05B9"/>
    <w:rsid w:val="00DA3148"/>
    <w:rsid w:val="00DA31B6"/>
    <w:rsid w:val="00DA4B70"/>
    <w:rsid w:val="00DA59AF"/>
    <w:rsid w:val="00DA5B67"/>
    <w:rsid w:val="00DB1D93"/>
    <w:rsid w:val="00DB2F66"/>
    <w:rsid w:val="00DB34A5"/>
    <w:rsid w:val="00DB3A6E"/>
    <w:rsid w:val="00DD1D56"/>
    <w:rsid w:val="00DD251F"/>
    <w:rsid w:val="00DD41A2"/>
    <w:rsid w:val="00DD4907"/>
    <w:rsid w:val="00DE204C"/>
    <w:rsid w:val="00DE2518"/>
    <w:rsid w:val="00DE767F"/>
    <w:rsid w:val="00DF0814"/>
    <w:rsid w:val="00DF0D03"/>
    <w:rsid w:val="00DF21A9"/>
    <w:rsid w:val="00DF4697"/>
    <w:rsid w:val="00DF4BC6"/>
    <w:rsid w:val="00DF5B88"/>
    <w:rsid w:val="00DF7441"/>
    <w:rsid w:val="00DF76B2"/>
    <w:rsid w:val="00E003F5"/>
    <w:rsid w:val="00E02326"/>
    <w:rsid w:val="00E028A1"/>
    <w:rsid w:val="00E045D7"/>
    <w:rsid w:val="00E07255"/>
    <w:rsid w:val="00E079BC"/>
    <w:rsid w:val="00E07FB4"/>
    <w:rsid w:val="00E103A3"/>
    <w:rsid w:val="00E133EC"/>
    <w:rsid w:val="00E13A48"/>
    <w:rsid w:val="00E15C54"/>
    <w:rsid w:val="00E1694E"/>
    <w:rsid w:val="00E2066A"/>
    <w:rsid w:val="00E219DA"/>
    <w:rsid w:val="00E21C03"/>
    <w:rsid w:val="00E25541"/>
    <w:rsid w:val="00E27CAE"/>
    <w:rsid w:val="00E3049C"/>
    <w:rsid w:val="00E316F6"/>
    <w:rsid w:val="00E31D3B"/>
    <w:rsid w:val="00E31F65"/>
    <w:rsid w:val="00E36EC0"/>
    <w:rsid w:val="00E37949"/>
    <w:rsid w:val="00E43766"/>
    <w:rsid w:val="00E44296"/>
    <w:rsid w:val="00E4430E"/>
    <w:rsid w:val="00E44B01"/>
    <w:rsid w:val="00E462CA"/>
    <w:rsid w:val="00E46644"/>
    <w:rsid w:val="00E46740"/>
    <w:rsid w:val="00E4717A"/>
    <w:rsid w:val="00E47CC1"/>
    <w:rsid w:val="00E533CF"/>
    <w:rsid w:val="00E5524B"/>
    <w:rsid w:val="00E6392E"/>
    <w:rsid w:val="00E63E8E"/>
    <w:rsid w:val="00E65003"/>
    <w:rsid w:val="00E674A8"/>
    <w:rsid w:val="00E67ACA"/>
    <w:rsid w:val="00E74AB2"/>
    <w:rsid w:val="00E762C1"/>
    <w:rsid w:val="00E7753F"/>
    <w:rsid w:val="00E80D50"/>
    <w:rsid w:val="00E83A29"/>
    <w:rsid w:val="00E84EE2"/>
    <w:rsid w:val="00E85217"/>
    <w:rsid w:val="00E87B7F"/>
    <w:rsid w:val="00E903E4"/>
    <w:rsid w:val="00E91115"/>
    <w:rsid w:val="00E9117E"/>
    <w:rsid w:val="00E92AC7"/>
    <w:rsid w:val="00E936EC"/>
    <w:rsid w:val="00E938B7"/>
    <w:rsid w:val="00E94CCD"/>
    <w:rsid w:val="00E969B0"/>
    <w:rsid w:val="00EA1AF4"/>
    <w:rsid w:val="00EA35A9"/>
    <w:rsid w:val="00EA53AD"/>
    <w:rsid w:val="00EA5D89"/>
    <w:rsid w:val="00EA5FEE"/>
    <w:rsid w:val="00EA647A"/>
    <w:rsid w:val="00EA66A9"/>
    <w:rsid w:val="00EA70DA"/>
    <w:rsid w:val="00EB0497"/>
    <w:rsid w:val="00EB13B5"/>
    <w:rsid w:val="00EB7AA3"/>
    <w:rsid w:val="00EC1B76"/>
    <w:rsid w:val="00EC22F2"/>
    <w:rsid w:val="00EC3590"/>
    <w:rsid w:val="00EC4E63"/>
    <w:rsid w:val="00EC5E33"/>
    <w:rsid w:val="00EC6A11"/>
    <w:rsid w:val="00EC75A8"/>
    <w:rsid w:val="00ED4340"/>
    <w:rsid w:val="00ED55F0"/>
    <w:rsid w:val="00ED5CBD"/>
    <w:rsid w:val="00ED7124"/>
    <w:rsid w:val="00ED772C"/>
    <w:rsid w:val="00EE29AC"/>
    <w:rsid w:val="00EE640B"/>
    <w:rsid w:val="00EE7952"/>
    <w:rsid w:val="00EF098C"/>
    <w:rsid w:val="00EF0D69"/>
    <w:rsid w:val="00EF1E15"/>
    <w:rsid w:val="00EF790C"/>
    <w:rsid w:val="00F01315"/>
    <w:rsid w:val="00F020E7"/>
    <w:rsid w:val="00F0585F"/>
    <w:rsid w:val="00F06D82"/>
    <w:rsid w:val="00F1055D"/>
    <w:rsid w:val="00F12130"/>
    <w:rsid w:val="00F140C2"/>
    <w:rsid w:val="00F16F08"/>
    <w:rsid w:val="00F1799D"/>
    <w:rsid w:val="00F20AE5"/>
    <w:rsid w:val="00F20E6F"/>
    <w:rsid w:val="00F22E89"/>
    <w:rsid w:val="00F2524F"/>
    <w:rsid w:val="00F25CAD"/>
    <w:rsid w:val="00F329A9"/>
    <w:rsid w:val="00F3546A"/>
    <w:rsid w:val="00F36B64"/>
    <w:rsid w:val="00F42812"/>
    <w:rsid w:val="00F42942"/>
    <w:rsid w:val="00F43E3E"/>
    <w:rsid w:val="00F44388"/>
    <w:rsid w:val="00F45B77"/>
    <w:rsid w:val="00F463A2"/>
    <w:rsid w:val="00F52AC4"/>
    <w:rsid w:val="00F53873"/>
    <w:rsid w:val="00F54705"/>
    <w:rsid w:val="00F54BB4"/>
    <w:rsid w:val="00F56924"/>
    <w:rsid w:val="00F570E8"/>
    <w:rsid w:val="00F61AC2"/>
    <w:rsid w:val="00F636CF"/>
    <w:rsid w:val="00F66388"/>
    <w:rsid w:val="00F72E13"/>
    <w:rsid w:val="00F743EB"/>
    <w:rsid w:val="00F74DF2"/>
    <w:rsid w:val="00F75399"/>
    <w:rsid w:val="00F76B25"/>
    <w:rsid w:val="00F77232"/>
    <w:rsid w:val="00F77C9E"/>
    <w:rsid w:val="00F802AE"/>
    <w:rsid w:val="00F812FF"/>
    <w:rsid w:val="00F82CFA"/>
    <w:rsid w:val="00F834AC"/>
    <w:rsid w:val="00F84692"/>
    <w:rsid w:val="00F85A77"/>
    <w:rsid w:val="00F90041"/>
    <w:rsid w:val="00F90881"/>
    <w:rsid w:val="00F90D96"/>
    <w:rsid w:val="00F90DB4"/>
    <w:rsid w:val="00F910F1"/>
    <w:rsid w:val="00F94C94"/>
    <w:rsid w:val="00FA0ED5"/>
    <w:rsid w:val="00FA1061"/>
    <w:rsid w:val="00FA16BF"/>
    <w:rsid w:val="00FA2606"/>
    <w:rsid w:val="00FA2FDC"/>
    <w:rsid w:val="00FA4D7B"/>
    <w:rsid w:val="00FA6D48"/>
    <w:rsid w:val="00FA7038"/>
    <w:rsid w:val="00FA7DC9"/>
    <w:rsid w:val="00FB10BD"/>
    <w:rsid w:val="00FB246E"/>
    <w:rsid w:val="00FB2801"/>
    <w:rsid w:val="00FB2D5D"/>
    <w:rsid w:val="00FB323E"/>
    <w:rsid w:val="00FB7CCC"/>
    <w:rsid w:val="00FC45E5"/>
    <w:rsid w:val="00FC4A1A"/>
    <w:rsid w:val="00FC552A"/>
    <w:rsid w:val="00FC68E7"/>
    <w:rsid w:val="00FC6AD4"/>
    <w:rsid w:val="00FD0A3E"/>
    <w:rsid w:val="00FD4C64"/>
    <w:rsid w:val="00FD5271"/>
    <w:rsid w:val="00FD5874"/>
    <w:rsid w:val="00FE0820"/>
    <w:rsid w:val="00FE1BC6"/>
    <w:rsid w:val="00FE27CF"/>
    <w:rsid w:val="00FE40D8"/>
    <w:rsid w:val="00FE70DB"/>
    <w:rsid w:val="00FF0139"/>
    <w:rsid w:val="00FF11A9"/>
    <w:rsid w:val="00FF28C5"/>
    <w:rsid w:val="00FF2A0B"/>
    <w:rsid w:val="00FF6759"/>
    <w:rsid w:val="00FF6810"/>
    <w:rsid w:val="00FF7590"/>
    <w:rsid w:val="00FF79F7"/>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C93E53A"/>
  <w15:docId w15:val="{C1CA36C8-CE4C-4C7E-9B88-607A5F52B6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85D7A"/>
    <w:pPr>
      <w:spacing w:after="200" w:line="276" w:lineRule="auto"/>
    </w:pPr>
    <w:rPr>
      <w:lang w:val="es-E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apple-converted-space">
    <w:name w:val="apple-converted-space"/>
    <w:basedOn w:val="Tipodeletrapredefinidodopargrafo"/>
    <w:qFormat/>
    <w:rsid w:val="00785D7A"/>
  </w:style>
  <w:style w:type="character" w:styleId="Forte">
    <w:name w:val="Strong"/>
    <w:basedOn w:val="Tipodeletrapredefinidodopargrafo"/>
    <w:uiPriority w:val="22"/>
    <w:qFormat/>
    <w:rsid w:val="008D1EDA"/>
    <w:rPr>
      <w:b/>
      <w:bCs/>
    </w:rPr>
  </w:style>
  <w:style w:type="character" w:styleId="Hiperligao">
    <w:name w:val="Hyperlink"/>
    <w:basedOn w:val="Tipodeletrapredefinidodopargrafo"/>
    <w:uiPriority w:val="99"/>
    <w:unhideWhenUsed/>
    <w:rsid w:val="001B7CB1"/>
    <w:rPr>
      <w:color w:val="0563C1" w:themeColor="hyperlink"/>
      <w:u w:val="single"/>
    </w:rPr>
  </w:style>
  <w:style w:type="character" w:customStyle="1" w:styleId="MenoNoResolvida1">
    <w:name w:val="Menção Não Resolvida1"/>
    <w:basedOn w:val="Tipodeletrapredefinidodopargrafo"/>
    <w:uiPriority w:val="99"/>
    <w:semiHidden/>
    <w:unhideWhenUsed/>
    <w:rsid w:val="001B7CB1"/>
    <w:rPr>
      <w:color w:val="605E5C"/>
      <w:shd w:val="clear" w:color="auto" w:fill="E1DFDD"/>
    </w:rPr>
  </w:style>
  <w:style w:type="character" w:styleId="nfase">
    <w:name w:val="Emphasis"/>
    <w:basedOn w:val="Tipodeletrapredefinidodopargrafo"/>
    <w:uiPriority w:val="20"/>
    <w:qFormat/>
    <w:rsid w:val="00750812"/>
    <w:rPr>
      <w:i/>
      <w:iCs/>
    </w:rPr>
  </w:style>
  <w:style w:type="character" w:customStyle="1" w:styleId="ref-lnk">
    <w:name w:val="ref-lnk"/>
    <w:basedOn w:val="Tipodeletrapredefinidodopargrafo"/>
    <w:rsid w:val="003F2FD4"/>
  </w:style>
  <w:style w:type="character" w:styleId="Hiperligaovisitada">
    <w:name w:val="FollowedHyperlink"/>
    <w:basedOn w:val="Tipodeletrapredefinidodopargrafo"/>
    <w:uiPriority w:val="99"/>
    <w:semiHidden/>
    <w:unhideWhenUsed/>
    <w:rsid w:val="003F2FD4"/>
    <w:rPr>
      <w:color w:val="954F72" w:themeColor="followedHyperlink"/>
      <w:u w:val="single"/>
    </w:rPr>
  </w:style>
  <w:style w:type="paragraph" w:styleId="Cabealho">
    <w:name w:val="header"/>
    <w:basedOn w:val="Normal"/>
    <w:link w:val="CabealhoCarter"/>
    <w:uiPriority w:val="99"/>
    <w:unhideWhenUsed/>
    <w:rsid w:val="002D4997"/>
    <w:pPr>
      <w:tabs>
        <w:tab w:val="center" w:pos="4252"/>
        <w:tab w:val="right" w:pos="8504"/>
      </w:tabs>
      <w:spacing w:after="0" w:line="240" w:lineRule="auto"/>
    </w:pPr>
  </w:style>
  <w:style w:type="character" w:customStyle="1" w:styleId="CabealhoCarter">
    <w:name w:val="Cabeçalho Caráter"/>
    <w:basedOn w:val="Tipodeletrapredefinidodopargrafo"/>
    <w:link w:val="Cabealho"/>
    <w:uiPriority w:val="99"/>
    <w:rsid w:val="002D4997"/>
    <w:rPr>
      <w:lang w:val="es-ES"/>
    </w:rPr>
  </w:style>
  <w:style w:type="paragraph" w:styleId="Rodap">
    <w:name w:val="footer"/>
    <w:basedOn w:val="Normal"/>
    <w:link w:val="RodapCarter"/>
    <w:uiPriority w:val="99"/>
    <w:unhideWhenUsed/>
    <w:rsid w:val="002D4997"/>
    <w:pPr>
      <w:tabs>
        <w:tab w:val="center" w:pos="4252"/>
        <w:tab w:val="right" w:pos="8504"/>
      </w:tabs>
      <w:spacing w:after="0" w:line="240" w:lineRule="auto"/>
    </w:pPr>
  </w:style>
  <w:style w:type="character" w:customStyle="1" w:styleId="RodapCarter">
    <w:name w:val="Rodapé Caráter"/>
    <w:basedOn w:val="Tipodeletrapredefinidodopargrafo"/>
    <w:link w:val="Rodap"/>
    <w:uiPriority w:val="99"/>
    <w:rsid w:val="002D4997"/>
    <w:rPr>
      <w:lang w:val="es-ES"/>
    </w:rPr>
  </w:style>
  <w:style w:type="character" w:styleId="Refdecomentrio">
    <w:name w:val="annotation reference"/>
    <w:basedOn w:val="Tipodeletrapredefinidodopargrafo"/>
    <w:uiPriority w:val="99"/>
    <w:semiHidden/>
    <w:unhideWhenUsed/>
    <w:rsid w:val="006F3E61"/>
    <w:rPr>
      <w:sz w:val="16"/>
      <w:szCs w:val="16"/>
    </w:rPr>
  </w:style>
  <w:style w:type="paragraph" w:styleId="Textodecomentrio">
    <w:name w:val="annotation text"/>
    <w:basedOn w:val="Normal"/>
    <w:link w:val="TextodecomentrioCarter"/>
    <w:uiPriority w:val="99"/>
    <w:unhideWhenUsed/>
    <w:rsid w:val="006F3E61"/>
    <w:pPr>
      <w:spacing w:line="240" w:lineRule="auto"/>
    </w:pPr>
    <w:rPr>
      <w:sz w:val="20"/>
      <w:szCs w:val="20"/>
    </w:rPr>
  </w:style>
  <w:style w:type="character" w:customStyle="1" w:styleId="TextodecomentrioCarter">
    <w:name w:val="Texto de comentário Caráter"/>
    <w:basedOn w:val="Tipodeletrapredefinidodopargrafo"/>
    <w:link w:val="Textodecomentrio"/>
    <w:uiPriority w:val="99"/>
    <w:rsid w:val="006F3E61"/>
    <w:rPr>
      <w:sz w:val="20"/>
      <w:szCs w:val="20"/>
      <w:lang w:val="es-ES"/>
    </w:rPr>
  </w:style>
  <w:style w:type="paragraph" w:styleId="Assuntodecomentrio">
    <w:name w:val="annotation subject"/>
    <w:basedOn w:val="Textodecomentrio"/>
    <w:next w:val="Textodecomentrio"/>
    <w:link w:val="AssuntodecomentrioCarter"/>
    <w:uiPriority w:val="99"/>
    <w:semiHidden/>
    <w:unhideWhenUsed/>
    <w:rsid w:val="006F3E61"/>
    <w:rPr>
      <w:b/>
      <w:bCs/>
    </w:rPr>
  </w:style>
  <w:style w:type="character" w:customStyle="1" w:styleId="AssuntodecomentrioCarter">
    <w:name w:val="Assunto de comentário Caráter"/>
    <w:basedOn w:val="TextodecomentrioCarter"/>
    <w:link w:val="Assuntodecomentrio"/>
    <w:uiPriority w:val="99"/>
    <w:semiHidden/>
    <w:rsid w:val="006F3E61"/>
    <w:rPr>
      <w:b/>
      <w:bCs/>
      <w:sz w:val="20"/>
      <w:szCs w:val="20"/>
      <w:lang w:val="es-ES"/>
    </w:rPr>
  </w:style>
  <w:style w:type="paragraph" w:styleId="PargrafodaLista">
    <w:name w:val="List Paragraph"/>
    <w:basedOn w:val="Normal"/>
    <w:uiPriority w:val="34"/>
    <w:qFormat/>
    <w:rsid w:val="00A961F9"/>
    <w:pPr>
      <w:ind w:left="720"/>
      <w:contextualSpacing/>
    </w:pPr>
  </w:style>
  <w:style w:type="paragraph" w:styleId="Textodebalo">
    <w:name w:val="Balloon Text"/>
    <w:basedOn w:val="Normal"/>
    <w:link w:val="TextodebaloCarter"/>
    <w:uiPriority w:val="99"/>
    <w:semiHidden/>
    <w:unhideWhenUsed/>
    <w:rsid w:val="001C1AC0"/>
    <w:pPr>
      <w:spacing w:after="0" w:line="240" w:lineRule="auto"/>
    </w:pPr>
    <w:rPr>
      <w:rFonts w:ascii="Segoe UI" w:hAnsi="Segoe UI" w:cs="Segoe UI"/>
      <w:sz w:val="18"/>
      <w:szCs w:val="18"/>
    </w:rPr>
  </w:style>
  <w:style w:type="character" w:customStyle="1" w:styleId="TextodebaloCarter">
    <w:name w:val="Texto de balão Caráter"/>
    <w:basedOn w:val="Tipodeletrapredefinidodopargrafo"/>
    <w:link w:val="Textodebalo"/>
    <w:uiPriority w:val="99"/>
    <w:semiHidden/>
    <w:rsid w:val="001C1AC0"/>
    <w:rPr>
      <w:rFonts w:ascii="Segoe UI" w:hAnsi="Segoe UI" w:cs="Segoe UI"/>
      <w:sz w:val="18"/>
      <w:szCs w:val="18"/>
      <w:lang w:val="es-ES"/>
    </w:rPr>
  </w:style>
  <w:style w:type="paragraph" w:customStyle="1" w:styleId="FirstParagraph">
    <w:name w:val="First Paragraph"/>
    <w:basedOn w:val="Corpodetexto"/>
    <w:next w:val="Corpodetexto"/>
    <w:qFormat/>
    <w:rsid w:val="000945F5"/>
    <w:pPr>
      <w:spacing w:before="180" w:after="180" w:line="240" w:lineRule="auto"/>
    </w:pPr>
    <w:rPr>
      <w:szCs w:val="24"/>
      <w:lang w:val="en-US"/>
    </w:rPr>
  </w:style>
  <w:style w:type="paragraph" w:styleId="Corpodetexto">
    <w:name w:val="Body Text"/>
    <w:basedOn w:val="Normal"/>
    <w:link w:val="CorpodetextoCarter"/>
    <w:uiPriority w:val="99"/>
    <w:semiHidden/>
    <w:unhideWhenUsed/>
    <w:rsid w:val="000945F5"/>
    <w:pPr>
      <w:spacing w:after="120"/>
    </w:pPr>
  </w:style>
  <w:style w:type="character" w:customStyle="1" w:styleId="CorpodetextoCarter">
    <w:name w:val="Corpo de texto Caráter"/>
    <w:basedOn w:val="Tipodeletrapredefinidodopargrafo"/>
    <w:link w:val="Corpodetexto"/>
    <w:uiPriority w:val="99"/>
    <w:semiHidden/>
    <w:rsid w:val="000945F5"/>
    <w:rPr>
      <w:lang w:val="es-ES"/>
    </w:rPr>
  </w:style>
  <w:style w:type="character" w:styleId="Nmerodelinha">
    <w:name w:val="line number"/>
    <w:basedOn w:val="Tipodeletrapredefinidodopargrafo"/>
    <w:uiPriority w:val="99"/>
    <w:semiHidden/>
    <w:unhideWhenUsed/>
    <w:rsid w:val="009F230C"/>
  </w:style>
  <w:style w:type="character" w:customStyle="1" w:styleId="UnresolvedMention">
    <w:name w:val="Unresolved Mention"/>
    <w:basedOn w:val="Tipodeletrapredefinidodopargrafo"/>
    <w:uiPriority w:val="99"/>
    <w:semiHidden/>
    <w:unhideWhenUsed/>
    <w:rsid w:val="00D744A3"/>
    <w:rPr>
      <w:color w:val="605E5C"/>
      <w:shd w:val="clear" w:color="auto" w:fill="E1DFDD"/>
    </w:rPr>
  </w:style>
  <w:style w:type="paragraph" w:styleId="Reviso">
    <w:name w:val="Revision"/>
    <w:hidden/>
    <w:uiPriority w:val="99"/>
    <w:semiHidden/>
    <w:rsid w:val="00AC2BB2"/>
    <w:pPr>
      <w:spacing w:after="0" w:line="240" w:lineRule="auto"/>
    </w:pPr>
    <w:rPr>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193215">
      <w:bodyDiv w:val="1"/>
      <w:marLeft w:val="0"/>
      <w:marRight w:val="0"/>
      <w:marTop w:val="0"/>
      <w:marBottom w:val="0"/>
      <w:divBdr>
        <w:top w:val="none" w:sz="0" w:space="0" w:color="auto"/>
        <w:left w:val="none" w:sz="0" w:space="0" w:color="auto"/>
        <w:bottom w:val="none" w:sz="0" w:space="0" w:color="auto"/>
        <w:right w:val="none" w:sz="0" w:space="0" w:color="auto"/>
      </w:divBdr>
    </w:div>
    <w:div w:id="77096084">
      <w:bodyDiv w:val="1"/>
      <w:marLeft w:val="0"/>
      <w:marRight w:val="0"/>
      <w:marTop w:val="0"/>
      <w:marBottom w:val="0"/>
      <w:divBdr>
        <w:top w:val="none" w:sz="0" w:space="0" w:color="auto"/>
        <w:left w:val="none" w:sz="0" w:space="0" w:color="auto"/>
        <w:bottom w:val="none" w:sz="0" w:space="0" w:color="auto"/>
        <w:right w:val="none" w:sz="0" w:space="0" w:color="auto"/>
      </w:divBdr>
    </w:div>
    <w:div w:id="253172817">
      <w:bodyDiv w:val="1"/>
      <w:marLeft w:val="0"/>
      <w:marRight w:val="0"/>
      <w:marTop w:val="0"/>
      <w:marBottom w:val="0"/>
      <w:divBdr>
        <w:top w:val="none" w:sz="0" w:space="0" w:color="auto"/>
        <w:left w:val="none" w:sz="0" w:space="0" w:color="auto"/>
        <w:bottom w:val="none" w:sz="0" w:space="0" w:color="auto"/>
        <w:right w:val="none" w:sz="0" w:space="0" w:color="auto"/>
      </w:divBdr>
    </w:div>
    <w:div w:id="415368150">
      <w:bodyDiv w:val="1"/>
      <w:marLeft w:val="0"/>
      <w:marRight w:val="0"/>
      <w:marTop w:val="0"/>
      <w:marBottom w:val="0"/>
      <w:divBdr>
        <w:top w:val="none" w:sz="0" w:space="0" w:color="auto"/>
        <w:left w:val="none" w:sz="0" w:space="0" w:color="auto"/>
        <w:bottom w:val="none" w:sz="0" w:space="0" w:color="auto"/>
        <w:right w:val="none" w:sz="0" w:space="0" w:color="auto"/>
      </w:divBdr>
    </w:div>
    <w:div w:id="491676656">
      <w:bodyDiv w:val="1"/>
      <w:marLeft w:val="0"/>
      <w:marRight w:val="0"/>
      <w:marTop w:val="0"/>
      <w:marBottom w:val="0"/>
      <w:divBdr>
        <w:top w:val="none" w:sz="0" w:space="0" w:color="auto"/>
        <w:left w:val="none" w:sz="0" w:space="0" w:color="auto"/>
        <w:bottom w:val="none" w:sz="0" w:space="0" w:color="auto"/>
        <w:right w:val="none" w:sz="0" w:space="0" w:color="auto"/>
      </w:divBdr>
    </w:div>
    <w:div w:id="521822671">
      <w:bodyDiv w:val="1"/>
      <w:marLeft w:val="0"/>
      <w:marRight w:val="0"/>
      <w:marTop w:val="0"/>
      <w:marBottom w:val="0"/>
      <w:divBdr>
        <w:top w:val="none" w:sz="0" w:space="0" w:color="auto"/>
        <w:left w:val="none" w:sz="0" w:space="0" w:color="auto"/>
        <w:bottom w:val="none" w:sz="0" w:space="0" w:color="auto"/>
        <w:right w:val="none" w:sz="0" w:space="0" w:color="auto"/>
      </w:divBdr>
    </w:div>
    <w:div w:id="554976562">
      <w:bodyDiv w:val="1"/>
      <w:marLeft w:val="0"/>
      <w:marRight w:val="0"/>
      <w:marTop w:val="0"/>
      <w:marBottom w:val="0"/>
      <w:divBdr>
        <w:top w:val="none" w:sz="0" w:space="0" w:color="auto"/>
        <w:left w:val="none" w:sz="0" w:space="0" w:color="auto"/>
        <w:bottom w:val="none" w:sz="0" w:space="0" w:color="auto"/>
        <w:right w:val="none" w:sz="0" w:space="0" w:color="auto"/>
      </w:divBdr>
    </w:div>
    <w:div w:id="568618995">
      <w:bodyDiv w:val="1"/>
      <w:marLeft w:val="0"/>
      <w:marRight w:val="0"/>
      <w:marTop w:val="0"/>
      <w:marBottom w:val="0"/>
      <w:divBdr>
        <w:top w:val="none" w:sz="0" w:space="0" w:color="auto"/>
        <w:left w:val="none" w:sz="0" w:space="0" w:color="auto"/>
        <w:bottom w:val="none" w:sz="0" w:space="0" w:color="auto"/>
        <w:right w:val="none" w:sz="0" w:space="0" w:color="auto"/>
      </w:divBdr>
    </w:div>
    <w:div w:id="739211415">
      <w:bodyDiv w:val="1"/>
      <w:marLeft w:val="0"/>
      <w:marRight w:val="0"/>
      <w:marTop w:val="0"/>
      <w:marBottom w:val="0"/>
      <w:divBdr>
        <w:top w:val="none" w:sz="0" w:space="0" w:color="auto"/>
        <w:left w:val="none" w:sz="0" w:space="0" w:color="auto"/>
        <w:bottom w:val="none" w:sz="0" w:space="0" w:color="auto"/>
        <w:right w:val="none" w:sz="0" w:space="0" w:color="auto"/>
      </w:divBdr>
    </w:div>
    <w:div w:id="785585125">
      <w:bodyDiv w:val="1"/>
      <w:marLeft w:val="0"/>
      <w:marRight w:val="0"/>
      <w:marTop w:val="0"/>
      <w:marBottom w:val="0"/>
      <w:divBdr>
        <w:top w:val="none" w:sz="0" w:space="0" w:color="auto"/>
        <w:left w:val="none" w:sz="0" w:space="0" w:color="auto"/>
        <w:bottom w:val="none" w:sz="0" w:space="0" w:color="auto"/>
        <w:right w:val="none" w:sz="0" w:space="0" w:color="auto"/>
      </w:divBdr>
    </w:div>
    <w:div w:id="812019412">
      <w:bodyDiv w:val="1"/>
      <w:marLeft w:val="0"/>
      <w:marRight w:val="0"/>
      <w:marTop w:val="0"/>
      <w:marBottom w:val="0"/>
      <w:divBdr>
        <w:top w:val="none" w:sz="0" w:space="0" w:color="auto"/>
        <w:left w:val="none" w:sz="0" w:space="0" w:color="auto"/>
        <w:bottom w:val="none" w:sz="0" w:space="0" w:color="auto"/>
        <w:right w:val="none" w:sz="0" w:space="0" w:color="auto"/>
      </w:divBdr>
    </w:div>
    <w:div w:id="959799978">
      <w:bodyDiv w:val="1"/>
      <w:marLeft w:val="0"/>
      <w:marRight w:val="0"/>
      <w:marTop w:val="0"/>
      <w:marBottom w:val="0"/>
      <w:divBdr>
        <w:top w:val="none" w:sz="0" w:space="0" w:color="auto"/>
        <w:left w:val="none" w:sz="0" w:space="0" w:color="auto"/>
        <w:bottom w:val="none" w:sz="0" w:space="0" w:color="auto"/>
        <w:right w:val="none" w:sz="0" w:space="0" w:color="auto"/>
      </w:divBdr>
    </w:div>
    <w:div w:id="1000500077">
      <w:bodyDiv w:val="1"/>
      <w:marLeft w:val="0"/>
      <w:marRight w:val="0"/>
      <w:marTop w:val="0"/>
      <w:marBottom w:val="0"/>
      <w:divBdr>
        <w:top w:val="none" w:sz="0" w:space="0" w:color="auto"/>
        <w:left w:val="none" w:sz="0" w:space="0" w:color="auto"/>
        <w:bottom w:val="none" w:sz="0" w:space="0" w:color="auto"/>
        <w:right w:val="none" w:sz="0" w:space="0" w:color="auto"/>
      </w:divBdr>
    </w:div>
    <w:div w:id="1059980330">
      <w:bodyDiv w:val="1"/>
      <w:marLeft w:val="0"/>
      <w:marRight w:val="0"/>
      <w:marTop w:val="0"/>
      <w:marBottom w:val="0"/>
      <w:divBdr>
        <w:top w:val="none" w:sz="0" w:space="0" w:color="auto"/>
        <w:left w:val="none" w:sz="0" w:space="0" w:color="auto"/>
        <w:bottom w:val="none" w:sz="0" w:space="0" w:color="auto"/>
        <w:right w:val="none" w:sz="0" w:space="0" w:color="auto"/>
      </w:divBdr>
    </w:div>
    <w:div w:id="1086534251">
      <w:bodyDiv w:val="1"/>
      <w:marLeft w:val="0"/>
      <w:marRight w:val="0"/>
      <w:marTop w:val="0"/>
      <w:marBottom w:val="0"/>
      <w:divBdr>
        <w:top w:val="none" w:sz="0" w:space="0" w:color="auto"/>
        <w:left w:val="none" w:sz="0" w:space="0" w:color="auto"/>
        <w:bottom w:val="none" w:sz="0" w:space="0" w:color="auto"/>
        <w:right w:val="none" w:sz="0" w:space="0" w:color="auto"/>
      </w:divBdr>
    </w:div>
    <w:div w:id="1136995579">
      <w:bodyDiv w:val="1"/>
      <w:marLeft w:val="0"/>
      <w:marRight w:val="0"/>
      <w:marTop w:val="0"/>
      <w:marBottom w:val="0"/>
      <w:divBdr>
        <w:top w:val="none" w:sz="0" w:space="0" w:color="auto"/>
        <w:left w:val="none" w:sz="0" w:space="0" w:color="auto"/>
        <w:bottom w:val="none" w:sz="0" w:space="0" w:color="auto"/>
        <w:right w:val="none" w:sz="0" w:space="0" w:color="auto"/>
      </w:divBdr>
    </w:div>
    <w:div w:id="1163006681">
      <w:bodyDiv w:val="1"/>
      <w:marLeft w:val="0"/>
      <w:marRight w:val="0"/>
      <w:marTop w:val="0"/>
      <w:marBottom w:val="0"/>
      <w:divBdr>
        <w:top w:val="none" w:sz="0" w:space="0" w:color="auto"/>
        <w:left w:val="none" w:sz="0" w:space="0" w:color="auto"/>
        <w:bottom w:val="none" w:sz="0" w:space="0" w:color="auto"/>
        <w:right w:val="none" w:sz="0" w:space="0" w:color="auto"/>
      </w:divBdr>
    </w:div>
    <w:div w:id="1203712591">
      <w:bodyDiv w:val="1"/>
      <w:marLeft w:val="0"/>
      <w:marRight w:val="0"/>
      <w:marTop w:val="0"/>
      <w:marBottom w:val="0"/>
      <w:divBdr>
        <w:top w:val="none" w:sz="0" w:space="0" w:color="auto"/>
        <w:left w:val="none" w:sz="0" w:space="0" w:color="auto"/>
        <w:bottom w:val="none" w:sz="0" w:space="0" w:color="auto"/>
        <w:right w:val="none" w:sz="0" w:space="0" w:color="auto"/>
      </w:divBdr>
    </w:div>
    <w:div w:id="1237744261">
      <w:bodyDiv w:val="1"/>
      <w:marLeft w:val="0"/>
      <w:marRight w:val="0"/>
      <w:marTop w:val="0"/>
      <w:marBottom w:val="0"/>
      <w:divBdr>
        <w:top w:val="none" w:sz="0" w:space="0" w:color="auto"/>
        <w:left w:val="none" w:sz="0" w:space="0" w:color="auto"/>
        <w:bottom w:val="none" w:sz="0" w:space="0" w:color="auto"/>
        <w:right w:val="none" w:sz="0" w:space="0" w:color="auto"/>
      </w:divBdr>
    </w:div>
    <w:div w:id="1237859772">
      <w:bodyDiv w:val="1"/>
      <w:marLeft w:val="0"/>
      <w:marRight w:val="0"/>
      <w:marTop w:val="0"/>
      <w:marBottom w:val="0"/>
      <w:divBdr>
        <w:top w:val="none" w:sz="0" w:space="0" w:color="auto"/>
        <w:left w:val="none" w:sz="0" w:space="0" w:color="auto"/>
        <w:bottom w:val="none" w:sz="0" w:space="0" w:color="auto"/>
        <w:right w:val="none" w:sz="0" w:space="0" w:color="auto"/>
      </w:divBdr>
    </w:div>
    <w:div w:id="1284800064">
      <w:bodyDiv w:val="1"/>
      <w:marLeft w:val="0"/>
      <w:marRight w:val="0"/>
      <w:marTop w:val="0"/>
      <w:marBottom w:val="0"/>
      <w:divBdr>
        <w:top w:val="none" w:sz="0" w:space="0" w:color="auto"/>
        <w:left w:val="none" w:sz="0" w:space="0" w:color="auto"/>
        <w:bottom w:val="none" w:sz="0" w:space="0" w:color="auto"/>
        <w:right w:val="none" w:sz="0" w:space="0" w:color="auto"/>
      </w:divBdr>
    </w:div>
    <w:div w:id="1291790556">
      <w:bodyDiv w:val="1"/>
      <w:marLeft w:val="0"/>
      <w:marRight w:val="0"/>
      <w:marTop w:val="0"/>
      <w:marBottom w:val="0"/>
      <w:divBdr>
        <w:top w:val="none" w:sz="0" w:space="0" w:color="auto"/>
        <w:left w:val="none" w:sz="0" w:space="0" w:color="auto"/>
        <w:bottom w:val="none" w:sz="0" w:space="0" w:color="auto"/>
        <w:right w:val="none" w:sz="0" w:space="0" w:color="auto"/>
      </w:divBdr>
    </w:div>
    <w:div w:id="1435051066">
      <w:bodyDiv w:val="1"/>
      <w:marLeft w:val="0"/>
      <w:marRight w:val="0"/>
      <w:marTop w:val="0"/>
      <w:marBottom w:val="0"/>
      <w:divBdr>
        <w:top w:val="none" w:sz="0" w:space="0" w:color="auto"/>
        <w:left w:val="none" w:sz="0" w:space="0" w:color="auto"/>
        <w:bottom w:val="none" w:sz="0" w:space="0" w:color="auto"/>
        <w:right w:val="none" w:sz="0" w:space="0" w:color="auto"/>
      </w:divBdr>
    </w:div>
    <w:div w:id="1461731395">
      <w:bodyDiv w:val="1"/>
      <w:marLeft w:val="0"/>
      <w:marRight w:val="0"/>
      <w:marTop w:val="0"/>
      <w:marBottom w:val="0"/>
      <w:divBdr>
        <w:top w:val="none" w:sz="0" w:space="0" w:color="auto"/>
        <w:left w:val="none" w:sz="0" w:space="0" w:color="auto"/>
        <w:bottom w:val="none" w:sz="0" w:space="0" w:color="auto"/>
        <w:right w:val="none" w:sz="0" w:space="0" w:color="auto"/>
      </w:divBdr>
    </w:div>
    <w:div w:id="1501848378">
      <w:bodyDiv w:val="1"/>
      <w:marLeft w:val="0"/>
      <w:marRight w:val="0"/>
      <w:marTop w:val="0"/>
      <w:marBottom w:val="0"/>
      <w:divBdr>
        <w:top w:val="none" w:sz="0" w:space="0" w:color="auto"/>
        <w:left w:val="none" w:sz="0" w:space="0" w:color="auto"/>
        <w:bottom w:val="none" w:sz="0" w:space="0" w:color="auto"/>
        <w:right w:val="none" w:sz="0" w:space="0" w:color="auto"/>
      </w:divBdr>
    </w:div>
    <w:div w:id="1581257987">
      <w:bodyDiv w:val="1"/>
      <w:marLeft w:val="0"/>
      <w:marRight w:val="0"/>
      <w:marTop w:val="0"/>
      <w:marBottom w:val="0"/>
      <w:divBdr>
        <w:top w:val="none" w:sz="0" w:space="0" w:color="auto"/>
        <w:left w:val="none" w:sz="0" w:space="0" w:color="auto"/>
        <w:bottom w:val="none" w:sz="0" w:space="0" w:color="auto"/>
        <w:right w:val="none" w:sz="0" w:space="0" w:color="auto"/>
      </w:divBdr>
    </w:div>
    <w:div w:id="1755320994">
      <w:bodyDiv w:val="1"/>
      <w:marLeft w:val="0"/>
      <w:marRight w:val="0"/>
      <w:marTop w:val="0"/>
      <w:marBottom w:val="0"/>
      <w:divBdr>
        <w:top w:val="none" w:sz="0" w:space="0" w:color="auto"/>
        <w:left w:val="none" w:sz="0" w:space="0" w:color="auto"/>
        <w:bottom w:val="none" w:sz="0" w:space="0" w:color="auto"/>
        <w:right w:val="none" w:sz="0" w:space="0" w:color="auto"/>
      </w:divBdr>
      <w:divsChild>
        <w:div w:id="1971669900">
          <w:marLeft w:val="0"/>
          <w:marRight w:val="0"/>
          <w:marTop w:val="34"/>
          <w:marBottom w:val="34"/>
          <w:divBdr>
            <w:top w:val="none" w:sz="0" w:space="0" w:color="auto"/>
            <w:left w:val="none" w:sz="0" w:space="0" w:color="auto"/>
            <w:bottom w:val="none" w:sz="0" w:space="0" w:color="auto"/>
            <w:right w:val="none" w:sz="0" w:space="0" w:color="auto"/>
          </w:divBdr>
          <w:divsChild>
            <w:div w:id="1239175571">
              <w:marLeft w:val="0"/>
              <w:marRight w:val="0"/>
              <w:marTop w:val="0"/>
              <w:marBottom w:val="0"/>
              <w:divBdr>
                <w:top w:val="none" w:sz="0" w:space="0" w:color="auto"/>
                <w:left w:val="none" w:sz="0" w:space="0" w:color="auto"/>
                <w:bottom w:val="none" w:sz="0" w:space="0" w:color="auto"/>
                <w:right w:val="none" w:sz="0" w:space="0" w:color="auto"/>
              </w:divBdr>
            </w:div>
            <w:div w:id="760294746">
              <w:marLeft w:val="0"/>
              <w:marRight w:val="0"/>
              <w:marTop w:val="0"/>
              <w:marBottom w:val="0"/>
              <w:divBdr>
                <w:top w:val="none" w:sz="0" w:space="0" w:color="auto"/>
                <w:left w:val="none" w:sz="0" w:space="0" w:color="auto"/>
                <w:bottom w:val="none" w:sz="0" w:space="0" w:color="auto"/>
                <w:right w:val="none" w:sz="0" w:space="0" w:color="auto"/>
              </w:divBdr>
              <w:divsChild>
                <w:div w:id="594361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8048950">
      <w:bodyDiv w:val="1"/>
      <w:marLeft w:val="0"/>
      <w:marRight w:val="0"/>
      <w:marTop w:val="0"/>
      <w:marBottom w:val="0"/>
      <w:divBdr>
        <w:top w:val="none" w:sz="0" w:space="0" w:color="auto"/>
        <w:left w:val="none" w:sz="0" w:space="0" w:color="auto"/>
        <w:bottom w:val="none" w:sz="0" w:space="0" w:color="auto"/>
        <w:right w:val="none" w:sz="0" w:space="0" w:color="auto"/>
      </w:divBdr>
    </w:div>
    <w:div w:id="2033796454">
      <w:bodyDiv w:val="1"/>
      <w:marLeft w:val="0"/>
      <w:marRight w:val="0"/>
      <w:marTop w:val="0"/>
      <w:marBottom w:val="0"/>
      <w:divBdr>
        <w:top w:val="none" w:sz="0" w:space="0" w:color="auto"/>
        <w:left w:val="none" w:sz="0" w:space="0" w:color="auto"/>
        <w:bottom w:val="none" w:sz="0" w:space="0" w:color="auto"/>
        <w:right w:val="none" w:sz="0" w:space="0" w:color="auto"/>
      </w:divBdr>
    </w:div>
    <w:div w:id="2096585463">
      <w:bodyDiv w:val="1"/>
      <w:marLeft w:val="0"/>
      <w:marRight w:val="0"/>
      <w:marTop w:val="0"/>
      <w:marBottom w:val="0"/>
      <w:divBdr>
        <w:top w:val="none" w:sz="0" w:space="0" w:color="auto"/>
        <w:left w:val="none" w:sz="0" w:space="0" w:color="auto"/>
        <w:bottom w:val="none" w:sz="0" w:space="0" w:color="auto"/>
        <w:right w:val="none" w:sz="0" w:space="0" w:color="auto"/>
      </w:divBdr>
    </w:div>
    <w:div w:id="21258785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nogales@isa.ulisboa.p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emf"/><Relationship Id="rId14" Type="http://schemas.microsoft.com/office/2011/relationships/people" Target="peop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554290-8924-45B0-AFC7-2F8B95D463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21</Pages>
  <Words>54442</Words>
  <Characters>293987</Characters>
  <Application>Microsoft Office Word</Application>
  <DocSecurity>0</DocSecurity>
  <Lines>2449</Lines>
  <Paragraphs>695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347734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28072015</dc:creator>
  <cp:keywords/>
  <dc:description/>
  <cp:lastModifiedBy>Margarida Galamba</cp:lastModifiedBy>
  <cp:revision>2</cp:revision>
  <cp:lastPrinted>2021-04-01T09:06:00Z</cp:lastPrinted>
  <dcterms:created xsi:type="dcterms:W3CDTF">2021-09-06T08:46:00Z</dcterms:created>
  <dcterms:modified xsi:type="dcterms:W3CDTF">2021-09-06T08:46:00Z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http://www.zotero.org/styles/agriculture-ecosystems-and-environment</vt:lpwstr>
  </property>
  <property fmtid="{D5CDD505-2E9C-101B-9397-08002B2CF9AE}" pid="3" name="Mendeley Recent Style Name 0_1">
    <vt:lpwstr>Agriculture, Ecosystems and Environment</vt:lpwstr>
  </property>
  <property fmtid="{D5CDD505-2E9C-101B-9397-08002B2CF9AE}" pid="4" name="Mendeley Recent Style Id 1_1">
    <vt:lpwstr>http://www.zotero.org/styles/american-medical-association</vt:lpwstr>
  </property>
  <property fmtid="{D5CDD505-2E9C-101B-9397-08002B2CF9AE}" pid="5" name="Mendeley Recent Style Name 1_1">
    <vt:lpwstr>American Medical Association 11th edition</vt:lpwstr>
  </property>
  <property fmtid="{D5CDD505-2E9C-101B-9397-08002B2CF9AE}" pid="6" name="Mendeley Recent Style Id 2_1">
    <vt:lpwstr>http://www.zotero.org/styles/american-political-science-association</vt:lpwstr>
  </property>
  <property fmtid="{D5CDD505-2E9C-101B-9397-08002B2CF9AE}" pid="7" name="Mendeley Recent Style Name 2_1">
    <vt:lpwstr>American Political Science Association</vt:lpwstr>
  </property>
  <property fmtid="{D5CDD505-2E9C-101B-9397-08002B2CF9AE}" pid="8" name="Mendeley Recent Style Id 3_1">
    <vt:lpwstr>http://www.zotero.org/styles/apa</vt:lpwstr>
  </property>
  <property fmtid="{D5CDD505-2E9C-101B-9397-08002B2CF9AE}" pid="9" name="Mendeley Recent Style Name 3_1">
    <vt:lpwstr>American Psychological Association 7th edition</vt:lpwstr>
  </property>
  <property fmtid="{D5CDD505-2E9C-101B-9397-08002B2CF9AE}" pid="10" name="Mendeley Recent Style Id 4_1">
    <vt:lpwstr>http://www.zotero.org/styles/american-sociological-association</vt:lpwstr>
  </property>
  <property fmtid="{D5CDD505-2E9C-101B-9397-08002B2CF9AE}" pid="11" name="Mendeley Recent Style Name 4_1">
    <vt:lpwstr>American Sociological Association 6th edition</vt:lpwstr>
  </property>
  <property fmtid="{D5CDD505-2E9C-101B-9397-08002B2CF9AE}" pid="12" name="Mendeley Recent Style Id 5_1">
    <vt:lpwstr>http://www.zotero.org/styles/chicago-author-date</vt:lpwstr>
  </property>
  <property fmtid="{D5CDD505-2E9C-101B-9397-08002B2CF9AE}" pid="13" name="Mendeley Recent Style Name 5_1">
    <vt:lpwstr>Chicago Manual of Style 17th edition (author-date)</vt:lpwstr>
  </property>
  <property fmtid="{D5CDD505-2E9C-101B-9397-08002B2CF9AE}" pid="14" name="Mendeley Recent Style Id 6_1">
    <vt:lpwstr>http://www.zotero.org/styles/frontiers-in-plant-science</vt:lpwstr>
  </property>
  <property fmtid="{D5CDD505-2E9C-101B-9397-08002B2CF9AE}" pid="15" name="Mendeley Recent Style Name 6_1">
    <vt:lpwstr>Frontiers in Plant Science</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http://www.zotero.org/styles/journal-of-soil-science-and-plant-nutrition</vt:lpwstr>
  </property>
  <property fmtid="{D5CDD505-2E9C-101B-9397-08002B2CF9AE}" pid="19" name="Mendeley Recent Style Name 8_1">
    <vt:lpwstr>Journal of Soil Science and Plant Nutrition</vt:lpwstr>
  </property>
  <property fmtid="{D5CDD505-2E9C-101B-9397-08002B2CF9AE}" pid="20" name="Mendeley Recent Style Id 9_1">
    <vt:lpwstr>http://www.zotero.org/styles/rhizosphere</vt:lpwstr>
  </property>
  <property fmtid="{D5CDD505-2E9C-101B-9397-08002B2CF9AE}" pid="21" name="Mendeley Recent Style Name 9_1">
    <vt:lpwstr>Rhizosphere</vt:lpwstr>
  </property>
  <property fmtid="{D5CDD505-2E9C-101B-9397-08002B2CF9AE}" pid="22" name="Mendeley Document_1">
    <vt:lpwstr>True</vt:lpwstr>
  </property>
  <property fmtid="{D5CDD505-2E9C-101B-9397-08002B2CF9AE}" pid="23" name="Mendeley Unique User Id_1">
    <vt:lpwstr>cffd0c23-620e-3abd-bab1-2c5f25fb77ff</vt:lpwstr>
  </property>
  <property fmtid="{D5CDD505-2E9C-101B-9397-08002B2CF9AE}" pid="24" name="Mendeley Citation Style_1">
    <vt:lpwstr>http://www.zotero.org/styles/rhizosphere</vt:lpwstr>
  </property>
</Properties>
</file>