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497" w:rsidRDefault="00F1101E" w:rsidP="00A6330F">
      <w:pPr>
        <w:pStyle w:val="PargrafodaLista"/>
        <w:numPr>
          <w:ilvl w:val="0"/>
          <w:numId w:val="1"/>
        </w:numPr>
        <w:tabs>
          <w:tab w:val="left" w:pos="993"/>
        </w:tabs>
        <w:ind w:left="709" w:firstLine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INTRODUÇÃO</w:t>
      </w:r>
    </w:p>
    <w:p w:rsidR="00F1101E" w:rsidRDefault="00F1101E" w:rsidP="00F1101E">
      <w:pPr>
        <w:pStyle w:val="PargrafodaLista"/>
        <w:ind w:left="709"/>
        <w:rPr>
          <w:rFonts w:ascii="Arial" w:hAnsi="Arial" w:cs="Arial"/>
          <w:b/>
          <w:sz w:val="28"/>
          <w:szCs w:val="28"/>
        </w:rPr>
      </w:pPr>
    </w:p>
    <w:p w:rsidR="00526183" w:rsidRDefault="00A6330F" w:rsidP="00F1101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A oliveira é originária de uma região geográfica que vai desde o sul do Cáucaso até às amplitudes do Irão, Palestina e Síria, onde se acabou por difundir por toda a bacia mediterrânica. Posteriormente estendeu-</w:t>
      </w:r>
      <w:r w:rsidR="00853999">
        <w:rPr>
          <w:rFonts w:ascii="Arial" w:hAnsi="Arial" w:cs="Arial"/>
        </w:rPr>
        <w:t xml:space="preserve">se pelo Novo Mundo e </w:t>
      </w:r>
      <w:r w:rsidR="00F1101E" w:rsidRPr="00EF00AF">
        <w:rPr>
          <w:rFonts w:ascii="Arial" w:hAnsi="Arial" w:cs="Arial"/>
        </w:rPr>
        <w:t>cultiva-se também na África do Sul, China, Japão e Austrália (Soriano, 1997).</w:t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853999">
        <w:rPr>
          <w:rFonts w:ascii="Arial" w:hAnsi="Arial" w:cs="Arial"/>
        </w:rPr>
        <w:tab/>
      </w:r>
      <w:r w:rsidR="00853999">
        <w:rPr>
          <w:rFonts w:ascii="Arial" w:hAnsi="Arial" w:cs="Arial"/>
        </w:rPr>
        <w:tab/>
      </w:r>
      <w:r w:rsidR="00853999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A oliveira, árvore milenária (a sua história confunde-se com a do Homem), é das plantas cultivadas mais antigas, existindo vestíg</w:t>
      </w:r>
      <w:r w:rsidR="00CE6383">
        <w:rPr>
          <w:rFonts w:ascii="Arial" w:hAnsi="Arial" w:cs="Arial"/>
        </w:rPr>
        <w:t xml:space="preserve">ios da sua presença desde </w:t>
      </w:r>
      <w:r w:rsidR="00853999">
        <w:rPr>
          <w:rFonts w:ascii="Arial" w:hAnsi="Arial" w:cs="Arial"/>
        </w:rPr>
        <w:t>há</w:t>
      </w:r>
      <w:r w:rsidR="00CE6383">
        <w:rPr>
          <w:rFonts w:ascii="Arial" w:hAnsi="Arial" w:cs="Arial"/>
        </w:rPr>
        <w:t xml:space="preserve"> 12</w:t>
      </w:r>
      <w:r w:rsidR="00F1101E">
        <w:rPr>
          <w:rFonts w:ascii="Arial" w:hAnsi="Arial" w:cs="Arial"/>
        </w:rPr>
        <w:t xml:space="preserve">000 </w:t>
      </w:r>
      <w:r w:rsidR="00F1101E" w:rsidRPr="00EF00AF">
        <w:rPr>
          <w:rFonts w:ascii="Arial" w:hAnsi="Arial" w:cs="Arial"/>
        </w:rPr>
        <w:t>anos, e</w:t>
      </w:r>
      <w:r w:rsidR="00F1101E">
        <w:rPr>
          <w:rFonts w:ascii="Arial" w:hAnsi="Arial" w:cs="Arial"/>
        </w:rPr>
        <w:t xml:space="preserve"> o </w:t>
      </w:r>
      <w:r w:rsidR="00CE6383">
        <w:rPr>
          <w:rFonts w:ascii="Arial" w:hAnsi="Arial" w:cs="Arial"/>
        </w:rPr>
        <w:t>seu cultivo remonta à 6</w:t>
      </w:r>
      <w:r w:rsidR="00F1101E">
        <w:rPr>
          <w:rFonts w:ascii="Arial" w:hAnsi="Arial" w:cs="Arial"/>
        </w:rPr>
        <w:t xml:space="preserve">000 </w:t>
      </w:r>
      <w:r w:rsidR="00F1101E" w:rsidRPr="00EF00AF">
        <w:rPr>
          <w:rFonts w:ascii="Arial" w:hAnsi="Arial" w:cs="Arial"/>
        </w:rPr>
        <w:t xml:space="preserve">anos na </w:t>
      </w:r>
      <w:r w:rsidR="009D75CD">
        <w:rPr>
          <w:rFonts w:ascii="Arial" w:hAnsi="Arial" w:cs="Arial"/>
        </w:rPr>
        <w:t>Ásia Menor (Nascimento, 2003).</w:t>
      </w:r>
      <w:r w:rsidR="009D75CD">
        <w:rPr>
          <w:rFonts w:ascii="Arial" w:hAnsi="Arial" w:cs="Arial"/>
        </w:rPr>
        <w:tab/>
        <w:t xml:space="preserve"> </w:t>
      </w:r>
      <w:r w:rsidR="00CE6383">
        <w:rPr>
          <w:rFonts w:ascii="Arial" w:hAnsi="Arial" w:cs="Arial"/>
        </w:rPr>
        <w:tab/>
      </w:r>
      <w:r w:rsidR="00CE6383">
        <w:rPr>
          <w:rFonts w:ascii="Arial" w:hAnsi="Arial" w:cs="Arial"/>
        </w:rPr>
        <w:tab/>
      </w:r>
      <w:r w:rsidR="00CE6383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A sua expansão como cultura está associada ao desenvolvimento de muitas civilizações, chegando aos nossos dias com referências que confirmam a sua longevidade e importância históri</w:t>
      </w:r>
      <w:r w:rsidR="00F33D05">
        <w:rPr>
          <w:rFonts w:ascii="Arial" w:hAnsi="Arial" w:cs="Arial"/>
        </w:rPr>
        <w:t>cas</w:t>
      </w:r>
      <w:r w:rsidR="00F1101E" w:rsidRPr="00EF00AF">
        <w:rPr>
          <w:rFonts w:ascii="Arial" w:hAnsi="Arial" w:cs="Arial"/>
        </w:rPr>
        <w:t>.</w:t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CE638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A cultura da oliveira concentra-se entre as latitudes 30º e 45º, tanto no Hemisfério Norte como no Sul, em regiões climáticas do tipo Mediterrânico, caracterizadas por um Verão seco e quente (Nascimento, 2003).</w:t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O património olivícola mundial estima-se em aproximadamente 960 milhões de oliveiras, do qual 98% do total se concentra na bacia mediterrânica, ocupando uma superfície d</w:t>
      </w:r>
      <w:r w:rsidR="00982887">
        <w:rPr>
          <w:rFonts w:ascii="Arial" w:hAnsi="Arial" w:cs="Arial"/>
        </w:rPr>
        <w:t>e 9,5 milhões de hectares (Civantos</w:t>
      </w:r>
      <w:r w:rsidR="00D245AD">
        <w:rPr>
          <w:rFonts w:ascii="Arial" w:hAnsi="Arial" w:cs="Arial"/>
        </w:rPr>
        <w:t>, 2004</w:t>
      </w:r>
      <w:r w:rsidR="00F1101E" w:rsidRPr="00EF00AF">
        <w:rPr>
          <w:rFonts w:ascii="Arial" w:hAnsi="Arial" w:cs="Arial"/>
        </w:rPr>
        <w:t>), “falar por isso de olivicultura mundial é falar do olival mediterrânico” (Monteiro, 1999).</w:t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0F23E1" w:rsidRPr="00EF00AF">
        <w:rPr>
          <w:rFonts w:ascii="Arial" w:eastAsia="Calibri" w:hAnsi="Arial" w:cs="Arial"/>
        </w:rPr>
        <w:t>Ao nível das trocas internacionais, os principais países exportadores são os países produtores, dos quais a Itália, a Espanha, Portugal e a Tunísia cobrem cerca de 90% das exportações mundiais, sendo a Itália o maior exportador (GPP, 2006).</w:t>
      </w:r>
      <w:r w:rsidR="000F23E1" w:rsidRPr="00EF00AF">
        <w:rPr>
          <w:rFonts w:ascii="Arial" w:eastAsia="Calibri" w:hAnsi="Arial" w:cs="Arial"/>
        </w:rPr>
        <w:tab/>
      </w:r>
      <w:r w:rsidR="000F23E1" w:rsidRPr="00EF00AF">
        <w:rPr>
          <w:rFonts w:ascii="Arial" w:eastAsia="Calibri" w:hAnsi="Arial" w:cs="Arial"/>
        </w:rPr>
        <w:tab/>
      </w:r>
      <w:r w:rsidR="000F23E1" w:rsidRPr="00EF00AF"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</w:r>
      <w:r w:rsidR="000F23E1" w:rsidRPr="00EF00AF">
        <w:rPr>
          <w:rFonts w:ascii="Arial" w:eastAsia="Calibri" w:hAnsi="Arial" w:cs="Arial"/>
        </w:rPr>
        <w:t>A balança comercial portuguesa do azeite é deficitária, com importações em 2005 de aproximadamente 58 mil toneladas, e exportações na ordem das 22 mil toneladas. Entre os mercados de destino das exportações nacionais</w:t>
      </w:r>
      <w:r w:rsidR="002A1B63">
        <w:rPr>
          <w:rFonts w:ascii="Arial" w:eastAsia="Calibri" w:hAnsi="Arial" w:cs="Arial"/>
        </w:rPr>
        <w:t xml:space="preserve">, destaca-se o </w:t>
      </w:r>
      <w:r w:rsidR="002321DF">
        <w:rPr>
          <w:rFonts w:ascii="Arial" w:eastAsia="Calibri" w:hAnsi="Arial" w:cs="Arial"/>
        </w:rPr>
        <w:t>Brasil</w:t>
      </w:r>
      <w:r w:rsidR="000F23E1" w:rsidRPr="00EF00AF">
        <w:rPr>
          <w:rFonts w:ascii="Arial" w:eastAsia="Calibri" w:hAnsi="Arial" w:cs="Arial"/>
        </w:rPr>
        <w:t>, que absorveu cerca de 60% do total de exportações nacionais de azeite (GPP, 2006).</w:t>
      </w:r>
      <w:r w:rsidR="002321DF">
        <w:rPr>
          <w:rFonts w:ascii="Arial" w:hAnsi="Arial" w:cs="Arial"/>
        </w:rPr>
        <w:tab/>
      </w:r>
      <w:r w:rsidR="002321D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1101E" w:rsidRPr="00EF00AF">
        <w:rPr>
          <w:rFonts w:ascii="Arial" w:hAnsi="Arial" w:cs="Arial"/>
        </w:rPr>
        <w:t>A cultura do olival encontra-se distribuída por todas as Regiões Agrárias d</w:t>
      </w:r>
      <w:r w:rsidR="00F33D05">
        <w:rPr>
          <w:rFonts w:ascii="Arial" w:hAnsi="Arial" w:cs="Arial"/>
        </w:rPr>
        <w:t xml:space="preserve">o Continente e ocupa cerca de 400 000 ha (Castro, 2006). </w:t>
      </w:r>
      <w:r w:rsidR="00F1101E" w:rsidRPr="00EF00AF">
        <w:rPr>
          <w:rFonts w:ascii="Arial" w:hAnsi="Arial" w:cs="Arial"/>
        </w:rPr>
        <w:t>A vocação dominante do olival português é para a produção de azeite, com cerca de 96% do total de azeitona produzida destinada à obtenção deste produto e apenas cerca de 4% canalizada para a p</w:t>
      </w:r>
      <w:r w:rsidR="00F27FF5">
        <w:rPr>
          <w:rFonts w:ascii="Arial" w:hAnsi="Arial" w:cs="Arial"/>
        </w:rPr>
        <w:t>rodução de azeitona de mesa (GPP</w:t>
      </w:r>
      <w:r w:rsidR="00F1101E" w:rsidRPr="00EF00AF">
        <w:rPr>
          <w:rFonts w:ascii="Arial" w:hAnsi="Arial" w:cs="Arial"/>
        </w:rPr>
        <w:t>, 2007).</w:t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863AB">
        <w:rPr>
          <w:rFonts w:ascii="Arial" w:hAnsi="Arial" w:cs="Arial"/>
        </w:rPr>
        <w:tab/>
      </w:r>
      <w:r w:rsidR="00982887">
        <w:rPr>
          <w:rFonts w:ascii="Arial" w:hAnsi="Arial" w:cs="Arial"/>
        </w:rPr>
        <w:t>No Alentejo, o</w:t>
      </w:r>
      <w:r w:rsidR="00F1101E" w:rsidRPr="00EF00AF">
        <w:rPr>
          <w:rFonts w:ascii="Arial" w:hAnsi="Arial" w:cs="Arial"/>
        </w:rPr>
        <w:t xml:space="preserve"> olival tem uma expressão </w:t>
      </w:r>
      <w:r w:rsidR="00982887">
        <w:rPr>
          <w:rFonts w:ascii="Arial" w:hAnsi="Arial" w:cs="Arial"/>
        </w:rPr>
        <w:t>muito significativa</w:t>
      </w:r>
      <w:r w:rsidR="00F1101E" w:rsidRPr="00EF00AF">
        <w:rPr>
          <w:rFonts w:ascii="Arial" w:hAnsi="Arial" w:cs="Arial"/>
        </w:rPr>
        <w:t xml:space="preserve">, depois da cortiça e dos cereais é a terceira actividade com maior peso no </w:t>
      </w:r>
      <w:r w:rsidR="00305DFD">
        <w:rPr>
          <w:rFonts w:ascii="Arial" w:hAnsi="Arial" w:cs="Arial"/>
        </w:rPr>
        <w:t xml:space="preserve">seu produto agrícola bruto </w:t>
      </w:r>
      <w:r w:rsidR="005B0946">
        <w:rPr>
          <w:rFonts w:ascii="Arial" w:hAnsi="Arial" w:cs="Arial"/>
        </w:rPr>
        <w:t>(Ramos, 2004</w:t>
      </w:r>
      <w:r w:rsidR="00F33D05">
        <w:rPr>
          <w:rFonts w:ascii="Arial" w:hAnsi="Arial" w:cs="Arial"/>
        </w:rPr>
        <w:t xml:space="preserve">). </w:t>
      </w:r>
      <w:r w:rsidR="00F1101E" w:rsidRPr="00EF00AF">
        <w:rPr>
          <w:rFonts w:ascii="Arial" w:hAnsi="Arial" w:cs="Arial"/>
        </w:rPr>
        <w:t>Em 2007, o olival no Alentejo ocupava uma superfície de 153 646</w:t>
      </w:r>
      <w:r w:rsidR="00982887">
        <w:rPr>
          <w:rFonts w:ascii="Arial" w:hAnsi="Arial" w:cs="Arial"/>
        </w:rPr>
        <w:t>,</w:t>
      </w:r>
      <w:r w:rsidR="00F1101E" w:rsidRPr="00EF00AF">
        <w:rPr>
          <w:rFonts w:ascii="Arial" w:hAnsi="Arial" w:cs="Arial"/>
        </w:rPr>
        <w:t>60 ha, existindo a intenção de plantar mais 16 116</w:t>
      </w:r>
      <w:r w:rsidR="00853999">
        <w:rPr>
          <w:rFonts w:ascii="Arial" w:hAnsi="Arial" w:cs="Arial"/>
        </w:rPr>
        <w:t>,</w:t>
      </w:r>
      <w:r w:rsidR="00982887">
        <w:rPr>
          <w:rFonts w:ascii="Arial" w:hAnsi="Arial" w:cs="Arial"/>
        </w:rPr>
        <w:t xml:space="preserve">73 ha (DRAAL, 2007). </w:t>
      </w:r>
      <w:r w:rsidR="00F1101E" w:rsidRPr="00EF00AF">
        <w:rPr>
          <w:rFonts w:ascii="Arial" w:hAnsi="Arial" w:cs="Arial"/>
        </w:rPr>
        <w:t>O Baixo Alentejo ocupa a maior área de olival, no qual o concelho de Serpa apresenta a superfície mais elevada (22 333</w:t>
      </w:r>
      <w:r w:rsidR="00D245AD">
        <w:rPr>
          <w:rFonts w:ascii="Arial" w:hAnsi="Arial" w:cs="Arial"/>
        </w:rPr>
        <w:t>,</w:t>
      </w:r>
      <w:r w:rsidR="00F1101E" w:rsidRPr="00EF00AF">
        <w:rPr>
          <w:rFonts w:ascii="Arial" w:hAnsi="Arial" w:cs="Arial"/>
        </w:rPr>
        <w:t>78</w:t>
      </w:r>
      <w:r>
        <w:rPr>
          <w:rFonts w:ascii="Arial" w:hAnsi="Arial" w:cs="Arial"/>
        </w:rPr>
        <w:t xml:space="preserve"> </w:t>
      </w:r>
      <w:r w:rsidR="00F1101E" w:rsidRPr="00EF00AF">
        <w:rPr>
          <w:rFonts w:ascii="Arial" w:hAnsi="Arial" w:cs="Arial"/>
        </w:rPr>
        <w:t xml:space="preserve">ha), </w:t>
      </w:r>
      <w:r w:rsidR="00F1101E" w:rsidRPr="00EF00AF">
        <w:rPr>
          <w:rFonts w:ascii="Arial" w:hAnsi="Arial" w:cs="Arial"/>
        </w:rPr>
        <w:lastRenderedPageBreak/>
        <w:t>seguindo-se Moura (17 537</w:t>
      </w:r>
      <w:r w:rsidR="00D245AD">
        <w:rPr>
          <w:rFonts w:ascii="Arial" w:hAnsi="Arial" w:cs="Arial"/>
        </w:rPr>
        <w:t>,</w:t>
      </w:r>
      <w:r w:rsidR="00F1101E" w:rsidRPr="00EF00AF">
        <w:rPr>
          <w:rFonts w:ascii="Arial" w:hAnsi="Arial" w:cs="Arial"/>
        </w:rPr>
        <w:t>46 ha) e Beja (8 923</w:t>
      </w:r>
      <w:r w:rsidR="00D245AD">
        <w:rPr>
          <w:rFonts w:ascii="Arial" w:hAnsi="Arial" w:cs="Arial"/>
        </w:rPr>
        <w:t>,</w:t>
      </w:r>
      <w:r>
        <w:rPr>
          <w:rFonts w:ascii="Arial" w:hAnsi="Arial" w:cs="Arial"/>
        </w:rPr>
        <w:t>13 ha) (DRAAL, 2007).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53999">
        <w:rPr>
          <w:rFonts w:ascii="Arial" w:hAnsi="Arial" w:cs="Arial"/>
        </w:rPr>
        <w:tab/>
      </w:r>
      <w:r w:rsidR="00F33D05" w:rsidRPr="00EF00AF">
        <w:rPr>
          <w:rFonts w:ascii="Arial" w:hAnsi="Arial" w:cs="Arial"/>
        </w:rPr>
        <w:t>A oliveira, inicialmente cultivada em sistema de sequeiro, passou nos últimos anos a uma conversão para regadio, transformação esta ass</w:t>
      </w:r>
      <w:r w:rsidR="00F33D05">
        <w:rPr>
          <w:rFonts w:ascii="Arial" w:hAnsi="Arial" w:cs="Arial"/>
        </w:rPr>
        <w:t xml:space="preserve">ociada a um </w:t>
      </w:r>
      <w:r w:rsidR="00F33D05" w:rsidRPr="00EF00AF">
        <w:rPr>
          <w:rFonts w:ascii="Arial" w:hAnsi="Arial" w:cs="Arial"/>
        </w:rPr>
        <w:t>maior rendimento e es</w:t>
      </w:r>
      <w:r w:rsidR="00F33D05">
        <w:rPr>
          <w:rFonts w:ascii="Arial" w:hAnsi="Arial" w:cs="Arial"/>
        </w:rPr>
        <w:t xml:space="preserve">tabilidade produtiva. </w:t>
      </w:r>
      <w:r w:rsidR="00F33D05" w:rsidRPr="00EF00AF">
        <w:rPr>
          <w:rFonts w:ascii="Arial" w:hAnsi="Arial" w:cs="Arial"/>
        </w:rPr>
        <w:t>Os recentes investimentos est</w:t>
      </w:r>
      <w:r w:rsidR="00F33D05">
        <w:rPr>
          <w:rFonts w:ascii="Arial" w:hAnsi="Arial" w:cs="Arial"/>
        </w:rPr>
        <w:t>rangeiros em Portugal</w:t>
      </w:r>
      <w:r w:rsidR="00F33D05" w:rsidRPr="00EF00AF">
        <w:rPr>
          <w:rFonts w:ascii="Arial" w:hAnsi="Arial" w:cs="Arial"/>
        </w:rPr>
        <w:t xml:space="preserve">, principalmente </w:t>
      </w:r>
      <w:r w:rsidR="00F33D05">
        <w:rPr>
          <w:rFonts w:ascii="Arial" w:hAnsi="Arial" w:cs="Arial"/>
        </w:rPr>
        <w:t>na zona de influência da Barragem do</w:t>
      </w:r>
      <w:r w:rsidR="00F33D05" w:rsidRPr="00EF00AF">
        <w:rPr>
          <w:rFonts w:ascii="Arial" w:hAnsi="Arial" w:cs="Arial"/>
        </w:rPr>
        <w:t xml:space="preserve"> Alqueva, vieram confirmar as potencialidades edafo-</w:t>
      </w:r>
      <w:r>
        <w:rPr>
          <w:rFonts w:ascii="Arial" w:hAnsi="Arial" w:cs="Arial"/>
        </w:rPr>
        <w:br/>
        <w:t>-</w:t>
      </w:r>
      <w:r w:rsidR="00F33D05" w:rsidRPr="00EF00AF">
        <w:rPr>
          <w:rFonts w:ascii="Arial" w:hAnsi="Arial" w:cs="Arial"/>
        </w:rPr>
        <w:t>climáticas e socio-económicas do nosso país em relação a esta cultura, incentivando à modernização e expa</w:t>
      </w:r>
      <w:r w:rsidR="00F33D05">
        <w:rPr>
          <w:rFonts w:ascii="Arial" w:hAnsi="Arial" w:cs="Arial"/>
        </w:rPr>
        <w:t>nsão do sector</w:t>
      </w:r>
      <w:r w:rsidR="00F33D05" w:rsidRPr="00EF00AF">
        <w:rPr>
          <w:rFonts w:ascii="Arial" w:hAnsi="Arial" w:cs="Arial"/>
        </w:rPr>
        <w:t>.</w:t>
      </w:r>
      <w:r w:rsidR="00F33D05">
        <w:rPr>
          <w:rFonts w:ascii="Arial" w:hAnsi="Arial" w:cs="Arial"/>
        </w:rPr>
        <w:tab/>
      </w:r>
      <w:r w:rsidR="00F33D05">
        <w:rPr>
          <w:rFonts w:ascii="Arial" w:hAnsi="Arial" w:cs="Arial"/>
        </w:rPr>
        <w:tab/>
      </w:r>
      <w:r w:rsidR="00DD6C44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D6C44">
        <w:rPr>
          <w:rFonts w:ascii="Arial" w:hAnsi="Arial" w:cs="Arial"/>
        </w:rPr>
        <w:t xml:space="preserve">Uma cultura </w:t>
      </w:r>
      <w:r w:rsidR="00D245AD">
        <w:rPr>
          <w:rFonts w:ascii="Arial" w:hAnsi="Arial" w:cs="Arial"/>
        </w:rPr>
        <w:t xml:space="preserve">tão antiga </w:t>
      </w:r>
      <w:r w:rsidR="00DD6C44">
        <w:rPr>
          <w:rFonts w:ascii="Arial" w:hAnsi="Arial" w:cs="Arial"/>
        </w:rPr>
        <w:t>como a da oliveira</w:t>
      </w:r>
      <w:r w:rsidR="00D245AD">
        <w:rPr>
          <w:rFonts w:ascii="Arial" w:hAnsi="Arial" w:cs="Arial"/>
        </w:rPr>
        <w:t>,</w:t>
      </w:r>
      <w:r w:rsidR="00DD6C44">
        <w:rPr>
          <w:rFonts w:ascii="Arial" w:hAnsi="Arial" w:cs="Arial"/>
        </w:rPr>
        <w:t xml:space="preserve"> </w:t>
      </w:r>
      <w:r w:rsidR="00D245AD">
        <w:rPr>
          <w:rFonts w:ascii="Arial" w:hAnsi="Arial" w:cs="Arial"/>
        </w:rPr>
        <w:t xml:space="preserve">aliada a práticas culturais tradicionais, muitas vezes dificulta a adaptação dos olivicultores a sistemas de cultivo mais modernos, </w:t>
      </w:r>
      <w:r w:rsidR="00DD6C44">
        <w:rPr>
          <w:rFonts w:ascii="Arial" w:hAnsi="Arial" w:cs="Arial"/>
        </w:rPr>
        <w:t>mais compatíveis com a protecção e melhoria do ambiente, dos recursos naturais, dos solos e da</w:t>
      </w:r>
      <w:r w:rsidR="00305DFD">
        <w:rPr>
          <w:rFonts w:ascii="Arial" w:hAnsi="Arial" w:cs="Arial"/>
        </w:rPr>
        <w:t xml:space="preserve"> diversidade genética, bem como</w:t>
      </w:r>
      <w:r w:rsidR="00DD6C44">
        <w:rPr>
          <w:rFonts w:ascii="Arial" w:hAnsi="Arial" w:cs="Arial"/>
        </w:rPr>
        <w:t xml:space="preserve"> da preservação da paisagem e do espaço natural</w:t>
      </w:r>
      <w:r w:rsidR="00125E60">
        <w:rPr>
          <w:rFonts w:ascii="Arial" w:hAnsi="Arial" w:cs="Arial"/>
        </w:rPr>
        <w:t>. Mas, n</w:t>
      </w:r>
      <w:r w:rsidR="00F33D05">
        <w:rPr>
          <w:rFonts w:ascii="Arial" w:hAnsi="Arial" w:cs="Arial"/>
        </w:rPr>
        <w:t>a actual olivicultura, a crescente preocupação com questões a nível ambiental, de qualidade e comercial, tem levado a nível mundial, à implementação de práticas olivícolas, como a rega e diversas técnicas de cobertura do solo. A cobertura do solo surge como necessidade de inverter os efeitos nefastos</w:t>
      </w:r>
      <w:r w:rsidR="00AB7331">
        <w:rPr>
          <w:rFonts w:ascii="Arial" w:hAnsi="Arial" w:cs="Arial"/>
        </w:rPr>
        <w:t xml:space="preserve"> e por vezes irreversíveis</w:t>
      </w:r>
      <w:r w:rsidR="00F33D05">
        <w:rPr>
          <w:rFonts w:ascii="Arial" w:hAnsi="Arial" w:cs="Arial"/>
        </w:rPr>
        <w:t xml:space="preserve"> produzidos por mobilizações do solo mal conduzidas,</w:t>
      </w:r>
      <w:r w:rsidR="00AB7331">
        <w:rPr>
          <w:rFonts w:ascii="Arial" w:hAnsi="Arial" w:cs="Arial"/>
        </w:rPr>
        <w:t xml:space="preserve"> realizadas por hábito e tradição,</w:t>
      </w:r>
      <w:r w:rsidR="00F33D05">
        <w:rPr>
          <w:rFonts w:ascii="Arial" w:hAnsi="Arial" w:cs="Arial"/>
        </w:rPr>
        <w:t xml:space="preserve"> com alfaias inapropriadas, e/ou por aplicações excessivas de herbicida, que ao longo dos anos, ocasionaram</w:t>
      </w:r>
      <w:r w:rsidR="00AB7331">
        <w:rPr>
          <w:rFonts w:ascii="Arial" w:hAnsi="Arial" w:cs="Arial"/>
        </w:rPr>
        <w:t xml:space="preserve"> graves inconveniente</w:t>
      </w:r>
      <w:r w:rsidR="002321DF">
        <w:rPr>
          <w:rFonts w:ascii="Arial" w:hAnsi="Arial" w:cs="Arial"/>
        </w:rPr>
        <w:t xml:space="preserve">s </w:t>
      </w:r>
      <w:r w:rsidR="00AB7331">
        <w:rPr>
          <w:rFonts w:ascii="Arial" w:hAnsi="Arial" w:cs="Arial"/>
        </w:rPr>
        <w:t>principalmente para o ambiente, a nível da conservação da água e do solo.</w:t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0F23E1">
        <w:rPr>
          <w:rFonts w:ascii="Arial" w:hAnsi="Arial" w:cs="Arial"/>
        </w:rPr>
        <w:tab/>
      </w:r>
      <w:r w:rsidR="002321DF">
        <w:rPr>
          <w:rFonts w:ascii="Arial" w:hAnsi="Arial" w:cs="Arial"/>
        </w:rPr>
        <w:tab/>
      </w:r>
      <w:r w:rsidR="002321DF">
        <w:rPr>
          <w:rFonts w:ascii="Arial" w:hAnsi="Arial" w:cs="Arial"/>
        </w:rPr>
        <w:tab/>
      </w:r>
      <w:r w:rsidR="002321D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B7331">
        <w:rPr>
          <w:rFonts w:ascii="Arial" w:hAnsi="Arial" w:cs="Arial"/>
        </w:rPr>
        <w:t>Em alguns países com tradição olivícola, como por exemplo em Espanha</w:t>
      </w:r>
      <w:r w:rsidR="00D245AD">
        <w:rPr>
          <w:rFonts w:ascii="Arial" w:hAnsi="Arial" w:cs="Arial"/>
        </w:rPr>
        <w:t xml:space="preserve"> (Pastor, 2004)</w:t>
      </w:r>
      <w:r w:rsidR="00AF4ACB">
        <w:rPr>
          <w:rFonts w:ascii="Arial" w:hAnsi="Arial" w:cs="Arial"/>
        </w:rPr>
        <w:t xml:space="preserve"> e em Portugal</w:t>
      </w:r>
      <w:r w:rsidR="00D245AD">
        <w:rPr>
          <w:rFonts w:ascii="Arial" w:hAnsi="Arial" w:cs="Arial"/>
        </w:rPr>
        <w:t xml:space="preserve"> (Luz </w:t>
      </w:r>
      <w:r w:rsidR="00D245AD">
        <w:rPr>
          <w:rFonts w:ascii="Arial" w:hAnsi="Arial" w:cs="Arial"/>
          <w:i/>
        </w:rPr>
        <w:t>et al</w:t>
      </w:r>
      <w:r w:rsidR="00D245AD">
        <w:rPr>
          <w:rFonts w:ascii="Arial" w:hAnsi="Arial" w:cs="Arial"/>
        </w:rPr>
        <w:t>., 1998; Pinheiro</w:t>
      </w:r>
      <w:r w:rsidR="00963CD3">
        <w:rPr>
          <w:rFonts w:ascii="Arial" w:hAnsi="Arial" w:cs="Arial"/>
        </w:rPr>
        <w:t xml:space="preserve"> </w:t>
      </w:r>
      <w:r w:rsidR="00963CD3">
        <w:rPr>
          <w:rFonts w:ascii="Arial" w:hAnsi="Arial" w:cs="Arial"/>
          <w:i/>
        </w:rPr>
        <w:t>et al</w:t>
      </w:r>
      <w:r w:rsidR="00963CD3">
        <w:rPr>
          <w:rFonts w:ascii="Arial" w:hAnsi="Arial" w:cs="Arial"/>
        </w:rPr>
        <w:t>.</w:t>
      </w:r>
      <w:r w:rsidR="00D245AD">
        <w:rPr>
          <w:rFonts w:ascii="Arial" w:hAnsi="Arial" w:cs="Arial"/>
        </w:rPr>
        <w:t>, 2005; Castro, 2006</w:t>
      </w:r>
      <w:r w:rsidR="00C77CD6">
        <w:rPr>
          <w:rFonts w:ascii="Arial" w:hAnsi="Arial" w:cs="Arial"/>
        </w:rPr>
        <w:t xml:space="preserve">) </w:t>
      </w:r>
      <w:r w:rsidR="00911E38">
        <w:rPr>
          <w:rFonts w:ascii="Arial" w:hAnsi="Arial" w:cs="Arial"/>
        </w:rPr>
        <w:t>têm sido realizados</w:t>
      </w:r>
      <w:r w:rsidR="00AB7331">
        <w:rPr>
          <w:rFonts w:ascii="Arial" w:hAnsi="Arial" w:cs="Arial"/>
        </w:rPr>
        <w:t xml:space="preserve"> inúmeros estudos acerca dos métodos de gestão do solo em olival, que têm permitido concluir que a manutenção de um coberto vegetal na entrelinha é uma </w:t>
      </w:r>
      <w:r w:rsidR="00AF4ACB">
        <w:rPr>
          <w:rFonts w:ascii="Arial" w:hAnsi="Arial" w:cs="Arial"/>
        </w:rPr>
        <w:t>alternativa benéfica à mobilização, uma vez que contribui para a pro</w:t>
      </w:r>
      <w:r w:rsidR="00C77CD6">
        <w:rPr>
          <w:rFonts w:ascii="Arial" w:hAnsi="Arial" w:cs="Arial"/>
        </w:rPr>
        <w:t>tecção e conservação do solo.</w:t>
      </w:r>
      <w:r w:rsidR="00C77CD6">
        <w:rPr>
          <w:rFonts w:ascii="Arial" w:hAnsi="Arial" w:cs="Arial"/>
        </w:rPr>
        <w:tab/>
      </w:r>
      <w:r w:rsidR="00911E38">
        <w:rPr>
          <w:rFonts w:ascii="Arial" w:hAnsi="Arial" w:cs="Arial"/>
        </w:rPr>
        <w:t>O presente trabalho pretende contribuir para a compreensão, tanto a nível ambiental como a nível da economia de produção, das diferentes modalidades de manutenção do solo em olivicul</w:t>
      </w:r>
      <w:r>
        <w:rPr>
          <w:rFonts w:ascii="Arial" w:hAnsi="Arial" w:cs="Arial"/>
        </w:rPr>
        <w:t>tura.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25E60">
        <w:rPr>
          <w:rFonts w:ascii="Arial" w:hAnsi="Arial" w:cs="Arial"/>
        </w:rPr>
        <w:t>O objectivo deste estudo consistiu</w:t>
      </w:r>
      <w:r>
        <w:rPr>
          <w:rFonts w:ascii="Arial" w:hAnsi="Arial" w:cs="Arial"/>
        </w:rPr>
        <w:t xml:space="preserve"> em</w:t>
      </w:r>
      <w:r w:rsidR="00125E60">
        <w:rPr>
          <w:rFonts w:ascii="Arial" w:hAnsi="Arial" w:cs="Arial"/>
        </w:rPr>
        <w:t xml:space="preserve"> </w:t>
      </w:r>
      <w:r w:rsidR="000F23E1">
        <w:rPr>
          <w:rFonts w:ascii="Arial" w:hAnsi="Arial" w:cs="Arial"/>
        </w:rPr>
        <w:t>analisar a</w:t>
      </w:r>
      <w:r w:rsidR="00911E38">
        <w:rPr>
          <w:rFonts w:ascii="Arial" w:hAnsi="Arial" w:cs="Arial"/>
        </w:rPr>
        <w:t>s preferências ecológicas da</w:t>
      </w:r>
      <w:r w:rsidR="000F23E1">
        <w:rPr>
          <w:rFonts w:ascii="Arial" w:hAnsi="Arial" w:cs="Arial"/>
        </w:rPr>
        <w:t xml:space="preserve"> vegetação infestante de olivais intensivos de regadio no Baixo Alentejo, </w:t>
      </w:r>
      <w:r w:rsidR="00911E38">
        <w:rPr>
          <w:rFonts w:ascii="Arial" w:hAnsi="Arial" w:cs="Arial"/>
        </w:rPr>
        <w:t>em três tipos de solos: Vertis</w:t>
      </w:r>
      <w:r>
        <w:rPr>
          <w:rFonts w:ascii="Arial" w:hAnsi="Arial" w:cs="Arial"/>
        </w:rPr>
        <w:t>solos, Luvissolos e Luvissolos V</w:t>
      </w:r>
      <w:r w:rsidR="00911E38">
        <w:rPr>
          <w:rFonts w:ascii="Arial" w:hAnsi="Arial" w:cs="Arial"/>
        </w:rPr>
        <w:t>érticos, conjuntamente com a gestão e práticas culturais efectuada</w:t>
      </w:r>
      <w:r w:rsidR="00125E60">
        <w:rPr>
          <w:rFonts w:ascii="Arial" w:hAnsi="Arial" w:cs="Arial"/>
        </w:rPr>
        <w:t>s nos olivais em estudo.</w:t>
      </w:r>
      <w:r w:rsidR="00125E60">
        <w:rPr>
          <w:rFonts w:ascii="Arial" w:hAnsi="Arial" w:cs="Arial"/>
        </w:rPr>
        <w:tab/>
      </w:r>
      <w:r w:rsidR="00125E60">
        <w:rPr>
          <w:rFonts w:ascii="Arial" w:hAnsi="Arial" w:cs="Arial"/>
        </w:rPr>
        <w:tab/>
      </w:r>
      <w:r w:rsidR="00125E60">
        <w:rPr>
          <w:rFonts w:ascii="Arial" w:hAnsi="Arial" w:cs="Arial"/>
        </w:rPr>
        <w:tab/>
      </w:r>
      <w:r w:rsidR="00125E60">
        <w:rPr>
          <w:rFonts w:ascii="Arial" w:hAnsi="Arial" w:cs="Arial"/>
        </w:rPr>
        <w:tab/>
      </w:r>
      <w:r w:rsidR="00125E60">
        <w:rPr>
          <w:rFonts w:ascii="Arial" w:hAnsi="Arial" w:cs="Arial"/>
        </w:rPr>
        <w:tab/>
      </w:r>
      <w:r w:rsidR="00125E6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F1101E" w:rsidRPr="000F23E1" w:rsidRDefault="00F1101E" w:rsidP="000F23E1">
      <w:pPr>
        <w:spacing w:line="360" w:lineRule="auto"/>
        <w:jc w:val="both"/>
        <w:rPr>
          <w:rFonts w:ascii="Arial" w:hAnsi="Arial" w:cs="Arial"/>
        </w:rPr>
      </w:pPr>
    </w:p>
    <w:sectPr w:rsidR="00F1101E" w:rsidRPr="000F23E1" w:rsidSect="00A6330F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029" w:rsidRDefault="003C0029" w:rsidP="000F23E1">
      <w:pPr>
        <w:spacing w:after="0" w:line="240" w:lineRule="auto"/>
      </w:pPr>
      <w:r>
        <w:separator/>
      </w:r>
    </w:p>
  </w:endnote>
  <w:endnote w:type="continuationSeparator" w:id="0">
    <w:p w:rsidR="003C0029" w:rsidRDefault="003C0029" w:rsidP="000F2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252704"/>
      <w:docPartObj>
        <w:docPartGallery w:val="Page Numbers (Bottom of Page)"/>
        <w:docPartUnique/>
      </w:docPartObj>
    </w:sdtPr>
    <w:sdtContent>
      <w:p w:rsidR="000863AB" w:rsidRDefault="0043331D">
        <w:pPr>
          <w:pStyle w:val="Rodap"/>
          <w:jc w:val="right"/>
        </w:pPr>
        <w:fldSimple w:instr=" PAGE   \* MERGEFORMAT ">
          <w:r w:rsidR="00853999">
            <w:rPr>
              <w:noProof/>
            </w:rPr>
            <w:t>2</w:t>
          </w:r>
        </w:fldSimple>
      </w:p>
    </w:sdtContent>
  </w:sdt>
  <w:p w:rsidR="000863AB" w:rsidRDefault="000863AB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029" w:rsidRDefault="003C0029" w:rsidP="000F23E1">
      <w:pPr>
        <w:spacing w:after="0" w:line="240" w:lineRule="auto"/>
      </w:pPr>
      <w:r>
        <w:separator/>
      </w:r>
    </w:p>
  </w:footnote>
  <w:footnote w:type="continuationSeparator" w:id="0">
    <w:p w:rsidR="003C0029" w:rsidRDefault="003C0029" w:rsidP="000F23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3E1" w:rsidRDefault="000F23E1" w:rsidP="000F23E1">
    <w:pPr>
      <w:pStyle w:val="Cabealho"/>
    </w:pPr>
    <w:r>
      <w:rPr>
        <w:rFonts w:ascii="Arial" w:hAnsi="Arial" w:cs="Arial"/>
        <w:color w:val="808080"/>
        <w:sz w:val="16"/>
        <w:szCs w:val="16"/>
      </w:rPr>
      <w:t xml:space="preserve">             </w:t>
    </w:r>
    <w:r w:rsidRPr="00971F15">
      <w:rPr>
        <w:rFonts w:ascii="Arial" w:hAnsi="Arial" w:cs="Arial"/>
        <w:color w:val="808080"/>
        <w:sz w:val="16"/>
        <w:szCs w:val="16"/>
      </w:rPr>
      <w:t xml:space="preserve"> </w:t>
    </w:r>
    <w:r>
      <w:rPr>
        <w:rFonts w:ascii="Arial" w:hAnsi="Arial" w:cs="Arial"/>
        <w:color w:val="808080"/>
        <w:sz w:val="16"/>
        <w:szCs w:val="16"/>
      </w:rPr>
      <w:tab/>
      <w:t xml:space="preserve">                                            </w:t>
    </w:r>
    <w:r w:rsidR="000863AB">
      <w:rPr>
        <w:rFonts w:ascii="Arial" w:hAnsi="Arial" w:cs="Arial"/>
        <w:color w:val="808080"/>
        <w:sz w:val="16"/>
        <w:szCs w:val="16"/>
      </w:rPr>
      <w:t xml:space="preserve">      </w:t>
    </w:r>
    <w:r>
      <w:rPr>
        <w:rFonts w:ascii="Arial" w:hAnsi="Arial" w:cs="Arial"/>
        <w:color w:val="808080"/>
        <w:sz w:val="16"/>
        <w:szCs w:val="16"/>
      </w:rPr>
      <w:t xml:space="preserve"> </w:t>
    </w:r>
    <w:r w:rsidR="00A6330F">
      <w:rPr>
        <w:rFonts w:ascii="Arial" w:hAnsi="Arial" w:cs="Arial"/>
        <w:color w:val="808080"/>
        <w:sz w:val="16"/>
        <w:szCs w:val="16"/>
      </w:rPr>
      <w:t xml:space="preserve">      </w:t>
    </w:r>
    <w:r w:rsidRPr="00971F15">
      <w:rPr>
        <w:rFonts w:ascii="Arial" w:hAnsi="Arial" w:cs="Arial"/>
        <w:b/>
        <w:color w:val="808080"/>
        <w:sz w:val="16"/>
        <w:szCs w:val="16"/>
      </w:rPr>
      <w:t>VEGETAÇÃO ESPONTÂNEA DE OLIVAIS INTENSIVOS NO BAIXO ALENTEJO</w:t>
    </w:r>
  </w:p>
  <w:p w:rsidR="000F23E1" w:rsidRDefault="000F23E1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182C48"/>
    <w:multiLevelType w:val="hybridMultilevel"/>
    <w:tmpl w:val="7C066FB6"/>
    <w:lvl w:ilvl="0" w:tplc="B8E82B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01E"/>
    <w:rsid w:val="0005373B"/>
    <w:rsid w:val="000728A4"/>
    <w:rsid w:val="000863AB"/>
    <w:rsid w:val="00095085"/>
    <w:rsid w:val="000C691C"/>
    <w:rsid w:val="000F23E1"/>
    <w:rsid w:val="00125E60"/>
    <w:rsid w:val="002321DF"/>
    <w:rsid w:val="002A1B63"/>
    <w:rsid w:val="00305DFD"/>
    <w:rsid w:val="003634CD"/>
    <w:rsid w:val="003828ED"/>
    <w:rsid w:val="003C0029"/>
    <w:rsid w:val="0043331D"/>
    <w:rsid w:val="0045691A"/>
    <w:rsid w:val="0049456C"/>
    <w:rsid w:val="004E270A"/>
    <w:rsid w:val="00526183"/>
    <w:rsid w:val="005B0946"/>
    <w:rsid w:val="00783F7F"/>
    <w:rsid w:val="007F006A"/>
    <w:rsid w:val="00851F34"/>
    <w:rsid w:val="008521A0"/>
    <w:rsid w:val="00853999"/>
    <w:rsid w:val="00911E38"/>
    <w:rsid w:val="00952F95"/>
    <w:rsid w:val="00963CD3"/>
    <w:rsid w:val="00982887"/>
    <w:rsid w:val="009D75CD"/>
    <w:rsid w:val="00A062C3"/>
    <w:rsid w:val="00A3690B"/>
    <w:rsid w:val="00A45497"/>
    <w:rsid w:val="00A6330F"/>
    <w:rsid w:val="00AB7331"/>
    <w:rsid w:val="00AD6964"/>
    <w:rsid w:val="00AF4ACB"/>
    <w:rsid w:val="00B06163"/>
    <w:rsid w:val="00B46A75"/>
    <w:rsid w:val="00BA3238"/>
    <w:rsid w:val="00BF6C7A"/>
    <w:rsid w:val="00C77CD6"/>
    <w:rsid w:val="00CE6383"/>
    <w:rsid w:val="00D245AD"/>
    <w:rsid w:val="00D27DBF"/>
    <w:rsid w:val="00DA673B"/>
    <w:rsid w:val="00DD6C44"/>
    <w:rsid w:val="00DF099E"/>
    <w:rsid w:val="00E21C25"/>
    <w:rsid w:val="00E97E71"/>
    <w:rsid w:val="00EB2AA8"/>
    <w:rsid w:val="00EC489B"/>
    <w:rsid w:val="00F1101E"/>
    <w:rsid w:val="00F27FF5"/>
    <w:rsid w:val="00F33D05"/>
    <w:rsid w:val="00F6155D"/>
    <w:rsid w:val="00F82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49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1101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0F23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0F23E1"/>
  </w:style>
  <w:style w:type="paragraph" w:styleId="Rodap">
    <w:name w:val="footer"/>
    <w:basedOn w:val="Normal"/>
    <w:link w:val="RodapCarcter"/>
    <w:uiPriority w:val="99"/>
    <w:unhideWhenUsed/>
    <w:rsid w:val="000F23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0F23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2</Pages>
  <Words>802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Pacheco</dc:creator>
  <cp:lastModifiedBy>Ana Pacheco</cp:lastModifiedBy>
  <cp:revision>17</cp:revision>
  <dcterms:created xsi:type="dcterms:W3CDTF">2009-04-05T01:52:00Z</dcterms:created>
  <dcterms:modified xsi:type="dcterms:W3CDTF">2009-08-04T14:19:00Z</dcterms:modified>
</cp:coreProperties>
</file>