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7AB0" w:rsidRDefault="00797AB0">
      <w:bookmarkStart w:id="0" w:name="_GoBack"/>
      <w:bookmarkEnd w:id="0"/>
    </w:p>
    <w:p w:rsidR="00CC50AE" w:rsidRDefault="00CC50AE" w:rsidP="00CC50AE">
      <w:pPr>
        <w:spacing w:after="0" w:line="360" w:lineRule="auto"/>
        <w:ind w:firstLine="709"/>
        <w:jc w:val="center"/>
        <w:rPr>
          <w:rFonts w:ascii="Cambria" w:hAnsi="Cambria" w:cs="Times New Roman"/>
          <w:sz w:val="28"/>
          <w:szCs w:val="28"/>
        </w:rPr>
      </w:pPr>
      <w:r>
        <w:rPr>
          <w:rFonts w:ascii="Cambria" w:hAnsi="Cambria" w:cs="Times New Roman"/>
          <w:sz w:val="28"/>
          <w:szCs w:val="28"/>
        </w:rPr>
        <w:t>UNIVERSIDADE DE LISBOA</w:t>
      </w:r>
    </w:p>
    <w:p w:rsidR="00CC50AE" w:rsidRDefault="00CC50AE" w:rsidP="00CC50AE">
      <w:pPr>
        <w:spacing w:after="0" w:line="360" w:lineRule="auto"/>
        <w:ind w:firstLine="709"/>
        <w:jc w:val="center"/>
        <w:rPr>
          <w:rFonts w:ascii="Cambria" w:hAnsi="Cambria" w:cs="Times New Roman"/>
          <w:sz w:val="28"/>
          <w:szCs w:val="28"/>
        </w:rPr>
      </w:pPr>
      <w:r>
        <w:rPr>
          <w:rFonts w:ascii="Cambria" w:hAnsi="Cambria" w:cs="Times New Roman"/>
          <w:sz w:val="28"/>
          <w:szCs w:val="28"/>
        </w:rPr>
        <w:t>FACULDADE DE DIREITO</w:t>
      </w:r>
    </w:p>
    <w:p w:rsidR="00CC50AE" w:rsidRDefault="00CC50AE" w:rsidP="00CC50AE">
      <w:pPr>
        <w:spacing w:after="0" w:line="360" w:lineRule="auto"/>
        <w:ind w:firstLine="709"/>
        <w:jc w:val="center"/>
        <w:rPr>
          <w:rFonts w:ascii="Cambria" w:hAnsi="Cambria" w:cs="Arial"/>
          <w:noProof/>
          <w:color w:val="0000FF"/>
          <w:sz w:val="24"/>
          <w:szCs w:val="27"/>
          <w:lang w:eastAsia="pt-PT"/>
        </w:rPr>
      </w:pPr>
    </w:p>
    <w:p w:rsidR="00CC50AE" w:rsidRPr="00C25E8C" w:rsidRDefault="00CC50AE" w:rsidP="00CC50AE">
      <w:pPr>
        <w:spacing w:after="0" w:line="360" w:lineRule="auto"/>
        <w:ind w:firstLine="709"/>
        <w:jc w:val="center"/>
        <w:rPr>
          <w:rFonts w:ascii="Cambria" w:hAnsi="Cambria" w:cs="Times New Roman"/>
          <w:i/>
          <w:sz w:val="24"/>
          <w:szCs w:val="28"/>
        </w:rPr>
      </w:pPr>
      <w:r>
        <w:rPr>
          <w:rFonts w:ascii="Cambria" w:hAnsi="Cambria" w:cs="Arial"/>
          <w:noProof/>
          <w:color w:val="0000FF"/>
          <w:sz w:val="24"/>
          <w:szCs w:val="27"/>
          <w:lang w:eastAsia="pt-PT"/>
        </w:rPr>
        <w:drawing>
          <wp:inline distT="0" distB="0" distL="0" distR="0">
            <wp:extent cx="5398770" cy="2735580"/>
            <wp:effectExtent l="19050" t="0" r="0" b="0"/>
            <wp:docPr id="1" name="Imagem 1" descr="Kuvahaun tulos haulle logotipo da universidade de lisboa">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Kuvahaun tulos haulle logotipo da universidade de lisboa">
                      <a:hlinkClick r:id="rId9" tgtFrame="&quot;_blank&quot;"/>
                    </pic:cNvPr>
                    <pic:cNvPicPr>
                      <a:picLocks noChangeAspect="1" noChangeArrowheads="1"/>
                    </pic:cNvPicPr>
                  </pic:nvPicPr>
                  <pic:blipFill>
                    <a:blip r:embed="rId10" cstate="print"/>
                    <a:srcRect/>
                    <a:stretch>
                      <a:fillRect/>
                    </a:stretch>
                  </pic:blipFill>
                  <pic:spPr bwMode="auto">
                    <a:xfrm>
                      <a:off x="0" y="0"/>
                      <a:ext cx="5398770" cy="2735580"/>
                    </a:xfrm>
                    <a:prstGeom prst="rect">
                      <a:avLst/>
                    </a:prstGeom>
                    <a:noFill/>
                    <a:ln w="9525">
                      <a:noFill/>
                      <a:miter lim="800000"/>
                      <a:headEnd/>
                      <a:tailEnd/>
                    </a:ln>
                  </pic:spPr>
                </pic:pic>
              </a:graphicData>
            </a:graphic>
          </wp:inline>
        </w:drawing>
      </w:r>
      <w:r w:rsidR="00C25E8C">
        <w:rPr>
          <w:rFonts w:ascii="Cambria" w:hAnsi="Cambria" w:cs="Times New Roman"/>
          <w:sz w:val="32"/>
          <w:szCs w:val="32"/>
        </w:rPr>
        <w:t xml:space="preserve">FINANCIAMENTO DE GRUPO DE SOCIEDADES À LUZ DA REALIDADE JURÍDICA ANGOLANA – O CONTRATO DE </w:t>
      </w:r>
      <w:r w:rsidR="00C25E8C" w:rsidRPr="00C25E8C">
        <w:rPr>
          <w:rFonts w:ascii="Cambria" w:hAnsi="Cambria" w:cs="Times New Roman"/>
          <w:i/>
          <w:sz w:val="32"/>
          <w:szCs w:val="32"/>
        </w:rPr>
        <w:t xml:space="preserve">CASH POOLING </w:t>
      </w: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25E8C" w:rsidP="00CC50AE">
      <w:pPr>
        <w:spacing w:after="0" w:line="360" w:lineRule="auto"/>
        <w:ind w:firstLine="709"/>
        <w:jc w:val="center"/>
        <w:rPr>
          <w:rFonts w:ascii="Cambria" w:hAnsi="Cambria" w:cs="Times New Roman"/>
          <w:sz w:val="24"/>
          <w:szCs w:val="28"/>
        </w:rPr>
      </w:pPr>
      <w:r>
        <w:rPr>
          <w:rFonts w:ascii="Cambria" w:hAnsi="Cambria" w:cs="Times New Roman"/>
          <w:sz w:val="24"/>
          <w:szCs w:val="28"/>
        </w:rPr>
        <w:t xml:space="preserve">EDENETH MÁRCIA DO NASCIMENTO PEDRO MARIA </w:t>
      </w:r>
    </w:p>
    <w:p w:rsidR="00CC50AE" w:rsidRDefault="00C25E8C" w:rsidP="00CC50AE">
      <w:pPr>
        <w:spacing w:after="0" w:line="360" w:lineRule="auto"/>
        <w:ind w:firstLine="709"/>
        <w:jc w:val="center"/>
        <w:rPr>
          <w:rFonts w:ascii="Cambria" w:hAnsi="Cambria" w:cs="Times New Roman"/>
          <w:sz w:val="24"/>
          <w:szCs w:val="28"/>
        </w:rPr>
      </w:pPr>
      <w:r>
        <w:rPr>
          <w:rFonts w:ascii="Cambria" w:hAnsi="Cambria" w:cs="Times New Roman"/>
          <w:sz w:val="24"/>
          <w:szCs w:val="28"/>
        </w:rPr>
        <w:t>Mestrado em Direito Empresarial</w:t>
      </w:r>
    </w:p>
    <w:p w:rsidR="00CC50AE" w:rsidRDefault="00CC50AE" w:rsidP="00CC50AE">
      <w:pPr>
        <w:spacing w:after="0" w:line="360" w:lineRule="auto"/>
        <w:ind w:firstLine="709"/>
        <w:jc w:val="center"/>
        <w:rPr>
          <w:rFonts w:ascii="Cambria" w:hAnsi="Cambria" w:cs="Times New Roman"/>
          <w:sz w:val="24"/>
          <w:szCs w:val="28"/>
        </w:rPr>
      </w:pPr>
    </w:p>
    <w:p w:rsidR="00DF0961" w:rsidRDefault="00DF0961" w:rsidP="00CC50AE">
      <w:pPr>
        <w:spacing w:after="0" w:line="360" w:lineRule="auto"/>
        <w:ind w:firstLine="709"/>
        <w:jc w:val="center"/>
        <w:rPr>
          <w:rFonts w:ascii="Cambria" w:hAnsi="Cambria" w:cs="Times New Roman"/>
          <w:sz w:val="24"/>
          <w:szCs w:val="28"/>
        </w:rPr>
      </w:pPr>
    </w:p>
    <w:p w:rsidR="00DF0961" w:rsidRDefault="00DF0961" w:rsidP="00CC50AE">
      <w:pPr>
        <w:spacing w:after="0" w:line="360" w:lineRule="auto"/>
        <w:ind w:firstLine="709"/>
        <w:jc w:val="center"/>
        <w:rPr>
          <w:rFonts w:ascii="Cambria" w:hAnsi="Cambria" w:cs="Times New Roman"/>
          <w:sz w:val="24"/>
          <w:szCs w:val="28"/>
        </w:rPr>
      </w:pPr>
    </w:p>
    <w:p w:rsidR="00DF0961" w:rsidRDefault="00DF0961"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r>
        <w:rPr>
          <w:rFonts w:ascii="Cambria" w:hAnsi="Cambria" w:cs="Times New Roman"/>
          <w:sz w:val="24"/>
          <w:szCs w:val="28"/>
        </w:rPr>
        <w:t>2018</w:t>
      </w:r>
      <w:r>
        <w:rPr>
          <w:rFonts w:ascii="Cambria" w:hAnsi="Cambria" w:cs="Times New Roman"/>
          <w:sz w:val="24"/>
          <w:szCs w:val="28"/>
        </w:rPr>
        <w:br w:type="page"/>
      </w:r>
    </w:p>
    <w:p w:rsidR="00CC50AE" w:rsidRDefault="00CC50AE" w:rsidP="00CC50AE">
      <w:pPr>
        <w:spacing w:after="0" w:line="360" w:lineRule="auto"/>
        <w:ind w:firstLine="709"/>
        <w:jc w:val="center"/>
        <w:rPr>
          <w:rFonts w:ascii="Cambria" w:hAnsi="Cambria" w:cs="Times New Roman"/>
          <w:sz w:val="24"/>
          <w:szCs w:val="24"/>
        </w:rPr>
      </w:pPr>
      <w:r>
        <w:rPr>
          <w:rFonts w:ascii="Cambria" w:hAnsi="Cambria" w:cs="Times New Roman"/>
          <w:sz w:val="24"/>
          <w:szCs w:val="24"/>
        </w:rPr>
        <w:lastRenderedPageBreak/>
        <w:t>UNIVERSIDADE DE LISBOA</w:t>
      </w:r>
    </w:p>
    <w:p w:rsidR="00CC50AE" w:rsidRDefault="00CC50AE" w:rsidP="00CC50AE">
      <w:pPr>
        <w:spacing w:after="0" w:line="360" w:lineRule="auto"/>
        <w:ind w:firstLine="709"/>
        <w:jc w:val="center"/>
        <w:rPr>
          <w:rFonts w:ascii="Cambria" w:hAnsi="Cambria" w:cs="Times New Roman"/>
          <w:sz w:val="24"/>
          <w:szCs w:val="24"/>
        </w:rPr>
      </w:pPr>
      <w:r>
        <w:rPr>
          <w:rFonts w:ascii="Cambria" w:hAnsi="Cambria" w:cs="Times New Roman"/>
          <w:sz w:val="24"/>
          <w:szCs w:val="24"/>
        </w:rPr>
        <w:t>FACULDADE DE DIREITO</w:t>
      </w: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25E8C" w:rsidRPr="00C25E8C" w:rsidRDefault="00C25E8C" w:rsidP="00C25E8C">
      <w:pPr>
        <w:spacing w:after="0" w:line="360" w:lineRule="auto"/>
        <w:ind w:firstLine="709"/>
        <w:jc w:val="center"/>
        <w:rPr>
          <w:rFonts w:ascii="Cambria" w:hAnsi="Cambria" w:cs="Times New Roman"/>
          <w:i/>
          <w:sz w:val="24"/>
          <w:szCs w:val="28"/>
        </w:rPr>
      </w:pPr>
      <w:r>
        <w:rPr>
          <w:rFonts w:ascii="Cambria" w:hAnsi="Cambria" w:cs="Times New Roman"/>
          <w:sz w:val="32"/>
          <w:szCs w:val="32"/>
        </w:rPr>
        <w:t xml:space="preserve">FINANCIAMENTO DE GRUPO DE SOCIEDADES À LUZ DA REALIDADE JURÍDICA ANGOLANA – O CONTRATO DE </w:t>
      </w:r>
      <w:r w:rsidRPr="00C25E8C">
        <w:rPr>
          <w:rFonts w:ascii="Cambria" w:hAnsi="Cambria" w:cs="Times New Roman"/>
          <w:i/>
          <w:sz w:val="32"/>
          <w:szCs w:val="32"/>
        </w:rPr>
        <w:t xml:space="preserve">CASH POOLING </w:t>
      </w:r>
    </w:p>
    <w:p w:rsidR="00CC50AE" w:rsidRDefault="00CC50AE" w:rsidP="00CC50AE">
      <w:pPr>
        <w:spacing w:after="0" w:line="360" w:lineRule="auto"/>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25E8C" w:rsidP="00CC50AE">
      <w:pPr>
        <w:spacing w:after="0" w:line="360" w:lineRule="auto"/>
        <w:ind w:firstLine="709"/>
        <w:jc w:val="center"/>
        <w:rPr>
          <w:rFonts w:ascii="Cambria" w:hAnsi="Cambria" w:cs="Times New Roman"/>
          <w:sz w:val="24"/>
          <w:szCs w:val="28"/>
        </w:rPr>
      </w:pPr>
      <w:r>
        <w:rPr>
          <w:rFonts w:ascii="Cambria" w:hAnsi="Cambria" w:cs="Times New Roman"/>
          <w:sz w:val="24"/>
          <w:szCs w:val="28"/>
        </w:rPr>
        <w:t xml:space="preserve">EDENETH MÁRCIA DO NASCIMENTO PEDRO MARIA </w:t>
      </w:r>
    </w:p>
    <w:p w:rsidR="00CC50AE" w:rsidRDefault="00CC50AE" w:rsidP="00CC50AE">
      <w:pPr>
        <w:spacing w:after="0" w:line="360" w:lineRule="auto"/>
        <w:rPr>
          <w:rFonts w:ascii="Cambria" w:hAnsi="Cambria" w:cs="Times New Roman"/>
          <w:sz w:val="24"/>
          <w:szCs w:val="28"/>
        </w:rPr>
      </w:pPr>
    </w:p>
    <w:p w:rsidR="00CC50AE" w:rsidRDefault="00CC50AE" w:rsidP="00CC50AE">
      <w:pPr>
        <w:spacing w:after="0" w:line="360" w:lineRule="auto"/>
        <w:ind w:left="3402"/>
        <w:rPr>
          <w:rFonts w:ascii="Cambria" w:hAnsi="Cambria" w:cs="Times New Roman"/>
          <w:sz w:val="24"/>
          <w:szCs w:val="28"/>
        </w:rPr>
      </w:pPr>
      <w:r>
        <w:rPr>
          <w:rFonts w:ascii="Cambria" w:hAnsi="Cambria" w:cs="Times New Roman"/>
          <w:sz w:val="28"/>
          <w:szCs w:val="28"/>
        </w:rPr>
        <w:t xml:space="preserve">Dissertação orientada pela Professora Doutora </w:t>
      </w:r>
      <w:r w:rsidR="00C25E8C">
        <w:rPr>
          <w:rFonts w:ascii="Cambria" w:hAnsi="Cambria" w:cs="Times New Roman"/>
          <w:sz w:val="28"/>
          <w:szCs w:val="28"/>
        </w:rPr>
        <w:t>Ana Perestrelo de Oliveira</w:t>
      </w:r>
      <w:r>
        <w:rPr>
          <w:rFonts w:ascii="Cambria" w:hAnsi="Cambria" w:cs="Times New Roman"/>
          <w:sz w:val="28"/>
          <w:szCs w:val="28"/>
        </w:rPr>
        <w:t>, especialmente elaborada para obtenção de grau de mestre em Direito (Ciências jurídico-</w:t>
      </w:r>
      <w:r w:rsidR="00C25E8C">
        <w:rPr>
          <w:rFonts w:ascii="Cambria" w:hAnsi="Cambria" w:cs="Times New Roman"/>
          <w:sz w:val="28"/>
          <w:szCs w:val="28"/>
        </w:rPr>
        <w:t>empresariais</w:t>
      </w:r>
      <w:r>
        <w:rPr>
          <w:rFonts w:ascii="Cambria" w:hAnsi="Cambria" w:cs="Times New Roman"/>
          <w:sz w:val="24"/>
          <w:szCs w:val="28"/>
        </w:rPr>
        <w:t>)</w:t>
      </w: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p>
    <w:p w:rsidR="00CC50AE" w:rsidRDefault="00CC50AE" w:rsidP="00CC50AE">
      <w:pPr>
        <w:spacing w:after="0" w:line="360" w:lineRule="auto"/>
        <w:rPr>
          <w:rFonts w:ascii="Cambria" w:hAnsi="Cambria" w:cs="Times New Roman"/>
          <w:sz w:val="24"/>
          <w:szCs w:val="28"/>
        </w:rPr>
      </w:pPr>
    </w:p>
    <w:p w:rsidR="00DF0961" w:rsidRDefault="00DF0961" w:rsidP="00CC50AE">
      <w:pPr>
        <w:spacing w:after="0" w:line="360" w:lineRule="auto"/>
        <w:rPr>
          <w:rFonts w:ascii="Cambria" w:hAnsi="Cambria" w:cs="Times New Roman"/>
          <w:sz w:val="24"/>
          <w:szCs w:val="28"/>
        </w:rPr>
      </w:pPr>
    </w:p>
    <w:p w:rsidR="00CC50AE" w:rsidRDefault="00CC50AE" w:rsidP="00CC50AE">
      <w:pPr>
        <w:spacing w:after="0" w:line="360" w:lineRule="auto"/>
        <w:ind w:firstLine="709"/>
        <w:jc w:val="center"/>
        <w:rPr>
          <w:rFonts w:ascii="Cambria" w:hAnsi="Cambria" w:cs="Times New Roman"/>
          <w:sz w:val="24"/>
          <w:szCs w:val="28"/>
        </w:rPr>
      </w:pPr>
      <w:r>
        <w:rPr>
          <w:rFonts w:ascii="Cambria" w:hAnsi="Cambria" w:cs="Times New Roman"/>
          <w:sz w:val="24"/>
          <w:szCs w:val="28"/>
        </w:rPr>
        <w:t>2018</w:t>
      </w:r>
    </w:p>
    <w:p w:rsidR="00CC50AE" w:rsidRDefault="00CC50AE" w:rsidP="00CC50AE">
      <w:pPr>
        <w:spacing w:after="200" w:line="276" w:lineRule="auto"/>
        <w:rPr>
          <w:rFonts w:ascii="Cambria" w:hAnsi="Cambria" w:cs="Times New Roman"/>
          <w:sz w:val="24"/>
          <w:szCs w:val="28"/>
        </w:rPr>
      </w:pPr>
      <w:r>
        <w:rPr>
          <w:rFonts w:ascii="Cambria" w:hAnsi="Cambria" w:cs="Times New Roman"/>
          <w:sz w:val="24"/>
          <w:szCs w:val="28"/>
        </w:rPr>
        <w:br w:type="page"/>
      </w:r>
    </w:p>
    <w:p w:rsidR="00CC50AE" w:rsidRDefault="00CC50AE" w:rsidP="00CC50AE">
      <w:pPr>
        <w:spacing w:after="200" w:line="276" w:lineRule="auto"/>
        <w:rPr>
          <w:rFonts w:ascii="Cambria" w:hAnsi="Cambria" w:cs="Times New Roman"/>
          <w:sz w:val="24"/>
          <w:szCs w:val="28"/>
        </w:rPr>
      </w:pPr>
    </w:p>
    <w:p w:rsidR="00CC50AE" w:rsidRDefault="00CC50AE" w:rsidP="00CC50AE">
      <w:pPr>
        <w:spacing w:after="0" w:line="360" w:lineRule="auto"/>
        <w:ind w:firstLine="709"/>
        <w:rPr>
          <w:rFonts w:ascii="Cambria" w:hAnsi="Cambria" w:cs="Times New Roman"/>
          <w:sz w:val="24"/>
          <w:szCs w:val="24"/>
        </w:rPr>
      </w:pPr>
    </w:p>
    <w:p w:rsidR="009850D2" w:rsidRDefault="00CC50AE" w:rsidP="00CC50AE">
      <w:pPr>
        <w:spacing w:after="0" w:line="360" w:lineRule="auto"/>
        <w:ind w:left="3402"/>
        <w:rPr>
          <w:rFonts w:ascii="Cambria" w:hAnsi="Cambria" w:cs="Times New Roman"/>
          <w:sz w:val="24"/>
          <w:szCs w:val="24"/>
        </w:rPr>
      </w:pPr>
      <w:r>
        <w:rPr>
          <w:rFonts w:ascii="Cambria" w:hAnsi="Cambria" w:cs="Times New Roman"/>
          <w:sz w:val="24"/>
          <w:szCs w:val="24"/>
        </w:rPr>
        <w:t xml:space="preserve">À </w:t>
      </w:r>
      <w:r w:rsidR="00C25E8C">
        <w:rPr>
          <w:rFonts w:ascii="Cambria" w:hAnsi="Cambria" w:cs="Times New Roman"/>
          <w:sz w:val="24"/>
          <w:szCs w:val="24"/>
        </w:rPr>
        <w:t>Júlia Maria, minha rainha</w:t>
      </w:r>
      <w:r w:rsidR="009850D2">
        <w:rPr>
          <w:rFonts w:ascii="Cambria" w:hAnsi="Cambria" w:cs="Times New Roman"/>
          <w:sz w:val="24"/>
          <w:szCs w:val="24"/>
        </w:rPr>
        <w:t>, bênção que o senhor me concedeu.</w:t>
      </w:r>
    </w:p>
    <w:p w:rsidR="00CC50AE" w:rsidRDefault="009850D2" w:rsidP="00CC50AE">
      <w:pPr>
        <w:spacing w:after="0" w:line="360" w:lineRule="auto"/>
        <w:ind w:left="3402"/>
        <w:rPr>
          <w:rFonts w:ascii="Cambria" w:hAnsi="Cambria" w:cs="Times New Roman"/>
          <w:sz w:val="24"/>
          <w:szCs w:val="24"/>
        </w:rPr>
      </w:pPr>
      <w:r>
        <w:rPr>
          <w:rFonts w:ascii="Cambria" w:hAnsi="Cambria" w:cs="Times New Roman"/>
          <w:sz w:val="24"/>
          <w:szCs w:val="24"/>
        </w:rPr>
        <w:t>Ao Vagner Cutaia</w:t>
      </w:r>
      <w:r w:rsidR="00CC50AE">
        <w:rPr>
          <w:rFonts w:ascii="Cambria" w:hAnsi="Cambria" w:cs="Times New Roman"/>
          <w:sz w:val="24"/>
          <w:szCs w:val="24"/>
        </w:rPr>
        <w:t xml:space="preserve">, meu grande amor e </w:t>
      </w:r>
      <w:r>
        <w:rPr>
          <w:rFonts w:ascii="Cambria" w:hAnsi="Cambria" w:cs="Times New Roman"/>
          <w:sz w:val="24"/>
          <w:szCs w:val="24"/>
        </w:rPr>
        <w:t xml:space="preserve">à nossa filha, Sharon Gabriela Cutaia. </w:t>
      </w:r>
    </w:p>
    <w:p w:rsidR="00CC50AE" w:rsidRDefault="00CC50AE" w:rsidP="00CC50AE">
      <w:pPr>
        <w:spacing w:after="200" w:line="276" w:lineRule="auto"/>
        <w:rPr>
          <w:rFonts w:ascii="Cambria" w:hAnsi="Cambria" w:cs="Times New Roman"/>
          <w:sz w:val="24"/>
          <w:szCs w:val="24"/>
        </w:rPr>
      </w:pPr>
      <w:r>
        <w:rPr>
          <w:rFonts w:ascii="Cambria" w:hAnsi="Cambria" w:cs="Times New Roman"/>
          <w:sz w:val="24"/>
          <w:szCs w:val="24"/>
        </w:rPr>
        <w:br w:type="page"/>
      </w:r>
    </w:p>
    <w:p w:rsidR="00CC50AE" w:rsidRDefault="00CC50AE" w:rsidP="00CC50AE">
      <w:pPr>
        <w:pStyle w:val="SemEspaamento1"/>
        <w:rPr>
          <w:sz w:val="32"/>
        </w:rPr>
      </w:pPr>
      <w:bookmarkStart w:id="1" w:name="_Toc511403358"/>
      <w:r>
        <w:rPr>
          <w:sz w:val="32"/>
        </w:rPr>
        <w:t>AGRADECIMENTOS</w:t>
      </w:r>
      <w:bookmarkEnd w:id="1"/>
    </w:p>
    <w:p w:rsidR="00CC50AE" w:rsidRDefault="00CC50AE" w:rsidP="00CC50AE">
      <w:pPr>
        <w:spacing w:after="0" w:line="360" w:lineRule="auto"/>
        <w:ind w:firstLine="709"/>
        <w:rPr>
          <w:rFonts w:ascii="Cambria" w:hAnsi="Cambria" w:cs="Times New Roman"/>
          <w:sz w:val="24"/>
          <w:szCs w:val="24"/>
        </w:rPr>
      </w:pP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A primeira nota de gratidão é dirigida a Deus, pelo dom de vida, sem o qual nada é possível.</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Uma especial homenagem é dirigida aos meus pais, </w:t>
      </w:r>
      <w:r w:rsidR="009850D2">
        <w:rPr>
          <w:rFonts w:ascii="Cambria" w:hAnsi="Cambria" w:cs="Times New Roman"/>
          <w:sz w:val="24"/>
          <w:szCs w:val="24"/>
        </w:rPr>
        <w:t>José Pedro Maria e Júlia Maria Francisco do Nascimento Pedro Maria</w:t>
      </w:r>
      <w:r>
        <w:rPr>
          <w:rFonts w:ascii="Cambria" w:hAnsi="Cambria" w:cs="Times New Roman"/>
          <w:sz w:val="24"/>
          <w:szCs w:val="24"/>
        </w:rPr>
        <w:t>, pelo apoio incondicional.</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A</w:t>
      </w:r>
      <w:r w:rsidR="009850D2">
        <w:rPr>
          <w:rFonts w:ascii="Cambria" w:hAnsi="Cambria" w:cs="Times New Roman"/>
          <w:sz w:val="24"/>
          <w:szCs w:val="24"/>
        </w:rPr>
        <w:t>o Vagner Cutaia</w:t>
      </w:r>
      <w:r>
        <w:rPr>
          <w:rFonts w:ascii="Cambria" w:hAnsi="Cambria" w:cs="Times New Roman"/>
          <w:sz w:val="24"/>
          <w:szCs w:val="24"/>
        </w:rPr>
        <w:t>, meu amor e gran</w:t>
      </w:r>
      <w:r w:rsidR="009850D2">
        <w:rPr>
          <w:rFonts w:ascii="Cambria" w:hAnsi="Cambria" w:cs="Times New Roman"/>
          <w:sz w:val="24"/>
          <w:szCs w:val="24"/>
        </w:rPr>
        <w:t>de companheiro nestes últimos seis</w:t>
      </w:r>
      <w:r>
        <w:rPr>
          <w:rFonts w:ascii="Cambria" w:hAnsi="Cambria" w:cs="Times New Roman"/>
          <w:sz w:val="24"/>
          <w:szCs w:val="24"/>
        </w:rPr>
        <w:t xml:space="preserve"> anos, presto todo o meu reconhecimento.</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Agradeço à Senhora Professora Doutora </w:t>
      </w:r>
      <w:r w:rsidR="009850D2">
        <w:rPr>
          <w:rFonts w:ascii="Cambria" w:hAnsi="Cambria" w:cs="Times New Roman"/>
          <w:sz w:val="24"/>
          <w:szCs w:val="24"/>
        </w:rPr>
        <w:t>Ana Perestrelo de Oliveira</w:t>
      </w:r>
      <w:r>
        <w:rPr>
          <w:rFonts w:ascii="Cambria" w:hAnsi="Cambria" w:cs="Times New Roman"/>
          <w:sz w:val="24"/>
          <w:szCs w:val="24"/>
        </w:rPr>
        <w:t>, por ter aceitado o desafio de orientar esta dissertação, pela atenção demonstrada nas respostas e pelas prontas recomendações.</w:t>
      </w:r>
    </w:p>
    <w:p w:rsidR="00CC50AE" w:rsidRDefault="009850D2"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Aos Drs. </w:t>
      </w:r>
      <w:r w:rsidR="003D4674">
        <w:rPr>
          <w:rFonts w:ascii="Cambria" w:hAnsi="Cambria" w:cs="Times New Roman"/>
          <w:sz w:val="24"/>
          <w:szCs w:val="24"/>
        </w:rPr>
        <w:t xml:space="preserve">Leonildo Manuel, Fortunato Paixão, </w:t>
      </w:r>
      <w:r>
        <w:rPr>
          <w:rFonts w:ascii="Cambria" w:hAnsi="Cambria" w:cs="Times New Roman"/>
          <w:sz w:val="24"/>
          <w:szCs w:val="24"/>
        </w:rPr>
        <w:t>por todas as discussões e por todos os conselhos e orientações e acima de tudo</w:t>
      </w:r>
      <w:r w:rsidR="00CC50AE">
        <w:rPr>
          <w:rFonts w:ascii="Cambria" w:hAnsi="Cambria" w:cs="Times New Roman"/>
          <w:sz w:val="24"/>
          <w:szCs w:val="24"/>
        </w:rPr>
        <w:t xml:space="preserve">, pelo incentivo e conforto nas horas de dificuldade. </w:t>
      </w:r>
    </w:p>
    <w:p w:rsidR="00CC50AE" w:rsidRDefault="009850D2"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Ao meu Perivaldo Sténio, companheiro de batalha, um verdadeiro guerreiro e cumpridor deste dever revolucionário </w:t>
      </w:r>
      <w:r w:rsidR="003D4674">
        <w:rPr>
          <w:rFonts w:ascii="Cambria" w:hAnsi="Cambria" w:cs="Times New Roman"/>
          <w:sz w:val="24"/>
          <w:szCs w:val="24"/>
        </w:rPr>
        <w:t xml:space="preserve">que é estudar. Aos meus irmãos, primos e tios, por cuidarem de mim durante esta longa caminhada. </w:t>
      </w:r>
    </w:p>
    <w:p w:rsidR="00CC50AE" w:rsidRDefault="00CC50AE" w:rsidP="00CC50AE">
      <w:pPr>
        <w:spacing w:after="0" w:line="360" w:lineRule="auto"/>
        <w:ind w:firstLine="709"/>
        <w:rPr>
          <w:rFonts w:ascii="Cambria" w:hAnsi="Cambria" w:cs="Times New Roman"/>
          <w:sz w:val="24"/>
          <w:szCs w:val="24"/>
        </w:rPr>
      </w:pPr>
    </w:p>
    <w:p w:rsidR="00CC50AE" w:rsidRDefault="00CC50AE" w:rsidP="00CC50AE">
      <w:pPr>
        <w:spacing w:after="0" w:line="360" w:lineRule="auto"/>
        <w:ind w:firstLine="709"/>
        <w:rPr>
          <w:rFonts w:ascii="Cambria" w:hAnsi="Cambria" w:cs="Times New Roman"/>
          <w:sz w:val="24"/>
          <w:szCs w:val="24"/>
        </w:rPr>
      </w:pPr>
    </w:p>
    <w:p w:rsidR="00CC50AE" w:rsidRDefault="00CC50AE" w:rsidP="00CC50AE">
      <w:pPr>
        <w:spacing w:after="0" w:line="360" w:lineRule="auto"/>
        <w:ind w:firstLine="709"/>
        <w:rPr>
          <w:rFonts w:ascii="Cambria" w:hAnsi="Cambria" w:cs="Times New Roman"/>
          <w:sz w:val="24"/>
          <w:szCs w:val="24"/>
        </w:rPr>
      </w:pPr>
    </w:p>
    <w:p w:rsidR="00CC50AE" w:rsidRDefault="00CC50AE" w:rsidP="00CC50AE">
      <w:pPr>
        <w:spacing w:after="0" w:line="360" w:lineRule="auto"/>
        <w:ind w:firstLine="709"/>
        <w:rPr>
          <w:rFonts w:ascii="Cambria" w:hAnsi="Cambria" w:cs="Times New Roman"/>
          <w:sz w:val="24"/>
          <w:szCs w:val="24"/>
        </w:rPr>
      </w:pPr>
    </w:p>
    <w:p w:rsidR="00CC50AE" w:rsidRDefault="00CC50AE" w:rsidP="00CC50AE">
      <w:pPr>
        <w:spacing w:after="0" w:line="360" w:lineRule="auto"/>
        <w:rPr>
          <w:rFonts w:ascii="Cambria" w:hAnsi="Cambria" w:cs="Times New Roman"/>
          <w:sz w:val="24"/>
          <w:szCs w:val="24"/>
        </w:rPr>
      </w:pPr>
    </w:p>
    <w:p w:rsidR="00CC50AE" w:rsidRDefault="00CC50AE" w:rsidP="00CC50AE">
      <w:pPr>
        <w:spacing w:after="0" w:line="360" w:lineRule="auto"/>
        <w:rPr>
          <w:rFonts w:ascii="Cambria" w:hAnsi="Cambria" w:cs="Times New Roman"/>
          <w:sz w:val="24"/>
          <w:szCs w:val="24"/>
        </w:rPr>
      </w:pPr>
    </w:p>
    <w:p w:rsidR="00CC50AE" w:rsidRDefault="00CC50AE" w:rsidP="00CC50AE">
      <w:pPr>
        <w:spacing w:after="0" w:line="360" w:lineRule="auto"/>
        <w:rPr>
          <w:rFonts w:ascii="Cambria" w:hAnsi="Cambria" w:cs="Times New Roman"/>
          <w:sz w:val="24"/>
          <w:szCs w:val="24"/>
        </w:rPr>
      </w:pPr>
    </w:p>
    <w:p w:rsidR="00CC50AE" w:rsidRDefault="00CC50AE" w:rsidP="00CC50AE">
      <w:pPr>
        <w:spacing w:after="0" w:line="360" w:lineRule="auto"/>
        <w:rPr>
          <w:rFonts w:ascii="Cambria" w:hAnsi="Cambria" w:cs="Times New Roman"/>
          <w:sz w:val="24"/>
          <w:szCs w:val="24"/>
        </w:rPr>
      </w:pPr>
    </w:p>
    <w:p w:rsidR="00CC50AE" w:rsidRDefault="00CC50AE" w:rsidP="00CC50AE">
      <w:pPr>
        <w:spacing w:after="0" w:line="360" w:lineRule="auto"/>
        <w:rPr>
          <w:rFonts w:ascii="Cambria" w:hAnsi="Cambria" w:cs="Times New Roman"/>
          <w:sz w:val="24"/>
          <w:szCs w:val="24"/>
        </w:rPr>
      </w:pPr>
    </w:p>
    <w:p w:rsidR="003D4674" w:rsidRDefault="003D4674" w:rsidP="00CC50AE">
      <w:pPr>
        <w:spacing w:after="0" w:line="360" w:lineRule="auto"/>
        <w:rPr>
          <w:rFonts w:ascii="Cambria" w:hAnsi="Cambria" w:cs="Times New Roman"/>
          <w:sz w:val="24"/>
          <w:szCs w:val="24"/>
        </w:rPr>
      </w:pPr>
    </w:p>
    <w:p w:rsidR="00CC50AE" w:rsidRDefault="00CC50AE" w:rsidP="00CC50AE">
      <w:pPr>
        <w:pStyle w:val="SemEspaamento1"/>
        <w:rPr>
          <w:sz w:val="32"/>
        </w:rPr>
      </w:pPr>
      <w:bookmarkStart w:id="2" w:name="_Toc511403359"/>
      <w:r>
        <w:rPr>
          <w:sz w:val="32"/>
        </w:rPr>
        <w:t>ADVERTÊNCIA E MODO DE CITAR</w:t>
      </w:r>
      <w:bookmarkEnd w:id="2"/>
    </w:p>
    <w:p w:rsidR="00CC50AE" w:rsidRDefault="00CC50AE" w:rsidP="00CC50AE">
      <w:pPr>
        <w:spacing w:after="0" w:line="360" w:lineRule="auto"/>
        <w:ind w:firstLine="709"/>
        <w:rPr>
          <w:rFonts w:ascii="Cambria" w:hAnsi="Cambria" w:cs="Times New Roman"/>
          <w:sz w:val="24"/>
          <w:szCs w:val="24"/>
        </w:rPr>
      </w:pPr>
    </w:p>
    <w:p w:rsidR="00CC50AE" w:rsidRDefault="003D4674" w:rsidP="00CC50AE">
      <w:pPr>
        <w:spacing w:after="0" w:line="360" w:lineRule="auto"/>
        <w:ind w:firstLine="709"/>
        <w:rPr>
          <w:rFonts w:ascii="Cambria" w:hAnsi="Cambria" w:cs="Times New Roman"/>
          <w:sz w:val="24"/>
          <w:szCs w:val="24"/>
        </w:rPr>
      </w:pPr>
      <w:r>
        <w:rPr>
          <w:rFonts w:ascii="Cambria" w:hAnsi="Cambria" w:cs="Times New Roman"/>
          <w:sz w:val="24"/>
          <w:szCs w:val="24"/>
        </w:rPr>
        <w:t>Por opção da</w:t>
      </w:r>
      <w:r w:rsidR="00CC50AE">
        <w:rPr>
          <w:rFonts w:ascii="Cambria" w:hAnsi="Cambria" w:cs="Times New Roman"/>
          <w:sz w:val="24"/>
          <w:szCs w:val="24"/>
        </w:rPr>
        <w:t xml:space="preserve"> Autor</w:t>
      </w:r>
      <w:r>
        <w:rPr>
          <w:rFonts w:ascii="Cambria" w:hAnsi="Cambria" w:cs="Times New Roman"/>
          <w:sz w:val="24"/>
          <w:szCs w:val="24"/>
        </w:rPr>
        <w:t>a</w:t>
      </w:r>
      <w:r w:rsidR="00CC50AE">
        <w:rPr>
          <w:rFonts w:ascii="Cambria" w:hAnsi="Cambria" w:cs="Times New Roman"/>
          <w:sz w:val="24"/>
          <w:szCs w:val="24"/>
        </w:rPr>
        <w:t>, o texto segue a ortografia anterior ao Acordo Ortográfico 1990.</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Os preceitos citados sem indicação da fonte reportam-se à Lei </w:t>
      </w:r>
      <w:r w:rsidR="00716142">
        <w:rPr>
          <w:rFonts w:ascii="Cambria" w:hAnsi="Cambria" w:cs="Times New Roman"/>
          <w:sz w:val="24"/>
          <w:szCs w:val="24"/>
        </w:rPr>
        <w:t>das sociedades comerciais, Lei 1/04, de 13 de Fevereiro</w:t>
      </w:r>
      <w:r>
        <w:rPr>
          <w:rFonts w:ascii="Cambria" w:hAnsi="Cambria" w:cs="Times New Roman"/>
          <w:sz w:val="24"/>
          <w:szCs w:val="24"/>
        </w:rPr>
        <w:t>, salvo se outro enquadramento sistemático resulta do contexto de exposição.</w:t>
      </w:r>
    </w:p>
    <w:p w:rsidR="00CC50AE" w:rsidRDefault="00716142" w:rsidP="00CC50AE">
      <w:pPr>
        <w:spacing w:after="0" w:line="360" w:lineRule="auto"/>
        <w:ind w:firstLine="709"/>
        <w:rPr>
          <w:rFonts w:ascii="Cambria" w:hAnsi="Cambria" w:cs="Times New Roman"/>
          <w:sz w:val="24"/>
          <w:szCs w:val="24"/>
        </w:rPr>
      </w:pPr>
      <w:r>
        <w:rPr>
          <w:rFonts w:ascii="Cambria" w:hAnsi="Cambria" w:cs="Times New Roman"/>
          <w:sz w:val="24"/>
          <w:szCs w:val="24"/>
        </w:rPr>
        <w:t>Os termos “</w:t>
      </w:r>
      <w:r w:rsidRPr="00337E64">
        <w:rPr>
          <w:rFonts w:ascii="Cambria" w:hAnsi="Cambria" w:cs="Times New Roman"/>
          <w:i/>
          <w:sz w:val="24"/>
          <w:szCs w:val="24"/>
        </w:rPr>
        <w:t>cash pooling</w:t>
      </w:r>
      <w:r>
        <w:rPr>
          <w:rFonts w:ascii="Cambria" w:hAnsi="Cambria" w:cs="Times New Roman"/>
          <w:sz w:val="24"/>
          <w:szCs w:val="24"/>
        </w:rPr>
        <w:t>” e “gestão centralizada de tesouraria” são tratado</w:t>
      </w:r>
      <w:r w:rsidR="00337E64">
        <w:rPr>
          <w:rFonts w:ascii="Cambria" w:hAnsi="Cambria" w:cs="Times New Roman"/>
          <w:sz w:val="24"/>
          <w:szCs w:val="24"/>
        </w:rPr>
        <w:t>s</w:t>
      </w:r>
      <w:r>
        <w:rPr>
          <w:rFonts w:ascii="Cambria" w:hAnsi="Cambria" w:cs="Times New Roman"/>
          <w:sz w:val="24"/>
          <w:szCs w:val="24"/>
        </w:rPr>
        <w:t xml:space="preserve"> no texto como sinónimos, pelo que serão usados </w:t>
      </w:r>
      <w:r w:rsidR="00337E64">
        <w:rPr>
          <w:rFonts w:ascii="Cambria" w:hAnsi="Cambria" w:cs="Times New Roman"/>
          <w:sz w:val="24"/>
          <w:szCs w:val="24"/>
        </w:rPr>
        <w:t>de forma indiscriminada</w:t>
      </w:r>
      <w:r w:rsidR="00CC50AE">
        <w:rPr>
          <w:rFonts w:ascii="Cambria" w:hAnsi="Cambria" w:cs="Times New Roman"/>
          <w:sz w:val="24"/>
          <w:szCs w:val="24"/>
        </w:rPr>
        <w:t>.</w:t>
      </w:r>
    </w:p>
    <w:p w:rsidR="00CC50AE" w:rsidRDefault="00CC50AE" w:rsidP="00CC50AE">
      <w:pPr>
        <w:spacing w:after="0" w:line="360" w:lineRule="auto"/>
        <w:ind w:firstLine="709"/>
        <w:rPr>
          <w:rFonts w:ascii="Cambria" w:hAnsi="Cambria" w:cs="Times New Roman"/>
          <w:iCs/>
          <w:sz w:val="24"/>
          <w:szCs w:val="24"/>
        </w:rPr>
      </w:pPr>
      <w:r>
        <w:rPr>
          <w:rFonts w:ascii="Cambria" w:hAnsi="Cambria" w:cs="Times New Roman"/>
          <w:sz w:val="24"/>
          <w:szCs w:val="24"/>
        </w:rPr>
        <w:t xml:space="preserve">As referências bibliográficas completas das obras citadas constam da bibliografia apresentada no final, sendo aí também mencionada a referência bibliográfica de cada obra aquando da sua primeira citação, bem como os números das páginas. Nas segundas e sucessivas citações, cada obra é referenciada pelo título de forma abreviada, seguido da expressão </w:t>
      </w:r>
      <w:r>
        <w:rPr>
          <w:rFonts w:ascii="Cambria" w:hAnsi="Cambria" w:cs="Times New Roman"/>
          <w:iCs/>
          <w:sz w:val="24"/>
          <w:szCs w:val="24"/>
        </w:rPr>
        <w:t>op. cit.</w:t>
      </w:r>
      <w:r>
        <w:rPr>
          <w:rFonts w:ascii="Cambria" w:hAnsi="Cambria" w:cs="Times New Roman"/>
          <w:sz w:val="24"/>
          <w:szCs w:val="24"/>
        </w:rPr>
        <w:t xml:space="preserve"> ou simplesmente </w:t>
      </w:r>
      <w:r>
        <w:rPr>
          <w:rFonts w:ascii="Cambria" w:hAnsi="Cambria" w:cs="Times New Roman"/>
          <w:iCs/>
          <w:sz w:val="24"/>
          <w:szCs w:val="24"/>
        </w:rPr>
        <w:t>cit.</w:t>
      </w:r>
    </w:p>
    <w:p w:rsidR="00CC50AE" w:rsidRDefault="00CC50AE" w:rsidP="00CC50AE">
      <w:pPr>
        <w:spacing w:after="200" w:line="276" w:lineRule="auto"/>
        <w:rPr>
          <w:rFonts w:ascii="Cambria" w:hAnsi="Cambria" w:cs="Times New Roman"/>
          <w:iCs/>
          <w:sz w:val="24"/>
          <w:szCs w:val="24"/>
        </w:rPr>
      </w:pPr>
      <w:r>
        <w:rPr>
          <w:rFonts w:ascii="Cambria" w:hAnsi="Cambria" w:cs="Times New Roman"/>
          <w:iCs/>
          <w:sz w:val="24"/>
          <w:szCs w:val="24"/>
        </w:rPr>
        <w:br w:type="page"/>
      </w:r>
    </w:p>
    <w:p w:rsidR="00CC50AE" w:rsidRPr="00A71F36" w:rsidRDefault="00CC50AE" w:rsidP="00A71F36">
      <w:pPr>
        <w:pStyle w:val="SemEspaamento1"/>
        <w:rPr>
          <w:sz w:val="32"/>
        </w:rPr>
      </w:pPr>
      <w:bookmarkStart w:id="3" w:name="_Toc511403360"/>
      <w:r>
        <w:rPr>
          <w:sz w:val="32"/>
        </w:rPr>
        <w:t>ABREVIATURAS</w:t>
      </w:r>
      <w:bookmarkEnd w:id="3"/>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As seguintes abreviaturas, utilizadas na nossa dissertação, referem-se aos significados indicados:</w:t>
      </w:r>
    </w:p>
    <w:p w:rsidR="00CC50AE" w:rsidRDefault="00CC50AE" w:rsidP="00CC50AE">
      <w:pPr>
        <w:spacing w:after="0" w:line="360" w:lineRule="auto"/>
        <w:ind w:firstLine="709"/>
        <w:rPr>
          <w:rFonts w:ascii="Cambria" w:hAnsi="Cambria" w:cs="Times New Roman"/>
          <w:sz w:val="24"/>
          <w:szCs w:val="24"/>
        </w:rPr>
      </w:pPr>
    </w:p>
    <w:p w:rsidR="00BA155F" w:rsidRDefault="00CC50AE" w:rsidP="00CC50AE">
      <w:pPr>
        <w:spacing w:after="0" w:line="360" w:lineRule="auto"/>
        <w:ind w:firstLine="709"/>
        <w:rPr>
          <w:rFonts w:asciiTheme="majorHAnsi" w:hAnsiTheme="majorHAnsi" w:cs="Arial"/>
          <w:bCs/>
          <w:color w:val="0085B8"/>
          <w:sz w:val="24"/>
          <w:szCs w:val="24"/>
        </w:rPr>
      </w:pPr>
      <w:r>
        <w:rPr>
          <w:rFonts w:ascii="Cambria" w:hAnsi="Cambria" w:cs="Times New Roman"/>
          <w:sz w:val="24"/>
          <w:szCs w:val="24"/>
        </w:rPr>
        <w:t>A</w:t>
      </w:r>
      <w:r w:rsidR="0086611A">
        <w:rPr>
          <w:rFonts w:ascii="Cambria" w:hAnsi="Cambria" w:cs="Times New Roman"/>
          <w:sz w:val="24"/>
          <w:szCs w:val="24"/>
        </w:rPr>
        <w:t>ktg</w:t>
      </w:r>
      <w:r w:rsidR="0086611A">
        <w:rPr>
          <w:rFonts w:ascii="Cambria" w:hAnsi="Cambria" w:cs="Times New Roman"/>
          <w:sz w:val="24"/>
          <w:szCs w:val="24"/>
        </w:rPr>
        <w:tab/>
      </w:r>
      <w:r>
        <w:rPr>
          <w:rFonts w:ascii="Cambria" w:hAnsi="Cambria" w:cs="Times New Roman"/>
          <w:sz w:val="24"/>
          <w:szCs w:val="24"/>
        </w:rPr>
        <w:tab/>
      </w:r>
      <w:r w:rsidR="00BA155F">
        <w:rPr>
          <w:rFonts w:ascii="Cambria" w:hAnsi="Cambria" w:cs="Times New Roman"/>
          <w:sz w:val="24"/>
          <w:szCs w:val="24"/>
        </w:rPr>
        <w:t xml:space="preserve">Aktiengesetz </w:t>
      </w:r>
      <w:r w:rsidR="00783A47">
        <w:rPr>
          <w:rFonts w:ascii="Cambria" w:hAnsi="Cambria" w:cs="Times New Roman"/>
          <w:sz w:val="24"/>
          <w:szCs w:val="24"/>
        </w:rPr>
        <w:t>(Lei das Sociedades Anónimas Alemã)</w:t>
      </w:r>
    </w:p>
    <w:p w:rsidR="00CC50AE" w:rsidRDefault="00CC50AE" w:rsidP="00CC50AE">
      <w:pPr>
        <w:spacing w:after="0" w:line="360" w:lineRule="auto"/>
        <w:ind w:firstLine="709"/>
        <w:rPr>
          <w:rFonts w:ascii="Cambria" w:hAnsi="Cambria" w:cs="Times New Roman"/>
          <w:i/>
          <w:sz w:val="24"/>
          <w:szCs w:val="24"/>
        </w:rPr>
      </w:pPr>
      <w:r>
        <w:rPr>
          <w:rFonts w:ascii="Cambria" w:hAnsi="Cambria" w:cs="Times New Roman"/>
          <w:b/>
          <w:sz w:val="24"/>
          <w:szCs w:val="24"/>
        </w:rPr>
        <w:t xml:space="preserve">Ac. </w:t>
      </w:r>
      <w:r>
        <w:rPr>
          <w:rFonts w:ascii="Cambria" w:hAnsi="Cambria" w:cs="Times New Roman"/>
          <w:b/>
          <w:sz w:val="24"/>
          <w:szCs w:val="24"/>
        </w:rPr>
        <w:tab/>
      </w:r>
      <w:r>
        <w:rPr>
          <w:rFonts w:ascii="Cambria" w:hAnsi="Cambria" w:cs="Times New Roman"/>
          <w:b/>
          <w:sz w:val="24"/>
          <w:szCs w:val="24"/>
        </w:rPr>
        <w:tab/>
      </w:r>
      <w:r>
        <w:rPr>
          <w:rFonts w:ascii="Cambria" w:hAnsi="Cambria" w:cs="Times New Roman"/>
          <w:i/>
          <w:sz w:val="24"/>
          <w:szCs w:val="24"/>
        </w:rPr>
        <w:t>Acórdão</w:t>
      </w:r>
    </w:p>
    <w:p w:rsidR="0086611A" w:rsidRDefault="0086611A" w:rsidP="00CC50AE">
      <w:pPr>
        <w:spacing w:after="0" w:line="360" w:lineRule="auto"/>
        <w:ind w:firstLine="709"/>
        <w:rPr>
          <w:rFonts w:ascii="Cambria" w:hAnsi="Cambria" w:cs="Times New Roman"/>
          <w:i/>
          <w:sz w:val="24"/>
          <w:szCs w:val="24"/>
        </w:rPr>
      </w:pPr>
      <w:r>
        <w:rPr>
          <w:rFonts w:ascii="Cambria" w:hAnsi="Cambria" w:cs="Times New Roman"/>
          <w:i/>
          <w:sz w:val="24"/>
          <w:szCs w:val="24"/>
        </w:rPr>
        <w:t>BNA</w:t>
      </w:r>
      <w:r>
        <w:rPr>
          <w:rFonts w:ascii="Cambria" w:hAnsi="Cambria" w:cs="Times New Roman"/>
          <w:i/>
          <w:sz w:val="24"/>
          <w:szCs w:val="24"/>
        </w:rPr>
        <w:tab/>
      </w:r>
      <w:r>
        <w:rPr>
          <w:rFonts w:ascii="Cambria" w:hAnsi="Cambria" w:cs="Times New Roman"/>
          <w:i/>
          <w:sz w:val="24"/>
          <w:szCs w:val="24"/>
        </w:rPr>
        <w:tab/>
        <w:t>Banco Nacional de Angola</w:t>
      </w:r>
    </w:p>
    <w:p w:rsidR="0086611A" w:rsidRDefault="0086611A" w:rsidP="00CC50AE">
      <w:pPr>
        <w:spacing w:after="0" w:line="360" w:lineRule="auto"/>
        <w:ind w:firstLine="709"/>
        <w:rPr>
          <w:rFonts w:ascii="Cambria" w:hAnsi="Cambria" w:cs="Times New Roman"/>
          <w:i/>
          <w:sz w:val="24"/>
          <w:szCs w:val="24"/>
        </w:rPr>
      </w:pPr>
      <w:r>
        <w:rPr>
          <w:rFonts w:ascii="Cambria" w:hAnsi="Cambria" w:cs="Times New Roman"/>
          <w:i/>
          <w:sz w:val="24"/>
          <w:szCs w:val="24"/>
        </w:rPr>
        <w:t>CBN</w:t>
      </w:r>
      <w:r>
        <w:rPr>
          <w:rFonts w:ascii="Cambria" w:hAnsi="Cambria" w:cs="Times New Roman"/>
          <w:i/>
          <w:sz w:val="24"/>
          <w:szCs w:val="24"/>
        </w:rPr>
        <w:tab/>
      </w:r>
      <w:r>
        <w:rPr>
          <w:rFonts w:ascii="Cambria" w:hAnsi="Cambria" w:cs="Times New Roman"/>
          <w:i/>
          <w:sz w:val="24"/>
          <w:szCs w:val="24"/>
        </w:rPr>
        <w:tab/>
        <w:t>Banco Central da Nigéria</w:t>
      </w:r>
    </w:p>
    <w:p w:rsidR="0086611A" w:rsidRDefault="0086611A" w:rsidP="00CC50AE">
      <w:pPr>
        <w:spacing w:after="0" w:line="360" w:lineRule="auto"/>
        <w:ind w:firstLine="709"/>
        <w:rPr>
          <w:rFonts w:ascii="Cambria" w:hAnsi="Cambria" w:cs="Times New Roman"/>
          <w:i/>
          <w:sz w:val="24"/>
          <w:szCs w:val="24"/>
        </w:rPr>
      </w:pPr>
      <w:r>
        <w:rPr>
          <w:rFonts w:ascii="Cambria" w:hAnsi="Cambria" w:cs="Times New Roman"/>
          <w:i/>
          <w:sz w:val="24"/>
          <w:szCs w:val="24"/>
        </w:rPr>
        <w:t>CEMAC</w:t>
      </w:r>
      <w:r>
        <w:rPr>
          <w:rFonts w:ascii="Cambria" w:hAnsi="Cambria" w:cs="Times New Roman"/>
          <w:i/>
          <w:sz w:val="24"/>
          <w:szCs w:val="24"/>
        </w:rPr>
        <w:tab/>
        <w:t>Comunidade Económica e Monetária da África Central</w:t>
      </w:r>
    </w:p>
    <w:p w:rsidR="00A71F36" w:rsidRPr="0086611A" w:rsidRDefault="00A71F36" w:rsidP="00A71F36">
      <w:pPr>
        <w:spacing w:after="0" w:line="360" w:lineRule="auto"/>
        <w:ind w:left="2124" w:hanging="1415"/>
        <w:rPr>
          <w:rFonts w:ascii="Cambria" w:hAnsi="Cambria" w:cs="Times New Roman"/>
          <w:b/>
          <w:i/>
          <w:sz w:val="24"/>
          <w:szCs w:val="24"/>
        </w:rPr>
      </w:pPr>
      <w:r>
        <w:rPr>
          <w:rFonts w:ascii="Cambria" w:hAnsi="Cambria" w:cs="Times New Roman"/>
          <w:i/>
          <w:sz w:val="24"/>
          <w:szCs w:val="24"/>
        </w:rPr>
        <w:t>CEC</w:t>
      </w:r>
      <w:r>
        <w:rPr>
          <w:rFonts w:ascii="Cambria" w:hAnsi="Cambria" w:cs="Times New Roman"/>
          <w:i/>
          <w:sz w:val="24"/>
          <w:szCs w:val="24"/>
        </w:rPr>
        <w:tab/>
        <w:t>Código das Empresas Comerciais e Registo de Firmas (Cabo Verde)</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CC </w:t>
      </w:r>
      <w:r>
        <w:rPr>
          <w:rFonts w:ascii="Cambria" w:hAnsi="Cambria" w:cs="Times New Roman"/>
          <w:sz w:val="24"/>
          <w:szCs w:val="24"/>
        </w:rPr>
        <w:tab/>
      </w:r>
      <w:r>
        <w:rPr>
          <w:rFonts w:ascii="Cambria" w:hAnsi="Cambria" w:cs="Times New Roman"/>
          <w:sz w:val="24"/>
          <w:szCs w:val="24"/>
        </w:rPr>
        <w:tab/>
      </w:r>
      <w:r>
        <w:rPr>
          <w:rFonts w:ascii="Cambria" w:hAnsi="Cambria" w:cs="Times New Roman"/>
          <w:i/>
          <w:sz w:val="24"/>
          <w:szCs w:val="24"/>
        </w:rPr>
        <w:t>Código Civil</w:t>
      </w:r>
    </w:p>
    <w:p w:rsidR="00CC50AE" w:rsidRDefault="00CC50AE" w:rsidP="00CC50AE">
      <w:pPr>
        <w:spacing w:after="0" w:line="360" w:lineRule="auto"/>
        <w:ind w:firstLine="709"/>
        <w:rPr>
          <w:rFonts w:ascii="Cambria" w:hAnsi="Cambria" w:cs="Times New Roman"/>
          <w:i/>
          <w:sz w:val="24"/>
          <w:szCs w:val="24"/>
        </w:rPr>
      </w:pPr>
      <w:r>
        <w:rPr>
          <w:rFonts w:ascii="Cambria" w:hAnsi="Cambria" w:cs="Times New Roman"/>
          <w:sz w:val="24"/>
          <w:szCs w:val="24"/>
        </w:rPr>
        <w:t xml:space="preserve">CPLP </w:t>
      </w:r>
      <w:r>
        <w:rPr>
          <w:rFonts w:ascii="Cambria" w:hAnsi="Cambria" w:cs="Times New Roman"/>
          <w:sz w:val="24"/>
          <w:szCs w:val="24"/>
        </w:rPr>
        <w:tab/>
      </w:r>
      <w:r>
        <w:rPr>
          <w:rFonts w:ascii="Cambria" w:hAnsi="Cambria" w:cs="Times New Roman"/>
          <w:sz w:val="24"/>
          <w:szCs w:val="24"/>
        </w:rPr>
        <w:tab/>
      </w:r>
      <w:r>
        <w:rPr>
          <w:rFonts w:ascii="Cambria" w:hAnsi="Cambria" w:cs="Times New Roman"/>
          <w:i/>
          <w:sz w:val="24"/>
          <w:szCs w:val="24"/>
        </w:rPr>
        <w:t>Comunidade dos Países de Língua Portuguesa</w:t>
      </w:r>
    </w:p>
    <w:p w:rsidR="00CC50AE" w:rsidRDefault="00CC50AE" w:rsidP="00CC50AE">
      <w:pPr>
        <w:spacing w:after="0" w:line="360" w:lineRule="auto"/>
        <w:ind w:firstLine="709"/>
        <w:rPr>
          <w:rFonts w:ascii="Cambria" w:hAnsi="Cambria" w:cs="Times New Roman"/>
          <w:i/>
          <w:sz w:val="24"/>
          <w:szCs w:val="24"/>
        </w:rPr>
      </w:pPr>
      <w:r>
        <w:rPr>
          <w:rFonts w:ascii="Cambria" w:hAnsi="Cambria" w:cs="Times New Roman"/>
          <w:sz w:val="24"/>
          <w:szCs w:val="24"/>
        </w:rPr>
        <w:t xml:space="preserve">CRA </w:t>
      </w:r>
      <w:r>
        <w:rPr>
          <w:rFonts w:ascii="Cambria" w:hAnsi="Cambria" w:cs="Times New Roman"/>
          <w:sz w:val="24"/>
          <w:szCs w:val="24"/>
        </w:rPr>
        <w:tab/>
      </w:r>
      <w:r>
        <w:rPr>
          <w:rFonts w:ascii="Cambria" w:hAnsi="Cambria" w:cs="Times New Roman"/>
          <w:sz w:val="24"/>
          <w:szCs w:val="24"/>
        </w:rPr>
        <w:tab/>
      </w:r>
      <w:r>
        <w:rPr>
          <w:rFonts w:ascii="Cambria" w:hAnsi="Cambria" w:cs="Times New Roman"/>
          <w:i/>
          <w:sz w:val="24"/>
          <w:szCs w:val="24"/>
        </w:rPr>
        <w:t>Constituição da República de Angola</w:t>
      </w:r>
    </w:p>
    <w:p w:rsidR="00CC50AE" w:rsidRDefault="00CC50AE" w:rsidP="00F15E9F">
      <w:pPr>
        <w:spacing w:after="0" w:line="360" w:lineRule="auto"/>
        <w:ind w:firstLine="709"/>
        <w:rPr>
          <w:rFonts w:ascii="Cambria" w:hAnsi="Cambria" w:cs="Times New Roman"/>
          <w:i/>
          <w:sz w:val="24"/>
          <w:szCs w:val="24"/>
        </w:rPr>
      </w:pPr>
      <w:r>
        <w:rPr>
          <w:rFonts w:ascii="Cambria" w:hAnsi="Cambria" w:cs="Times New Roman"/>
          <w:sz w:val="24"/>
          <w:szCs w:val="24"/>
        </w:rPr>
        <w:t xml:space="preserve">CRP </w:t>
      </w:r>
      <w:r>
        <w:rPr>
          <w:rFonts w:ascii="Cambria" w:hAnsi="Cambria" w:cs="Times New Roman"/>
          <w:sz w:val="24"/>
          <w:szCs w:val="24"/>
        </w:rPr>
        <w:tab/>
      </w:r>
      <w:r>
        <w:rPr>
          <w:rFonts w:ascii="Cambria" w:hAnsi="Cambria" w:cs="Times New Roman"/>
          <w:sz w:val="24"/>
          <w:szCs w:val="24"/>
        </w:rPr>
        <w:tab/>
      </w:r>
      <w:r>
        <w:rPr>
          <w:rFonts w:ascii="Cambria" w:hAnsi="Cambria" w:cs="Times New Roman"/>
          <w:i/>
          <w:sz w:val="24"/>
          <w:szCs w:val="24"/>
        </w:rPr>
        <w:t>Constituição da República Portuguesa</w:t>
      </w:r>
    </w:p>
    <w:p w:rsidR="00783A47" w:rsidRDefault="00783A47" w:rsidP="00F15E9F">
      <w:pPr>
        <w:spacing w:after="0" w:line="360" w:lineRule="auto"/>
        <w:ind w:firstLine="709"/>
        <w:rPr>
          <w:rFonts w:ascii="Cambria" w:hAnsi="Cambria" w:cs="Times New Roman"/>
          <w:i/>
          <w:sz w:val="24"/>
          <w:szCs w:val="24"/>
        </w:rPr>
      </w:pPr>
      <w:r>
        <w:rPr>
          <w:rFonts w:ascii="Cambria" w:hAnsi="Cambria" w:cs="Times New Roman"/>
          <w:i/>
          <w:sz w:val="24"/>
          <w:szCs w:val="24"/>
        </w:rPr>
        <w:t>CSC</w:t>
      </w:r>
      <w:r>
        <w:rPr>
          <w:rFonts w:ascii="Cambria" w:hAnsi="Cambria" w:cs="Times New Roman"/>
          <w:i/>
          <w:sz w:val="24"/>
          <w:szCs w:val="24"/>
        </w:rPr>
        <w:tab/>
      </w:r>
      <w:r>
        <w:rPr>
          <w:rFonts w:ascii="Cambria" w:hAnsi="Cambria" w:cs="Times New Roman"/>
          <w:i/>
          <w:sz w:val="24"/>
          <w:szCs w:val="24"/>
        </w:rPr>
        <w:tab/>
        <w:t>Cód</w:t>
      </w:r>
      <w:r w:rsidR="00A71F36">
        <w:rPr>
          <w:rFonts w:ascii="Cambria" w:hAnsi="Cambria" w:cs="Times New Roman"/>
          <w:i/>
          <w:sz w:val="24"/>
          <w:szCs w:val="24"/>
        </w:rPr>
        <w:t>igo das sociedades comerciais (Portugal</w:t>
      </w:r>
      <w:r>
        <w:rPr>
          <w:rFonts w:ascii="Cambria" w:hAnsi="Cambria" w:cs="Times New Roman"/>
          <w:i/>
          <w:sz w:val="24"/>
          <w:szCs w:val="24"/>
        </w:rPr>
        <w:t>)</w:t>
      </w:r>
    </w:p>
    <w:p w:rsidR="00CC50AE" w:rsidRPr="00783A47" w:rsidRDefault="00A71F36" w:rsidP="00783A47">
      <w:pPr>
        <w:spacing w:after="0" w:line="360" w:lineRule="auto"/>
        <w:ind w:firstLine="709"/>
        <w:rPr>
          <w:rFonts w:ascii="Cambria" w:hAnsi="Cambria" w:cs="Times New Roman"/>
          <w:i/>
          <w:sz w:val="24"/>
          <w:szCs w:val="24"/>
        </w:rPr>
      </w:pPr>
      <w:r>
        <w:rPr>
          <w:rFonts w:ascii="Cambria" w:hAnsi="Cambria" w:cs="Times New Roman"/>
          <w:i/>
          <w:sz w:val="24"/>
          <w:szCs w:val="24"/>
        </w:rPr>
        <w:t>e</w:t>
      </w:r>
      <w:r w:rsidR="003020B4">
        <w:rPr>
          <w:rFonts w:ascii="Cambria" w:hAnsi="Cambria" w:cs="Times New Roman"/>
          <w:i/>
          <w:sz w:val="24"/>
          <w:szCs w:val="24"/>
        </w:rPr>
        <w:t>d.</w:t>
      </w:r>
      <w:r w:rsidR="003020B4">
        <w:rPr>
          <w:rFonts w:ascii="Cambria" w:hAnsi="Cambria" w:cs="Times New Roman"/>
          <w:i/>
          <w:sz w:val="24"/>
          <w:szCs w:val="24"/>
        </w:rPr>
        <w:tab/>
      </w:r>
      <w:r w:rsidR="003020B4">
        <w:rPr>
          <w:rFonts w:ascii="Cambria" w:hAnsi="Cambria" w:cs="Times New Roman"/>
          <w:i/>
          <w:sz w:val="24"/>
          <w:szCs w:val="24"/>
        </w:rPr>
        <w:tab/>
        <w:t>Edição</w:t>
      </w:r>
      <w:r w:rsidR="003020B4">
        <w:rPr>
          <w:rFonts w:ascii="Cambria" w:hAnsi="Cambria" w:cs="Times New Roman"/>
          <w:i/>
          <w:sz w:val="24"/>
          <w:szCs w:val="24"/>
        </w:rPr>
        <w:tab/>
      </w:r>
    </w:p>
    <w:p w:rsidR="00F15E9F" w:rsidRDefault="00F15E9F" w:rsidP="00F15E9F">
      <w:pPr>
        <w:spacing w:after="0" w:line="360" w:lineRule="auto"/>
        <w:ind w:left="2124" w:hanging="1415"/>
        <w:rPr>
          <w:rFonts w:ascii="Cambria" w:hAnsi="Cambria" w:cs="Times New Roman"/>
          <w:i/>
          <w:sz w:val="24"/>
          <w:szCs w:val="24"/>
        </w:rPr>
      </w:pPr>
      <w:r>
        <w:rPr>
          <w:rFonts w:ascii="Cambria" w:hAnsi="Cambria" w:cs="Times New Roman"/>
          <w:i/>
          <w:sz w:val="24"/>
          <w:szCs w:val="24"/>
        </w:rPr>
        <w:t>OHADA</w:t>
      </w:r>
      <w:r>
        <w:rPr>
          <w:rFonts w:ascii="Cambria" w:hAnsi="Cambria" w:cs="Times New Roman"/>
          <w:i/>
          <w:sz w:val="24"/>
          <w:szCs w:val="24"/>
        </w:rPr>
        <w:tab/>
        <w:t>Organização para harmonização em África do Direito dos negócios</w:t>
      </w:r>
    </w:p>
    <w:p w:rsidR="004E2CE0" w:rsidRDefault="0019497B" w:rsidP="00F15E9F">
      <w:pPr>
        <w:spacing w:after="0" w:line="360" w:lineRule="auto"/>
        <w:ind w:left="2124" w:hanging="1415"/>
        <w:rPr>
          <w:rFonts w:ascii="Cambria" w:hAnsi="Cambria" w:cs="Times New Roman"/>
          <w:i/>
          <w:sz w:val="24"/>
          <w:szCs w:val="24"/>
        </w:rPr>
      </w:pPr>
      <w:r>
        <w:rPr>
          <w:rFonts w:ascii="Cambria" w:hAnsi="Cambria" w:cs="Times New Roman"/>
          <w:i/>
          <w:sz w:val="24"/>
          <w:szCs w:val="24"/>
        </w:rPr>
        <w:t>Op</w:t>
      </w:r>
      <w:r w:rsidR="004E2CE0">
        <w:rPr>
          <w:rFonts w:ascii="Cambria" w:hAnsi="Cambria" w:cs="Times New Roman"/>
          <w:i/>
          <w:sz w:val="24"/>
          <w:szCs w:val="24"/>
        </w:rPr>
        <w:t xml:space="preserve"> cit.</w:t>
      </w:r>
      <w:r w:rsidR="004E2CE0">
        <w:rPr>
          <w:rFonts w:ascii="Cambria" w:hAnsi="Cambria" w:cs="Times New Roman"/>
          <w:i/>
          <w:sz w:val="24"/>
          <w:szCs w:val="24"/>
        </w:rPr>
        <w:tab/>
        <w:t>Obra citada</w:t>
      </w:r>
    </w:p>
    <w:p w:rsidR="004E2CE0" w:rsidRDefault="004E2CE0" w:rsidP="00F15E9F">
      <w:pPr>
        <w:spacing w:after="0" w:line="360" w:lineRule="auto"/>
        <w:ind w:left="2124" w:hanging="1415"/>
        <w:rPr>
          <w:rFonts w:ascii="Cambria" w:hAnsi="Cambria" w:cs="Times New Roman"/>
          <w:i/>
          <w:sz w:val="24"/>
          <w:szCs w:val="24"/>
        </w:rPr>
      </w:pPr>
      <w:r>
        <w:rPr>
          <w:rFonts w:ascii="Cambria" w:hAnsi="Cambria" w:cs="Times New Roman"/>
          <w:i/>
          <w:sz w:val="24"/>
          <w:szCs w:val="24"/>
        </w:rPr>
        <w:t>p.</w:t>
      </w:r>
      <w:r>
        <w:rPr>
          <w:rFonts w:ascii="Cambria" w:hAnsi="Cambria" w:cs="Times New Roman"/>
          <w:i/>
          <w:sz w:val="24"/>
          <w:szCs w:val="24"/>
        </w:rPr>
        <w:tab/>
      </w:r>
      <w:r w:rsidR="003020B4">
        <w:rPr>
          <w:rFonts w:ascii="Cambria" w:hAnsi="Cambria" w:cs="Times New Roman"/>
          <w:i/>
          <w:sz w:val="24"/>
          <w:szCs w:val="24"/>
        </w:rPr>
        <w:t>Página</w:t>
      </w:r>
    </w:p>
    <w:p w:rsidR="004E2CE0" w:rsidRDefault="004E2CE0" w:rsidP="00CC50AE">
      <w:pPr>
        <w:spacing w:after="0" w:line="360" w:lineRule="auto"/>
        <w:ind w:firstLine="709"/>
        <w:rPr>
          <w:rFonts w:ascii="Cambria" w:hAnsi="Cambria" w:cs="Times New Roman"/>
          <w:i/>
          <w:sz w:val="24"/>
          <w:szCs w:val="24"/>
        </w:rPr>
      </w:pPr>
      <w:r>
        <w:rPr>
          <w:rFonts w:ascii="Cambria" w:hAnsi="Cambria" w:cs="Times New Roman"/>
          <w:i/>
          <w:sz w:val="24"/>
          <w:szCs w:val="24"/>
        </w:rPr>
        <w:t>SS</w:t>
      </w:r>
      <w:r>
        <w:rPr>
          <w:rFonts w:ascii="Cambria" w:hAnsi="Cambria" w:cs="Times New Roman"/>
          <w:i/>
          <w:sz w:val="24"/>
          <w:szCs w:val="24"/>
        </w:rPr>
        <w:tab/>
      </w:r>
      <w:r>
        <w:rPr>
          <w:rFonts w:ascii="Cambria" w:hAnsi="Cambria" w:cs="Times New Roman"/>
          <w:i/>
          <w:sz w:val="24"/>
          <w:szCs w:val="24"/>
        </w:rPr>
        <w:tab/>
        <w:t>Seguintes</w:t>
      </w:r>
    </w:p>
    <w:p w:rsidR="00783A47" w:rsidRDefault="00783A47" w:rsidP="00CC50AE">
      <w:pPr>
        <w:spacing w:after="0" w:line="360" w:lineRule="auto"/>
        <w:ind w:firstLine="709"/>
        <w:rPr>
          <w:rFonts w:ascii="Cambria" w:hAnsi="Cambria" w:cs="Times New Roman"/>
          <w:i/>
          <w:sz w:val="24"/>
          <w:szCs w:val="24"/>
        </w:rPr>
      </w:pPr>
      <w:r>
        <w:rPr>
          <w:rFonts w:ascii="Cambria" w:hAnsi="Cambria" w:cs="Times New Roman"/>
          <w:i/>
          <w:sz w:val="24"/>
          <w:szCs w:val="24"/>
        </w:rPr>
        <w:t>RDM</w:t>
      </w:r>
      <w:r>
        <w:rPr>
          <w:rFonts w:ascii="Cambria" w:hAnsi="Cambria" w:cs="Times New Roman"/>
          <w:i/>
          <w:sz w:val="24"/>
          <w:szCs w:val="24"/>
        </w:rPr>
        <w:tab/>
      </w:r>
      <w:r>
        <w:rPr>
          <w:rFonts w:ascii="Cambria" w:hAnsi="Cambria" w:cs="Times New Roman"/>
          <w:i/>
          <w:sz w:val="24"/>
          <w:szCs w:val="24"/>
        </w:rPr>
        <w:tab/>
        <w:t>Revista de Derecho Mercantil</w:t>
      </w:r>
    </w:p>
    <w:p w:rsidR="00783A47" w:rsidRDefault="00783A47" w:rsidP="00CC50AE">
      <w:pPr>
        <w:spacing w:after="0" w:line="360" w:lineRule="auto"/>
        <w:ind w:firstLine="709"/>
        <w:rPr>
          <w:rFonts w:ascii="Cambria" w:hAnsi="Cambria" w:cs="Times New Roman"/>
          <w:i/>
          <w:sz w:val="24"/>
          <w:szCs w:val="24"/>
        </w:rPr>
      </w:pPr>
      <w:r>
        <w:rPr>
          <w:rFonts w:ascii="Cambria" w:hAnsi="Cambria" w:cs="Times New Roman"/>
          <w:i/>
          <w:sz w:val="24"/>
          <w:szCs w:val="24"/>
        </w:rPr>
        <w:t>Rds</w:t>
      </w:r>
      <w:r>
        <w:rPr>
          <w:rFonts w:ascii="Cambria" w:hAnsi="Cambria" w:cs="Times New Roman"/>
          <w:i/>
          <w:sz w:val="24"/>
          <w:szCs w:val="24"/>
        </w:rPr>
        <w:tab/>
      </w:r>
      <w:r>
        <w:rPr>
          <w:rFonts w:ascii="Cambria" w:hAnsi="Cambria" w:cs="Times New Roman"/>
          <w:i/>
          <w:sz w:val="24"/>
          <w:szCs w:val="24"/>
        </w:rPr>
        <w:tab/>
        <w:t>Revista de Derecho de Sociedades</w:t>
      </w:r>
    </w:p>
    <w:p w:rsidR="003020B4" w:rsidRDefault="003020B4" w:rsidP="00CC50AE">
      <w:pPr>
        <w:spacing w:after="0" w:line="360" w:lineRule="auto"/>
        <w:ind w:firstLine="709"/>
        <w:rPr>
          <w:rFonts w:ascii="Cambria" w:hAnsi="Cambria" w:cs="Times New Roman"/>
          <w:i/>
          <w:sz w:val="24"/>
          <w:szCs w:val="24"/>
        </w:rPr>
      </w:pPr>
      <w:r>
        <w:rPr>
          <w:rFonts w:ascii="Cambria" w:hAnsi="Cambria" w:cs="Times New Roman"/>
          <w:i/>
          <w:sz w:val="24"/>
          <w:szCs w:val="24"/>
        </w:rPr>
        <w:t>ROA</w:t>
      </w:r>
      <w:r>
        <w:rPr>
          <w:rFonts w:ascii="Cambria" w:hAnsi="Cambria" w:cs="Times New Roman"/>
          <w:i/>
          <w:sz w:val="24"/>
          <w:szCs w:val="24"/>
        </w:rPr>
        <w:tab/>
      </w:r>
      <w:r>
        <w:rPr>
          <w:rFonts w:ascii="Cambria" w:hAnsi="Cambria" w:cs="Times New Roman"/>
          <w:i/>
          <w:sz w:val="24"/>
          <w:szCs w:val="24"/>
        </w:rPr>
        <w:tab/>
        <w:t>Revista da Ordem dos Advogados</w:t>
      </w:r>
    </w:p>
    <w:p w:rsidR="00CC50AE" w:rsidRDefault="00F15E9F" w:rsidP="00F15E9F">
      <w:pPr>
        <w:spacing w:after="0" w:line="360" w:lineRule="auto"/>
        <w:rPr>
          <w:rFonts w:ascii="Cambria" w:hAnsi="Cambria" w:cs="Times New Roman"/>
          <w:sz w:val="24"/>
          <w:szCs w:val="24"/>
        </w:rPr>
      </w:pPr>
      <w:r>
        <w:rPr>
          <w:rFonts w:ascii="Cambria" w:hAnsi="Cambria" w:cs="Times New Roman"/>
          <w:i/>
          <w:sz w:val="24"/>
          <w:szCs w:val="24"/>
        </w:rPr>
        <w:t xml:space="preserve">          UEMOA</w:t>
      </w:r>
      <w:r>
        <w:rPr>
          <w:rFonts w:ascii="Cambria" w:hAnsi="Cambria" w:cs="Times New Roman"/>
          <w:i/>
          <w:sz w:val="24"/>
          <w:szCs w:val="24"/>
        </w:rPr>
        <w:tab/>
      </w:r>
      <w:r>
        <w:rPr>
          <w:rFonts w:ascii="Cambria" w:hAnsi="Cambria" w:cs="Times New Roman"/>
          <w:i/>
          <w:sz w:val="24"/>
          <w:szCs w:val="24"/>
        </w:rPr>
        <w:tab/>
        <w:t>União económica monetária do oeste africano</w:t>
      </w:r>
      <w:r w:rsidR="00CC50AE">
        <w:rPr>
          <w:rFonts w:ascii="Cambria" w:hAnsi="Cambria" w:cs="Times New Roman"/>
          <w:sz w:val="24"/>
          <w:szCs w:val="24"/>
        </w:rPr>
        <w:br w:type="page"/>
      </w:r>
    </w:p>
    <w:p w:rsidR="00CC50AE" w:rsidRDefault="00CC50AE" w:rsidP="00CC50AE">
      <w:pPr>
        <w:pStyle w:val="SemEspaamento1"/>
        <w:rPr>
          <w:sz w:val="32"/>
        </w:rPr>
      </w:pPr>
      <w:bookmarkStart w:id="4" w:name="_Toc511403361"/>
      <w:r>
        <w:rPr>
          <w:sz w:val="32"/>
        </w:rPr>
        <w:t>RESUMO</w:t>
      </w:r>
      <w:bookmarkEnd w:id="4"/>
    </w:p>
    <w:p w:rsidR="00CC50AE" w:rsidRDefault="00CC50AE" w:rsidP="00CC50AE">
      <w:pPr>
        <w:spacing w:after="0" w:line="360" w:lineRule="auto"/>
        <w:ind w:firstLine="709"/>
        <w:rPr>
          <w:rFonts w:ascii="Cambria" w:hAnsi="Cambria" w:cs="Times New Roman"/>
          <w:sz w:val="24"/>
          <w:szCs w:val="24"/>
        </w:rPr>
      </w:pPr>
    </w:p>
    <w:p w:rsidR="00671106"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O presente estudo subordina-se à análise do </w:t>
      </w:r>
      <w:r w:rsidR="0027643C">
        <w:rPr>
          <w:rFonts w:ascii="Cambria" w:hAnsi="Cambria" w:cs="Times New Roman"/>
          <w:sz w:val="24"/>
          <w:szCs w:val="24"/>
        </w:rPr>
        <w:t xml:space="preserve">contrato de </w:t>
      </w:r>
      <w:r w:rsidR="0027643C" w:rsidRPr="006D6CAE">
        <w:rPr>
          <w:rFonts w:ascii="Cambria" w:hAnsi="Cambria" w:cs="Times New Roman"/>
          <w:i/>
          <w:sz w:val="24"/>
          <w:szCs w:val="24"/>
        </w:rPr>
        <w:t>cash pooling</w:t>
      </w:r>
      <w:r w:rsidR="0027643C">
        <w:rPr>
          <w:rFonts w:ascii="Cambria" w:hAnsi="Cambria" w:cs="Times New Roman"/>
          <w:sz w:val="24"/>
          <w:szCs w:val="24"/>
        </w:rPr>
        <w:t xml:space="preserve">. O seu estudo justifica-se pelo facto do contrato de </w:t>
      </w:r>
      <w:r w:rsidR="0027643C" w:rsidRPr="00671106">
        <w:rPr>
          <w:rFonts w:ascii="Cambria" w:hAnsi="Cambria" w:cs="Times New Roman"/>
          <w:i/>
          <w:sz w:val="24"/>
          <w:szCs w:val="24"/>
        </w:rPr>
        <w:t>cash pooling</w:t>
      </w:r>
      <w:r w:rsidR="003F011F">
        <w:rPr>
          <w:rFonts w:ascii="Cambria" w:hAnsi="Cambria" w:cs="Times New Roman"/>
          <w:sz w:val="24"/>
          <w:szCs w:val="24"/>
        </w:rPr>
        <w:t xml:space="preserve"> constituir um</w:t>
      </w:r>
      <w:r w:rsidR="0027643C">
        <w:rPr>
          <w:rFonts w:ascii="Cambria" w:hAnsi="Cambria" w:cs="Times New Roman"/>
          <w:sz w:val="24"/>
          <w:szCs w:val="24"/>
        </w:rPr>
        <w:t xml:space="preserve"> verdadeiro meio alternativo de </w:t>
      </w:r>
      <w:r w:rsidR="00671106">
        <w:rPr>
          <w:rFonts w:ascii="Cambria" w:hAnsi="Cambria" w:cs="Times New Roman"/>
          <w:sz w:val="24"/>
          <w:szCs w:val="24"/>
        </w:rPr>
        <w:t>financiamento</w:t>
      </w:r>
      <w:r w:rsidR="0027643C">
        <w:rPr>
          <w:rFonts w:ascii="Cambria" w:hAnsi="Cambria" w:cs="Times New Roman"/>
          <w:sz w:val="24"/>
          <w:szCs w:val="24"/>
        </w:rPr>
        <w:t>, que</w:t>
      </w:r>
      <w:r w:rsidR="00671106">
        <w:rPr>
          <w:rFonts w:ascii="Cambria" w:hAnsi="Cambria" w:cs="Times New Roman"/>
          <w:sz w:val="24"/>
          <w:szCs w:val="24"/>
        </w:rPr>
        <w:t xml:space="preserve"> visa gestão consolidada da tesouraria de um grupo de sociedades e justifica-</w:t>
      </w:r>
      <w:r w:rsidR="00DF0961">
        <w:rPr>
          <w:rFonts w:ascii="Cambria" w:hAnsi="Cambria" w:cs="Times New Roman"/>
          <w:sz w:val="24"/>
          <w:szCs w:val="24"/>
        </w:rPr>
        <w:t>se pela necessidade de evitar-se</w:t>
      </w:r>
      <w:r w:rsidR="00671106">
        <w:rPr>
          <w:rFonts w:ascii="Cambria" w:hAnsi="Cambria" w:cs="Times New Roman"/>
          <w:sz w:val="24"/>
          <w:szCs w:val="24"/>
        </w:rPr>
        <w:t xml:space="preserve"> custos inerentes ao financiamento externo, bem como minimizar o valor dos juros, que </w:t>
      </w:r>
      <w:r w:rsidR="00DF0961">
        <w:rPr>
          <w:rFonts w:ascii="Cambria" w:hAnsi="Cambria" w:cs="Times New Roman"/>
          <w:sz w:val="24"/>
          <w:szCs w:val="24"/>
        </w:rPr>
        <w:t>aumentaram, fruto da crise no sector financeiro.</w:t>
      </w:r>
    </w:p>
    <w:p w:rsidR="00671106"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Entretanto, a nossa pesquisa procura demonstrar que os principais motivos </w:t>
      </w:r>
      <w:r w:rsidR="006D6CAE">
        <w:rPr>
          <w:rFonts w:ascii="Cambria" w:hAnsi="Cambria" w:cs="Times New Roman"/>
          <w:sz w:val="24"/>
          <w:szCs w:val="24"/>
        </w:rPr>
        <w:t xml:space="preserve">que </w:t>
      </w:r>
      <w:r w:rsidR="00671106">
        <w:rPr>
          <w:rFonts w:ascii="Cambria" w:hAnsi="Cambria" w:cs="Times New Roman"/>
          <w:sz w:val="24"/>
          <w:szCs w:val="24"/>
        </w:rPr>
        <w:t>norteiam</w:t>
      </w:r>
      <w:r w:rsidR="006D6CAE">
        <w:rPr>
          <w:rFonts w:ascii="Cambria" w:hAnsi="Cambria" w:cs="Times New Roman"/>
          <w:sz w:val="24"/>
          <w:szCs w:val="24"/>
        </w:rPr>
        <w:t xml:space="preserve"> a implementação do contrato de </w:t>
      </w:r>
      <w:r w:rsidR="006D6CAE" w:rsidRPr="00671106">
        <w:rPr>
          <w:rFonts w:ascii="Cambria" w:hAnsi="Cambria" w:cs="Times New Roman"/>
          <w:i/>
          <w:sz w:val="24"/>
          <w:szCs w:val="24"/>
        </w:rPr>
        <w:t>cash pooling</w:t>
      </w:r>
      <w:r w:rsidR="006D6CAE">
        <w:rPr>
          <w:rFonts w:ascii="Cambria" w:hAnsi="Cambria" w:cs="Times New Roman"/>
          <w:sz w:val="24"/>
          <w:szCs w:val="24"/>
        </w:rPr>
        <w:t xml:space="preserve">, devem ser </w:t>
      </w:r>
      <w:r w:rsidR="00DF0961">
        <w:rPr>
          <w:rFonts w:ascii="Cambria" w:hAnsi="Cambria" w:cs="Times New Roman"/>
          <w:sz w:val="24"/>
          <w:szCs w:val="24"/>
        </w:rPr>
        <w:t>confrontados com os entraves estabelecidos</w:t>
      </w:r>
      <w:r w:rsidR="006D6CAE">
        <w:rPr>
          <w:rFonts w:ascii="Cambria" w:hAnsi="Cambria" w:cs="Times New Roman"/>
          <w:sz w:val="24"/>
          <w:szCs w:val="24"/>
        </w:rPr>
        <w:t xml:space="preserve"> pela lei das sociedades comerciais, bem como pela </w:t>
      </w:r>
      <w:r w:rsidR="00671106">
        <w:rPr>
          <w:rFonts w:ascii="Cambria" w:hAnsi="Cambria" w:cs="Times New Roman"/>
          <w:sz w:val="24"/>
          <w:szCs w:val="24"/>
        </w:rPr>
        <w:t xml:space="preserve">lei das instituições financeiras. </w:t>
      </w:r>
    </w:p>
    <w:p w:rsidR="009D7D91" w:rsidRDefault="00AB1AB9"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A primeira abordagem, vai no sentido de apresentar </w:t>
      </w:r>
      <w:r w:rsidR="009D7D91">
        <w:rPr>
          <w:rFonts w:ascii="Cambria" w:hAnsi="Cambria" w:cs="Times New Roman"/>
          <w:sz w:val="24"/>
          <w:szCs w:val="24"/>
        </w:rPr>
        <w:t>a figura, o seu conceito, as suas modalidades, modo de funcionamento e a natureza jurídica da figura.</w:t>
      </w:r>
    </w:p>
    <w:p w:rsidR="00B51751" w:rsidRDefault="009D7D91" w:rsidP="00E40A38">
      <w:pPr>
        <w:spacing w:after="0" w:line="360" w:lineRule="auto"/>
        <w:ind w:firstLine="709"/>
        <w:rPr>
          <w:rFonts w:ascii="Cambria" w:hAnsi="Cambria" w:cs="Times New Roman"/>
          <w:sz w:val="24"/>
          <w:szCs w:val="24"/>
        </w:rPr>
      </w:pPr>
      <w:r>
        <w:rPr>
          <w:rFonts w:ascii="Cambria" w:hAnsi="Cambria" w:cs="Times New Roman"/>
          <w:sz w:val="24"/>
          <w:szCs w:val="24"/>
        </w:rPr>
        <w:t>É também feita uma análise do direito comparado do</w:t>
      </w:r>
      <w:r w:rsidR="00CC50AE">
        <w:rPr>
          <w:rFonts w:ascii="Cambria" w:hAnsi="Cambria" w:cs="Times New Roman"/>
          <w:sz w:val="24"/>
          <w:szCs w:val="24"/>
        </w:rPr>
        <w:t xml:space="preserve"> sistema</w:t>
      </w:r>
      <w:r>
        <w:rPr>
          <w:rFonts w:ascii="Cambria" w:hAnsi="Cambria" w:cs="Times New Roman"/>
          <w:sz w:val="24"/>
          <w:szCs w:val="24"/>
        </w:rPr>
        <w:t xml:space="preserve"> de </w:t>
      </w:r>
      <w:r w:rsidRPr="00E40A38">
        <w:rPr>
          <w:rFonts w:ascii="Cambria" w:hAnsi="Cambria" w:cs="Times New Roman"/>
          <w:i/>
          <w:sz w:val="24"/>
          <w:szCs w:val="24"/>
        </w:rPr>
        <w:t>cash pooling,</w:t>
      </w:r>
      <w:r>
        <w:rPr>
          <w:rFonts w:ascii="Cambria" w:hAnsi="Cambria" w:cs="Times New Roman"/>
          <w:sz w:val="24"/>
          <w:szCs w:val="24"/>
        </w:rPr>
        <w:t xml:space="preserve"> a nível dos países africanos francófonos, em países como a África do Sul e Nigéria</w:t>
      </w:r>
      <w:r w:rsidR="00E40A38">
        <w:rPr>
          <w:rFonts w:ascii="Cambria" w:hAnsi="Cambria" w:cs="Times New Roman"/>
          <w:sz w:val="24"/>
          <w:szCs w:val="24"/>
        </w:rPr>
        <w:t xml:space="preserve"> que demonstram um estudo </w:t>
      </w:r>
      <w:r>
        <w:rPr>
          <w:rFonts w:ascii="Cambria" w:hAnsi="Cambria" w:cs="Times New Roman"/>
          <w:sz w:val="24"/>
          <w:szCs w:val="24"/>
        </w:rPr>
        <w:t>superficial da figura e de países da Europa, onde o e</w:t>
      </w:r>
      <w:r w:rsidR="00B51751">
        <w:rPr>
          <w:rFonts w:ascii="Cambria" w:hAnsi="Cambria" w:cs="Times New Roman"/>
          <w:sz w:val="24"/>
          <w:szCs w:val="24"/>
        </w:rPr>
        <w:t>studo da figura tem-se mostrado mais desenvolvido.</w:t>
      </w:r>
    </w:p>
    <w:p w:rsidR="00CC50AE" w:rsidRDefault="00CC50AE" w:rsidP="00CC50AE">
      <w:pPr>
        <w:spacing w:after="0" w:line="360" w:lineRule="auto"/>
        <w:ind w:firstLine="709"/>
        <w:rPr>
          <w:rFonts w:ascii="Cambria" w:hAnsi="Cambria" w:cs="Times New Roman"/>
          <w:sz w:val="24"/>
          <w:szCs w:val="24"/>
        </w:rPr>
      </w:pPr>
      <w:r>
        <w:rPr>
          <w:rFonts w:ascii="Cambria" w:hAnsi="Cambria" w:cs="Times New Roman"/>
          <w:sz w:val="24"/>
          <w:szCs w:val="24"/>
        </w:rPr>
        <w:t xml:space="preserve">Finalmente, </w:t>
      </w:r>
      <w:r w:rsidR="00B51751">
        <w:rPr>
          <w:rFonts w:ascii="Cambria" w:hAnsi="Cambria" w:cs="Times New Roman"/>
          <w:sz w:val="24"/>
          <w:szCs w:val="24"/>
        </w:rPr>
        <w:t xml:space="preserve">no terceiro capítulo </w:t>
      </w:r>
      <w:r w:rsidR="00E40A38">
        <w:rPr>
          <w:rFonts w:ascii="Cambria" w:hAnsi="Cambria" w:cs="Times New Roman"/>
          <w:sz w:val="24"/>
          <w:szCs w:val="24"/>
        </w:rPr>
        <w:t xml:space="preserve">será feita </w:t>
      </w:r>
      <w:r w:rsidR="00B51751">
        <w:rPr>
          <w:rFonts w:ascii="Cambria" w:hAnsi="Cambria" w:cs="Times New Roman"/>
          <w:sz w:val="24"/>
          <w:szCs w:val="24"/>
        </w:rPr>
        <w:t xml:space="preserve">uma abordagem aos problemas jurídicos que a implementação da figura de </w:t>
      </w:r>
      <w:r w:rsidR="00B51751" w:rsidRPr="00B51751">
        <w:rPr>
          <w:rFonts w:ascii="Cambria" w:hAnsi="Cambria" w:cs="Times New Roman"/>
          <w:i/>
          <w:sz w:val="24"/>
          <w:szCs w:val="24"/>
        </w:rPr>
        <w:t>cash pooling</w:t>
      </w:r>
      <w:r w:rsidR="00B51751">
        <w:rPr>
          <w:rFonts w:ascii="Cambria" w:hAnsi="Cambria" w:cs="Times New Roman"/>
          <w:sz w:val="24"/>
          <w:szCs w:val="24"/>
        </w:rPr>
        <w:t xml:space="preserve"> pode provocar ao ordenamento jurídico Angola</w:t>
      </w:r>
      <w:r w:rsidR="00314F72">
        <w:rPr>
          <w:rFonts w:ascii="Cambria" w:hAnsi="Cambria" w:cs="Times New Roman"/>
          <w:sz w:val="24"/>
          <w:szCs w:val="24"/>
        </w:rPr>
        <w:t xml:space="preserve">, bem como </w:t>
      </w:r>
      <w:r w:rsidR="00B51751">
        <w:rPr>
          <w:rFonts w:ascii="Cambria" w:hAnsi="Cambria" w:cs="Times New Roman"/>
          <w:sz w:val="24"/>
          <w:szCs w:val="24"/>
        </w:rPr>
        <w:t xml:space="preserve">as possíveis soluções para </w:t>
      </w:r>
      <w:r w:rsidR="00314F72">
        <w:rPr>
          <w:rFonts w:ascii="Cambria" w:hAnsi="Cambria" w:cs="Times New Roman"/>
          <w:sz w:val="24"/>
          <w:szCs w:val="24"/>
        </w:rPr>
        <w:t>resolução d</w:t>
      </w:r>
      <w:r w:rsidR="00B51751">
        <w:rPr>
          <w:rFonts w:ascii="Cambria" w:hAnsi="Cambria" w:cs="Times New Roman"/>
          <w:sz w:val="24"/>
          <w:szCs w:val="24"/>
        </w:rPr>
        <w:t xml:space="preserve">estes problemas, </w:t>
      </w:r>
      <w:r w:rsidR="00E40A38">
        <w:rPr>
          <w:rFonts w:ascii="Cambria" w:hAnsi="Cambria" w:cs="Times New Roman"/>
          <w:sz w:val="24"/>
          <w:szCs w:val="24"/>
        </w:rPr>
        <w:t xml:space="preserve">com vista a </w:t>
      </w:r>
      <w:r w:rsidR="00B51751">
        <w:rPr>
          <w:rFonts w:ascii="Cambria" w:hAnsi="Cambria" w:cs="Times New Roman"/>
          <w:sz w:val="24"/>
          <w:szCs w:val="24"/>
        </w:rPr>
        <w:t xml:space="preserve">alcançar os objectivos das sociedades participantes no grupo. </w:t>
      </w:r>
    </w:p>
    <w:p w:rsidR="00314F72" w:rsidRDefault="00314F72" w:rsidP="00CC50AE">
      <w:pPr>
        <w:spacing w:after="0" w:line="360" w:lineRule="auto"/>
        <w:ind w:firstLine="709"/>
        <w:rPr>
          <w:rFonts w:ascii="Cambria" w:hAnsi="Cambria" w:cs="Times New Roman"/>
          <w:sz w:val="24"/>
          <w:szCs w:val="24"/>
        </w:rPr>
      </w:pPr>
    </w:p>
    <w:p w:rsidR="00CC50AE" w:rsidRPr="00314F72" w:rsidRDefault="00CC50AE" w:rsidP="00CC50AE">
      <w:pPr>
        <w:spacing w:after="0" w:line="360" w:lineRule="auto"/>
        <w:ind w:firstLine="709"/>
        <w:rPr>
          <w:rFonts w:ascii="Cambria" w:hAnsi="Cambria" w:cs="Times New Roman"/>
          <w:sz w:val="24"/>
          <w:szCs w:val="24"/>
          <w:lang w:val="en-US"/>
        </w:rPr>
      </w:pPr>
      <w:r w:rsidRPr="00314F72">
        <w:rPr>
          <w:rFonts w:ascii="Cambria" w:hAnsi="Cambria" w:cs="Times New Roman"/>
          <w:sz w:val="24"/>
          <w:szCs w:val="24"/>
          <w:lang w:val="en-US"/>
        </w:rPr>
        <w:t xml:space="preserve">Palavras-chaves: </w:t>
      </w:r>
      <w:r w:rsidRPr="00314F72">
        <w:rPr>
          <w:rFonts w:ascii="Cambria" w:hAnsi="Cambria" w:cs="Times New Roman"/>
          <w:i/>
          <w:sz w:val="24"/>
          <w:szCs w:val="24"/>
          <w:lang w:val="en-US"/>
        </w:rPr>
        <w:t>Contrato</w:t>
      </w:r>
      <w:r w:rsidR="00B51751" w:rsidRPr="00314F72">
        <w:rPr>
          <w:rFonts w:ascii="Cambria" w:hAnsi="Cambria" w:cs="Times New Roman"/>
          <w:i/>
          <w:sz w:val="24"/>
          <w:szCs w:val="24"/>
          <w:lang w:val="en-US"/>
        </w:rPr>
        <w:t xml:space="preserve">de cash pooling, notional cash pooling, cash concentration, </w:t>
      </w:r>
      <w:r w:rsidR="00314F72">
        <w:rPr>
          <w:rFonts w:ascii="Cambria" w:hAnsi="Cambria" w:cs="Times New Roman"/>
          <w:i/>
          <w:sz w:val="24"/>
          <w:szCs w:val="24"/>
          <w:lang w:val="en-US"/>
        </w:rPr>
        <w:t xml:space="preserve">pooler e </w:t>
      </w:r>
      <w:r w:rsidR="00314F72" w:rsidRPr="00314F72">
        <w:rPr>
          <w:rFonts w:ascii="Cambria" w:hAnsi="Cambria" w:cs="Times New Roman"/>
          <w:i/>
          <w:sz w:val="24"/>
          <w:szCs w:val="24"/>
          <w:lang w:val="en-US"/>
        </w:rPr>
        <w:t>master account</w:t>
      </w:r>
      <w:r w:rsidRPr="00314F72">
        <w:rPr>
          <w:rFonts w:ascii="Cambria" w:hAnsi="Cambria" w:cs="Times New Roman"/>
          <w:sz w:val="24"/>
          <w:szCs w:val="24"/>
          <w:lang w:val="en-US"/>
        </w:rPr>
        <w:t>.</w:t>
      </w:r>
    </w:p>
    <w:p w:rsidR="00CC50AE" w:rsidRPr="00314F72" w:rsidRDefault="00CC50AE" w:rsidP="00CC50AE">
      <w:pPr>
        <w:spacing w:after="0" w:line="360" w:lineRule="auto"/>
        <w:rPr>
          <w:rFonts w:ascii="Cambria" w:hAnsi="Cambria" w:cs="Times New Roman"/>
          <w:sz w:val="24"/>
          <w:szCs w:val="24"/>
          <w:lang w:val="en-US"/>
        </w:rPr>
      </w:pPr>
    </w:p>
    <w:p w:rsidR="00CC50AE" w:rsidRPr="00314F72" w:rsidRDefault="00CC50AE" w:rsidP="00CC50AE">
      <w:pPr>
        <w:spacing w:after="0" w:line="360" w:lineRule="auto"/>
        <w:rPr>
          <w:rFonts w:ascii="Cambria" w:hAnsi="Cambria" w:cs="Times New Roman"/>
          <w:sz w:val="24"/>
          <w:szCs w:val="24"/>
          <w:lang w:val="en-US"/>
        </w:rPr>
      </w:pPr>
    </w:p>
    <w:p w:rsidR="00CC50AE" w:rsidRPr="00314F72" w:rsidRDefault="00CC50AE" w:rsidP="00CC50AE">
      <w:pPr>
        <w:spacing w:after="0" w:line="360" w:lineRule="auto"/>
        <w:rPr>
          <w:rFonts w:ascii="Cambria" w:hAnsi="Cambria" w:cs="Times New Roman"/>
          <w:sz w:val="24"/>
          <w:szCs w:val="24"/>
          <w:lang w:val="en-US"/>
        </w:rPr>
      </w:pPr>
    </w:p>
    <w:p w:rsidR="00CC50AE" w:rsidRPr="00C2335E" w:rsidRDefault="00CC50AE" w:rsidP="00CC50AE">
      <w:pPr>
        <w:pStyle w:val="SemEspaamento1"/>
        <w:rPr>
          <w:sz w:val="32"/>
          <w:lang w:val="en-US"/>
        </w:rPr>
      </w:pPr>
      <w:bookmarkStart w:id="5" w:name="_Toc511403362"/>
      <w:r w:rsidRPr="00C2335E">
        <w:rPr>
          <w:sz w:val="32"/>
          <w:lang w:val="en-US"/>
        </w:rPr>
        <w:t>Abstract</w:t>
      </w:r>
      <w:bookmarkEnd w:id="5"/>
    </w:p>
    <w:p w:rsidR="00CC50AE" w:rsidRDefault="00CC50AE" w:rsidP="00CC50AE">
      <w:pPr>
        <w:rPr>
          <w:lang w:val="en-US"/>
        </w:rPr>
      </w:pPr>
    </w:p>
    <w:p w:rsidR="00DB4B16" w:rsidRDefault="00DB4B16" w:rsidP="00DB4B16">
      <w:pPr>
        <w:spacing w:line="360" w:lineRule="auto"/>
        <w:rPr>
          <w:rFonts w:asciiTheme="majorHAnsi" w:hAnsiTheme="majorHAnsi" w:cs="Arial"/>
          <w:color w:val="212121"/>
          <w:sz w:val="24"/>
          <w:szCs w:val="24"/>
          <w:lang w:val="en-US"/>
        </w:rPr>
      </w:pPr>
      <w:r w:rsidRPr="00660E85">
        <w:rPr>
          <w:rFonts w:asciiTheme="majorHAnsi" w:hAnsiTheme="majorHAnsi" w:cs="Arial"/>
          <w:color w:val="212121"/>
          <w:sz w:val="24"/>
          <w:szCs w:val="24"/>
          <w:lang w:val="en-US"/>
        </w:rPr>
        <w:t xml:space="preserve">The present study is subordinated to the analysis of the cash pooling contract. Its study is justified by the fact that the cash pooling contract constitutes a real alternative means of financing, which aims at the consolidated management of the cash flow of a group of companies and is justified by the need to avoid costs inherent to external financing, as well as to minimize the value of interest, which increased as a result of the crisis in the financial sector. </w:t>
      </w:r>
    </w:p>
    <w:p w:rsidR="00DB4B16" w:rsidRDefault="00DB4B16" w:rsidP="00DB4B16">
      <w:pPr>
        <w:spacing w:line="360" w:lineRule="auto"/>
        <w:rPr>
          <w:rFonts w:asciiTheme="majorHAnsi" w:hAnsiTheme="majorHAnsi" w:cs="Arial"/>
          <w:color w:val="212121"/>
          <w:sz w:val="24"/>
          <w:szCs w:val="24"/>
          <w:lang w:val="en-US"/>
        </w:rPr>
      </w:pPr>
      <w:r w:rsidRPr="00660E85">
        <w:rPr>
          <w:rFonts w:asciiTheme="majorHAnsi" w:hAnsiTheme="majorHAnsi" w:cs="Arial"/>
          <w:color w:val="212121"/>
          <w:sz w:val="24"/>
          <w:szCs w:val="24"/>
          <w:lang w:val="en-US"/>
        </w:rPr>
        <w:t xml:space="preserve">However, our research seeks to demonstrate that the main reasons for the implementation of the cash pooling contract must be faced with the obstacles established by the law of commercial companies as well as by the law of financial institutions. </w:t>
      </w:r>
    </w:p>
    <w:p w:rsidR="00DB4B16" w:rsidRDefault="00DB4B16" w:rsidP="00DB4B16">
      <w:pPr>
        <w:spacing w:line="360" w:lineRule="auto"/>
        <w:rPr>
          <w:rFonts w:asciiTheme="majorHAnsi" w:hAnsiTheme="majorHAnsi" w:cs="Arial"/>
          <w:color w:val="212121"/>
          <w:sz w:val="24"/>
          <w:szCs w:val="24"/>
          <w:lang w:val="en-US"/>
        </w:rPr>
      </w:pPr>
      <w:r w:rsidRPr="00660E85">
        <w:rPr>
          <w:rFonts w:asciiTheme="majorHAnsi" w:hAnsiTheme="majorHAnsi" w:cs="Arial"/>
          <w:color w:val="212121"/>
          <w:sz w:val="24"/>
          <w:szCs w:val="24"/>
          <w:lang w:val="en-US"/>
        </w:rPr>
        <w:t xml:space="preserve">The first approach is to present the figure, its concept, its modalities, mode of operation and the legal nature of the figure. An analysis of the comparative law of the cash pooling system is also carried out at the level of francophone African countries and in countries such as South Africa and Nigeria, which show a superficial study of the figure and countries of Europe, shown more developed. </w:t>
      </w:r>
    </w:p>
    <w:p w:rsidR="00DB4B16" w:rsidRPr="00660E85" w:rsidRDefault="00DB4B16" w:rsidP="00DB4B16">
      <w:pPr>
        <w:spacing w:line="360" w:lineRule="auto"/>
        <w:rPr>
          <w:rFonts w:asciiTheme="majorHAnsi" w:hAnsiTheme="majorHAnsi" w:cs="Arial"/>
          <w:color w:val="212121"/>
          <w:sz w:val="24"/>
          <w:szCs w:val="24"/>
          <w:lang w:val="en-US"/>
        </w:rPr>
      </w:pPr>
      <w:r w:rsidRPr="00660E85">
        <w:rPr>
          <w:rFonts w:asciiTheme="majorHAnsi" w:hAnsiTheme="majorHAnsi" w:cs="Arial"/>
          <w:color w:val="212121"/>
          <w:sz w:val="24"/>
          <w:szCs w:val="24"/>
          <w:lang w:val="en-US"/>
        </w:rPr>
        <w:t xml:space="preserve">Finally, in the third chapter, an approach will be taken to the legal problems that the implementation of the figure of cash pooling can provoke to the legal order Angola, as well as the possible solutions to solve these problems, with a view to reaching the objectives of the companies participating in the group. </w:t>
      </w:r>
    </w:p>
    <w:p w:rsidR="00DB4B16" w:rsidRDefault="00DB4B16" w:rsidP="00DB4B16">
      <w:pPr>
        <w:spacing w:line="360" w:lineRule="auto"/>
        <w:rPr>
          <w:rFonts w:asciiTheme="majorHAnsi" w:hAnsiTheme="majorHAnsi" w:cs="Arial"/>
          <w:color w:val="212121"/>
          <w:sz w:val="24"/>
          <w:szCs w:val="24"/>
          <w:lang w:val="en-US"/>
        </w:rPr>
      </w:pPr>
    </w:p>
    <w:p w:rsidR="00DB4B16" w:rsidRDefault="00DB4B16" w:rsidP="00DB4B16">
      <w:pPr>
        <w:spacing w:line="360" w:lineRule="auto"/>
        <w:rPr>
          <w:rFonts w:asciiTheme="majorHAnsi" w:hAnsiTheme="majorHAnsi" w:cs="Arial"/>
          <w:color w:val="212121"/>
          <w:sz w:val="24"/>
          <w:szCs w:val="24"/>
          <w:lang w:val="en-US"/>
        </w:rPr>
      </w:pPr>
    </w:p>
    <w:p w:rsidR="00DB4B16" w:rsidRPr="00660E85" w:rsidRDefault="00DB4B16" w:rsidP="00DB4B16">
      <w:pPr>
        <w:spacing w:line="360" w:lineRule="auto"/>
        <w:rPr>
          <w:rFonts w:asciiTheme="majorHAnsi" w:hAnsiTheme="majorHAnsi"/>
          <w:sz w:val="24"/>
          <w:szCs w:val="24"/>
          <w:lang w:val="en-US"/>
        </w:rPr>
      </w:pPr>
      <w:r w:rsidRPr="00660E85">
        <w:rPr>
          <w:rFonts w:asciiTheme="majorHAnsi" w:hAnsiTheme="majorHAnsi" w:cs="Arial"/>
          <w:color w:val="212121"/>
          <w:sz w:val="24"/>
          <w:szCs w:val="24"/>
          <w:lang w:val="en-US"/>
        </w:rPr>
        <w:t>Keywords: Cash pooling contract, notional cash pooling, cash concentration, pooler and master account.</w:t>
      </w:r>
    </w:p>
    <w:p w:rsidR="00CC50AE" w:rsidRDefault="00CC50AE" w:rsidP="00CC50AE">
      <w:pPr>
        <w:spacing w:line="360" w:lineRule="auto"/>
        <w:rPr>
          <w:rFonts w:ascii="Cambria" w:hAnsi="Cambria"/>
          <w:sz w:val="24"/>
          <w:szCs w:val="24"/>
          <w:lang w:val="en-US"/>
        </w:rPr>
      </w:pPr>
    </w:p>
    <w:p w:rsidR="00DB4B16" w:rsidRDefault="00DB4B16" w:rsidP="00CC50AE">
      <w:pPr>
        <w:spacing w:before="0" w:after="240" w:line="240" w:lineRule="auto"/>
        <w:rPr>
          <w:rFonts w:ascii="Cambria" w:hAnsi="Cambria"/>
          <w:b/>
          <w:sz w:val="24"/>
          <w:szCs w:val="24"/>
          <w:lang w:val="en-US"/>
        </w:rPr>
      </w:pPr>
    </w:p>
    <w:p w:rsidR="00DB4B16" w:rsidRDefault="00DB4B16" w:rsidP="00CC50AE">
      <w:pPr>
        <w:spacing w:before="0" w:after="240" w:line="240" w:lineRule="auto"/>
        <w:rPr>
          <w:rFonts w:ascii="Cambria" w:hAnsi="Cambria"/>
          <w:b/>
          <w:sz w:val="24"/>
          <w:szCs w:val="24"/>
          <w:lang w:val="en-US"/>
        </w:rPr>
      </w:pPr>
    </w:p>
    <w:p w:rsidR="00CC50AE" w:rsidRDefault="00CC50AE" w:rsidP="00CC50AE">
      <w:pPr>
        <w:spacing w:before="0" w:after="240" w:line="240" w:lineRule="auto"/>
        <w:rPr>
          <w:rFonts w:ascii="Cambria" w:hAnsi="Cambria"/>
          <w:b/>
          <w:caps/>
          <w:sz w:val="32"/>
          <w:szCs w:val="32"/>
          <w:lang w:val="en-US"/>
        </w:rPr>
      </w:pPr>
      <w:r>
        <w:rPr>
          <w:rFonts w:ascii="Cambria" w:hAnsi="Cambria"/>
          <w:b/>
          <w:sz w:val="32"/>
          <w:szCs w:val="32"/>
          <w:lang w:val="en-US"/>
        </w:rPr>
        <w:t>ÍNDICE</w:t>
      </w:r>
    </w:p>
    <w:p w:rsidR="00CC50AE" w:rsidRDefault="00B017C4"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r>
        <w:fldChar w:fldCharType="begin"/>
      </w:r>
      <w:r w:rsidR="00CC50AE">
        <w:instrText xml:space="preserve"> TOC \o "1-3" \h \z \u </w:instrText>
      </w:r>
      <w:r>
        <w:fldChar w:fldCharType="separate"/>
      </w:r>
      <w:hyperlink r:id="rId11" w:anchor="_Toc511403358" w:history="1">
        <w:r w:rsidR="00CC50AE">
          <w:rPr>
            <w:rStyle w:val="Hiperligao"/>
            <w:rFonts w:asciiTheme="majorHAnsi" w:hAnsiTheme="majorHAnsi"/>
            <w:b w:val="0"/>
            <w:noProof/>
          </w:rPr>
          <w:t>AGRADECIMENTOS</w:t>
        </w:r>
        <w:r w:rsidR="00CC50AE">
          <w:rPr>
            <w:rStyle w:val="Hiperligao"/>
            <w:rFonts w:asciiTheme="majorHAnsi" w:hAnsiTheme="majorHAnsi"/>
            <w:b w:val="0"/>
            <w:noProof/>
            <w:webHidden/>
          </w:rPr>
          <w:tab/>
        </w:r>
        <w:r>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_Toc511403358 \h </w:instrText>
        </w:r>
        <w:r>
          <w:rPr>
            <w:rStyle w:val="Hiperligao"/>
            <w:rFonts w:asciiTheme="majorHAnsi" w:hAnsiTheme="majorHAnsi"/>
            <w:b w:val="0"/>
            <w:noProof/>
            <w:webHidden/>
          </w:rPr>
        </w:r>
        <w:r>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iv</w:t>
        </w:r>
        <w:r>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2" w:anchor="_Toc511403359" w:history="1">
        <w:r w:rsidR="00CC50AE">
          <w:rPr>
            <w:rStyle w:val="Hiperligao"/>
            <w:rFonts w:asciiTheme="majorHAnsi" w:hAnsiTheme="majorHAnsi"/>
            <w:b w:val="0"/>
            <w:noProof/>
          </w:rPr>
          <w:t>ADVERTÊNCIA E MODO DE CITAR</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_Toc511403359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v</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3" w:anchor="_Toc511403360" w:history="1">
        <w:r w:rsidR="00CC50AE">
          <w:rPr>
            <w:rStyle w:val="Hiperligao"/>
            <w:rFonts w:asciiTheme="majorHAnsi" w:hAnsiTheme="majorHAnsi"/>
            <w:b w:val="0"/>
            <w:noProof/>
          </w:rPr>
          <w:t>ABREVIATURAS</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_Toc511403360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vi</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4" w:anchor="_Toc511403361" w:history="1">
        <w:r w:rsidR="00CC50AE">
          <w:rPr>
            <w:rStyle w:val="Hiperligao"/>
            <w:rFonts w:asciiTheme="majorHAnsi" w:hAnsiTheme="majorHAnsi"/>
            <w:b w:val="0"/>
            <w:noProof/>
          </w:rPr>
          <w:t>RESUMO</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_Toc511403361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vii</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5" w:anchor="_Toc511403362" w:history="1">
        <w:r w:rsidR="00CC50AE">
          <w:rPr>
            <w:rStyle w:val="Hiperligao"/>
            <w:rFonts w:asciiTheme="majorHAnsi" w:hAnsiTheme="majorHAnsi"/>
            <w:b w:val="0"/>
            <w:noProof/>
          </w:rPr>
          <w:t>Abstract</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_Toc511403362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viii</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6" w:anchor="_Toc511403363" w:history="1">
        <w:r w:rsidR="00CC50AE">
          <w:rPr>
            <w:rStyle w:val="Hiperligao"/>
            <w:rFonts w:asciiTheme="majorHAnsi" w:hAnsiTheme="majorHAnsi"/>
            <w:b w:val="0"/>
            <w:noProof/>
          </w:rPr>
          <w:t>INTRODUÇÃO</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_Toc511403363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1</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17" w:anchor="_Toc511403368" w:history="1">
        <w:r w:rsidR="00CC50AE">
          <w:rPr>
            <w:rStyle w:val="Hiperligao"/>
            <w:rFonts w:asciiTheme="majorHAnsi" w:hAnsiTheme="majorHAnsi"/>
            <w:b w:val="0"/>
            <w:noProof/>
          </w:rPr>
          <w:t xml:space="preserve">Capítulo I </w:t>
        </w:r>
        <w:r w:rsidR="00E40A38">
          <w:rPr>
            <w:rStyle w:val="Hiperligao"/>
            <w:rFonts w:asciiTheme="majorHAnsi" w:hAnsiTheme="majorHAnsi"/>
            <w:b w:val="0"/>
            <w:noProof/>
          </w:rPr>
          <w:t xml:space="preserve">–Aspectos gerias </w:t>
        </w:r>
        <w:r w:rsidR="00CC50AE">
          <w:rPr>
            <w:rStyle w:val="Hiperligao"/>
            <w:rFonts w:asciiTheme="majorHAnsi" w:hAnsiTheme="majorHAnsi"/>
            <w:b w:val="0"/>
            <w:noProof/>
            <w:webHidden/>
          </w:rPr>
          <w:tab/>
        </w:r>
        <w:r w:rsidR="00261E6E">
          <w:rPr>
            <w:rStyle w:val="Hiperligao"/>
            <w:rFonts w:asciiTheme="majorHAnsi" w:hAnsiTheme="majorHAnsi"/>
            <w:b w:val="0"/>
            <w:noProof/>
            <w:webHidden/>
          </w:rPr>
          <w:t>2</w:t>
        </w:r>
      </w:hyperlink>
    </w:p>
    <w:p w:rsidR="00CC50AE" w:rsidRDefault="00FB77A7" w:rsidP="00380199">
      <w:pPr>
        <w:pStyle w:val="ndice2"/>
        <w:rPr>
          <w:rFonts w:eastAsiaTheme="minorEastAsia" w:cstheme="minorBidi"/>
          <w:noProof/>
          <w:sz w:val="24"/>
          <w:szCs w:val="24"/>
          <w:lang w:eastAsia="pt-PT"/>
        </w:rPr>
      </w:pPr>
      <w:hyperlink r:id="rId18" w:anchor="_Toc511403369" w:history="1">
        <w:r w:rsidR="00CC50AE">
          <w:rPr>
            <w:rStyle w:val="Hiperligao"/>
            <w:caps/>
            <w:noProof/>
          </w:rPr>
          <w:t>1.</w:t>
        </w:r>
        <w:r w:rsidR="00CC50AE">
          <w:rPr>
            <w:rStyle w:val="Hiperligao"/>
            <w:rFonts w:eastAsiaTheme="minorEastAsia" w:cstheme="minorBidi"/>
            <w:noProof/>
            <w:lang w:eastAsia="pt-PT"/>
          </w:rPr>
          <w:tab/>
        </w:r>
        <w:r w:rsidR="00E40A38">
          <w:rPr>
            <w:rStyle w:val="Hiperligao"/>
            <w:rFonts w:eastAsiaTheme="minorEastAsia" w:cstheme="minorBidi"/>
            <w:noProof/>
            <w:lang w:eastAsia="pt-PT"/>
          </w:rPr>
          <w:t>ENQUADRAMENTO DO PROBLEMA</w:t>
        </w:r>
        <w:r w:rsidR="00FA2386">
          <w:rPr>
            <w:rStyle w:val="Hiperligao"/>
            <w:rFonts w:eastAsiaTheme="minorEastAsia" w:cstheme="minorBidi"/>
            <w:noProof/>
            <w:lang w:eastAsia="pt-PT"/>
          </w:rPr>
          <w:t>, ACTUALIDADE E PERTINÊNCIA DO TEMA NO   ORDENAMENTO JURÍDICO ANGOLANO</w:t>
        </w:r>
        <w:r w:rsidR="00CC50AE">
          <w:rPr>
            <w:rStyle w:val="Hiperligao"/>
            <w:noProof/>
            <w:webHidden/>
          </w:rPr>
          <w:tab/>
        </w:r>
        <w:r w:rsidR="00261E6E">
          <w:rPr>
            <w:rStyle w:val="Hiperligao"/>
            <w:noProof/>
            <w:webHidden/>
          </w:rPr>
          <w:t>2</w:t>
        </w:r>
      </w:hyperlink>
    </w:p>
    <w:p w:rsidR="00E40A38" w:rsidRPr="00FA2386" w:rsidRDefault="00FB77A7" w:rsidP="00380199">
      <w:pPr>
        <w:pStyle w:val="ndice2"/>
        <w:rPr>
          <w:rFonts w:eastAsiaTheme="minorEastAsia" w:cstheme="minorBidi"/>
          <w:noProof/>
          <w:sz w:val="24"/>
          <w:szCs w:val="24"/>
          <w:lang w:eastAsia="pt-PT"/>
        </w:rPr>
      </w:pPr>
      <w:hyperlink r:id="rId19" w:anchor="_Toc511403371" w:history="1">
        <w:r w:rsidR="00FA2386">
          <w:rPr>
            <w:rStyle w:val="Hiperligao"/>
            <w:caps/>
            <w:noProof/>
          </w:rPr>
          <w:t>2</w:t>
        </w:r>
        <w:r w:rsidR="00CC50AE">
          <w:rPr>
            <w:rStyle w:val="Hiperligao"/>
            <w:caps/>
            <w:noProof/>
          </w:rPr>
          <w:t>.</w:t>
        </w:r>
        <w:r w:rsidR="00CC50AE">
          <w:rPr>
            <w:rStyle w:val="Hiperligao"/>
            <w:rFonts w:eastAsiaTheme="minorEastAsia" w:cstheme="minorBidi"/>
            <w:noProof/>
            <w:lang w:eastAsia="pt-PT"/>
          </w:rPr>
          <w:tab/>
        </w:r>
        <w:r w:rsidR="00E40A38">
          <w:rPr>
            <w:rStyle w:val="Hiperligao"/>
            <w:rFonts w:eastAsiaTheme="minorEastAsia" w:cstheme="minorBidi"/>
            <w:noProof/>
            <w:lang w:eastAsia="pt-PT"/>
          </w:rPr>
          <w:t>DELIMITAÇÃO DO OBJECTO DE ES</w:t>
        </w:r>
        <w:r w:rsidR="00783A47">
          <w:rPr>
            <w:rStyle w:val="Hiperligao"/>
            <w:rFonts w:eastAsiaTheme="minorEastAsia" w:cstheme="minorBidi"/>
            <w:noProof/>
            <w:lang w:eastAsia="pt-PT"/>
          </w:rPr>
          <w:t xml:space="preserve">TUDO  </w:t>
        </w:r>
        <w:r w:rsidR="00CC50AE">
          <w:rPr>
            <w:rStyle w:val="Hiperligao"/>
            <w:noProof/>
            <w:webHidden/>
          </w:rPr>
          <w:tab/>
        </w:r>
        <w:r w:rsidR="00B017C4">
          <w:rPr>
            <w:rStyle w:val="Hiperligao"/>
            <w:noProof/>
            <w:webHidden/>
          </w:rPr>
          <w:fldChar w:fldCharType="begin"/>
        </w:r>
        <w:r w:rsidR="00CC50AE">
          <w:rPr>
            <w:rStyle w:val="Hiperligao"/>
            <w:noProof/>
            <w:webHidden/>
          </w:rPr>
          <w:instrText xml:space="preserve"> PAGEREF _Toc511403371 \h </w:instrText>
        </w:r>
        <w:r w:rsidR="00B017C4">
          <w:rPr>
            <w:rStyle w:val="Hiperligao"/>
            <w:noProof/>
            <w:webHidden/>
          </w:rPr>
        </w:r>
        <w:r w:rsidR="00B017C4">
          <w:rPr>
            <w:rStyle w:val="Hiperligao"/>
            <w:noProof/>
            <w:webHidden/>
          </w:rPr>
          <w:fldChar w:fldCharType="separate"/>
        </w:r>
        <w:r w:rsidR="00CC50AE">
          <w:rPr>
            <w:rStyle w:val="Hiperligao"/>
            <w:noProof/>
            <w:webHidden/>
          </w:rPr>
          <w:t>3</w:t>
        </w:r>
        <w:r w:rsidR="00B017C4">
          <w:rPr>
            <w:rStyle w:val="Hiperligao"/>
            <w:noProof/>
            <w:webHidden/>
          </w:rPr>
          <w:fldChar w:fldCharType="end"/>
        </w:r>
      </w:hyperlink>
    </w:p>
    <w:p w:rsidR="00E40A38" w:rsidRPr="00E40A38" w:rsidRDefault="00FA2386" w:rsidP="00380199">
      <w:pPr>
        <w:pStyle w:val="ndice2"/>
      </w:pPr>
      <w:r>
        <w:t>3</w:t>
      </w:r>
      <w:r w:rsidR="00E40A38" w:rsidRPr="00E40A38">
        <w:t xml:space="preserve">. </w:t>
      </w:r>
      <w:r w:rsidR="00261E6E">
        <w:tab/>
        <w:t>APRESENTAÇÃO DO PLANO DE TRABALHO</w:t>
      </w:r>
      <w:r>
        <w:t xml:space="preserve"> </w:t>
      </w:r>
      <w:r w:rsidR="00E40A38">
        <w:t xml:space="preserve"> </w:t>
      </w:r>
      <w:r>
        <w:t>………….</w:t>
      </w:r>
      <w:r w:rsidR="00261E6E">
        <w:t>………………………………</w:t>
      </w:r>
      <w:r w:rsidR="00E40A38">
        <w:t>…………………</w:t>
      </w:r>
      <w:r w:rsidR="00261E6E">
        <w:t xml:space="preserve">.......... </w:t>
      </w:r>
      <w:r w:rsidR="00E40A38">
        <w:t>4</w:t>
      </w:r>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20" w:anchor="_Toc511403372" w:history="1">
        <w:r w:rsidR="00CC50AE">
          <w:rPr>
            <w:rStyle w:val="Hiperligao"/>
            <w:rFonts w:asciiTheme="majorHAnsi" w:hAnsiTheme="majorHAnsi"/>
            <w:b w:val="0"/>
            <w:noProof/>
          </w:rPr>
          <w:t xml:space="preserve">Capítulo II </w:t>
        </w:r>
        <w:r w:rsidR="001D07B6">
          <w:rPr>
            <w:rStyle w:val="Hiperligao"/>
            <w:rFonts w:asciiTheme="majorHAnsi" w:hAnsiTheme="majorHAnsi"/>
            <w:b w:val="0"/>
            <w:noProof/>
          </w:rPr>
          <w:t>–A figura do cash pooling</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_Toc511403372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261E6E">
          <w:rPr>
            <w:rStyle w:val="Hiperligao"/>
            <w:rFonts w:asciiTheme="majorHAnsi" w:hAnsiTheme="majorHAnsi"/>
            <w:b w:val="0"/>
            <w:noProof/>
            <w:webHidden/>
          </w:rPr>
          <w:t>5</w:t>
        </w:r>
        <w:r w:rsidR="00B017C4">
          <w:rPr>
            <w:rStyle w:val="Hiperligao"/>
            <w:rFonts w:asciiTheme="majorHAnsi" w:hAnsiTheme="majorHAnsi"/>
            <w:b w:val="0"/>
            <w:noProof/>
            <w:webHidden/>
          </w:rPr>
          <w:fldChar w:fldCharType="end"/>
        </w:r>
      </w:hyperlink>
    </w:p>
    <w:p w:rsidR="00CC50AE" w:rsidRPr="001D07B6" w:rsidRDefault="00FB77A7" w:rsidP="00380199">
      <w:pPr>
        <w:pStyle w:val="ndice2"/>
        <w:rPr>
          <w:rFonts w:eastAsiaTheme="minorEastAsia" w:cstheme="minorBidi"/>
          <w:noProof/>
          <w:sz w:val="24"/>
          <w:szCs w:val="24"/>
          <w:lang w:eastAsia="pt-PT"/>
        </w:rPr>
      </w:pPr>
      <w:hyperlink r:id="rId21" w:anchor="_Toc511403373" w:history="1">
        <w:r w:rsidR="00CC50AE">
          <w:rPr>
            <w:rStyle w:val="Hiperligao"/>
            <w:caps/>
            <w:noProof/>
          </w:rPr>
          <w:t>1.</w:t>
        </w:r>
        <w:r w:rsidR="00CC50AE">
          <w:rPr>
            <w:rStyle w:val="Hiperligao"/>
            <w:rFonts w:eastAsiaTheme="minorEastAsia" w:cstheme="minorBidi"/>
            <w:noProof/>
            <w:lang w:eastAsia="pt-PT"/>
          </w:rPr>
          <w:tab/>
        </w:r>
        <w:r w:rsidR="003F011F" w:rsidRPr="006A007B">
          <w:rPr>
            <w:rStyle w:val="Hiperligao"/>
            <w:rFonts w:eastAsiaTheme="minorEastAsia" w:cstheme="minorBidi"/>
            <w:noProof/>
            <w:u w:val="none"/>
            <w:lang w:eastAsia="pt-PT"/>
          </w:rPr>
          <w:t>Aproximação</w:t>
        </w:r>
        <w:r w:rsidR="003F011F">
          <w:rPr>
            <w:rStyle w:val="Hiperligao"/>
            <w:rFonts w:eastAsiaTheme="minorEastAsia" w:cstheme="minorBidi"/>
            <w:noProof/>
            <w:lang w:eastAsia="pt-PT"/>
          </w:rPr>
          <w:t xml:space="preserve"> à figura do </w:t>
        </w:r>
        <w:r w:rsidR="003F011F" w:rsidRPr="001D07B6">
          <w:rPr>
            <w:rStyle w:val="Hiperligao"/>
            <w:rFonts w:eastAsiaTheme="minorEastAsia" w:cstheme="minorBidi"/>
            <w:i/>
            <w:noProof/>
            <w:lang w:eastAsia="pt-PT"/>
          </w:rPr>
          <w:t>cash pooling</w:t>
        </w:r>
        <w:r w:rsidR="00CC50AE">
          <w:rPr>
            <w:rStyle w:val="Hiperligao"/>
            <w:noProof/>
            <w:webHidden/>
          </w:rPr>
          <w:tab/>
        </w:r>
        <w:r w:rsidR="00B017C4">
          <w:rPr>
            <w:rStyle w:val="Hiperligao"/>
            <w:noProof/>
            <w:webHidden/>
          </w:rPr>
          <w:fldChar w:fldCharType="begin"/>
        </w:r>
        <w:r w:rsidR="00CC50AE">
          <w:rPr>
            <w:rStyle w:val="Hiperligao"/>
            <w:noProof/>
            <w:webHidden/>
          </w:rPr>
          <w:instrText xml:space="preserve"> PAGEREF _Toc511403373 \h </w:instrText>
        </w:r>
        <w:r w:rsidR="00B017C4">
          <w:rPr>
            <w:rStyle w:val="Hiperligao"/>
            <w:noProof/>
            <w:webHidden/>
          </w:rPr>
        </w:r>
        <w:r w:rsidR="00B017C4">
          <w:rPr>
            <w:rStyle w:val="Hiperligao"/>
            <w:noProof/>
            <w:webHidden/>
          </w:rPr>
          <w:fldChar w:fldCharType="separate"/>
        </w:r>
        <w:r w:rsidR="00261E6E">
          <w:rPr>
            <w:rStyle w:val="Hiperligao"/>
            <w:noProof/>
            <w:webHidden/>
          </w:rPr>
          <w:t>5</w:t>
        </w:r>
        <w:r w:rsidR="00B017C4">
          <w:rPr>
            <w:rStyle w:val="Hiperligao"/>
            <w:noProof/>
            <w:webHidden/>
          </w:rPr>
          <w:fldChar w:fldCharType="end"/>
        </w:r>
      </w:hyperlink>
    </w:p>
    <w:p w:rsidR="00250EC0" w:rsidRDefault="00FB77A7" w:rsidP="00380199">
      <w:pPr>
        <w:pStyle w:val="ndice2"/>
        <w:rPr>
          <w:rStyle w:val="Hiperligao"/>
          <w:noProof/>
        </w:rPr>
      </w:pPr>
      <w:hyperlink r:id="rId22" w:anchor="_Toc511403377" w:history="1">
        <w:r w:rsidR="00CC50AE">
          <w:rPr>
            <w:rStyle w:val="Hiperligao"/>
            <w:caps/>
            <w:noProof/>
          </w:rPr>
          <w:t>2.</w:t>
        </w:r>
        <w:r w:rsidR="00CC50AE">
          <w:rPr>
            <w:rStyle w:val="Hiperligao"/>
            <w:rFonts w:eastAsiaTheme="minorEastAsia" w:cstheme="minorBidi"/>
            <w:noProof/>
            <w:lang w:eastAsia="pt-PT"/>
          </w:rPr>
          <w:tab/>
        </w:r>
        <w:r w:rsidR="003F011F">
          <w:rPr>
            <w:rStyle w:val="Hiperligao"/>
            <w:rFonts w:eastAsiaTheme="minorEastAsia" w:cstheme="minorBidi"/>
            <w:noProof/>
            <w:lang w:eastAsia="pt-PT"/>
          </w:rPr>
          <w:t>Noção</w:t>
        </w:r>
        <w:r w:rsidR="001D07B6">
          <w:rPr>
            <w:rStyle w:val="Hiperligao"/>
            <w:rFonts w:eastAsiaTheme="minorEastAsia" w:cstheme="minorBidi"/>
            <w:noProof/>
            <w:lang w:eastAsia="pt-PT"/>
          </w:rPr>
          <w:t xml:space="preserve"> DE </w:t>
        </w:r>
        <w:r w:rsidR="001D07B6" w:rsidRPr="00250EC0">
          <w:rPr>
            <w:rStyle w:val="Hiperligao"/>
            <w:rFonts w:eastAsiaTheme="minorEastAsia" w:cstheme="minorBidi"/>
            <w:i/>
            <w:noProof/>
            <w:lang w:eastAsia="pt-PT"/>
          </w:rPr>
          <w:t>CASH POOLING</w:t>
        </w:r>
        <w:r w:rsidR="00CC50AE">
          <w:rPr>
            <w:rStyle w:val="Hiperligao"/>
            <w:noProof/>
            <w:webHidden/>
          </w:rPr>
          <w:tab/>
        </w:r>
        <w:r w:rsidR="00B017C4">
          <w:rPr>
            <w:rStyle w:val="Hiperligao"/>
            <w:noProof/>
            <w:webHidden/>
          </w:rPr>
          <w:fldChar w:fldCharType="begin"/>
        </w:r>
        <w:r w:rsidR="00CC50AE">
          <w:rPr>
            <w:rStyle w:val="Hiperligao"/>
            <w:noProof/>
            <w:webHidden/>
          </w:rPr>
          <w:instrText xml:space="preserve"> PAGEREF _Toc511403377 \h </w:instrText>
        </w:r>
        <w:r w:rsidR="00B017C4">
          <w:rPr>
            <w:rStyle w:val="Hiperligao"/>
            <w:noProof/>
            <w:webHidden/>
          </w:rPr>
        </w:r>
        <w:r w:rsidR="00B017C4">
          <w:rPr>
            <w:rStyle w:val="Hiperligao"/>
            <w:noProof/>
            <w:webHidden/>
          </w:rPr>
          <w:fldChar w:fldCharType="separate"/>
        </w:r>
        <w:r w:rsidR="00261E6E">
          <w:rPr>
            <w:rStyle w:val="Hiperligao"/>
            <w:noProof/>
            <w:webHidden/>
          </w:rPr>
          <w:t>7</w:t>
        </w:r>
        <w:r w:rsidR="00B017C4">
          <w:rPr>
            <w:rStyle w:val="Hiperligao"/>
            <w:noProof/>
            <w:webHidden/>
          </w:rPr>
          <w:fldChar w:fldCharType="end"/>
        </w:r>
      </w:hyperlink>
    </w:p>
    <w:p w:rsidR="001D07B6" w:rsidRPr="00250EC0" w:rsidRDefault="001D07B6" w:rsidP="00380199">
      <w:pPr>
        <w:pStyle w:val="ndice2"/>
        <w:rPr>
          <w:noProof/>
          <w:color w:val="0000FF" w:themeColor="hyperlink"/>
          <w:u w:val="single"/>
        </w:rPr>
      </w:pPr>
      <w:r>
        <w:t>3.</w:t>
      </w:r>
      <w:r>
        <w:tab/>
      </w:r>
      <w:r w:rsidR="000A16A5" w:rsidRPr="000A16A5">
        <w:t>M</w:t>
      </w:r>
      <w:r w:rsidR="003F011F" w:rsidRPr="000A16A5">
        <w:t>odalidades de cash pooling</w:t>
      </w:r>
      <w:r w:rsidR="000A16A5">
        <w:t>…………..……………………………………………………………………………</w:t>
      </w:r>
      <w:r w:rsidR="00C21FB3">
        <w:tab/>
      </w:r>
      <w:r w:rsidR="00261E6E">
        <w:t>9</w:t>
      </w:r>
      <w:r w:rsidR="000A16A5">
        <w:t xml:space="preserve"> </w:t>
      </w:r>
    </w:p>
    <w:p w:rsidR="00C21FB3" w:rsidRPr="00C939DE" w:rsidRDefault="00FB77A7" w:rsidP="00C21FB3">
      <w:pPr>
        <w:pStyle w:val="ndice3"/>
        <w:tabs>
          <w:tab w:val="left" w:pos="1100"/>
          <w:tab w:val="right" w:leader="dot" w:pos="8494"/>
        </w:tabs>
        <w:rPr>
          <w:rStyle w:val="Hiperligao"/>
          <w:rFonts w:asciiTheme="majorHAnsi" w:hAnsiTheme="majorHAnsi"/>
          <w:noProof/>
        </w:rPr>
      </w:pPr>
      <w:hyperlink r:id="rId23" w:anchor="_Toc511403378" w:history="1">
        <w:r w:rsidR="000A16A5" w:rsidRPr="00C939DE">
          <w:rPr>
            <w:rStyle w:val="Hiperligao"/>
            <w:rFonts w:asciiTheme="majorHAnsi" w:hAnsiTheme="majorHAnsi"/>
            <w:smallCaps/>
            <w:noProof/>
          </w:rPr>
          <w:t>3</w:t>
        </w:r>
        <w:r w:rsidR="00CC50AE" w:rsidRPr="00C939DE">
          <w:rPr>
            <w:rStyle w:val="Hiperligao"/>
            <w:rFonts w:asciiTheme="majorHAnsi" w:hAnsiTheme="majorHAnsi"/>
            <w:smallCaps/>
            <w:noProof/>
          </w:rPr>
          <w:t>.1.</w:t>
        </w:r>
        <w:r w:rsidR="00CC50AE" w:rsidRPr="00C939DE">
          <w:rPr>
            <w:rStyle w:val="Hiperligao"/>
            <w:rFonts w:asciiTheme="majorHAnsi" w:eastAsiaTheme="minorEastAsia" w:hAnsiTheme="majorHAnsi" w:cstheme="minorBidi"/>
            <w:i w:val="0"/>
            <w:iCs w:val="0"/>
            <w:noProof/>
            <w:lang w:eastAsia="pt-PT"/>
          </w:rPr>
          <w:tab/>
        </w:r>
        <w:r w:rsidR="000A16A5" w:rsidRPr="00C939DE">
          <w:rPr>
            <w:rStyle w:val="Hiperligao"/>
            <w:rFonts w:asciiTheme="majorHAnsi" w:eastAsiaTheme="minorEastAsia" w:hAnsiTheme="majorHAnsi" w:cstheme="minorBidi"/>
            <w:i w:val="0"/>
            <w:iCs w:val="0"/>
            <w:noProof/>
            <w:lang w:eastAsia="pt-PT"/>
          </w:rPr>
          <w:t xml:space="preserve">Virtual </w:t>
        </w:r>
        <w:r w:rsidR="000A16A5" w:rsidRPr="00C939DE">
          <w:rPr>
            <w:rStyle w:val="Hiperligao"/>
            <w:rFonts w:asciiTheme="majorHAnsi" w:eastAsiaTheme="minorEastAsia" w:hAnsiTheme="majorHAnsi" w:cstheme="minorBidi"/>
            <w:iCs w:val="0"/>
            <w:noProof/>
            <w:lang w:eastAsia="pt-PT"/>
          </w:rPr>
          <w:t>cash pooling</w:t>
        </w:r>
        <w:r w:rsidR="00CC50AE" w:rsidRPr="00C939DE">
          <w:rPr>
            <w:rStyle w:val="Hiperligao"/>
            <w:rFonts w:asciiTheme="majorHAnsi" w:hAnsiTheme="majorHAnsi"/>
            <w:noProof/>
            <w:webHidden/>
          </w:rPr>
          <w:tab/>
        </w:r>
        <w:r w:rsidR="00B017C4" w:rsidRPr="00C939DE">
          <w:rPr>
            <w:rStyle w:val="Hiperligao"/>
            <w:rFonts w:asciiTheme="majorHAnsi" w:hAnsiTheme="majorHAnsi"/>
            <w:noProof/>
            <w:webHidden/>
          </w:rPr>
          <w:fldChar w:fldCharType="begin"/>
        </w:r>
        <w:r w:rsidR="00CC50AE" w:rsidRPr="00C939DE">
          <w:rPr>
            <w:rStyle w:val="Hiperligao"/>
            <w:rFonts w:asciiTheme="majorHAnsi" w:hAnsiTheme="majorHAnsi"/>
            <w:noProof/>
            <w:webHidden/>
          </w:rPr>
          <w:instrText xml:space="preserve"> PAGEREF _Toc511403378 \h </w:instrText>
        </w:r>
        <w:r w:rsidR="00B017C4" w:rsidRPr="00C939DE">
          <w:rPr>
            <w:rStyle w:val="Hiperligao"/>
            <w:rFonts w:asciiTheme="majorHAnsi" w:hAnsiTheme="majorHAnsi"/>
            <w:noProof/>
            <w:webHidden/>
          </w:rPr>
        </w:r>
        <w:r w:rsidR="00B017C4" w:rsidRPr="00C939DE">
          <w:rPr>
            <w:rStyle w:val="Hiperligao"/>
            <w:rFonts w:asciiTheme="majorHAnsi" w:hAnsiTheme="majorHAnsi"/>
            <w:noProof/>
            <w:webHidden/>
          </w:rPr>
          <w:fldChar w:fldCharType="separate"/>
        </w:r>
        <w:r w:rsidR="00CC50AE" w:rsidRPr="00C939DE">
          <w:rPr>
            <w:rStyle w:val="Hiperligao"/>
            <w:rFonts w:asciiTheme="majorHAnsi" w:hAnsiTheme="majorHAnsi"/>
            <w:noProof/>
            <w:webHidden/>
          </w:rPr>
          <w:t>23</w:t>
        </w:r>
        <w:r w:rsidR="00B017C4" w:rsidRPr="00C939DE">
          <w:rPr>
            <w:rStyle w:val="Hiperligao"/>
            <w:rFonts w:asciiTheme="majorHAnsi" w:hAnsiTheme="majorHAnsi"/>
            <w:noProof/>
            <w:webHidden/>
          </w:rPr>
          <w:fldChar w:fldCharType="end"/>
        </w:r>
      </w:hyperlink>
    </w:p>
    <w:p w:rsidR="00392EEA" w:rsidRPr="00C939DE" w:rsidRDefault="00C21FB3" w:rsidP="00392EEA">
      <w:pPr>
        <w:pStyle w:val="ndice3"/>
        <w:tabs>
          <w:tab w:val="left" w:pos="1100"/>
          <w:tab w:val="right" w:leader="dot" w:pos="8494"/>
        </w:tabs>
        <w:rPr>
          <w:rFonts w:asciiTheme="majorHAnsi" w:hAnsiTheme="majorHAnsi"/>
        </w:rPr>
      </w:pPr>
      <w:r w:rsidRPr="00C939DE">
        <w:rPr>
          <w:rFonts w:asciiTheme="majorHAnsi" w:hAnsiTheme="majorHAnsi"/>
          <w:lang w:val="en-US"/>
        </w:rPr>
        <w:t xml:space="preserve">3.2. </w:t>
      </w:r>
      <w:r w:rsidRPr="00C939DE">
        <w:rPr>
          <w:rFonts w:asciiTheme="majorHAnsi" w:hAnsiTheme="majorHAnsi"/>
          <w:lang w:val="en-US"/>
        </w:rPr>
        <w:tab/>
        <w:t>Cash concentration ou zero balancing</w:t>
      </w:r>
      <w:r w:rsidR="00C939DE">
        <w:rPr>
          <w:rFonts w:asciiTheme="majorHAnsi" w:hAnsiTheme="majorHAnsi"/>
          <w:lang w:val="en-US"/>
        </w:rPr>
        <w:t xml:space="preserve"> ………………………………………………………………………..</w:t>
      </w:r>
      <w:r w:rsidRPr="00C939DE">
        <w:rPr>
          <w:rFonts w:asciiTheme="majorHAnsi" w:hAnsiTheme="majorHAnsi"/>
        </w:rPr>
        <w:t>24</w:t>
      </w:r>
    </w:p>
    <w:p w:rsidR="00392EEA" w:rsidRPr="00C939DE" w:rsidRDefault="00392EEA" w:rsidP="00392EEA">
      <w:pPr>
        <w:pStyle w:val="ndice3"/>
        <w:tabs>
          <w:tab w:val="left" w:pos="1100"/>
          <w:tab w:val="right" w:leader="dot" w:pos="8494"/>
        </w:tabs>
        <w:rPr>
          <w:rFonts w:asciiTheme="majorHAnsi" w:hAnsiTheme="majorHAnsi"/>
        </w:rPr>
      </w:pPr>
      <w:r w:rsidRPr="00C939DE">
        <w:rPr>
          <w:rFonts w:asciiTheme="majorHAnsi" w:hAnsiTheme="majorHAnsi"/>
        </w:rPr>
        <w:t>3.3.</w:t>
      </w:r>
      <w:r w:rsidRPr="00C939DE">
        <w:rPr>
          <w:rFonts w:asciiTheme="majorHAnsi" w:hAnsiTheme="majorHAnsi"/>
        </w:rPr>
        <w:tab/>
        <w:t>Flex</w:t>
      </w:r>
      <w:r w:rsidR="00C939DE">
        <w:rPr>
          <w:rFonts w:asciiTheme="majorHAnsi" w:hAnsiTheme="majorHAnsi"/>
        </w:rPr>
        <w:t>ibily balancing cash pooling .</w:t>
      </w:r>
      <w:r w:rsidRPr="00C939DE">
        <w:rPr>
          <w:rFonts w:asciiTheme="majorHAnsi" w:hAnsiTheme="majorHAnsi"/>
        </w:rPr>
        <w:t>………………</w:t>
      </w:r>
      <w:r w:rsidR="00C939DE">
        <w:rPr>
          <w:rFonts w:asciiTheme="majorHAnsi" w:hAnsiTheme="majorHAnsi"/>
        </w:rPr>
        <w:t>..</w:t>
      </w:r>
      <w:r w:rsidRPr="00C939DE">
        <w:rPr>
          <w:rFonts w:asciiTheme="majorHAnsi" w:hAnsiTheme="majorHAnsi"/>
        </w:rPr>
        <w:t>………………………………………………………………25</w:t>
      </w:r>
    </w:p>
    <w:p w:rsidR="00910DA3" w:rsidRPr="00C939DE" w:rsidRDefault="00392EEA" w:rsidP="00910DA3">
      <w:pPr>
        <w:pStyle w:val="ndice3"/>
        <w:tabs>
          <w:tab w:val="left" w:pos="1100"/>
          <w:tab w:val="right" w:leader="dot" w:pos="8494"/>
        </w:tabs>
        <w:rPr>
          <w:rFonts w:asciiTheme="majorHAnsi" w:hAnsiTheme="majorHAnsi" w:cs="Times New Roman"/>
          <w:sz w:val="24"/>
          <w:szCs w:val="24"/>
          <w:lang w:val="pt-BR"/>
        </w:rPr>
      </w:pPr>
      <w:r w:rsidRPr="00C939DE">
        <w:rPr>
          <w:rFonts w:asciiTheme="majorHAnsi" w:hAnsiTheme="majorHAnsi"/>
        </w:rPr>
        <w:t>3.4.</w:t>
      </w:r>
      <w:r w:rsidRPr="00C939DE">
        <w:rPr>
          <w:rFonts w:asciiTheme="majorHAnsi" w:hAnsiTheme="majorHAnsi"/>
        </w:rPr>
        <w:tab/>
      </w:r>
      <w:r w:rsidRPr="00C939DE">
        <w:rPr>
          <w:rFonts w:asciiTheme="majorHAnsi" w:hAnsiTheme="majorHAnsi"/>
          <w:i w:val="0"/>
        </w:rPr>
        <w:t>Multi-currency pooling ………………………</w:t>
      </w:r>
      <w:r w:rsidR="00C939DE">
        <w:rPr>
          <w:rFonts w:asciiTheme="majorHAnsi" w:hAnsiTheme="majorHAnsi" w:cs="Times New Roman"/>
          <w:sz w:val="24"/>
          <w:szCs w:val="24"/>
          <w:lang w:val="pt-BR"/>
        </w:rPr>
        <w:t>………………………………………………………....</w:t>
      </w:r>
      <w:r w:rsidR="00C939DE" w:rsidRPr="00C939DE">
        <w:rPr>
          <w:rFonts w:asciiTheme="majorHAnsi" w:hAnsiTheme="majorHAnsi" w:cs="Times New Roman"/>
          <w:lang w:val="pt-BR"/>
        </w:rPr>
        <w:t>26</w:t>
      </w:r>
      <w:r w:rsidRPr="00C939DE">
        <w:rPr>
          <w:rFonts w:asciiTheme="majorHAnsi" w:hAnsiTheme="majorHAnsi" w:cs="Times New Roman"/>
          <w:sz w:val="24"/>
          <w:szCs w:val="24"/>
          <w:lang w:val="pt-BR"/>
        </w:rPr>
        <w:tab/>
      </w:r>
    </w:p>
    <w:p w:rsidR="00C939DE" w:rsidRPr="00C939DE" w:rsidRDefault="00910DA3" w:rsidP="00C939DE">
      <w:pPr>
        <w:pStyle w:val="ndice3"/>
        <w:tabs>
          <w:tab w:val="left" w:pos="1100"/>
          <w:tab w:val="right" w:leader="dot" w:pos="8494"/>
        </w:tabs>
        <w:ind w:left="0"/>
        <w:rPr>
          <w:rFonts w:asciiTheme="majorHAnsi" w:hAnsiTheme="majorHAnsi"/>
          <w:lang w:val="pt-BR"/>
        </w:rPr>
      </w:pPr>
      <w:r w:rsidRPr="00C939DE">
        <w:rPr>
          <w:rFonts w:asciiTheme="majorHAnsi" w:hAnsiTheme="majorHAnsi"/>
          <w:lang w:val="pt-BR"/>
        </w:rPr>
        <w:t xml:space="preserve"> </w:t>
      </w:r>
      <w:r w:rsidR="00FF6623">
        <w:rPr>
          <w:rFonts w:asciiTheme="majorHAnsi" w:hAnsiTheme="majorHAnsi"/>
          <w:lang w:val="pt-BR"/>
        </w:rPr>
        <w:t xml:space="preserve">  </w:t>
      </w:r>
      <w:r w:rsidR="00C939DE" w:rsidRPr="00C939DE">
        <w:rPr>
          <w:rFonts w:asciiTheme="majorHAnsi" w:hAnsiTheme="majorHAnsi"/>
          <w:lang w:val="pt-BR"/>
        </w:rPr>
        <w:t xml:space="preserve"> </w:t>
      </w:r>
      <w:r w:rsidR="00FF6623">
        <w:rPr>
          <w:rFonts w:asciiTheme="majorHAnsi" w:hAnsiTheme="majorHAnsi"/>
          <w:lang w:val="pt-BR"/>
        </w:rPr>
        <w:t>4. ELEMENTOS CARAC</w:t>
      </w:r>
      <w:r w:rsidRPr="00C939DE">
        <w:rPr>
          <w:rFonts w:asciiTheme="majorHAnsi" w:hAnsiTheme="majorHAnsi"/>
          <w:lang w:val="pt-BR"/>
        </w:rPr>
        <w:t>T</w:t>
      </w:r>
      <w:r w:rsidR="00FF6623">
        <w:rPr>
          <w:rFonts w:asciiTheme="majorHAnsi" w:hAnsiTheme="majorHAnsi"/>
          <w:lang w:val="pt-BR"/>
        </w:rPr>
        <w:t>E</w:t>
      </w:r>
      <w:r w:rsidRPr="00C939DE">
        <w:rPr>
          <w:rFonts w:asciiTheme="majorHAnsi" w:hAnsiTheme="majorHAnsi"/>
          <w:lang w:val="pt-BR"/>
        </w:rPr>
        <w:t>RIZADOS DA FIGURA DO CASH POOLING</w:t>
      </w:r>
      <w:r w:rsidR="00C939DE" w:rsidRPr="00C939DE">
        <w:rPr>
          <w:rFonts w:asciiTheme="majorHAnsi" w:hAnsiTheme="majorHAnsi"/>
          <w:lang w:val="pt-BR"/>
        </w:rPr>
        <w:t xml:space="preserve"> ………………………..……</w:t>
      </w:r>
      <w:r w:rsidR="00C939DE" w:rsidRPr="00C939DE">
        <w:rPr>
          <w:rFonts w:asciiTheme="majorHAnsi" w:hAnsiTheme="majorHAnsi"/>
          <w:lang w:val="pt-BR"/>
        </w:rPr>
        <w:tab/>
        <w:t>15</w:t>
      </w:r>
    </w:p>
    <w:p w:rsidR="006A007B" w:rsidRDefault="006A007B" w:rsidP="00CA7E8D">
      <w:pPr>
        <w:pStyle w:val="ndice3"/>
        <w:tabs>
          <w:tab w:val="left" w:pos="1100"/>
          <w:tab w:val="right" w:leader="dot" w:pos="8494"/>
        </w:tabs>
        <w:ind w:left="0"/>
        <w:jc w:val="both"/>
        <w:rPr>
          <w:rFonts w:asciiTheme="majorHAnsi" w:hAnsiTheme="majorHAnsi"/>
          <w:u w:val="single"/>
          <w:lang w:val="pt-BR"/>
        </w:rPr>
      </w:pPr>
      <w:r>
        <w:rPr>
          <w:rFonts w:asciiTheme="majorHAnsi" w:hAnsiTheme="majorHAnsi"/>
          <w:lang w:val="pt-BR"/>
        </w:rPr>
        <w:t xml:space="preserve">       </w:t>
      </w:r>
      <w:r w:rsidR="00D81476">
        <w:rPr>
          <w:rFonts w:asciiTheme="majorHAnsi" w:hAnsiTheme="majorHAnsi"/>
          <w:lang w:val="pt-BR"/>
        </w:rPr>
        <w:t xml:space="preserve">4.1. </w:t>
      </w:r>
      <w:r w:rsidR="00380199">
        <w:rPr>
          <w:rFonts w:asciiTheme="majorHAnsi" w:hAnsiTheme="majorHAnsi"/>
          <w:u w:val="single"/>
          <w:lang w:val="pt-BR"/>
        </w:rPr>
        <w:t>Elementos su</w:t>
      </w:r>
      <w:r w:rsidR="00FF6623" w:rsidRPr="00CA7E8D">
        <w:rPr>
          <w:rFonts w:asciiTheme="majorHAnsi" w:hAnsiTheme="majorHAnsi"/>
          <w:u w:val="single"/>
          <w:lang w:val="pt-BR"/>
        </w:rPr>
        <w:t>bjectivos do cash pooling…………………………………………………………………</w:t>
      </w:r>
      <w:r w:rsidR="00FF6623" w:rsidRPr="00CA7E8D">
        <w:rPr>
          <w:rFonts w:asciiTheme="majorHAnsi" w:hAnsiTheme="majorHAnsi"/>
          <w:u w:val="single"/>
          <w:lang w:val="pt-BR"/>
        </w:rPr>
        <w:tab/>
        <w:t>16</w:t>
      </w:r>
    </w:p>
    <w:p w:rsidR="00C939DE" w:rsidRPr="006A007B" w:rsidRDefault="006A007B" w:rsidP="00CA7E8D">
      <w:pPr>
        <w:pStyle w:val="ndice3"/>
        <w:tabs>
          <w:tab w:val="left" w:pos="1100"/>
          <w:tab w:val="right" w:leader="dot" w:pos="8494"/>
        </w:tabs>
        <w:ind w:left="0"/>
        <w:jc w:val="both"/>
        <w:rPr>
          <w:rFonts w:asciiTheme="majorHAnsi" w:hAnsiTheme="majorHAnsi"/>
          <w:u w:val="single"/>
          <w:lang w:val="pt-BR"/>
        </w:rPr>
      </w:pPr>
      <w:r>
        <w:rPr>
          <w:rFonts w:asciiTheme="majorHAnsi" w:hAnsiTheme="majorHAnsi"/>
          <w:u w:val="single"/>
          <w:lang w:val="pt-BR"/>
        </w:rPr>
        <w:tab/>
      </w:r>
      <w:r w:rsidR="00A4377F" w:rsidRPr="00CA7E8D">
        <w:rPr>
          <w:rFonts w:asciiTheme="majorHAnsi" w:hAnsiTheme="majorHAnsi"/>
          <w:u w:val="single"/>
          <w:lang w:val="pt-BR"/>
        </w:rPr>
        <w:t xml:space="preserve">a). </w:t>
      </w:r>
      <w:r w:rsidR="00C939DE" w:rsidRPr="00CA7E8D">
        <w:rPr>
          <w:rFonts w:asciiTheme="majorHAnsi" w:hAnsiTheme="majorHAnsi"/>
          <w:u w:val="single"/>
          <w:lang w:val="pt-BR"/>
        </w:rPr>
        <w:t xml:space="preserve">A entidade </w:t>
      </w:r>
      <w:r w:rsidR="00FF6623" w:rsidRPr="00CA7E8D">
        <w:rPr>
          <w:rFonts w:asciiTheme="majorHAnsi" w:hAnsiTheme="majorHAnsi"/>
          <w:u w:val="single"/>
          <w:lang w:val="pt-BR"/>
        </w:rPr>
        <w:t>credora…</w:t>
      </w:r>
      <w:r w:rsidR="00C939DE" w:rsidRPr="00CA7E8D">
        <w:rPr>
          <w:rFonts w:asciiTheme="majorHAnsi" w:hAnsiTheme="majorHAnsi"/>
          <w:u w:val="single"/>
          <w:lang w:val="pt-BR"/>
        </w:rPr>
        <w:t>…</w:t>
      </w:r>
      <w:r w:rsidR="00C939DE" w:rsidRPr="00CA7E8D">
        <w:rPr>
          <w:u w:val="single"/>
          <w:lang w:val="pt-BR"/>
        </w:rPr>
        <w:t>…………………………………………………………………………………</w:t>
      </w:r>
      <w:r w:rsidR="00FF6623" w:rsidRPr="00CA7E8D">
        <w:rPr>
          <w:u w:val="single"/>
          <w:lang w:val="pt-BR"/>
        </w:rPr>
        <w:t>.</w:t>
      </w:r>
      <w:r w:rsidR="00C939DE" w:rsidRPr="00CA7E8D">
        <w:rPr>
          <w:u w:val="single"/>
          <w:lang w:val="pt-BR"/>
        </w:rPr>
        <w:t>…</w:t>
      </w:r>
      <w:r w:rsidR="00FF6623" w:rsidRPr="00CA7E8D">
        <w:rPr>
          <w:u w:val="single"/>
          <w:lang w:val="pt-BR"/>
        </w:rPr>
        <w:t>…</w:t>
      </w:r>
      <w:r w:rsidR="00FF6623" w:rsidRPr="00CA7E8D">
        <w:rPr>
          <w:u w:val="single"/>
          <w:lang w:val="pt-BR"/>
        </w:rPr>
        <w:tab/>
      </w:r>
      <w:r w:rsidR="00C939DE" w:rsidRPr="00CA7E8D">
        <w:rPr>
          <w:u w:val="single"/>
          <w:lang w:val="pt-BR"/>
        </w:rPr>
        <w:t>15</w:t>
      </w:r>
    </w:p>
    <w:p w:rsidR="00C939DE" w:rsidRPr="00CA7E8D" w:rsidRDefault="00C939DE" w:rsidP="00CA7E8D">
      <w:pPr>
        <w:pStyle w:val="ndice3"/>
        <w:tabs>
          <w:tab w:val="left" w:pos="1100"/>
          <w:tab w:val="right" w:leader="dot" w:pos="8494"/>
        </w:tabs>
        <w:ind w:left="0"/>
        <w:jc w:val="both"/>
        <w:rPr>
          <w:u w:val="single"/>
          <w:lang w:val="pt-BR"/>
        </w:rPr>
      </w:pPr>
      <w:r w:rsidRPr="00CA7E8D">
        <w:rPr>
          <w:u w:val="single"/>
          <w:lang w:val="pt-BR"/>
        </w:rPr>
        <w:tab/>
      </w:r>
      <w:r w:rsidR="00A4377F" w:rsidRPr="00CA7E8D">
        <w:rPr>
          <w:u w:val="single"/>
          <w:lang w:val="pt-BR"/>
        </w:rPr>
        <w:t>b). O</w:t>
      </w:r>
      <w:r w:rsidRPr="00CA7E8D">
        <w:rPr>
          <w:u w:val="single"/>
          <w:lang w:val="pt-BR"/>
        </w:rPr>
        <w:t>s sujeitos parte do grupo que vão aderir ao contrato de cash pooling ………………</w:t>
      </w:r>
      <w:r w:rsidR="006A007B">
        <w:rPr>
          <w:u w:val="single"/>
          <w:lang w:val="pt-BR"/>
        </w:rPr>
        <w:t>……</w:t>
      </w:r>
      <w:r w:rsidRPr="00CA7E8D">
        <w:rPr>
          <w:u w:val="single"/>
          <w:lang w:val="pt-BR"/>
        </w:rPr>
        <w:t>…15</w:t>
      </w:r>
    </w:p>
    <w:p w:rsidR="00FF6623" w:rsidRPr="00CA7E8D" w:rsidRDefault="006A007B" w:rsidP="00CA7E8D">
      <w:pPr>
        <w:pStyle w:val="ndice3"/>
        <w:tabs>
          <w:tab w:val="left" w:pos="1100"/>
          <w:tab w:val="right" w:leader="dot" w:pos="8494"/>
        </w:tabs>
        <w:ind w:left="0"/>
        <w:jc w:val="both"/>
        <w:rPr>
          <w:u w:val="single"/>
          <w:lang w:val="pt-BR"/>
        </w:rPr>
      </w:pPr>
      <w:r>
        <w:rPr>
          <w:u w:val="single"/>
          <w:lang w:val="pt-BR"/>
        </w:rPr>
        <w:t xml:space="preserve">      </w:t>
      </w:r>
      <w:r w:rsidR="00D81476" w:rsidRPr="00CA7E8D">
        <w:rPr>
          <w:u w:val="single"/>
          <w:lang w:val="pt-BR"/>
        </w:rPr>
        <w:t xml:space="preserve">4.2. </w:t>
      </w:r>
      <w:r w:rsidR="00C939DE" w:rsidRPr="00CA7E8D">
        <w:rPr>
          <w:u w:val="single"/>
          <w:lang w:val="pt-BR"/>
        </w:rPr>
        <w:t xml:space="preserve">Elementos formais do cash </w:t>
      </w:r>
      <w:r w:rsidR="00FF6623" w:rsidRPr="00CA7E8D">
        <w:rPr>
          <w:u w:val="single"/>
          <w:lang w:val="pt-BR"/>
        </w:rPr>
        <w:t>pooling…</w:t>
      </w:r>
      <w:r w:rsidR="00C939DE" w:rsidRPr="00CA7E8D">
        <w:rPr>
          <w:u w:val="single"/>
          <w:lang w:val="pt-BR"/>
        </w:rPr>
        <w:t>………………………………………………………………….…</w:t>
      </w:r>
      <w:r w:rsidR="00FF6623" w:rsidRPr="00CA7E8D">
        <w:rPr>
          <w:u w:val="single"/>
          <w:lang w:val="pt-BR"/>
        </w:rPr>
        <w:t>.…</w:t>
      </w:r>
      <w:r>
        <w:rPr>
          <w:u w:val="single"/>
          <w:lang w:val="pt-BR"/>
        </w:rPr>
        <w:t>……………….</w:t>
      </w:r>
      <w:r w:rsidR="00C939DE" w:rsidRPr="00CA7E8D">
        <w:rPr>
          <w:u w:val="single"/>
          <w:lang w:val="pt-BR"/>
        </w:rPr>
        <w:t>16</w:t>
      </w:r>
    </w:p>
    <w:p w:rsidR="00FF6623" w:rsidRPr="00CA7E8D" w:rsidRDefault="006A007B" w:rsidP="00CA7E8D">
      <w:pPr>
        <w:pStyle w:val="ndice3"/>
        <w:tabs>
          <w:tab w:val="left" w:pos="1100"/>
          <w:tab w:val="right" w:leader="dot" w:pos="8494"/>
        </w:tabs>
        <w:ind w:left="0"/>
        <w:jc w:val="both"/>
        <w:rPr>
          <w:u w:val="single"/>
          <w:lang w:val="pt-BR"/>
        </w:rPr>
      </w:pPr>
      <w:r>
        <w:rPr>
          <w:u w:val="single"/>
          <w:lang w:val="pt-BR"/>
        </w:rPr>
        <w:t xml:space="preserve">                     </w:t>
      </w:r>
      <w:r w:rsidR="00FF6623" w:rsidRPr="00CA7E8D">
        <w:rPr>
          <w:u w:val="single"/>
          <w:lang w:val="pt-BR"/>
        </w:rPr>
        <w:t xml:space="preserve"> i</w:t>
      </w:r>
      <w:r w:rsidR="00D81476" w:rsidRPr="00CA7E8D">
        <w:rPr>
          <w:u w:val="single"/>
          <w:lang w:val="pt-BR"/>
        </w:rPr>
        <w:t>i</w:t>
      </w:r>
      <w:r w:rsidR="00FF6623" w:rsidRPr="00CA7E8D">
        <w:rPr>
          <w:u w:val="single"/>
          <w:lang w:val="pt-BR"/>
        </w:rPr>
        <w:t xml:space="preserve">i. Exigência de celebração de um contrato de </w:t>
      </w:r>
      <w:r w:rsidR="00FF6623" w:rsidRPr="00CA7E8D">
        <w:rPr>
          <w:i w:val="0"/>
          <w:u w:val="single"/>
          <w:lang w:val="pt-BR"/>
        </w:rPr>
        <w:t>cash pooling</w:t>
      </w:r>
      <w:r w:rsidR="00FF6623" w:rsidRPr="00CA7E8D">
        <w:rPr>
          <w:u w:val="single"/>
          <w:lang w:val="pt-BR"/>
        </w:rPr>
        <w:t xml:space="preserve"> …………………………</w:t>
      </w:r>
      <w:r>
        <w:rPr>
          <w:u w:val="single"/>
          <w:lang w:val="pt-BR"/>
        </w:rPr>
        <w:t>…….</w:t>
      </w:r>
      <w:r w:rsidR="00FF6623" w:rsidRPr="00CA7E8D">
        <w:rPr>
          <w:u w:val="single"/>
          <w:lang w:val="pt-BR"/>
        </w:rPr>
        <w:t>………</w:t>
      </w:r>
      <w:r w:rsidR="00D81476" w:rsidRPr="00CA7E8D">
        <w:rPr>
          <w:u w:val="single"/>
          <w:lang w:val="pt-BR"/>
        </w:rPr>
        <w:t>..</w:t>
      </w:r>
      <w:r w:rsidR="00FF6623" w:rsidRPr="00CA7E8D">
        <w:rPr>
          <w:u w:val="single"/>
          <w:lang w:val="pt-BR"/>
        </w:rPr>
        <w:t>….</w:t>
      </w:r>
      <w:r w:rsidR="00732C53">
        <w:rPr>
          <w:u w:val="single"/>
          <w:lang w:val="pt-BR"/>
        </w:rPr>
        <w:t>.</w:t>
      </w:r>
      <w:r w:rsidR="00FF6623" w:rsidRPr="00CA7E8D">
        <w:rPr>
          <w:u w:val="single"/>
          <w:lang w:val="pt-BR"/>
        </w:rPr>
        <w:t>16</w:t>
      </w:r>
    </w:p>
    <w:p w:rsidR="00A4377F" w:rsidRPr="00CA7E8D" w:rsidRDefault="006A007B" w:rsidP="00CA7E8D">
      <w:pPr>
        <w:pStyle w:val="ndice3"/>
        <w:tabs>
          <w:tab w:val="left" w:pos="1100"/>
          <w:tab w:val="right" w:leader="dot" w:pos="8494"/>
        </w:tabs>
        <w:ind w:left="0"/>
        <w:jc w:val="both"/>
        <w:rPr>
          <w:u w:val="single"/>
          <w:lang w:val="pt-BR"/>
        </w:rPr>
      </w:pPr>
      <w:r>
        <w:rPr>
          <w:u w:val="single"/>
          <w:lang w:val="pt-BR"/>
        </w:rPr>
        <w:t xml:space="preserve">                     </w:t>
      </w:r>
      <w:r w:rsidR="00D81476" w:rsidRPr="00CA7E8D">
        <w:rPr>
          <w:u w:val="single"/>
          <w:lang w:val="pt-BR"/>
        </w:rPr>
        <w:t>iv</w:t>
      </w:r>
      <w:r w:rsidR="00FF6623" w:rsidRPr="00CA7E8D">
        <w:rPr>
          <w:u w:val="single"/>
          <w:lang w:val="pt-BR"/>
        </w:rPr>
        <w:t>. outras obrigações ………………………………</w:t>
      </w:r>
      <w:r>
        <w:rPr>
          <w:u w:val="single"/>
          <w:lang w:val="pt-BR"/>
        </w:rPr>
        <w:t>………</w:t>
      </w:r>
      <w:r w:rsidR="00FF6623" w:rsidRPr="00CA7E8D">
        <w:rPr>
          <w:u w:val="single"/>
          <w:lang w:val="pt-BR"/>
        </w:rPr>
        <w:t>………………………………………………………………….</w:t>
      </w:r>
      <w:r w:rsidR="00732C53">
        <w:rPr>
          <w:u w:val="single"/>
          <w:lang w:val="pt-BR"/>
        </w:rPr>
        <w:t>.</w:t>
      </w:r>
      <w:r w:rsidR="00FF6623" w:rsidRPr="00CA7E8D">
        <w:rPr>
          <w:u w:val="single"/>
          <w:lang w:val="pt-BR"/>
        </w:rPr>
        <w:t>17</w:t>
      </w:r>
    </w:p>
    <w:p w:rsidR="00A4377F" w:rsidRPr="00CA7E8D" w:rsidRDefault="00A4377F" w:rsidP="00CA7E8D">
      <w:pPr>
        <w:pStyle w:val="ndice3"/>
        <w:tabs>
          <w:tab w:val="left" w:pos="1100"/>
          <w:tab w:val="right" w:leader="dot" w:pos="8494"/>
        </w:tabs>
        <w:ind w:left="142" w:hanging="142"/>
        <w:jc w:val="both"/>
        <w:rPr>
          <w:rFonts w:asciiTheme="majorHAnsi" w:hAnsiTheme="majorHAnsi"/>
          <w:i w:val="0"/>
          <w:u w:val="single"/>
          <w:lang w:val="pt-BR"/>
        </w:rPr>
      </w:pPr>
      <w:r w:rsidRPr="00CA7E8D">
        <w:rPr>
          <w:rFonts w:asciiTheme="majorHAnsi" w:hAnsiTheme="majorHAnsi"/>
          <w:u w:val="single"/>
          <w:lang w:val="pt-BR"/>
        </w:rPr>
        <w:t xml:space="preserve">5. Vantagens na aplicação do sistema de </w:t>
      </w:r>
      <w:r w:rsidRPr="00CA7E8D">
        <w:rPr>
          <w:rFonts w:asciiTheme="majorHAnsi" w:hAnsiTheme="majorHAnsi"/>
          <w:i w:val="0"/>
          <w:u w:val="single"/>
          <w:lang w:val="pt-BR"/>
        </w:rPr>
        <w:t>cash pooling………………………………………………………………….17</w:t>
      </w:r>
    </w:p>
    <w:p w:rsidR="00A4377F" w:rsidRPr="00CA7E8D" w:rsidRDefault="00A4377F" w:rsidP="00CA7E8D">
      <w:pPr>
        <w:pStyle w:val="ndice3"/>
        <w:tabs>
          <w:tab w:val="left" w:pos="1100"/>
          <w:tab w:val="right" w:leader="dot" w:pos="8494"/>
        </w:tabs>
        <w:ind w:left="142" w:hanging="142"/>
        <w:jc w:val="both"/>
        <w:rPr>
          <w:u w:val="single"/>
          <w:lang w:val="pt-BR"/>
        </w:rPr>
      </w:pPr>
      <w:r w:rsidRPr="00CA7E8D">
        <w:rPr>
          <w:u w:val="single"/>
          <w:lang w:val="pt-BR"/>
        </w:rPr>
        <w:t>6. Desvantagens na aplicação do sistema de cash pooling ………………………………………………………….……...</w:t>
      </w:r>
      <w:r w:rsidR="00732C53">
        <w:rPr>
          <w:u w:val="single"/>
          <w:lang w:val="pt-BR"/>
        </w:rPr>
        <w:t>..19</w:t>
      </w:r>
    </w:p>
    <w:p w:rsidR="00A4377F" w:rsidRPr="00CA7E8D" w:rsidRDefault="00A4377F" w:rsidP="00CA7E8D">
      <w:pPr>
        <w:pStyle w:val="ndice3"/>
        <w:tabs>
          <w:tab w:val="left" w:pos="1100"/>
          <w:tab w:val="right" w:leader="dot" w:pos="8494"/>
        </w:tabs>
        <w:ind w:left="142" w:hanging="142"/>
        <w:jc w:val="both"/>
        <w:rPr>
          <w:u w:val="single"/>
          <w:lang w:val="pt-BR"/>
        </w:rPr>
      </w:pPr>
      <w:r w:rsidRPr="00CA7E8D">
        <w:rPr>
          <w:u w:val="single"/>
          <w:lang w:val="pt-BR"/>
        </w:rPr>
        <w:t>7. Implementação da figura do cash pooling ……………………………………………………………………………..……</w:t>
      </w:r>
      <w:r w:rsidR="00732C53">
        <w:rPr>
          <w:u w:val="single"/>
          <w:lang w:val="pt-BR"/>
        </w:rPr>
        <w:t>......22</w:t>
      </w:r>
    </w:p>
    <w:p w:rsidR="00A4377F" w:rsidRPr="00CA7E8D" w:rsidRDefault="00A4377F" w:rsidP="00CA7E8D">
      <w:pPr>
        <w:pStyle w:val="ndice3"/>
        <w:tabs>
          <w:tab w:val="left" w:pos="1100"/>
          <w:tab w:val="right" w:leader="dot" w:pos="8494"/>
        </w:tabs>
        <w:ind w:left="142" w:hanging="142"/>
        <w:jc w:val="both"/>
        <w:rPr>
          <w:u w:val="single"/>
          <w:lang w:val="pt-BR"/>
        </w:rPr>
      </w:pPr>
      <w:r w:rsidRPr="00CA7E8D">
        <w:rPr>
          <w:u w:val="single"/>
          <w:lang w:val="pt-BR"/>
        </w:rPr>
        <w:t>8. A experiência africana da figura do cash pooling …………………………………………………………………..………….24</w:t>
      </w:r>
    </w:p>
    <w:p w:rsidR="007B766E" w:rsidRPr="00CA7E8D" w:rsidRDefault="00A4377F" w:rsidP="00CA7E8D">
      <w:pPr>
        <w:pStyle w:val="ndice3"/>
        <w:tabs>
          <w:tab w:val="left" w:pos="1100"/>
          <w:tab w:val="right" w:leader="dot" w:pos="8494"/>
        </w:tabs>
        <w:ind w:left="142" w:hanging="142"/>
        <w:jc w:val="both"/>
        <w:rPr>
          <w:u w:val="single"/>
          <w:lang w:val="pt-BR"/>
        </w:rPr>
      </w:pPr>
      <w:r w:rsidRPr="00CA7E8D">
        <w:rPr>
          <w:u w:val="single"/>
          <w:lang w:val="pt-BR"/>
        </w:rPr>
        <w:tab/>
        <w:t xml:space="preserve">a) Nos países </w:t>
      </w:r>
      <w:r w:rsidR="007B766E" w:rsidRPr="00CA7E8D">
        <w:rPr>
          <w:u w:val="single"/>
          <w:lang w:val="pt-BR"/>
        </w:rPr>
        <w:t>francófonos…</w:t>
      </w:r>
      <w:r w:rsidRPr="00CA7E8D">
        <w:rPr>
          <w:u w:val="single"/>
          <w:lang w:val="pt-BR"/>
        </w:rPr>
        <w:t>………………………………………………………………………………………………………………</w:t>
      </w:r>
      <w:r w:rsidR="007B766E" w:rsidRPr="00CA7E8D">
        <w:rPr>
          <w:u w:val="single"/>
          <w:lang w:val="pt-BR"/>
        </w:rPr>
        <w:t>…24</w:t>
      </w:r>
    </w:p>
    <w:p w:rsidR="007B766E" w:rsidRPr="00CA7E8D" w:rsidRDefault="007B766E" w:rsidP="00CA7E8D">
      <w:pPr>
        <w:pStyle w:val="ndice3"/>
        <w:tabs>
          <w:tab w:val="left" w:pos="1100"/>
          <w:tab w:val="right" w:leader="dot" w:pos="8494"/>
        </w:tabs>
        <w:ind w:left="142" w:hanging="142"/>
        <w:jc w:val="both"/>
        <w:rPr>
          <w:u w:val="single"/>
          <w:lang w:val="pt-BR"/>
        </w:rPr>
      </w:pPr>
      <w:r w:rsidRPr="00CA7E8D">
        <w:rPr>
          <w:u w:val="single"/>
          <w:lang w:val="pt-BR"/>
        </w:rPr>
        <w:tab/>
        <w:t>b) Na África do Sul……………………………..……………………………………………………………………………………………….25</w:t>
      </w:r>
    </w:p>
    <w:p w:rsidR="00D81476" w:rsidRPr="00CA7E8D" w:rsidRDefault="007B766E" w:rsidP="00CA7E8D">
      <w:pPr>
        <w:pStyle w:val="ndice3"/>
        <w:tabs>
          <w:tab w:val="left" w:pos="1100"/>
          <w:tab w:val="right" w:leader="dot" w:pos="8494"/>
        </w:tabs>
        <w:ind w:left="142" w:hanging="142"/>
        <w:jc w:val="both"/>
        <w:rPr>
          <w:u w:val="single"/>
          <w:lang w:val="pt-BR"/>
        </w:rPr>
      </w:pPr>
      <w:r w:rsidRPr="00CA7E8D">
        <w:rPr>
          <w:u w:val="single"/>
          <w:lang w:val="pt-BR"/>
        </w:rPr>
        <w:tab/>
        <w:t>c)</w:t>
      </w:r>
      <w:r w:rsidR="00D81476" w:rsidRPr="00CA7E8D">
        <w:rPr>
          <w:u w:val="single"/>
          <w:lang w:val="pt-BR"/>
        </w:rPr>
        <w:t xml:space="preserve"> </w:t>
      </w:r>
      <w:r w:rsidRPr="00CA7E8D">
        <w:rPr>
          <w:u w:val="single"/>
          <w:lang w:val="pt-BR"/>
        </w:rPr>
        <w:t>Na Nigéria…………………………………………………………………………………………………………………...</w:t>
      </w:r>
      <w:r w:rsidR="003E6138" w:rsidRPr="00CA7E8D">
        <w:rPr>
          <w:u w:val="single"/>
          <w:lang w:val="pt-BR"/>
        </w:rPr>
        <w:t>...................</w:t>
      </w:r>
      <w:r w:rsidR="00D81476" w:rsidRPr="00CA7E8D">
        <w:rPr>
          <w:u w:val="single"/>
          <w:lang w:val="pt-BR"/>
        </w:rPr>
        <w:t>.26</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9. o sistema de cash pooling na Alemanha ……………………………………………………………………………………………27</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10. o sistema de cash pooling na Itália ………………………………………………………………………………………………….29</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11. o sistema de cash pooling no ordenamento jurídico angolano ………………………………………………………..32</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ab/>
        <w:t>11.1. Noção ……………………………………………………………………………………………………………………………………….32</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ab/>
        <w:t>11.2. Âmbito do direito societário. - nota introdutória………………………………………………………………………</w:t>
      </w:r>
      <w:r w:rsidR="00732C53">
        <w:rPr>
          <w:u w:val="single"/>
          <w:lang w:val="pt-BR"/>
        </w:rPr>
        <w:t>..</w:t>
      </w:r>
      <w:r w:rsidRPr="00CA7E8D">
        <w:rPr>
          <w:u w:val="single"/>
          <w:lang w:val="pt-BR"/>
        </w:rPr>
        <w:t>32</w:t>
      </w:r>
    </w:p>
    <w:p w:rsidR="00D81476"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12. Natureza jurídica do cash pooling …………………………………………………………………………………………………..33</w:t>
      </w:r>
    </w:p>
    <w:p w:rsidR="00CA7E8D" w:rsidRPr="00CA7E8D" w:rsidRDefault="00D81476" w:rsidP="00CA7E8D">
      <w:pPr>
        <w:pStyle w:val="ndice3"/>
        <w:tabs>
          <w:tab w:val="left" w:pos="1100"/>
          <w:tab w:val="right" w:leader="dot" w:pos="8494"/>
        </w:tabs>
        <w:ind w:left="142" w:hanging="142"/>
        <w:jc w:val="both"/>
        <w:rPr>
          <w:u w:val="single"/>
          <w:lang w:val="pt-BR"/>
        </w:rPr>
      </w:pPr>
      <w:r w:rsidRPr="00CA7E8D">
        <w:rPr>
          <w:u w:val="single"/>
          <w:lang w:val="pt-BR"/>
        </w:rPr>
        <w:tab/>
        <w:t xml:space="preserve">12.1. </w:t>
      </w:r>
      <w:r w:rsidR="00CA7E8D" w:rsidRPr="00CA7E8D">
        <w:rPr>
          <w:u w:val="single"/>
          <w:lang w:val="pt-BR"/>
        </w:rPr>
        <w:t>O</w:t>
      </w:r>
      <w:r w:rsidRPr="00CA7E8D">
        <w:rPr>
          <w:u w:val="single"/>
          <w:lang w:val="pt-BR"/>
        </w:rPr>
        <w:t xml:space="preserve"> contrato de cash pooling </w:t>
      </w:r>
      <w:r w:rsidR="00CA7E8D" w:rsidRPr="00CA7E8D">
        <w:rPr>
          <w:u w:val="single"/>
          <w:lang w:val="pt-BR"/>
        </w:rPr>
        <w:t>como contrato de crédito ……………………………………………………………….34</w:t>
      </w:r>
    </w:p>
    <w:p w:rsidR="00CA7E8D" w:rsidRPr="00CA7E8D" w:rsidRDefault="00CA7E8D" w:rsidP="00CA7E8D">
      <w:pPr>
        <w:pStyle w:val="ndice3"/>
        <w:tabs>
          <w:tab w:val="left" w:pos="1100"/>
          <w:tab w:val="right" w:leader="dot" w:pos="8494"/>
        </w:tabs>
        <w:ind w:left="142" w:hanging="142"/>
        <w:jc w:val="both"/>
        <w:rPr>
          <w:u w:val="single"/>
          <w:lang w:val="pt-BR"/>
        </w:rPr>
      </w:pPr>
      <w:r w:rsidRPr="00CA7E8D">
        <w:rPr>
          <w:u w:val="single"/>
          <w:lang w:val="pt-BR"/>
        </w:rPr>
        <w:t xml:space="preserve">   12.2. O contrato de cash pooling como meras injecções de liquidez …………………………………………………</w:t>
      </w:r>
      <w:r w:rsidR="00732C53">
        <w:rPr>
          <w:u w:val="single"/>
          <w:lang w:val="pt-BR"/>
        </w:rPr>
        <w:t>..</w:t>
      </w:r>
      <w:r w:rsidRPr="00CA7E8D">
        <w:rPr>
          <w:u w:val="single"/>
          <w:lang w:val="pt-BR"/>
        </w:rPr>
        <w:t>34</w:t>
      </w:r>
    </w:p>
    <w:p w:rsidR="00CA7E8D" w:rsidRPr="00CA7E8D" w:rsidRDefault="00CA7E8D" w:rsidP="00CA7E8D">
      <w:pPr>
        <w:pStyle w:val="ndice3"/>
        <w:tabs>
          <w:tab w:val="left" w:pos="1100"/>
          <w:tab w:val="right" w:leader="dot" w:pos="8494"/>
        </w:tabs>
        <w:ind w:left="142" w:hanging="142"/>
        <w:jc w:val="both"/>
        <w:rPr>
          <w:u w:val="single"/>
          <w:lang w:val="pt-BR"/>
        </w:rPr>
      </w:pPr>
      <w:r w:rsidRPr="00CA7E8D">
        <w:rPr>
          <w:u w:val="single"/>
          <w:lang w:val="pt-BR"/>
        </w:rPr>
        <w:tab/>
        <w:t>12.3. O contrato de cash pooling como um contrato de conta corrente mercantil ……………………………</w:t>
      </w:r>
      <w:r w:rsidR="00732C53">
        <w:rPr>
          <w:u w:val="single"/>
          <w:lang w:val="pt-BR"/>
        </w:rPr>
        <w:t>.</w:t>
      </w:r>
      <w:r w:rsidRPr="00CA7E8D">
        <w:rPr>
          <w:u w:val="single"/>
          <w:lang w:val="pt-BR"/>
        </w:rPr>
        <w:t>34</w:t>
      </w:r>
    </w:p>
    <w:p w:rsidR="00F23551" w:rsidRDefault="00CA7E8D" w:rsidP="00F23551">
      <w:pPr>
        <w:pStyle w:val="ndice3"/>
        <w:tabs>
          <w:tab w:val="left" w:pos="1100"/>
          <w:tab w:val="right" w:leader="dot" w:pos="8494"/>
        </w:tabs>
        <w:ind w:left="142" w:hanging="142"/>
        <w:jc w:val="both"/>
        <w:rPr>
          <w:u w:val="single"/>
          <w:lang w:val="pt-BR"/>
        </w:rPr>
      </w:pPr>
      <w:r w:rsidRPr="00CA7E8D">
        <w:rPr>
          <w:u w:val="single"/>
          <w:lang w:val="pt-BR"/>
        </w:rPr>
        <w:t>13. Distinção de figuras afins; a figura do neeting …………………………………………………………………….…………</w:t>
      </w:r>
      <w:r w:rsidR="00732C53">
        <w:rPr>
          <w:u w:val="single"/>
          <w:lang w:val="pt-BR"/>
        </w:rPr>
        <w:t>.</w:t>
      </w:r>
      <w:r w:rsidRPr="00CA7E8D">
        <w:rPr>
          <w:u w:val="single"/>
          <w:lang w:val="pt-BR"/>
        </w:rPr>
        <w:t>36</w:t>
      </w:r>
    </w:p>
    <w:p w:rsidR="00F23551" w:rsidRDefault="00F23551" w:rsidP="00F23551">
      <w:pPr>
        <w:pStyle w:val="ndice3"/>
        <w:tabs>
          <w:tab w:val="left" w:pos="1100"/>
          <w:tab w:val="right" w:leader="dot" w:pos="8494"/>
        </w:tabs>
        <w:ind w:left="0"/>
        <w:jc w:val="both"/>
        <w:rPr>
          <w:lang w:val="pt-BR"/>
        </w:rPr>
      </w:pPr>
      <w:r>
        <w:rPr>
          <w:lang w:val="pt-BR"/>
        </w:rPr>
        <w:t xml:space="preserve">      </w:t>
      </w:r>
      <w:r w:rsidR="00CA7E8D">
        <w:rPr>
          <w:lang w:val="pt-BR"/>
        </w:rPr>
        <w:t>a) Noção de neeting</w:t>
      </w:r>
      <w:r>
        <w:rPr>
          <w:lang w:val="pt-BR"/>
        </w:rPr>
        <w:t xml:space="preserve"> ……………………………………………………………………………………………………………………</w:t>
      </w:r>
      <w:r w:rsidR="00F73606">
        <w:rPr>
          <w:lang w:val="pt-BR"/>
        </w:rPr>
        <w:t>…..</w:t>
      </w:r>
      <w:r>
        <w:rPr>
          <w:lang w:val="pt-BR"/>
        </w:rPr>
        <w:t>36</w:t>
      </w:r>
    </w:p>
    <w:p w:rsidR="00F23551" w:rsidRDefault="00F23551" w:rsidP="00F23551">
      <w:pPr>
        <w:pStyle w:val="ndice3"/>
        <w:tabs>
          <w:tab w:val="left" w:pos="1100"/>
          <w:tab w:val="right" w:leader="dot" w:pos="8494"/>
        </w:tabs>
        <w:ind w:left="0"/>
        <w:jc w:val="both"/>
        <w:rPr>
          <w:lang w:val="pt-BR"/>
        </w:rPr>
      </w:pPr>
      <w:r>
        <w:rPr>
          <w:lang w:val="pt-BR"/>
        </w:rPr>
        <w:t xml:space="preserve">     b) Funcionamento da figura do neeting …………………………………………………………………………………………</w:t>
      </w:r>
      <w:r w:rsidR="00F73606">
        <w:rPr>
          <w:lang w:val="pt-BR"/>
        </w:rPr>
        <w:t>…</w:t>
      </w:r>
      <w:r>
        <w:rPr>
          <w:lang w:val="pt-BR"/>
        </w:rPr>
        <w:t>37</w:t>
      </w:r>
    </w:p>
    <w:p w:rsidR="00C939DE" w:rsidRPr="00C939DE" w:rsidRDefault="00FB77A7" w:rsidP="00C939DE">
      <w:pPr>
        <w:pStyle w:val="ndice1"/>
        <w:tabs>
          <w:tab w:val="right" w:leader="dot" w:pos="8494"/>
        </w:tabs>
        <w:rPr>
          <w:rFonts w:asciiTheme="majorHAnsi" w:hAnsiTheme="majorHAnsi"/>
          <w:b w:val="0"/>
          <w:noProof/>
          <w:color w:val="0000FF" w:themeColor="hyperlink"/>
          <w:u w:val="single"/>
        </w:rPr>
      </w:pPr>
      <w:hyperlink r:id="rId24" w:anchor="_Toc511403379" w:history="1">
        <w:r w:rsidR="00CC50AE">
          <w:rPr>
            <w:rStyle w:val="Hiperligao"/>
            <w:rFonts w:asciiTheme="majorHAnsi" w:hAnsiTheme="majorHAnsi"/>
            <w:b w:val="0"/>
            <w:noProof/>
          </w:rPr>
          <w:t xml:space="preserve">Capítulo III </w:t>
        </w:r>
        <w:r w:rsidR="00F73606">
          <w:rPr>
            <w:rStyle w:val="Hiperligao"/>
            <w:rFonts w:asciiTheme="majorHAnsi" w:hAnsiTheme="majorHAnsi"/>
            <w:b w:val="0"/>
            <w:noProof/>
          </w:rPr>
          <w:t>–</w:t>
        </w:r>
        <w:r w:rsidR="00CC50AE">
          <w:rPr>
            <w:rStyle w:val="Hiperligao"/>
            <w:rFonts w:asciiTheme="majorHAnsi" w:hAnsiTheme="majorHAnsi"/>
            <w:b w:val="0"/>
            <w:noProof/>
          </w:rPr>
          <w:t xml:space="preserve"> </w:t>
        </w:r>
        <w:r w:rsidR="00F73606">
          <w:rPr>
            <w:rStyle w:val="Hiperligao"/>
            <w:rFonts w:asciiTheme="majorHAnsi" w:hAnsiTheme="majorHAnsi"/>
            <w:b w:val="0"/>
            <w:noProof/>
          </w:rPr>
          <w:t xml:space="preserve">IMPLICAÇÕES SOCIETÁRIAS INERENTES À FIGURA DO </w:t>
        </w:r>
        <w:r w:rsidR="00F73606" w:rsidRPr="00F73606">
          <w:rPr>
            <w:rStyle w:val="Hiperligao"/>
            <w:rFonts w:asciiTheme="majorHAnsi" w:hAnsiTheme="majorHAnsi"/>
            <w:b w:val="0"/>
            <w:i/>
            <w:noProof/>
          </w:rPr>
          <w:t>CASH POOLING</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_Toc511403379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CC50AE">
          <w:rPr>
            <w:rStyle w:val="Hiperligao"/>
            <w:rFonts w:asciiTheme="majorHAnsi" w:hAnsiTheme="majorHAnsi"/>
            <w:b w:val="0"/>
            <w:noProof/>
            <w:webHidden/>
          </w:rPr>
          <w:t>25</w:t>
        </w:r>
        <w:r w:rsidR="00B017C4">
          <w:rPr>
            <w:rStyle w:val="Hiperligao"/>
            <w:rFonts w:asciiTheme="majorHAnsi" w:hAnsiTheme="majorHAnsi"/>
            <w:b w:val="0"/>
            <w:noProof/>
            <w:webHidden/>
          </w:rPr>
          <w:fldChar w:fldCharType="end"/>
        </w:r>
      </w:hyperlink>
    </w:p>
    <w:p w:rsidR="006A007B" w:rsidRDefault="00FB77A7" w:rsidP="00380199">
      <w:pPr>
        <w:pStyle w:val="ndice2"/>
        <w:rPr>
          <w:rStyle w:val="Hiperligao"/>
          <w:noProof/>
        </w:rPr>
      </w:pPr>
      <w:hyperlink r:id="rId25" w:anchor="_Toc511403380" w:history="1">
        <w:r w:rsidR="00CC50AE">
          <w:rPr>
            <w:rStyle w:val="Hiperligao"/>
            <w:caps/>
            <w:noProof/>
          </w:rPr>
          <w:t>1.</w:t>
        </w:r>
        <w:r w:rsidR="00CC50AE">
          <w:rPr>
            <w:rStyle w:val="Hiperligao"/>
            <w:rFonts w:eastAsiaTheme="minorEastAsia" w:cstheme="minorBidi"/>
            <w:noProof/>
            <w:lang w:eastAsia="pt-PT"/>
          </w:rPr>
          <w:tab/>
        </w:r>
        <w:r w:rsidR="006A007B">
          <w:rPr>
            <w:rStyle w:val="Hiperligao"/>
            <w:rFonts w:eastAsiaTheme="minorEastAsia" w:cstheme="minorBidi"/>
            <w:noProof/>
            <w:lang w:eastAsia="pt-PT"/>
          </w:rPr>
          <w:t>ap</w:t>
        </w:r>
        <w:r w:rsidR="00F73606">
          <w:rPr>
            <w:rStyle w:val="Hiperligao"/>
            <w:rFonts w:eastAsiaTheme="minorEastAsia" w:cstheme="minorBidi"/>
            <w:noProof/>
            <w:lang w:eastAsia="pt-PT"/>
          </w:rPr>
          <w:t xml:space="preserve">resentação do problema </w:t>
        </w:r>
        <w:r w:rsidR="00CC50AE">
          <w:rPr>
            <w:rStyle w:val="Hiperligao"/>
            <w:noProof/>
            <w:webHidden/>
          </w:rPr>
          <w:tab/>
        </w:r>
        <w:r w:rsidR="00B017C4">
          <w:rPr>
            <w:rStyle w:val="Hiperligao"/>
            <w:noProof/>
            <w:webHidden/>
          </w:rPr>
          <w:fldChar w:fldCharType="begin"/>
        </w:r>
        <w:r w:rsidR="00CC50AE">
          <w:rPr>
            <w:rStyle w:val="Hiperligao"/>
            <w:noProof/>
            <w:webHidden/>
          </w:rPr>
          <w:instrText xml:space="preserve"> PAGEREF _Toc511403380 \h </w:instrText>
        </w:r>
        <w:r w:rsidR="00B017C4">
          <w:rPr>
            <w:rStyle w:val="Hiperligao"/>
            <w:noProof/>
            <w:webHidden/>
          </w:rPr>
        </w:r>
        <w:r w:rsidR="00B017C4">
          <w:rPr>
            <w:rStyle w:val="Hiperligao"/>
            <w:noProof/>
            <w:webHidden/>
          </w:rPr>
          <w:fldChar w:fldCharType="separate"/>
        </w:r>
        <w:r w:rsidR="006A007B">
          <w:rPr>
            <w:rStyle w:val="Hiperligao"/>
            <w:noProof/>
            <w:webHidden/>
          </w:rPr>
          <w:t>39</w:t>
        </w:r>
        <w:r w:rsidR="00B017C4">
          <w:rPr>
            <w:rStyle w:val="Hiperligao"/>
            <w:noProof/>
            <w:webHidden/>
          </w:rPr>
          <w:fldChar w:fldCharType="end"/>
        </w:r>
      </w:hyperlink>
    </w:p>
    <w:p w:rsidR="006A007B" w:rsidRDefault="006A007B" w:rsidP="00380199">
      <w:pPr>
        <w:pStyle w:val="ndice2"/>
        <w:rPr>
          <w:rStyle w:val="Hiperligao"/>
          <w:noProof/>
        </w:rPr>
      </w:pPr>
      <w:r>
        <w:t xml:space="preserve">2. </w:t>
      </w:r>
      <w:r>
        <w:tab/>
      </w:r>
      <w:hyperlink r:id="rId26" w:anchor="_Toc511403381" w:history="1">
        <w:r>
          <w:rPr>
            <w:rStyle w:val="Hiperligao"/>
            <w:smallCaps w:val="0"/>
            <w:noProof/>
          </w:rPr>
          <w:t>Operação de cash pooling, como “operação de crédito”</w:t>
        </w:r>
        <w:r w:rsidR="00CC50AE">
          <w:rPr>
            <w:rStyle w:val="Hiperligao"/>
            <w:noProof/>
            <w:webHidden/>
          </w:rPr>
          <w:tab/>
        </w:r>
        <w:r w:rsidR="00B017C4">
          <w:rPr>
            <w:rStyle w:val="Hiperligao"/>
            <w:noProof/>
            <w:webHidden/>
          </w:rPr>
          <w:fldChar w:fldCharType="begin"/>
        </w:r>
        <w:r w:rsidR="00CC50AE">
          <w:rPr>
            <w:rStyle w:val="Hiperligao"/>
            <w:noProof/>
            <w:webHidden/>
          </w:rPr>
          <w:instrText xml:space="preserve"> PAGEREF _Toc511403381 \h </w:instrText>
        </w:r>
        <w:r w:rsidR="00B017C4">
          <w:rPr>
            <w:rStyle w:val="Hiperligao"/>
            <w:noProof/>
            <w:webHidden/>
          </w:rPr>
        </w:r>
        <w:r w:rsidR="00B017C4">
          <w:rPr>
            <w:rStyle w:val="Hiperligao"/>
            <w:noProof/>
            <w:webHidden/>
          </w:rPr>
          <w:fldChar w:fldCharType="separate"/>
        </w:r>
        <w:r>
          <w:rPr>
            <w:rStyle w:val="Hiperligao"/>
            <w:noProof/>
            <w:webHidden/>
          </w:rPr>
          <w:t>39</w:t>
        </w:r>
        <w:r w:rsidR="00B017C4">
          <w:rPr>
            <w:rStyle w:val="Hiperligao"/>
            <w:noProof/>
            <w:webHidden/>
          </w:rPr>
          <w:fldChar w:fldCharType="end"/>
        </w:r>
      </w:hyperlink>
    </w:p>
    <w:p w:rsidR="006A007B" w:rsidRDefault="006A007B" w:rsidP="00380199">
      <w:pPr>
        <w:pStyle w:val="ndice2"/>
        <w:rPr>
          <w:i/>
        </w:rPr>
      </w:pPr>
      <w:r>
        <w:t>3.</w:t>
      </w:r>
      <w:r>
        <w:tab/>
        <w:t xml:space="preserve"> </w:t>
      </w:r>
      <w:r w:rsidRPr="006A007B">
        <w:t xml:space="preserve">a disciplina da conservação do capital social e os empréstimos </w:t>
      </w:r>
      <w:r w:rsidRPr="006A007B">
        <w:rPr>
          <w:i/>
        </w:rPr>
        <w:t>upstream</w:t>
      </w:r>
      <w:r>
        <w:rPr>
          <w:i/>
        </w:rPr>
        <w:t xml:space="preserve"> ……………………………</w:t>
      </w:r>
      <w:r>
        <w:rPr>
          <w:i/>
        </w:rPr>
        <w:tab/>
        <w:t>41</w:t>
      </w:r>
    </w:p>
    <w:p w:rsidR="00DE546C" w:rsidRDefault="006A007B" w:rsidP="00380199">
      <w:pPr>
        <w:pStyle w:val="ndice2"/>
      </w:pPr>
      <w:r>
        <w:t xml:space="preserve">4. </w:t>
      </w:r>
      <w:r>
        <w:tab/>
      </w:r>
      <w:r w:rsidRPr="007567C4">
        <w:t>A disciplina da conservação do capital social e os empréstimos upstream - a experi</w:t>
      </w:r>
      <w:r w:rsidR="007567C4">
        <w:t xml:space="preserve">ência </w:t>
      </w:r>
      <w:r w:rsidRPr="007567C4">
        <w:t>alem</w:t>
      </w:r>
      <w:r w:rsidR="007567C4">
        <w:t>ã …..………………………………………………………………………………………………………………………………………</w:t>
      </w:r>
      <w:r w:rsidR="00380199">
        <w:t>..</w:t>
      </w:r>
      <w:r w:rsidR="00DE546C">
        <w:t>.</w:t>
      </w:r>
      <w:r w:rsidR="00380199">
        <w:t xml:space="preserve"> </w:t>
      </w:r>
      <w:r w:rsidR="007567C4">
        <w:t>42</w:t>
      </w:r>
    </w:p>
    <w:p w:rsidR="00DE546C" w:rsidRDefault="00DE546C" w:rsidP="00380199">
      <w:pPr>
        <w:pStyle w:val="ndice2"/>
      </w:pPr>
      <w:r>
        <w:t>5. A disciplina da conservação do capital social e empréstimos upstream - no ordenamento jurídico angolano …………………………………………………………………………………………………………………</w:t>
      </w:r>
      <w:r w:rsidR="00380199">
        <w:t>……….</w:t>
      </w:r>
      <w:r>
        <w:t>….</w:t>
      </w:r>
      <w:r w:rsidR="00380199">
        <w:t xml:space="preserve"> </w:t>
      </w:r>
      <w:r>
        <w:t>44</w:t>
      </w:r>
    </w:p>
    <w:p w:rsidR="00DE546C" w:rsidRDefault="00DE546C" w:rsidP="00380199">
      <w:pPr>
        <w:pStyle w:val="ndice2"/>
      </w:pPr>
      <w:r>
        <w:t xml:space="preserve">6. </w:t>
      </w:r>
      <w:r w:rsidRPr="00DE546C">
        <w:t>as operações de cash pooling estão ou não restringidas em razão do objecto social de cada uma das sociedades do grupo?</w:t>
      </w:r>
      <w:r>
        <w:t xml:space="preserve"> ……………………………………………………………………………………………………….</w:t>
      </w:r>
      <w:r>
        <w:tab/>
        <w:t>44</w:t>
      </w:r>
    </w:p>
    <w:p w:rsidR="00DE546C" w:rsidRDefault="00DE546C" w:rsidP="00380199">
      <w:pPr>
        <w:pStyle w:val="ndice2"/>
      </w:pPr>
      <w:r w:rsidRPr="00DE546C">
        <w:t>7. É possível a sociedade-mãe forçar a subsidiária a concluir um acordo de cash pooling ao abrigo dos arts. 475.º e 491.º ……………………………………………………………………………………</w:t>
      </w:r>
      <w:r>
        <w:t>…………</w:t>
      </w:r>
      <w:r w:rsidRPr="00DE546C">
        <w:t>……………</w:t>
      </w:r>
      <w:r>
        <w:tab/>
      </w:r>
      <w:r w:rsidRPr="00DE546C">
        <w:t>50</w:t>
      </w:r>
    </w:p>
    <w:p w:rsidR="00380199" w:rsidRDefault="00DE546C" w:rsidP="00380199">
      <w:pPr>
        <w:pStyle w:val="ndice2"/>
      </w:pPr>
      <w:r w:rsidRPr="00DE546C">
        <w:t>8. A eventual confusão de patrimónios …………………………………………………………………………………</w:t>
      </w:r>
      <w:r>
        <w:t>..</w:t>
      </w:r>
      <w:r w:rsidR="00380199">
        <w:tab/>
      </w:r>
      <w:r w:rsidRPr="00DE546C">
        <w:t xml:space="preserve">55 </w:t>
      </w:r>
    </w:p>
    <w:p w:rsidR="00DE546C" w:rsidRPr="00380199" w:rsidRDefault="00DE546C" w:rsidP="00380199">
      <w:pPr>
        <w:pStyle w:val="ndice2"/>
      </w:pPr>
      <w:r w:rsidRPr="00380199">
        <w:t>9. Situação dos administradores das sociedades dependentes, relativamente ao património da mesma</w:t>
      </w:r>
      <w:r w:rsidR="00380199" w:rsidRPr="00380199">
        <w:t xml:space="preserve"> ………………………………………………………………………………………………………………………….…….....</w:t>
      </w:r>
      <w:r w:rsidR="00380199">
        <w:tab/>
      </w:r>
      <w:r w:rsidR="00380199" w:rsidRPr="00380199">
        <w:t>58</w:t>
      </w:r>
      <w:r w:rsidRPr="00380199">
        <w:t xml:space="preserve"> </w:t>
      </w:r>
    </w:p>
    <w:p w:rsidR="00CC50AE" w:rsidRDefault="00FB77A7" w:rsidP="00CC50AE">
      <w:pPr>
        <w:pStyle w:val="ndice1"/>
        <w:tabs>
          <w:tab w:val="right" w:leader="dot" w:pos="8494"/>
        </w:tabs>
        <w:rPr>
          <w:rFonts w:asciiTheme="majorHAnsi" w:eastAsiaTheme="minorEastAsia" w:hAnsiTheme="majorHAnsi" w:cstheme="minorBidi"/>
          <w:b w:val="0"/>
          <w:bCs w:val="0"/>
          <w:caps w:val="0"/>
          <w:noProof/>
          <w:sz w:val="24"/>
          <w:szCs w:val="24"/>
          <w:lang w:eastAsia="pt-PT"/>
        </w:rPr>
      </w:pPr>
      <w:hyperlink r:id="rId27" w:anchor="_Toc511403457" w:history="1">
        <w:r w:rsidR="00CC50AE">
          <w:rPr>
            <w:rStyle w:val="Hiperligao"/>
            <w:rFonts w:asciiTheme="majorHAnsi" w:hAnsiTheme="majorHAnsi"/>
            <w:b w:val="0"/>
            <w:noProof/>
          </w:rPr>
          <w:t>CONCLUSÕES GERAIS</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_Toc511403457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380199">
          <w:rPr>
            <w:rStyle w:val="Hiperligao"/>
            <w:rFonts w:asciiTheme="majorHAnsi" w:hAnsiTheme="majorHAnsi"/>
            <w:b w:val="0"/>
            <w:noProof/>
            <w:webHidden/>
          </w:rPr>
          <w:t>74</w:t>
        </w:r>
        <w:r w:rsidR="00B017C4">
          <w:rPr>
            <w:rStyle w:val="Hiperligao"/>
            <w:rFonts w:asciiTheme="majorHAnsi" w:hAnsiTheme="majorHAnsi"/>
            <w:b w:val="0"/>
            <w:noProof/>
            <w:webHidden/>
          </w:rPr>
          <w:fldChar w:fldCharType="end"/>
        </w:r>
      </w:hyperlink>
    </w:p>
    <w:p w:rsidR="00CC50AE" w:rsidRDefault="00FB77A7" w:rsidP="00CC50AE">
      <w:pPr>
        <w:pStyle w:val="ndice1"/>
        <w:tabs>
          <w:tab w:val="right" w:leader="dot" w:pos="8494"/>
        </w:tabs>
        <w:rPr>
          <w:rFonts w:eastAsiaTheme="minorEastAsia" w:cstheme="minorBidi"/>
          <w:b w:val="0"/>
          <w:bCs w:val="0"/>
          <w:caps w:val="0"/>
          <w:noProof/>
          <w:sz w:val="22"/>
          <w:szCs w:val="22"/>
          <w:lang w:eastAsia="pt-PT"/>
        </w:rPr>
      </w:pPr>
      <w:hyperlink r:id="rId28" w:anchor="_Toc511403458" w:history="1">
        <w:r w:rsidR="00CC50AE">
          <w:rPr>
            <w:rStyle w:val="Hiperligao"/>
            <w:rFonts w:asciiTheme="majorHAnsi" w:hAnsiTheme="majorHAnsi"/>
            <w:b w:val="0"/>
            <w:noProof/>
          </w:rPr>
          <w:t>BIBLIOGRAFIA</w:t>
        </w:r>
        <w:r w:rsidR="00CC50AE">
          <w:rPr>
            <w:rStyle w:val="Hiperligao"/>
            <w:rFonts w:asciiTheme="majorHAnsi" w:hAnsiTheme="majorHAnsi"/>
            <w:b w:val="0"/>
            <w:noProof/>
            <w:webHidden/>
          </w:rPr>
          <w:tab/>
        </w:r>
        <w:r w:rsidR="00B017C4">
          <w:rPr>
            <w:rStyle w:val="Hiperligao"/>
            <w:rFonts w:asciiTheme="majorHAnsi" w:hAnsiTheme="majorHAnsi"/>
            <w:b w:val="0"/>
            <w:noProof/>
            <w:webHidden/>
          </w:rPr>
          <w:fldChar w:fldCharType="begin"/>
        </w:r>
        <w:r w:rsidR="00CC50AE">
          <w:rPr>
            <w:rStyle w:val="Hiperligao"/>
            <w:rFonts w:asciiTheme="majorHAnsi" w:hAnsiTheme="majorHAnsi"/>
            <w:b w:val="0"/>
            <w:noProof/>
            <w:webHidden/>
          </w:rPr>
          <w:instrText xml:space="preserve"> PAGEREF _Toc511403458 \h </w:instrText>
        </w:r>
        <w:r w:rsidR="00B017C4">
          <w:rPr>
            <w:rStyle w:val="Hiperligao"/>
            <w:rFonts w:asciiTheme="majorHAnsi" w:hAnsiTheme="majorHAnsi"/>
            <w:b w:val="0"/>
            <w:noProof/>
            <w:webHidden/>
          </w:rPr>
        </w:r>
        <w:r w:rsidR="00B017C4">
          <w:rPr>
            <w:rStyle w:val="Hiperligao"/>
            <w:rFonts w:asciiTheme="majorHAnsi" w:hAnsiTheme="majorHAnsi"/>
            <w:b w:val="0"/>
            <w:noProof/>
            <w:webHidden/>
          </w:rPr>
          <w:fldChar w:fldCharType="separate"/>
        </w:r>
        <w:r w:rsidR="00380199">
          <w:rPr>
            <w:rStyle w:val="Hiperligao"/>
            <w:rFonts w:asciiTheme="majorHAnsi" w:hAnsiTheme="majorHAnsi"/>
            <w:b w:val="0"/>
            <w:noProof/>
            <w:webHidden/>
          </w:rPr>
          <w:t>75</w:t>
        </w:r>
        <w:r w:rsidR="00B017C4">
          <w:rPr>
            <w:rStyle w:val="Hiperligao"/>
            <w:rFonts w:asciiTheme="majorHAnsi" w:hAnsiTheme="majorHAnsi"/>
            <w:b w:val="0"/>
            <w:noProof/>
            <w:webHidden/>
          </w:rPr>
          <w:fldChar w:fldCharType="end"/>
        </w:r>
      </w:hyperlink>
    </w:p>
    <w:p w:rsidR="00CC50AE" w:rsidRDefault="00B017C4" w:rsidP="00C2335E">
      <w:pPr>
        <w:pStyle w:val="SemEspaamento1"/>
        <w:sectPr w:rsidR="00CC50AE">
          <w:footerReference w:type="default" r:id="rId29"/>
          <w:pgSz w:w="11906" w:h="16838"/>
          <w:pgMar w:top="1701" w:right="1701" w:bottom="1418" w:left="1701" w:header="709" w:footer="709" w:gutter="0"/>
          <w:pgNumType w:fmt="lowerRoman" w:start="1"/>
          <w:cols w:space="720"/>
        </w:sectPr>
      </w:pPr>
      <w:r>
        <w:fldChar w:fldCharType="end"/>
      </w:r>
    </w:p>
    <w:p w:rsidR="0015603D" w:rsidRPr="009C63D6" w:rsidRDefault="0015603D" w:rsidP="0015603D">
      <w:pPr>
        <w:pStyle w:val="SemEspaamento1"/>
        <w:rPr>
          <w:sz w:val="32"/>
        </w:rPr>
      </w:pPr>
      <w:r w:rsidRPr="009C63D6">
        <w:rPr>
          <w:sz w:val="32"/>
        </w:rPr>
        <w:t>INTRODUÇÃO</w:t>
      </w:r>
    </w:p>
    <w:p w:rsidR="00DB4B16" w:rsidRDefault="009C63D6" w:rsidP="009C63D6">
      <w:pPr>
        <w:pStyle w:val="SemEspaamento1"/>
        <w:spacing w:line="360" w:lineRule="auto"/>
        <w:rPr>
          <w:rFonts w:asciiTheme="majorHAnsi" w:hAnsiTheme="majorHAnsi"/>
          <w:b w:val="0"/>
          <w:caps w:val="0"/>
        </w:rPr>
      </w:pPr>
      <w:r w:rsidRPr="009C63D6">
        <w:rPr>
          <w:rFonts w:asciiTheme="majorHAnsi" w:hAnsiTheme="majorHAnsi"/>
          <w:b w:val="0"/>
        </w:rPr>
        <w:t xml:space="preserve">a </w:t>
      </w:r>
      <w:r w:rsidRPr="009C63D6">
        <w:rPr>
          <w:rFonts w:asciiTheme="majorHAnsi" w:hAnsiTheme="majorHAnsi"/>
          <w:b w:val="0"/>
          <w:caps w:val="0"/>
        </w:rPr>
        <w:t>actual crise económica que se tem proliferado a n</w:t>
      </w:r>
      <w:r>
        <w:rPr>
          <w:rFonts w:asciiTheme="majorHAnsi" w:hAnsiTheme="majorHAnsi"/>
          <w:b w:val="0"/>
          <w:caps w:val="0"/>
        </w:rPr>
        <w:t xml:space="preserve">ível internacional tem gerado a escassez dos recursos financeiros a nível das instituições de crédito, tornando desta forma, o acesso ao crédito por parte das empresas e grupos de empresas bastante difícil, </w:t>
      </w:r>
      <w:r w:rsidR="00A33C8F">
        <w:rPr>
          <w:rFonts w:asciiTheme="majorHAnsi" w:hAnsiTheme="majorHAnsi"/>
          <w:b w:val="0"/>
          <w:caps w:val="0"/>
        </w:rPr>
        <w:t xml:space="preserve">e quando possível, com </w:t>
      </w:r>
      <w:r>
        <w:rPr>
          <w:rFonts w:asciiTheme="majorHAnsi" w:hAnsiTheme="majorHAnsi"/>
          <w:b w:val="0"/>
          <w:caps w:val="0"/>
        </w:rPr>
        <w:t>taxas de juros</w:t>
      </w:r>
      <w:r w:rsidR="00A33C8F">
        <w:rPr>
          <w:rFonts w:asciiTheme="majorHAnsi" w:hAnsiTheme="majorHAnsi"/>
          <w:b w:val="0"/>
          <w:caps w:val="0"/>
        </w:rPr>
        <w:t xml:space="preserve"> bastante elevadas</w:t>
      </w:r>
      <w:r>
        <w:rPr>
          <w:rFonts w:asciiTheme="majorHAnsi" w:hAnsiTheme="majorHAnsi"/>
          <w:b w:val="0"/>
          <w:caps w:val="0"/>
        </w:rPr>
        <w:t xml:space="preserve">. </w:t>
      </w:r>
    </w:p>
    <w:p w:rsidR="00E903E6" w:rsidRDefault="00E903E6" w:rsidP="009C63D6">
      <w:pPr>
        <w:pStyle w:val="SemEspaamento1"/>
        <w:spacing w:line="360" w:lineRule="auto"/>
        <w:rPr>
          <w:rFonts w:asciiTheme="majorHAnsi" w:hAnsiTheme="majorHAnsi"/>
          <w:b w:val="0"/>
          <w:caps w:val="0"/>
        </w:rPr>
      </w:pPr>
      <w:r>
        <w:rPr>
          <w:rFonts w:asciiTheme="majorHAnsi" w:hAnsiTheme="majorHAnsi"/>
          <w:b w:val="0"/>
          <w:caps w:val="0"/>
        </w:rPr>
        <w:t xml:space="preserve">Para fazer face a esta realidade, os grupos de sociedades têm optado por recorrer ao financiamento interno, seja por meio das prestações suplementares, empréstimos (suprimentos), prestações de garantias ou sistemas de </w:t>
      </w:r>
      <w:r w:rsidRPr="00E903E6">
        <w:rPr>
          <w:rFonts w:asciiTheme="majorHAnsi" w:hAnsiTheme="majorHAnsi"/>
          <w:b w:val="0"/>
          <w:i/>
          <w:caps w:val="0"/>
        </w:rPr>
        <w:t xml:space="preserve">factoring </w:t>
      </w:r>
      <w:r>
        <w:rPr>
          <w:rFonts w:asciiTheme="majorHAnsi" w:hAnsiTheme="majorHAnsi"/>
          <w:b w:val="0"/>
          <w:caps w:val="0"/>
        </w:rPr>
        <w:t xml:space="preserve">ou até mesmo, com recurso ao sistema de </w:t>
      </w:r>
      <w:r w:rsidRPr="00E903E6">
        <w:rPr>
          <w:rFonts w:asciiTheme="majorHAnsi" w:hAnsiTheme="majorHAnsi"/>
          <w:b w:val="0"/>
          <w:i/>
          <w:caps w:val="0"/>
        </w:rPr>
        <w:t>cash pooling</w:t>
      </w:r>
      <w:r>
        <w:rPr>
          <w:rStyle w:val="Refdenotaderodap"/>
          <w:rFonts w:asciiTheme="majorHAnsi" w:hAnsiTheme="majorHAnsi"/>
          <w:b w:val="0"/>
          <w:caps w:val="0"/>
        </w:rPr>
        <w:footnoteReference w:id="1"/>
      </w:r>
      <w:r>
        <w:rPr>
          <w:rFonts w:asciiTheme="majorHAnsi" w:hAnsiTheme="majorHAnsi"/>
          <w:b w:val="0"/>
          <w:caps w:val="0"/>
        </w:rPr>
        <w:t xml:space="preserve">. </w:t>
      </w:r>
    </w:p>
    <w:p w:rsidR="00D33777" w:rsidRDefault="00A33C8F" w:rsidP="00257005">
      <w:pPr>
        <w:pStyle w:val="SemEspaamento1"/>
        <w:spacing w:line="360" w:lineRule="auto"/>
        <w:rPr>
          <w:rFonts w:asciiTheme="majorHAnsi" w:hAnsiTheme="majorHAnsi"/>
          <w:b w:val="0"/>
          <w:caps w:val="0"/>
        </w:rPr>
      </w:pPr>
      <w:r>
        <w:rPr>
          <w:rFonts w:asciiTheme="majorHAnsi" w:hAnsiTheme="majorHAnsi"/>
          <w:b w:val="0"/>
          <w:caps w:val="0"/>
        </w:rPr>
        <w:t>Assim, c</w:t>
      </w:r>
      <w:r w:rsidR="00257005">
        <w:rPr>
          <w:rFonts w:asciiTheme="majorHAnsi" w:hAnsiTheme="majorHAnsi"/>
          <w:b w:val="0"/>
          <w:caps w:val="0"/>
        </w:rPr>
        <w:t>om recurso</w:t>
      </w:r>
      <w:r w:rsidR="00E903E6">
        <w:rPr>
          <w:rFonts w:asciiTheme="majorHAnsi" w:hAnsiTheme="majorHAnsi"/>
          <w:b w:val="0"/>
          <w:caps w:val="0"/>
        </w:rPr>
        <w:t xml:space="preserve"> </w:t>
      </w:r>
      <w:r w:rsidR="00257005">
        <w:rPr>
          <w:rFonts w:asciiTheme="majorHAnsi" w:hAnsiTheme="majorHAnsi"/>
          <w:b w:val="0"/>
          <w:caps w:val="0"/>
        </w:rPr>
        <w:t xml:space="preserve">ao </w:t>
      </w:r>
      <w:r>
        <w:rPr>
          <w:rFonts w:asciiTheme="majorHAnsi" w:hAnsiTheme="majorHAnsi"/>
          <w:b w:val="0"/>
          <w:caps w:val="0"/>
        </w:rPr>
        <w:t xml:space="preserve">sistema de </w:t>
      </w:r>
      <w:r w:rsidRPr="00A33C8F">
        <w:rPr>
          <w:rFonts w:asciiTheme="majorHAnsi" w:hAnsiTheme="majorHAnsi"/>
          <w:b w:val="0"/>
          <w:i/>
          <w:caps w:val="0"/>
        </w:rPr>
        <w:t>cash pooling</w:t>
      </w:r>
      <w:r w:rsidR="00257005">
        <w:rPr>
          <w:rFonts w:asciiTheme="majorHAnsi" w:hAnsiTheme="majorHAnsi"/>
          <w:b w:val="0"/>
          <w:caps w:val="0"/>
        </w:rPr>
        <w:t xml:space="preserve">, os grupos de sociedades pretendem </w:t>
      </w:r>
      <w:r w:rsidR="00910DA3">
        <w:rPr>
          <w:rFonts w:asciiTheme="majorHAnsi" w:hAnsiTheme="majorHAnsi"/>
          <w:b w:val="0"/>
          <w:caps w:val="0"/>
        </w:rPr>
        <w:t xml:space="preserve">optimizar </w:t>
      </w:r>
      <w:r w:rsidR="00FA6516">
        <w:rPr>
          <w:rFonts w:asciiTheme="majorHAnsi" w:hAnsiTheme="majorHAnsi"/>
          <w:b w:val="0"/>
          <w:caps w:val="0"/>
        </w:rPr>
        <w:t xml:space="preserve">os </w:t>
      </w:r>
      <w:r w:rsidR="00257005">
        <w:rPr>
          <w:rFonts w:asciiTheme="majorHAnsi" w:hAnsiTheme="majorHAnsi"/>
          <w:b w:val="0"/>
          <w:caps w:val="0"/>
        </w:rPr>
        <w:t xml:space="preserve">recursos financeiros existentes no seio do grupo, </w:t>
      </w:r>
      <w:r w:rsidR="00FA6516">
        <w:rPr>
          <w:rFonts w:asciiTheme="majorHAnsi" w:hAnsiTheme="majorHAnsi"/>
          <w:b w:val="0"/>
          <w:caps w:val="0"/>
        </w:rPr>
        <w:t xml:space="preserve">para tal, fazem uso dos excedentes </w:t>
      </w:r>
      <w:r w:rsidR="00257005">
        <w:rPr>
          <w:rFonts w:asciiTheme="majorHAnsi" w:hAnsiTheme="majorHAnsi"/>
          <w:b w:val="0"/>
          <w:caps w:val="0"/>
        </w:rPr>
        <w:t>de</w:t>
      </w:r>
      <w:r w:rsidR="00FA6516">
        <w:rPr>
          <w:rFonts w:asciiTheme="majorHAnsi" w:hAnsiTheme="majorHAnsi"/>
          <w:b w:val="0"/>
          <w:caps w:val="0"/>
        </w:rPr>
        <w:t xml:space="preserve"> tesouraria do grupo, para </w:t>
      </w:r>
      <w:r w:rsidR="00257005">
        <w:rPr>
          <w:rFonts w:asciiTheme="majorHAnsi" w:hAnsiTheme="majorHAnsi"/>
          <w:b w:val="0"/>
          <w:caps w:val="0"/>
        </w:rPr>
        <w:t>cobrir as necessidades de tesouraria de outras sociedades do mesmo grupo, para que desta forma, seja possível reduzir os custos e potenciar os ganhos</w:t>
      </w:r>
      <w:r w:rsidR="00D33777">
        <w:rPr>
          <w:rFonts w:asciiTheme="majorHAnsi" w:hAnsiTheme="majorHAnsi"/>
          <w:b w:val="0"/>
          <w:caps w:val="0"/>
        </w:rPr>
        <w:t xml:space="preserve">, ou seja, os grupos de sociedades têm visto no sistema de </w:t>
      </w:r>
      <w:r w:rsidR="00D33777" w:rsidRPr="00D33777">
        <w:rPr>
          <w:rFonts w:asciiTheme="majorHAnsi" w:hAnsiTheme="majorHAnsi"/>
          <w:b w:val="0"/>
          <w:i/>
          <w:caps w:val="0"/>
        </w:rPr>
        <w:t>cash pooling</w:t>
      </w:r>
      <w:r>
        <w:rPr>
          <w:rFonts w:asciiTheme="majorHAnsi" w:hAnsiTheme="majorHAnsi"/>
          <w:b w:val="0"/>
          <w:caps w:val="0"/>
        </w:rPr>
        <w:t>, o</w:t>
      </w:r>
      <w:r w:rsidR="00D33777">
        <w:rPr>
          <w:rFonts w:asciiTheme="majorHAnsi" w:hAnsiTheme="majorHAnsi"/>
          <w:b w:val="0"/>
          <w:caps w:val="0"/>
        </w:rPr>
        <w:t xml:space="preserve"> mecanismo ideal para atingir tal desiderato.</w:t>
      </w:r>
    </w:p>
    <w:p w:rsidR="00354F6A" w:rsidRDefault="00754630" w:rsidP="00257005">
      <w:pPr>
        <w:pStyle w:val="SemEspaamento1"/>
        <w:spacing w:line="360" w:lineRule="auto"/>
        <w:rPr>
          <w:rFonts w:asciiTheme="majorHAnsi" w:hAnsiTheme="majorHAnsi"/>
          <w:b w:val="0"/>
          <w:caps w:val="0"/>
        </w:rPr>
      </w:pPr>
      <w:r>
        <w:rPr>
          <w:rFonts w:asciiTheme="majorHAnsi" w:hAnsiTheme="majorHAnsi"/>
          <w:b w:val="0"/>
          <w:caps w:val="0"/>
        </w:rPr>
        <w:t>O</w:t>
      </w:r>
      <w:r w:rsidR="00A33C8F">
        <w:rPr>
          <w:rFonts w:asciiTheme="majorHAnsi" w:hAnsiTheme="majorHAnsi"/>
          <w:b w:val="0"/>
          <w:caps w:val="0"/>
        </w:rPr>
        <w:t>ra, o</w:t>
      </w:r>
      <w:r>
        <w:rPr>
          <w:rFonts w:asciiTheme="majorHAnsi" w:hAnsiTheme="majorHAnsi"/>
          <w:b w:val="0"/>
          <w:caps w:val="0"/>
        </w:rPr>
        <w:t xml:space="preserve"> sistema de </w:t>
      </w:r>
      <w:r w:rsidRPr="00754630">
        <w:rPr>
          <w:rFonts w:asciiTheme="majorHAnsi" w:hAnsiTheme="majorHAnsi"/>
          <w:b w:val="0"/>
          <w:i/>
          <w:caps w:val="0"/>
        </w:rPr>
        <w:t>cash pooling</w:t>
      </w:r>
      <w:r w:rsidR="00CD1D06">
        <w:rPr>
          <w:rFonts w:asciiTheme="majorHAnsi" w:hAnsiTheme="majorHAnsi"/>
          <w:b w:val="0"/>
          <w:caps w:val="0"/>
        </w:rPr>
        <w:t xml:space="preserve"> apresenta-se como um verdadeiro teste ao financiamento de grupo</w:t>
      </w:r>
      <w:r w:rsidR="00CD1D06">
        <w:rPr>
          <w:rStyle w:val="Refdenotaderodap"/>
          <w:rFonts w:asciiTheme="majorHAnsi" w:hAnsiTheme="majorHAnsi"/>
          <w:b w:val="0"/>
          <w:caps w:val="0"/>
        </w:rPr>
        <w:footnoteReference w:id="2"/>
      </w:r>
      <w:r w:rsidR="00F85CA6">
        <w:rPr>
          <w:rFonts w:asciiTheme="majorHAnsi" w:hAnsiTheme="majorHAnsi"/>
          <w:b w:val="0"/>
          <w:caps w:val="0"/>
        </w:rPr>
        <w:t xml:space="preserve">, isso porque, a sua implementação </w:t>
      </w:r>
      <w:r w:rsidR="00C6367D">
        <w:rPr>
          <w:rFonts w:asciiTheme="majorHAnsi" w:hAnsiTheme="majorHAnsi"/>
          <w:b w:val="0"/>
          <w:caps w:val="0"/>
        </w:rPr>
        <w:t>constitui um meio alternativo de capitalização das empresas que pert</w:t>
      </w:r>
      <w:r w:rsidR="00E76791">
        <w:rPr>
          <w:rFonts w:asciiTheme="majorHAnsi" w:hAnsiTheme="majorHAnsi"/>
          <w:b w:val="0"/>
          <w:caps w:val="0"/>
        </w:rPr>
        <w:t xml:space="preserve">encem ao grupo, um mecanismo para alavancar </w:t>
      </w:r>
      <w:r w:rsidR="00C6367D">
        <w:rPr>
          <w:rFonts w:asciiTheme="majorHAnsi" w:hAnsiTheme="majorHAnsi"/>
          <w:b w:val="0"/>
          <w:caps w:val="0"/>
        </w:rPr>
        <w:t xml:space="preserve">a economia dos grupos e consequentemente a economia angolana. </w:t>
      </w:r>
    </w:p>
    <w:p w:rsidR="00C2335E" w:rsidRDefault="00C6367D" w:rsidP="00257005">
      <w:pPr>
        <w:pStyle w:val="SemEspaamento1"/>
        <w:spacing w:line="360" w:lineRule="auto"/>
        <w:rPr>
          <w:rFonts w:asciiTheme="majorHAnsi" w:hAnsiTheme="majorHAnsi"/>
          <w:b w:val="0"/>
          <w:caps w:val="0"/>
        </w:rPr>
      </w:pPr>
      <w:r>
        <w:rPr>
          <w:rFonts w:asciiTheme="majorHAnsi" w:hAnsiTheme="majorHAnsi"/>
          <w:b w:val="0"/>
          <w:caps w:val="0"/>
        </w:rPr>
        <w:t>Dai a importância</w:t>
      </w:r>
      <w:r w:rsidR="00354F6A">
        <w:rPr>
          <w:rFonts w:asciiTheme="majorHAnsi" w:hAnsiTheme="majorHAnsi"/>
          <w:b w:val="0"/>
          <w:caps w:val="0"/>
        </w:rPr>
        <w:t xml:space="preserve"> do tema e do seu estud</w:t>
      </w:r>
      <w:r w:rsidR="00547800">
        <w:rPr>
          <w:rFonts w:asciiTheme="majorHAnsi" w:hAnsiTheme="majorHAnsi"/>
          <w:b w:val="0"/>
          <w:caps w:val="0"/>
        </w:rPr>
        <w:t xml:space="preserve">o, na medida em que </w:t>
      </w:r>
      <w:r w:rsidR="00386850">
        <w:rPr>
          <w:rFonts w:asciiTheme="majorHAnsi" w:hAnsiTheme="majorHAnsi"/>
          <w:b w:val="0"/>
          <w:caps w:val="0"/>
        </w:rPr>
        <w:t xml:space="preserve">vai </w:t>
      </w:r>
      <w:r w:rsidR="00DF5FFA">
        <w:rPr>
          <w:rFonts w:asciiTheme="majorHAnsi" w:hAnsiTheme="majorHAnsi"/>
          <w:b w:val="0"/>
          <w:caps w:val="0"/>
        </w:rPr>
        <w:t>colocar à disposição d</w:t>
      </w:r>
      <w:r w:rsidR="00386850">
        <w:rPr>
          <w:rFonts w:asciiTheme="majorHAnsi" w:hAnsiTheme="majorHAnsi"/>
          <w:b w:val="0"/>
          <w:caps w:val="0"/>
        </w:rPr>
        <w:t>os operadores económicos</w:t>
      </w:r>
      <w:r w:rsidR="00DF5FFA">
        <w:rPr>
          <w:rFonts w:asciiTheme="majorHAnsi" w:hAnsiTheme="majorHAnsi"/>
          <w:b w:val="0"/>
          <w:caps w:val="0"/>
        </w:rPr>
        <w:t xml:space="preserve">, um meio alternativo de financiamento, do ponto de vista dogmático, vai levar a discussão </w:t>
      </w:r>
      <w:r w:rsidR="0046155E">
        <w:rPr>
          <w:rFonts w:asciiTheme="majorHAnsi" w:hAnsiTheme="majorHAnsi"/>
          <w:b w:val="0"/>
          <w:caps w:val="0"/>
        </w:rPr>
        <w:t xml:space="preserve">junto dos </w:t>
      </w:r>
      <w:r w:rsidR="00FA12AB">
        <w:rPr>
          <w:rFonts w:asciiTheme="majorHAnsi" w:hAnsiTheme="majorHAnsi"/>
          <w:b w:val="0"/>
          <w:caps w:val="0"/>
        </w:rPr>
        <w:t>operadores de direito angolano e permitir pensar e repensar, nas implicações jurídicas da implementação da figura no ordenamento jurídico angolano.</w:t>
      </w:r>
    </w:p>
    <w:p w:rsidR="00D50BC8" w:rsidRDefault="00D50BC8" w:rsidP="0015603D">
      <w:pPr>
        <w:spacing w:line="360" w:lineRule="auto"/>
        <w:jc w:val="center"/>
        <w:rPr>
          <w:rFonts w:asciiTheme="majorHAnsi" w:hAnsiTheme="majorHAnsi" w:cs="Times New Roman"/>
          <w:sz w:val="24"/>
          <w:szCs w:val="24"/>
          <w:lang w:val="pt-BR"/>
        </w:rPr>
      </w:pPr>
    </w:p>
    <w:p w:rsidR="00892316" w:rsidRDefault="00892316" w:rsidP="00A07132">
      <w:pPr>
        <w:spacing w:line="360" w:lineRule="auto"/>
        <w:rPr>
          <w:rFonts w:asciiTheme="majorHAnsi" w:hAnsiTheme="majorHAnsi" w:cs="Times New Roman"/>
          <w:sz w:val="24"/>
          <w:szCs w:val="24"/>
          <w:lang w:val="pt-BR"/>
        </w:rPr>
      </w:pPr>
    </w:p>
    <w:p w:rsidR="0015603D" w:rsidRPr="00C2335E" w:rsidRDefault="0015603D" w:rsidP="0015603D">
      <w:pPr>
        <w:spacing w:line="360" w:lineRule="auto"/>
        <w:jc w:val="center"/>
        <w:rPr>
          <w:rFonts w:asciiTheme="majorHAnsi" w:hAnsiTheme="majorHAnsi" w:cs="Times New Roman"/>
          <w:sz w:val="24"/>
          <w:szCs w:val="24"/>
          <w:lang w:val="pt-BR"/>
        </w:rPr>
      </w:pPr>
      <w:r>
        <w:rPr>
          <w:rFonts w:asciiTheme="majorHAnsi" w:hAnsiTheme="majorHAnsi" w:cs="Times New Roman"/>
          <w:sz w:val="24"/>
          <w:szCs w:val="24"/>
          <w:lang w:val="pt-BR"/>
        </w:rPr>
        <w:t>CAPÍTULO I</w:t>
      </w:r>
    </w:p>
    <w:p w:rsidR="005B6EDC" w:rsidRPr="0015603D" w:rsidRDefault="0015603D" w:rsidP="00892316">
      <w:pPr>
        <w:spacing w:line="360" w:lineRule="auto"/>
        <w:jc w:val="center"/>
        <w:rPr>
          <w:rFonts w:asciiTheme="majorHAnsi" w:hAnsiTheme="majorHAnsi" w:cs="Times New Roman"/>
          <w:b/>
          <w:sz w:val="24"/>
          <w:szCs w:val="24"/>
          <w:lang w:val="pt-BR"/>
        </w:rPr>
      </w:pPr>
      <w:r w:rsidRPr="00C2335E">
        <w:rPr>
          <w:rFonts w:asciiTheme="majorHAnsi" w:hAnsiTheme="majorHAnsi" w:cs="Times New Roman"/>
          <w:b/>
          <w:sz w:val="24"/>
          <w:szCs w:val="24"/>
          <w:lang w:val="pt-BR"/>
        </w:rPr>
        <w:t>A</w:t>
      </w:r>
      <w:r>
        <w:rPr>
          <w:rFonts w:asciiTheme="majorHAnsi" w:hAnsiTheme="majorHAnsi" w:cs="Times New Roman"/>
          <w:b/>
          <w:sz w:val="24"/>
          <w:szCs w:val="24"/>
          <w:lang w:val="pt-BR"/>
        </w:rPr>
        <w:t>SPECTOS GERAIS</w:t>
      </w:r>
    </w:p>
    <w:p w:rsidR="0015603D" w:rsidRDefault="00892316" w:rsidP="00646C88">
      <w:pPr>
        <w:spacing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I</w:t>
      </w:r>
      <w:r w:rsidR="0015603D" w:rsidRPr="0015603D">
        <w:rPr>
          <w:rFonts w:asciiTheme="majorHAnsi" w:hAnsiTheme="majorHAnsi" w:cs="Times New Roman"/>
          <w:b/>
          <w:sz w:val="24"/>
          <w:szCs w:val="24"/>
          <w:lang w:val="pt-BR"/>
        </w:rPr>
        <w:t xml:space="preserve"> – </w:t>
      </w:r>
      <w:r>
        <w:rPr>
          <w:rFonts w:asciiTheme="majorHAnsi" w:hAnsiTheme="majorHAnsi" w:cs="Times New Roman"/>
          <w:b/>
          <w:sz w:val="24"/>
          <w:szCs w:val="24"/>
          <w:lang w:val="pt-BR"/>
        </w:rPr>
        <w:t>Problemática, a</w:t>
      </w:r>
      <w:r w:rsidR="0015603D" w:rsidRPr="0015603D">
        <w:rPr>
          <w:rFonts w:asciiTheme="majorHAnsi" w:hAnsiTheme="majorHAnsi" w:cs="Times New Roman"/>
          <w:b/>
          <w:sz w:val="24"/>
          <w:szCs w:val="24"/>
          <w:lang w:val="pt-BR"/>
        </w:rPr>
        <w:t>ctualidade e pertinência do tema no ordenamento jurídico angolano</w:t>
      </w:r>
    </w:p>
    <w:p w:rsidR="00F11177" w:rsidRDefault="00822438"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 ordenamento jussocietário </w:t>
      </w:r>
      <w:r w:rsidR="001033FD">
        <w:rPr>
          <w:rFonts w:asciiTheme="majorHAnsi" w:hAnsiTheme="majorHAnsi" w:cs="Times New Roman"/>
          <w:sz w:val="24"/>
          <w:szCs w:val="24"/>
          <w:lang w:val="pt-BR"/>
        </w:rPr>
        <w:t xml:space="preserve">angolano </w:t>
      </w:r>
      <w:r>
        <w:rPr>
          <w:rFonts w:asciiTheme="majorHAnsi" w:hAnsiTheme="majorHAnsi" w:cs="Times New Roman"/>
          <w:sz w:val="24"/>
          <w:szCs w:val="24"/>
          <w:lang w:val="pt-BR"/>
        </w:rPr>
        <w:t xml:space="preserve">não prestou larga atenção </w:t>
      </w:r>
      <w:r w:rsidR="001033FD">
        <w:rPr>
          <w:rFonts w:asciiTheme="majorHAnsi" w:hAnsiTheme="majorHAnsi" w:cs="Times New Roman"/>
          <w:sz w:val="24"/>
          <w:szCs w:val="24"/>
          <w:lang w:val="pt-BR"/>
        </w:rPr>
        <w:t>à</w:t>
      </w:r>
      <w:r>
        <w:rPr>
          <w:rFonts w:asciiTheme="majorHAnsi" w:hAnsiTheme="majorHAnsi" w:cs="Times New Roman"/>
          <w:sz w:val="24"/>
          <w:szCs w:val="24"/>
          <w:lang w:val="pt-BR"/>
        </w:rPr>
        <w:t xml:space="preserve"> figura do </w:t>
      </w:r>
      <w:r w:rsidRPr="00822438">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não tendo estabelecido qualquer regime jurídico sobre a mesma, dai que, para </w:t>
      </w:r>
      <w:r w:rsidR="00AC0F8D">
        <w:rPr>
          <w:rFonts w:asciiTheme="majorHAnsi" w:hAnsiTheme="majorHAnsi" w:cs="Times New Roman"/>
          <w:sz w:val="24"/>
          <w:szCs w:val="24"/>
          <w:lang w:val="pt-BR"/>
        </w:rPr>
        <w:t xml:space="preserve">compreendermos </w:t>
      </w:r>
      <w:r w:rsidR="001033FD">
        <w:rPr>
          <w:rFonts w:asciiTheme="majorHAnsi" w:hAnsiTheme="majorHAnsi" w:cs="Times New Roman"/>
          <w:sz w:val="24"/>
          <w:szCs w:val="24"/>
          <w:lang w:val="pt-BR"/>
        </w:rPr>
        <w:t>se</w:t>
      </w:r>
      <w:r>
        <w:rPr>
          <w:rFonts w:asciiTheme="majorHAnsi" w:hAnsiTheme="majorHAnsi" w:cs="Times New Roman"/>
          <w:sz w:val="24"/>
          <w:szCs w:val="24"/>
          <w:lang w:val="pt-BR"/>
        </w:rPr>
        <w:t xml:space="preserve"> a figura pode ou não ser aplicada no nosso ordenamento jurídico, temos que fazer recurso à lei das instituiç</w:t>
      </w:r>
      <w:r w:rsidR="00AC0F8D">
        <w:rPr>
          <w:rFonts w:asciiTheme="majorHAnsi" w:hAnsiTheme="majorHAnsi" w:cs="Times New Roman"/>
          <w:sz w:val="24"/>
          <w:szCs w:val="24"/>
          <w:lang w:val="pt-BR"/>
        </w:rPr>
        <w:t xml:space="preserve">ões financeiras, que por meio da alínea d) do n.º2 do artigo 8.º </w:t>
      </w:r>
      <w:r>
        <w:rPr>
          <w:rFonts w:asciiTheme="majorHAnsi" w:hAnsiTheme="majorHAnsi" w:cs="Times New Roman"/>
          <w:sz w:val="24"/>
          <w:szCs w:val="24"/>
          <w:lang w:val="pt-BR"/>
        </w:rPr>
        <w:t xml:space="preserve">estabelece uma excepção ao princípio da exclusividade. Fruto deste descaso, acrescido ao facto de nem a doutrina, tão pouco a jurisprudência nacional, </w:t>
      </w:r>
      <w:r w:rsidR="00AC0F8D">
        <w:rPr>
          <w:rFonts w:asciiTheme="majorHAnsi" w:hAnsiTheme="majorHAnsi" w:cs="Times New Roman"/>
          <w:sz w:val="24"/>
          <w:szCs w:val="24"/>
          <w:lang w:val="pt-BR"/>
        </w:rPr>
        <w:t xml:space="preserve">se terem </w:t>
      </w:r>
      <w:r>
        <w:rPr>
          <w:rFonts w:asciiTheme="majorHAnsi" w:hAnsiTheme="majorHAnsi" w:cs="Times New Roman"/>
          <w:sz w:val="24"/>
          <w:szCs w:val="24"/>
          <w:lang w:val="pt-BR"/>
        </w:rPr>
        <w:t xml:space="preserve">preocupado com a discussão do tema, </w:t>
      </w:r>
      <w:r w:rsidR="00AC0F8D">
        <w:rPr>
          <w:rFonts w:asciiTheme="majorHAnsi" w:hAnsiTheme="majorHAnsi" w:cs="Times New Roman"/>
          <w:sz w:val="24"/>
          <w:szCs w:val="24"/>
          <w:lang w:val="pt-BR"/>
        </w:rPr>
        <w:t>leva-nos a conjecturar sobre</w:t>
      </w:r>
      <w:r w:rsidR="00941B23">
        <w:rPr>
          <w:rFonts w:asciiTheme="majorHAnsi" w:hAnsiTheme="majorHAnsi" w:cs="Times New Roman"/>
          <w:sz w:val="24"/>
          <w:szCs w:val="24"/>
          <w:lang w:val="pt-BR"/>
        </w:rPr>
        <w:t xml:space="preserve"> a relevâ</w:t>
      </w:r>
      <w:r>
        <w:rPr>
          <w:rFonts w:asciiTheme="majorHAnsi" w:hAnsiTheme="majorHAnsi" w:cs="Times New Roman"/>
          <w:sz w:val="24"/>
          <w:szCs w:val="24"/>
          <w:lang w:val="pt-BR"/>
        </w:rPr>
        <w:t>ncia prática de estudarmos a figura?</w:t>
      </w:r>
    </w:p>
    <w:p w:rsidR="00822438" w:rsidRDefault="001033FD"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Segundo dados </w:t>
      </w:r>
      <w:r w:rsidR="00941B23">
        <w:rPr>
          <w:rFonts w:asciiTheme="majorHAnsi" w:hAnsiTheme="majorHAnsi" w:cs="Times New Roman"/>
          <w:sz w:val="24"/>
          <w:szCs w:val="24"/>
          <w:lang w:val="pt-BR"/>
        </w:rPr>
        <w:t>do BNA, em 2017, “os angolanos investiram 50 vezes mais no estrangeiro do que os estrangeiros em Angola, excluindo o sector diamantífero e petrolífero”. Neste período, o investimento directo acumulado de angolanos no estrangeiro foi de 30,3 mil milhões de USD</w:t>
      </w:r>
      <w:r w:rsidR="00941B23">
        <w:rPr>
          <w:rStyle w:val="Refdenotaderodap"/>
          <w:rFonts w:asciiTheme="majorHAnsi" w:hAnsiTheme="majorHAnsi" w:cs="Times New Roman"/>
          <w:sz w:val="24"/>
          <w:szCs w:val="24"/>
          <w:lang w:val="pt-BR"/>
        </w:rPr>
        <w:footnoteReference w:id="3"/>
      </w:r>
      <w:r w:rsidR="00941B23">
        <w:rPr>
          <w:rFonts w:asciiTheme="majorHAnsi" w:hAnsiTheme="majorHAnsi" w:cs="Times New Roman"/>
          <w:sz w:val="24"/>
          <w:szCs w:val="24"/>
          <w:lang w:val="pt-BR"/>
        </w:rPr>
        <w:t xml:space="preserve">. </w:t>
      </w:r>
    </w:p>
    <w:p w:rsidR="001E719D" w:rsidRDefault="001E719D" w:rsidP="00941B23">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Estes dados permite-nos inferir </w:t>
      </w:r>
      <w:r w:rsidR="00941B23">
        <w:rPr>
          <w:rFonts w:asciiTheme="majorHAnsi" w:hAnsiTheme="majorHAnsi" w:cs="Times New Roman"/>
          <w:sz w:val="24"/>
          <w:szCs w:val="24"/>
          <w:lang w:val="pt-BR"/>
        </w:rPr>
        <w:t xml:space="preserve">que </w:t>
      </w:r>
      <w:r>
        <w:rPr>
          <w:rFonts w:asciiTheme="majorHAnsi" w:hAnsiTheme="majorHAnsi" w:cs="Times New Roman"/>
          <w:sz w:val="24"/>
          <w:szCs w:val="24"/>
          <w:lang w:val="pt-BR"/>
        </w:rPr>
        <w:t>o sector empresarial em angola encontra-se</w:t>
      </w:r>
      <w:r w:rsidR="00941B23">
        <w:rPr>
          <w:rFonts w:asciiTheme="majorHAnsi" w:hAnsiTheme="majorHAnsi" w:cs="Times New Roman"/>
          <w:sz w:val="24"/>
          <w:szCs w:val="24"/>
          <w:lang w:val="pt-BR"/>
        </w:rPr>
        <w:t xml:space="preserve"> </w:t>
      </w:r>
      <w:r>
        <w:rPr>
          <w:rFonts w:asciiTheme="majorHAnsi" w:hAnsiTheme="majorHAnsi" w:cs="Times New Roman"/>
          <w:sz w:val="24"/>
          <w:szCs w:val="24"/>
          <w:lang w:val="pt-BR"/>
        </w:rPr>
        <w:t>num estágio inc</w:t>
      </w:r>
      <w:r w:rsidR="00941B23">
        <w:rPr>
          <w:rFonts w:asciiTheme="majorHAnsi" w:hAnsiTheme="majorHAnsi" w:cs="Times New Roman"/>
          <w:sz w:val="24"/>
          <w:szCs w:val="24"/>
          <w:lang w:val="pt-BR"/>
        </w:rPr>
        <w:t>ipiente</w:t>
      </w:r>
      <w:r>
        <w:rPr>
          <w:rFonts w:asciiTheme="majorHAnsi" w:hAnsiTheme="majorHAnsi" w:cs="Times New Roman"/>
          <w:sz w:val="24"/>
          <w:szCs w:val="24"/>
          <w:lang w:val="pt-BR"/>
        </w:rPr>
        <w:t xml:space="preserve"> e apesar dos esforços legislativos que têm sido feitos, no sentido de alavancar o sector económico e desenvolver o sector empresarial, bem como combater essa situação de crise, o </w:t>
      </w:r>
      <w:r w:rsidR="00DE2F5E">
        <w:rPr>
          <w:rFonts w:asciiTheme="majorHAnsi" w:hAnsiTheme="majorHAnsi" w:cs="Times New Roman"/>
          <w:sz w:val="24"/>
          <w:szCs w:val="24"/>
          <w:lang w:val="pt-BR"/>
        </w:rPr>
        <w:t>sistema de gest</w:t>
      </w:r>
      <w:r>
        <w:rPr>
          <w:rFonts w:asciiTheme="majorHAnsi" w:hAnsiTheme="majorHAnsi" w:cs="Times New Roman"/>
          <w:sz w:val="24"/>
          <w:szCs w:val="24"/>
          <w:lang w:val="pt-BR"/>
        </w:rPr>
        <w:t>ão de política económico padece</w:t>
      </w:r>
      <w:r w:rsidR="00DE2F5E">
        <w:rPr>
          <w:rFonts w:asciiTheme="majorHAnsi" w:hAnsiTheme="majorHAnsi" w:cs="Times New Roman"/>
          <w:sz w:val="24"/>
          <w:szCs w:val="24"/>
          <w:lang w:val="pt-BR"/>
        </w:rPr>
        <w:t xml:space="preserve">, segundo Alves da Rocha, “de vícios, debilidades, imponderabilidades e estrangulamentos diversos que prejudicam o seu normal e </w:t>
      </w:r>
      <w:r>
        <w:rPr>
          <w:rFonts w:asciiTheme="majorHAnsi" w:hAnsiTheme="majorHAnsi" w:cs="Times New Roman"/>
          <w:sz w:val="24"/>
          <w:szCs w:val="24"/>
          <w:lang w:val="pt-BR"/>
        </w:rPr>
        <w:t>bom funcionamento”</w:t>
      </w:r>
      <w:r w:rsidR="00DE2F5E">
        <w:rPr>
          <w:rStyle w:val="Refdenotaderodap"/>
          <w:rFonts w:asciiTheme="majorHAnsi" w:hAnsiTheme="majorHAnsi" w:cs="Times New Roman"/>
          <w:sz w:val="24"/>
          <w:szCs w:val="24"/>
          <w:lang w:val="pt-BR"/>
        </w:rPr>
        <w:footnoteReference w:id="4"/>
      </w:r>
      <w:r>
        <w:rPr>
          <w:rFonts w:asciiTheme="majorHAnsi" w:hAnsiTheme="majorHAnsi" w:cs="Times New Roman"/>
          <w:sz w:val="24"/>
          <w:szCs w:val="24"/>
          <w:lang w:val="pt-BR"/>
        </w:rPr>
        <w:t>.</w:t>
      </w:r>
    </w:p>
    <w:p w:rsidR="00941B23" w:rsidRDefault="001E719D" w:rsidP="00941B23">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Diante deste cenário, </w:t>
      </w:r>
      <w:r w:rsidR="00DE2F5E">
        <w:rPr>
          <w:rFonts w:asciiTheme="majorHAnsi" w:hAnsiTheme="majorHAnsi" w:cs="Times New Roman"/>
          <w:sz w:val="24"/>
          <w:szCs w:val="24"/>
          <w:lang w:val="pt-BR"/>
        </w:rPr>
        <w:t xml:space="preserve">o recurso </w:t>
      </w:r>
      <w:r w:rsidR="007341FB">
        <w:rPr>
          <w:rFonts w:asciiTheme="majorHAnsi" w:hAnsiTheme="majorHAnsi" w:cs="Times New Roman"/>
          <w:sz w:val="24"/>
          <w:szCs w:val="24"/>
          <w:lang w:val="pt-BR"/>
        </w:rPr>
        <w:t>às</w:t>
      </w:r>
      <w:r w:rsidR="00DE2F5E">
        <w:rPr>
          <w:rFonts w:asciiTheme="majorHAnsi" w:hAnsiTheme="majorHAnsi" w:cs="Times New Roman"/>
          <w:sz w:val="24"/>
          <w:szCs w:val="24"/>
          <w:lang w:val="pt-BR"/>
        </w:rPr>
        <w:t xml:space="preserve"> instituições de crédito (bancos), para as empresas e grupos de empresas que tent</w:t>
      </w:r>
      <w:r>
        <w:rPr>
          <w:rFonts w:asciiTheme="majorHAnsi" w:hAnsiTheme="majorHAnsi" w:cs="Times New Roman"/>
          <w:sz w:val="24"/>
          <w:szCs w:val="24"/>
          <w:lang w:val="pt-BR"/>
        </w:rPr>
        <w:t xml:space="preserve">am sobreviver a este caos, seria uma solução, no entanto, </w:t>
      </w:r>
      <w:r w:rsidR="00951628">
        <w:rPr>
          <w:rFonts w:asciiTheme="majorHAnsi" w:hAnsiTheme="majorHAnsi" w:cs="Times New Roman"/>
          <w:sz w:val="24"/>
          <w:szCs w:val="24"/>
          <w:lang w:val="pt-BR"/>
        </w:rPr>
        <w:t>a adopção desta solução acaba por não ser viável</w:t>
      </w:r>
      <w:r w:rsidR="00DE2F5E">
        <w:rPr>
          <w:rFonts w:asciiTheme="majorHAnsi" w:hAnsiTheme="majorHAnsi" w:cs="Times New Roman"/>
          <w:sz w:val="24"/>
          <w:szCs w:val="24"/>
          <w:lang w:val="pt-BR"/>
        </w:rPr>
        <w:t xml:space="preserve">, na medida em que as taxas </w:t>
      </w:r>
      <w:r w:rsidR="007341FB">
        <w:rPr>
          <w:rFonts w:asciiTheme="majorHAnsi" w:hAnsiTheme="majorHAnsi" w:cs="Times New Roman"/>
          <w:sz w:val="24"/>
          <w:szCs w:val="24"/>
          <w:lang w:val="pt-BR"/>
        </w:rPr>
        <w:t>d</w:t>
      </w:r>
      <w:r w:rsidR="003356C2">
        <w:rPr>
          <w:rFonts w:asciiTheme="majorHAnsi" w:hAnsiTheme="majorHAnsi" w:cs="Times New Roman"/>
          <w:sz w:val="24"/>
          <w:szCs w:val="24"/>
          <w:lang w:val="pt-BR"/>
        </w:rPr>
        <w:t>e juros</w:t>
      </w:r>
      <w:r w:rsidR="00DE2F5E">
        <w:rPr>
          <w:rFonts w:asciiTheme="majorHAnsi" w:hAnsiTheme="majorHAnsi" w:cs="Times New Roman"/>
          <w:sz w:val="24"/>
          <w:szCs w:val="24"/>
          <w:lang w:val="pt-BR"/>
        </w:rPr>
        <w:t xml:space="preserve"> para a concessão destes empréstimos são bastante elevadas. </w:t>
      </w:r>
      <w:r w:rsidR="00941B23">
        <w:rPr>
          <w:rFonts w:asciiTheme="majorHAnsi" w:hAnsiTheme="majorHAnsi" w:cs="Times New Roman"/>
          <w:sz w:val="24"/>
          <w:szCs w:val="24"/>
          <w:lang w:val="pt-BR"/>
        </w:rPr>
        <w:t xml:space="preserve"> </w:t>
      </w:r>
    </w:p>
    <w:p w:rsidR="00941B23" w:rsidRDefault="00DE2F5E"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Assim, a importância deste tema centra-se no facto do sistema de </w:t>
      </w:r>
      <w:r w:rsidRPr="00DE2F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funcionar como um mei</w:t>
      </w:r>
      <w:r w:rsidR="00892316">
        <w:rPr>
          <w:rFonts w:asciiTheme="majorHAnsi" w:hAnsiTheme="majorHAnsi" w:cs="Times New Roman"/>
          <w:sz w:val="24"/>
          <w:szCs w:val="24"/>
          <w:lang w:val="pt-BR"/>
        </w:rPr>
        <w:t>o</w:t>
      </w:r>
      <w:r>
        <w:rPr>
          <w:rFonts w:asciiTheme="majorHAnsi" w:hAnsiTheme="majorHAnsi" w:cs="Times New Roman"/>
          <w:sz w:val="24"/>
          <w:szCs w:val="24"/>
          <w:lang w:val="pt-BR"/>
        </w:rPr>
        <w:t xml:space="preserve"> alternativo de financiamento para os grupos de empresas</w:t>
      </w:r>
      <w:r w:rsidR="003356C2">
        <w:rPr>
          <w:rFonts w:asciiTheme="majorHAnsi" w:hAnsiTheme="majorHAnsi" w:cs="Times New Roman"/>
          <w:sz w:val="24"/>
          <w:szCs w:val="24"/>
          <w:lang w:val="pt-BR"/>
        </w:rPr>
        <w:t xml:space="preserve">, porque permite ao grupo </w:t>
      </w:r>
      <w:r w:rsidR="00892316">
        <w:rPr>
          <w:rFonts w:asciiTheme="majorHAnsi" w:hAnsiTheme="majorHAnsi" w:cs="Times New Roman"/>
          <w:sz w:val="24"/>
          <w:szCs w:val="24"/>
          <w:lang w:val="pt-BR"/>
        </w:rPr>
        <w:t>não só consolidar os saldos das empresas partic</w:t>
      </w:r>
      <w:r w:rsidR="00EB348E">
        <w:rPr>
          <w:rFonts w:asciiTheme="majorHAnsi" w:hAnsiTheme="majorHAnsi" w:cs="Times New Roman"/>
          <w:sz w:val="24"/>
          <w:szCs w:val="24"/>
          <w:lang w:val="pt-BR"/>
        </w:rPr>
        <w:t>i</w:t>
      </w:r>
      <w:r w:rsidR="00892316">
        <w:rPr>
          <w:rFonts w:asciiTheme="majorHAnsi" w:hAnsiTheme="majorHAnsi" w:cs="Times New Roman"/>
          <w:sz w:val="24"/>
          <w:szCs w:val="24"/>
          <w:lang w:val="pt-BR"/>
        </w:rPr>
        <w:t>pantes no grupo, num único saldo positivo, como também, em cadeia</w:t>
      </w:r>
      <w:r w:rsidR="00EB348E">
        <w:rPr>
          <w:rFonts w:asciiTheme="majorHAnsi" w:hAnsiTheme="majorHAnsi" w:cs="Times New Roman"/>
          <w:sz w:val="24"/>
          <w:szCs w:val="24"/>
          <w:lang w:val="pt-BR"/>
        </w:rPr>
        <w:t>,</w:t>
      </w:r>
      <w:r w:rsidR="00892316">
        <w:rPr>
          <w:rFonts w:asciiTheme="majorHAnsi" w:hAnsiTheme="majorHAnsi" w:cs="Times New Roman"/>
          <w:sz w:val="24"/>
          <w:szCs w:val="24"/>
          <w:lang w:val="pt-BR"/>
        </w:rPr>
        <w:t xml:space="preserve"> vai possibilitar ao grupo melhorar a sua gestão, ter maior controlo dos fluxos de caixa, administrativamente estar mais organizado e até a nível laboral, pois terá técnicos mais especializados e mais competentes. </w:t>
      </w:r>
    </w:p>
    <w:p w:rsidR="00892316" w:rsidRPr="00DE2F5E" w:rsidRDefault="003356C2"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Acreditamos</w:t>
      </w:r>
      <w:r w:rsidR="00892316">
        <w:rPr>
          <w:rFonts w:asciiTheme="majorHAnsi" w:hAnsiTheme="majorHAnsi" w:cs="Times New Roman"/>
          <w:sz w:val="24"/>
          <w:szCs w:val="24"/>
          <w:lang w:val="pt-BR"/>
        </w:rPr>
        <w:t xml:space="preserve"> que o uso deste sistema, virá alavancar a economia das empresas e consequentemente </w:t>
      </w:r>
      <w:r w:rsidR="00EB348E">
        <w:rPr>
          <w:rFonts w:asciiTheme="majorHAnsi" w:hAnsiTheme="majorHAnsi" w:cs="Times New Roman"/>
          <w:sz w:val="24"/>
          <w:szCs w:val="24"/>
          <w:lang w:val="pt-BR"/>
        </w:rPr>
        <w:t xml:space="preserve">a </w:t>
      </w:r>
      <w:r w:rsidR="00892316">
        <w:rPr>
          <w:rFonts w:asciiTheme="majorHAnsi" w:hAnsiTheme="majorHAnsi" w:cs="Times New Roman"/>
          <w:sz w:val="24"/>
          <w:szCs w:val="24"/>
          <w:lang w:val="pt-BR"/>
        </w:rPr>
        <w:t>do país, dai a necessidade dos operadores de direito an</w:t>
      </w:r>
      <w:r w:rsidR="00EB348E">
        <w:rPr>
          <w:rFonts w:asciiTheme="majorHAnsi" w:hAnsiTheme="majorHAnsi" w:cs="Times New Roman"/>
          <w:sz w:val="24"/>
          <w:szCs w:val="24"/>
          <w:lang w:val="pt-BR"/>
        </w:rPr>
        <w:t xml:space="preserve">alisarem a figura, com o fim de </w:t>
      </w:r>
      <w:r w:rsidR="00892316">
        <w:rPr>
          <w:rFonts w:asciiTheme="majorHAnsi" w:hAnsiTheme="majorHAnsi" w:cs="Times New Roman"/>
          <w:sz w:val="24"/>
          <w:szCs w:val="24"/>
          <w:lang w:val="pt-BR"/>
        </w:rPr>
        <w:t>estabelecer</w:t>
      </w:r>
      <w:r>
        <w:rPr>
          <w:rFonts w:asciiTheme="majorHAnsi" w:hAnsiTheme="majorHAnsi" w:cs="Times New Roman"/>
          <w:sz w:val="24"/>
          <w:szCs w:val="24"/>
          <w:lang w:val="pt-BR"/>
        </w:rPr>
        <w:t>em</w:t>
      </w:r>
      <w:r w:rsidR="00EB348E">
        <w:rPr>
          <w:rFonts w:asciiTheme="majorHAnsi" w:hAnsiTheme="majorHAnsi" w:cs="Times New Roman"/>
          <w:sz w:val="24"/>
          <w:szCs w:val="24"/>
          <w:lang w:val="pt-BR"/>
        </w:rPr>
        <w:t>-se</w:t>
      </w:r>
      <w:r w:rsidR="00892316">
        <w:rPr>
          <w:rFonts w:asciiTheme="majorHAnsi" w:hAnsiTheme="majorHAnsi" w:cs="Times New Roman"/>
          <w:sz w:val="24"/>
          <w:szCs w:val="24"/>
          <w:lang w:val="pt-BR"/>
        </w:rPr>
        <w:t xml:space="preserve"> normas, (tendo em conta esta realidade esp</w:t>
      </w:r>
      <w:r>
        <w:rPr>
          <w:rFonts w:asciiTheme="majorHAnsi" w:hAnsiTheme="majorHAnsi" w:cs="Times New Roman"/>
          <w:sz w:val="24"/>
          <w:szCs w:val="24"/>
          <w:lang w:val="pt-BR"/>
        </w:rPr>
        <w:t>e</w:t>
      </w:r>
      <w:r w:rsidR="00892316">
        <w:rPr>
          <w:rFonts w:asciiTheme="majorHAnsi" w:hAnsiTheme="majorHAnsi" w:cs="Times New Roman"/>
          <w:sz w:val="24"/>
          <w:szCs w:val="24"/>
          <w:lang w:val="pt-BR"/>
        </w:rPr>
        <w:t>cial, - que é a realidade do grupo), com vista a correcta implementação do sistema de ges</w:t>
      </w:r>
      <w:r w:rsidR="00732C53">
        <w:rPr>
          <w:rFonts w:asciiTheme="majorHAnsi" w:hAnsiTheme="majorHAnsi" w:cs="Times New Roman"/>
          <w:sz w:val="24"/>
          <w:szCs w:val="24"/>
          <w:lang w:val="pt-BR"/>
        </w:rPr>
        <w:t>tão centralizada de tesouraria.</w:t>
      </w:r>
    </w:p>
    <w:p w:rsidR="0015603D" w:rsidRDefault="00892316" w:rsidP="00646C88">
      <w:pPr>
        <w:spacing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II</w:t>
      </w:r>
      <w:r w:rsidR="0015603D">
        <w:rPr>
          <w:rFonts w:asciiTheme="majorHAnsi" w:hAnsiTheme="majorHAnsi" w:cs="Times New Roman"/>
          <w:b/>
          <w:sz w:val="24"/>
          <w:szCs w:val="24"/>
          <w:lang w:val="pt-BR"/>
        </w:rPr>
        <w:t xml:space="preserve"> – Delimitação do objecto de e</w:t>
      </w:r>
      <w:r w:rsidR="00AE4753">
        <w:rPr>
          <w:rFonts w:asciiTheme="majorHAnsi" w:hAnsiTheme="majorHAnsi" w:cs="Times New Roman"/>
          <w:b/>
          <w:sz w:val="24"/>
          <w:szCs w:val="24"/>
          <w:lang w:val="pt-BR"/>
        </w:rPr>
        <w:t xml:space="preserve">studo. </w:t>
      </w:r>
    </w:p>
    <w:p w:rsidR="00515091" w:rsidRDefault="00515091" w:rsidP="00646C88">
      <w:pPr>
        <w:spacing w:line="360" w:lineRule="auto"/>
        <w:rPr>
          <w:rFonts w:asciiTheme="majorHAnsi" w:hAnsiTheme="majorHAnsi" w:cs="Times New Roman"/>
          <w:sz w:val="24"/>
          <w:szCs w:val="24"/>
          <w:lang w:val="pt-BR"/>
        </w:rPr>
      </w:pPr>
      <w:r w:rsidRPr="00515091">
        <w:rPr>
          <w:rFonts w:asciiTheme="majorHAnsi" w:hAnsiTheme="majorHAnsi" w:cs="Times New Roman"/>
          <w:sz w:val="24"/>
          <w:szCs w:val="24"/>
          <w:lang w:val="pt-BR"/>
        </w:rPr>
        <w:t xml:space="preserve">O </w:t>
      </w:r>
      <w:r>
        <w:rPr>
          <w:rFonts w:asciiTheme="majorHAnsi" w:hAnsiTheme="majorHAnsi" w:cs="Times New Roman"/>
          <w:sz w:val="24"/>
          <w:szCs w:val="24"/>
          <w:lang w:val="pt-BR"/>
        </w:rPr>
        <w:t xml:space="preserve">presente estudo, reiteramos, visa efectuar uma abordagem sobre a figura do </w:t>
      </w:r>
      <w:r w:rsidRPr="00515091">
        <w:rPr>
          <w:rFonts w:asciiTheme="majorHAnsi" w:hAnsiTheme="majorHAnsi" w:cs="Times New Roman"/>
          <w:i/>
          <w:sz w:val="24"/>
          <w:szCs w:val="24"/>
          <w:lang w:val="pt-BR"/>
        </w:rPr>
        <w:t>cash pooling</w:t>
      </w:r>
      <w:r w:rsidR="004E45AF">
        <w:rPr>
          <w:rFonts w:asciiTheme="majorHAnsi" w:hAnsiTheme="majorHAnsi" w:cs="Times New Roman"/>
          <w:sz w:val="24"/>
          <w:szCs w:val="24"/>
          <w:lang w:val="pt-BR"/>
        </w:rPr>
        <w:t xml:space="preserve">, </w:t>
      </w:r>
      <w:r w:rsidR="00646C88">
        <w:rPr>
          <w:rFonts w:asciiTheme="majorHAnsi" w:hAnsiTheme="majorHAnsi" w:cs="Times New Roman"/>
          <w:sz w:val="24"/>
          <w:szCs w:val="24"/>
          <w:lang w:val="pt-BR"/>
        </w:rPr>
        <w:t xml:space="preserve">figura </w:t>
      </w:r>
      <w:r w:rsidR="004E45AF">
        <w:rPr>
          <w:rFonts w:asciiTheme="majorHAnsi" w:hAnsiTheme="majorHAnsi" w:cs="Times New Roman"/>
          <w:sz w:val="24"/>
          <w:szCs w:val="24"/>
          <w:lang w:val="pt-BR"/>
        </w:rPr>
        <w:t xml:space="preserve">em </w:t>
      </w:r>
      <w:r w:rsidR="00EB348E">
        <w:rPr>
          <w:rFonts w:asciiTheme="majorHAnsi" w:hAnsiTheme="majorHAnsi" w:cs="Times New Roman"/>
          <w:sz w:val="24"/>
          <w:szCs w:val="24"/>
          <w:lang w:val="pt-BR"/>
        </w:rPr>
        <w:t xml:space="preserve">que a sua implementação </w:t>
      </w:r>
      <w:r w:rsidR="00646C88">
        <w:rPr>
          <w:rFonts w:asciiTheme="majorHAnsi" w:hAnsiTheme="majorHAnsi" w:cs="Times New Roman"/>
          <w:sz w:val="24"/>
          <w:szCs w:val="24"/>
          <w:lang w:val="pt-BR"/>
        </w:rPr>
        <w:t xml:space="preserve">tem acolhimento </w:t>
      </w:r>
      <w:r w:rsidR="004E45AF">
        <w:rPr>
          <w:rFonts w:asciiTheme="majorHAnsi" w:hAnsiTheme="majorHAnsi" w:cs="Times New Roman"/>
          <w:sz w:val="24"/>
          <w:szCs w:val="24"/>
          <w:lang w:val="pt-BR"/>
        </w:rPr>
        <w:t>legal</w:t>
      </w:r>
      <w:r w:rsidR="00646C88">
        <w:rPr>
          <w:rFonts w:asciiTheme="majorHAnsi" w:hAnsiTheme="majorHAnsi" w:cs="Times New Roman"/>
          <w:sz w:val="24"/>
          <w:szCs w:val="24"/>
          <w:lang w:val="pt-BR"/>
        </w:rPr>
        <w:t>, quando realizadas por sociedades em relação de domínio ou de grupo, de acordo com o n.º2, alínea d) do art 8 da LIF</w:t>
      </w:r>
      <w:r w:rsidR="00A12AA8">
        <w:rPr>
          <w:rFonts w:asciiTheme="majorHAnsi" w:hAnsiTheme="majorHAnsi" w:cs="Times New Roman"/>
          <w:sz w:val="24"/>
          <w:szCs w:val="24"/>
          <w:lang w:val="pt-BR"/>
        </w:rPr>
        <w:t xml:space="preserve"> e as demais disposições legais sobre o tema, a nível dos grupos de</w:t>
      </w:r>
      <w:r w:rsidR="006A46F0">
        <w:rPr>
          <w:rFonts w:asciiTheme="majorHAnsi" w:hAnsiTheme="majorHAnsi" w:cs="Times New Roman"/>
          <w:sz w:val="24"/>
          <w:szCs w:val="24"/>
          <w:lang w:val="pt-BR"/>
        </w:rPr>
        <w:t xml:space="preserve"> sociedades.</w:t>
      </w:r>
    </w:p>
    <w:p w:rsidR="006A46F0" w:rsidRDefault="00AE4753"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Daremos enfoque</w:t>
      </w:r>
      <w:r w:rsidR="006A46F0">
        <w:rPr>
          <w:rFonts w:asciiTheme="majorHAnsi" w:hAnsiTheme="majorHAnsi" w:cs="Times New Roman"/>
          <w:sz w:val="24"/>
          <w:szCs w:val="24"/>
          <w:lang w:val="pt-BR"/>
        </w:rPr>
        <w:t xml:space="preserve"> aos problemas juridico-societários que a implementação do </w:t>
      </w:r>
      <w:r w:rsidR="006A46F0" w:rsidRPr="005114EE">
        <w:rPr>
          <w:rFonts w:asciiTheme="majorHAnsi" w:hAnsiTheme="majorHAnsi" w:cs="Times New Roman"/>
          <w:i/>
          <w:sz w:val="24"/>
          <w:szCs w:val="24"/>
          <w:lang w:val="pt-BR"/>
        </w:rPr>
        <w:t>cash pooli</w:t>
      </w:r>
      <w:r w:rsidR="005114EE">
        <w:rPr>
          <w:rFonts w:asciiTheme="majorHAnsi" w:hAnsiTheme="majorHAnsi" w:cs="Times New Roman"/>
          <w:i/>
          <w:sz w:val="24"/>
          <w:szCs w:val="24"/>
          <w:lang w:val="pt-BR"/>
        </w:rPr>
        <w:t>n</w:t>
      </w:r>
      <w:r w:rsidR="006A46F0" w:rsidRPr="005114EE">
        <w:rPr>
          <w:rFonts w:asciiTheme="majorHAnsi" w:hAnsiTheme="majorHAnsi" w:cs="Times New Roman"/>
          <w:i/>
          <w:sz w:val="24"/>
          <w:szCs w:val="24"/>
          <w:lang w:val="pt-BR"/>
        </w:rPr>
        <w:t>g</w:t>
      </w:r>
      <w:r w:rsidR="006A46F0">
        <w:rPr>
          <w:rFonts w:asciiTheme="majorHAnsi" w:hAnsiTheme="majorHAnsi" w:cs="Times New Roman"/>
          <w:sz w:val="24"/>
          <w:szCs w:val="24"/>
          <w:lang w:val="pt-BR"/>
        </w:rPr>
        <w:t xml:space="preserve"> pode originar, procurando, na medida do po</w:t>
      </w:r>
      <w:r w:rsidR="00EB348E">
        <w:rPr>
          <w:rFonts w:asciiTheme="majorHAnsi" w:hAnsiTheme="majorHAnsi" w:cs="Times New Roman"/>
          <w:sz w:val="24"/>
          <w:szCs w:val="24"/>
          <w:lang w:val="pt-BR"/>
        </w:rPr>
        <w:t xml:space="preserve">ssível, apresentar possíveis soluções </w:t>
      </w:r>
      <w:r w:rsidR="005114EE">
        <w:rPr>
          <w:rFonts w:asciiTheme="majorHAnsi" w:hAnsiTheme="majorHAnsi" w:cs="Times New Roman"/>
          <w:sz w:val="24"/>
          <w:szCs w:val="24"/>
          <w:lang w:val="pt-BR"/>
        </w:rPr>
        <w:t>para a implementação da fig</w:t>
      </w:r>
      <w:r w:rsidR="006A46F0">
        <w:rPr>
          <w:rFonts w:asciiTheme="majorHAnsi" w:hAnsiTheme="majorHAnsi" w:cs="Times New Roman"/>
          <w:sz w:val="24"/>
          <w:szCs w:val="24"/>
          <w:lang w:val="pt-BR"/>
        </w:rPr>
        <w:t>ura</w:t>
      </w:r>
      <w:r w:rsidR="005114EE">
        <w:rPr>
          <w:rFonts w:asciiTheme="majorHAnsi" w:hAnsiTheme="majorHAnsi" w:cs="Times New Roman"/>
          <w:sz w:val="24"/>
          <w:szCs w:val="24"/>
          <w:lang w:val="pt-BR"/>
        </w:rPr>
        <w:t xml:space="preserve"> </w:t>
      </w:r>
      <w:r w:rsidR="00EB348E">
        <w:rPr>
          <w:rFonts w:asciiTheme="majorHAnsi" w:hAnsiTheme="majorHAnsi" w:cs="Times New Roman"/>
          <w:sz w:val="24"/>
          <w:szCs w:val="24"/>
          <w:lang w:val="pt-BR"/>
        </w:rPr>
        <w:t>no seio do nosso ordenamento jurídico</w:t>
      </w:r>
      <w:r w:rsidR="005114EE">
        <w:rPr>
          <w:rFonts w:asciiTheme="majorHAnsi" w:hAnsiTheme="majorHAnsi" w:cs="Times New Roman"/>
          <w:sz w:val="24"/>
          <w:szCs w:val="24"/>
          <w:lang w:val="pt-BR"/>
        </w:rPr>
        <w:t>.</w:t>
      </w:r>
    </w:p>
    <w:p w:rsidR="004E45AF" w:rsidRDefault="005114EE"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 figura do </w:t>
      </w:r>
      <w:r w:rsidRPr="005114E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pode ser analisada em várias vertentes, nomeadamente na vertente fiscal, no entanto, o nosso estudo, cingirse-á a análise d</w:t>
      </w:r>
      <w:r w:rsidR="00F14B48">
        <w:rPr>
          <w:rFonts w:asciiTheme="majorHAnsi" w:hAnsiTheme="majorHAnsi" w:cs="Times New Roman"/>
          <w:sz w:val="24"/>
          <w:szCs w:val="24"/>
          <w:lang w:val="pt-BR"/>
        </w:rPr>
        <w:t>os problemas juridico-societário</w:t>
      </w:r>
      <w:r>
        <w:rPr>
          <w:rFonts w:asciiTheme="majorHAnsi" w:hAnsiTheme="majorHAnsi" w:cs="Times New Roman"/>
          <w:sz w:val="24"/>
          <w:szCs w:val="24"/>
          <w:lang w:val="pt-BR"/>
        </w:rPr>
        <w:t>s da figura</w:t>
      </w:r>
      <w:r w:rsidR="00AD53E4">
        <w:rPr>
          <w:rFonts w:asciiTheme="majorHAnsi" w:hAnsiTheme="majorHAnsi" w:cs="Times New Roman"/>
          <w:sz w:val="24"/>
          <w:szCs w:val="24"/>
          <w:lang w:val="pt-BR"/>
        </w:rPr>
        <w:t>, no seio</w:t>
      </w:r>
      <w:r w:rsidR="00AF5458">
        <w:rPr>
          <w:rFonts w:asciiTheme="majorHAnsi" w:hAnsiTheme="majorHAnsi" w:cs="Times New Roman"/>
          <w:sz w:val="24"/>
          <w:szCs w:val="24"/>
          <w:lang w:val="pt-BR"/>
        </w:rPr>
        <w:t xml:space="preserve"> do</w:t>
      </w:r>
      <w:r w:rsidR="00AD53E4">
        <w:rPr>
          <w:rFonts w:asciiTheme="majorHAnsi" w:hAnsiTheme="majorHAnsi" w:cs="Times New Roman"/>
          <w:sz w:val="24"/>
          <w:szCs w:val="24"/>
          <w:lang w:val="pt-BR"/>
        </w:rPr>
        <w:t>s</w:t>
      </w:r>
      <w:r w:rsidR="00AF5458">
        <w:rPr>
          <w:rFonts w:asciiTheme="majorHAnsi" w:hAnsiTheme="majorHAnsi" w:cs="Times New Roman"/>
          <w:sz w:val="24"/>
          <w:szCs w:val="24"/>
          <w:lang w:val="pt-BR"/>
        </w:rPr>
        <w:t xml:space="preserve"> grupo</w:t>
      </w:r>
      <w:r w:rsidR="00AD53E4">
        <w:rPr>
          <w:rFonts w:asciiTheme="majorHAnsi" w:hAnsiTheme="majorHAnsi" w:cs="Times New Roman"/>
          <w:sz w:val="24"/>
          <w:szCs w:val="24"/>
          <w:lang w:val="pt-BR"/>
        </w:rPr>
        <w:t>s</w:t>
      </w:r>
      <w:r w:rsidR="00AF5458">
        <w:rPr>
          <w:rFonts w:asciiTheme="majorHAnsi" w:hAnsiTheme="majorHAnsi" w:cs="Times New Roman"/>
          <w:sz w:val="24"/>
          <w:szCs w:val="24"/>
          <w:lang w:val="pt-BR"/>
        </w:rPr>
        <w:t xml:space="preserve"> de sociedades, para que desta forma, consigamos compreender a complexidade que a implementação do sistema </w:t>
      </w:r>
      <w:r w:rsidR="00AF5458" w:rsidRPr="00EB348E">
        <w:rPr>
          <w:rFonts w:asciiTheme="majorHAnsi" w:hAnsiTheme="majorHAnsi" w:cs="Times New Roman"/>
          <w:i/>
          <w:sz w:val="24"/>
          <w:szCs w:val="24"/>
          <w:lang w:val="pt-BR"/>
        </w:rPr>
        <w:t xml:space="preserve">de cash pooling </w:t>
      </w:r>
      <w:r w:rsidR="00AF5458">
        <w:rPr>
          <w:rFonts w:asciiTheme="majorHAnsi" w:hAnsiTheme="majorHAnsi" w:cs="Times New Roman"/>
          <w:sz w:val="24"/>
          <w:szCs w:val="24"/>
          <w:lang w:val="pt-BR"/>
        </w:rPr>
        <w:t>encerra</w:t>
      </w:r>
      <w:r w:rsidR="009E5289">
        <w:rPr>
          <w:rFonts w:asciiTheme="majorHAnsi" w:hAnsiTheme="majorHAnsi" w:cs="Times New Roman"/>
          <w:sz w:val="24"/>
          <w:szCs w:val="24"/>
          <w:lang w:val="pt-BR"/>
        </w:rPr>
        <w:t>.</w:t>
      </w:r>
    </w:p>
    <w:p w:rsidR="00AD53E4" w:rsidRDefault="00F14B48" w:rsidP="00646C8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Começaremos a abordagem, ainda neste capítulo introdutório, para traçar alguns aspectos gerais, que nos permitirão compreender a importância do estudo, a sua actualidade e pertinência, a nível do nosso ordenamento jurídico.</w:t>
      </w:r>
    </w:p>
    <w:p w:rsidR="00732C53" w:rsidRPr="00783A47" w:rsidRDefault="00732C53" w:rsidP="00646C88">
      <w:pPr>
        <w:spacing w:line="360" w:lineRule="auto"/>
        <w:rPr>
          <w:rFonts w:asciiTheme="majorHAnsi" w:hAnsiTheme="majorHAnsi" w:cs="Times New Roman"/>
          <w:sz w:val="24"/>
          <w:szCs w:val="24"/>
          <w:lang w:val="pt-BR"/>
        </w:rPr>
      </w:pPr>
    </w:p>
    <w:p w:rsidR="0015603D" w:rsidRPr="0015603D" w:rsidRDefault="00FE6351" w:rsidP="0015603D">
      <w:pPr>
        <w:spacing w:line="360" w:lineRule="auto"/>
        <w:jc w:val="left"/>
        <w:rPr>
          <w:rFonts w:asciiTheme="majorHAnsi" w:hAnsiTheme="majorHAnsi" w:cs="Times New Roman"/>
          <w:b/>
          <w:sz w:val="24"/>
          <w:szCs w:val="24"/>
          <w:lang w:val="pt-BR"/>
        </w:rPr>
      </w:pPr>
      <w:r>
        <w:rPr>
          <w:rFonts w:asciiTheme="majorHAnsi" w:hAnsiTheme="majorHAnsi" w:cs="Times New Roman"/>
          <w:b/>
          <w:sz w:val="24"/>
          <w:szCs w:val="24"/>
          <w:lang w:val="pt-BR"/>
        </w:rPr>
        <w:t>III</w:t>
      </w:r>
      <w:r w:rsidR="0015603D">
        <w:rPr>
          <w:rFonts w:asciiTheme="majorHAnsi" w:hAnsiTheme="majorHAnsi" w:cs="Times New Roman"/>
          <w:b/>
          <w:sz w:val="24"/>
          <w:szCs w:val="24"/>
          <w:lang w:val="pt-BR"/>
        </w:rPr>
        <w:t xml:space="preserve"> </w:t>
      </w:r>
      <w:r w:rsidR="00FE006C">
        <w:rPr>
          <w:rFonts w:asciiTheme="majorHAnsi" w:hAnsiTheme="majorHAnsi" w:cs="Times New Roman"/>
          <w:b/>
          <w:sz w:val="24"/>
          <w:szCs w:val="24"/>
          <w:lang w:val="pt-BR"/>
        </w:rPr>
        <w:t>–</w:t>
      </w:r>
      <w:r w:rsidR="0015603D">
        <w:rPr>
          <w:rFonts w:asciiTheme="majorHAnsi" w:hAnsiTheme="majorHAnsi" w:cs="Times New Roman"/>
          <w:b/>
          <w:sz w:val="24"/>
          <w:szCs w:val="24"/>
          <w:lang w:val="pt-BR"/>
        </w:rPr>
        <w:t xml:space="preserve"> </w:t>
      </w:r>
      <w:r w:rsidR="00A07132">
        <w:rPr>
          <w:rFonts w:asciiTheme="majorHAnsi" w:hAnsiTheme="majorHAnsi" w:cs="Times New Roman"/>
          <w:b/>
          <w:sz w:val="24"/>
          <w:szCs w:val="24"/>
          <w:lang w:val="pt-BR"/>
        </w:rPr>
        <w:t>Apresentação do plano de trabalho</w:t>
      </w:r>
    </w:p>
    <w:p w:rsidR="00A07132" w:rsidRDefault="00A07132" w:rsidP="00A07132">
      <w:pPr>
        <w:pStyle w:val="SemEspaamento1"/>
        <w:spacing w:line="360" w:lineRule="auto"/>
        <w:rPr>
          <w:rFonts w:asciiTheme="majorHAnsi" w:hAnsiTheme="majorHAnsi"/>
          <w:b w:val="0"/>
          <w:caps w:val="0"/>
        </w:rPr>
      </w:pPr>
      <w:r>
        <w:rPr>
          <w:rFonts w:asciiTheme="majorHAnsi" w:hAnsiTheme="majorHAnsi"/>
          <w:b w:val="0"/>
          <w:caps w:val="0"/>
        </w:rPr>
        <w:t>Este trabalho é constituído por três capítulos. O primeiro destina-se a apresentação dos aspectos gerais do tema; o enquadramento e apresentação do problema, a importância e pertinência do tema, a delimitação do objecto de estudo e por fim, apresentaremos a sistematização e sequência de investigação.</w:t>
      </w:r>
    </w:p>
    <w:p w:rsidR="00A07132" w:rsidRPr="005B6EDC" w:rsidRDefault="00A07132" w:rsidP="00A07132">
      <w:pPr>
        <w:pStyle w:val="SemEspaamento1"/>
        <w:spacing w:line="360" w:lineRule="auto"/>
        <w:rPr>
          <w:rFonts w:asciiTheme="majorHAnsi" w:hAnsiTheme="majorHAnsi"/>
          <w:b w:val="0"/>
          <w:caps w:val="0"/>
        </w:rPr>
      </w:pPr>
      <w:r>
        <w:rPr>
          <w:rFonts w:asciiTheme="majorHAnsi" w:hAnsiTheme="majorHAnsi"/>
          <w:b w:val="0"/>
          <w:caps w:val="0"/>
        </w:rPr>
        <w:t xml:space="preserve">No segundo capítulo, trataremos da figura do </w:t>
      </w:r>
      <w:r w:rsidRPr="00D50BC8">
        <w:rPr>
          <w:rFonts w:asciiTheme="majorHAnsi" w:hAnsiTheme="majorHAnsi"/>
          <w:b w:val="0"/>
          <w:i/>
          <w:caps w:val="0"/>
        </w:rPr>
        <w:t>cash pooling</w:t>
      </w:r>
      <w:r>
        <w:rPr>
          <w:rFonts w:asciiTheme="majorHAnsi" w:hAnsiTheme="majorHAnsi"/>
          <w:b w:val="0"/>
          <w:caps w:val="0"/>
        </w:rPr>
        <w:t xml:space="preserve">, faremos um enquadramento conceptual da figura, apresentaremos as suas modalidades, analisaremos os elementos caracterizadores do </w:t>
      </w:r>
      <w:r w:rsidRPr="0002001C">
        <w:rPr>
          <w:rFonts w:asciiTheme="majorHAnsi" w:hAnsiTheme="majorHAnsi"/>
          <w:b w:val="0"/>
          <w:i/>
          <w:caps w:val="0"/>
        </w:rPr>
        <w:t>cash pooling</w:t>
      </w:r>
      <w:r>
        <w:rPr>
          <w:rFonts w:asciiTheme="majorHAnsi" w:hAnsiTheme="majorHAnsi"/>
          <w:b w:val="0"/>
          <w:caps w:val="0"/>
        </w:rPr>
        <w:t xml:space="preserve"> e apresentaremos as vantagens e desvantagens, que a implementação deste tipo de operação outorga. Ainda neste capítulo, falaremos sobre a figura nos países africanos francófonos, na Nigéria, na África do Sul e em alguns países europeus, como é o caso da Alemanha e Itália. Analisaremos ainda, as controvérsias dogmáticas na determinação da natureza jurídica e falaremos sobre o </w:t>
      </w:r>
      <w:r w:rsidRPr="005B6EDC">
        <w:rPr>
          <w:rFonts w:asciiTheme="majorHAnsi" w:hAnsiTheme="majorHAnsi"/>
          <w:b w:val="0"/>
          <w:i/>
          <w:caps w:val="0"/>
        </w:rPr>
        <w:t>neeting</w:t>
      </w:r>
      <w:r>
        <w:rPr>
          <w:rFonts w:asciiTheme="majorHAnsi" w:hAnsiTheme="majorHAnsi"/>
          <w:b w:val="0"/>
          <w:caps w:val="0"/>
        </w:rPr>
        <w:t xml:space="preserve">, como figura afim do </w:t>
      </w:r>
      <w:r w:rsidRPr="005B6EDC">
        <w:rPr>
          <w:rFonts w:asciiTheme="majorHAnsi" w:hAnsiTheme="majorHAnsi"/>
          <w:b w:val="0"/>
          <w:i/>
          <w:caps w:val="0"/>
        </w:rPr>
        <w:t>cash pooling</w:t>
      </w:r>
      <w:r>
        <w:rPr>
          <w:rFonts w:asciiTheme="majorHAnsi" w:hAnsiTheme="majorHAnsi"/>
          <w:b w:val="0"/>
          <w:caps w:val="0"/>
        </w:rPr>
        <w:t>.</w:t>
      </w:r>
    </w:p>
    <w:p w:rsidR="00A07132" w:rsidRPr="00AD53E4" w:rsidRDefault="00A07132" w:rsidP="00AD53E4">
      <w:pPr>
        <w:spacing w:line="360" w:lineRule="auto"/>
        <w:rPr>
          <w:rFonts w:asciiTheme="majorHAnsi" w:hAnsiTheme="majorHAnsi"/>
          <w:sz w:val="24"/>
          <w:szCs w:val="24"/>
        </w:rPr>
      </w:pPr>
      <w:r w:rsidRPr="00AD53E4">
        <w:rPr>
          <w:rFonts w:asciiTheme="majorHAnsi" w:hAnsiTheme="majorHAnsi"/>
          <w:sz w:val="24"/>
          <w:szCs w:val="24"/>
        </w:rPr>
        <w:t xml:space="preserve">No terceiro e último capítulo, analisaremos as implicações jurídico-societárias que a inserção do sistema de </w:t>
      </w:r>
      <w:r w:rsidRPr="00AD53E4">
        <w:rPr>
          <w:rFonts w:asciiTheme="majorHAnsi" w:hAnsiTheme="majorHAnsi"/>
          <w:i/>
          <w:sz w:val="24"/>
          <w:szCs w:val="24"/>
        </w:rPr>
        <w:t>cash pooling</w:t>
      </w:r>
      <w:r w:rsidR="00C3454B">
        <w:rPr>
          <w:rFonts w:asciiTheme="majorHAnsi" w:hAnsiTheme="majorHAnsi"/>
          <w:sz w:val="24"/>
          <w:szCs w:val="24"/>
        </w:rPr>
        <w:t xml:space="preserve"> acarreta</w:t>
      </w:r>
      <w:r w:rsidRPr="00AD53E4">
        <w:rPr>
          <w:rFonts w:asciiTheme="majorHAnsi" w:hAnsiTheme="majorHAnsi"/>
          <w:sz w:val="24"/>
          <w:szCs w:val="24"/>
        </w:rPr>
        <w:t xml:space="preserve">, ou seja, veremos quais as regras formais a serem obedecidas, para a correcta implementação do sistema. </w:t>
      </w:r>
      <w:r w:rsidR="00AD53E4" w:rsidRPr="00AD53E4">
        <w:rPr>
          <w:rFonts w:asciiTheme="majorHAnsi" w:hAnsiTheme="majorHAnsi"/>
          <w:sz w:val="24"/>
          <w:szCs w:val="24"/>
        </w:rPr>
        <w:t xml:space="preserve">Neste último capítulo, </w:t>
      </w:r>
      <w:r w:rsidR="00AD53E4" w:rsidRPr="00AD53E4">
        <w:rPr>
          <w:rFonts w:asciiTheme="majorHAnsi" w:hAnsiTheme="majorHAnsi" w:cs="Times New Roman"/>
          <w:sz w:val="24"/>
          <w:szCs w:val="24"/>
          <w:lang w:val="pt-BR"/>
        </w:rPr>
        <w:t>a abordagem se</w:t>
      </w:r>
      <w:r w:rsidR="00C3454B">
        <w:rPr>
          <w:rFonts w:asciiTheme="majorHAnsi" w:hAnsiTheme="majorHAnsi" w:cs="Times New Roman"/>
          <w:sz w:val="24"/>
          <w:szCs w:val="24"/>
          <w:lang w:val="pt-BR"/>
        </w:rPr>
        <w:t xml:space="preserve">rá feita com maior pragmatismo; </w:t>
      </w:r>
      <w:r w:rsidR="00AD53E4" w:rsidRPr="00AD53E4">
        <w:rPr>
          <w:rFonts w:asciiTheme="majorHAnsi" w:hAnsiTheme="majorHAnsi" w:cs="Times New Roman"/>
          <w:sz w:val="24"/>
          <w:szCs w:val="24"/>
          <w:lang w:val="pt-BR"/>
        </w:rPr>
        <w:t>analisar</w:t>
      </w:r>
      <w:r w:rsidR="00C3454B">
        <w:rPr>
          <w:rFonts w:asciiTheme="majorHAnsi" w:hAnsiTheme="majorHAnsi" w:cs="Times New Roman"/>
          <w:sz w:val="24"/>
          <w:szCs w:val="24"/>
          <w:lang w:val="pt-BR"/>
        </w:rPr>
        <w:t>emos</w:t>
      </w:r>
      <w:r w:rsidR="00AD53E4" w:rsidRPr="00AD53E4">
        <w:rPr>
          <w:rFonts w:asciiTheme="majorHAnsi" w:hAnsiTheme="majorHAnsi" w:cs="Times New Roman"/>
          <w:sz w:val="24"/>
          <w:szCs w:val="24"/>
          <w:lang w:val="pt-BR"/>
        </w:rPr>
        <w:t xml:space="preserve"> os entraves e riscos que a implementa</w:t>
      </w:r>
      <w:r w:rsidR="00C3454B">
        <w:rPr>
          <w:rFonts w:asciiTheme="majorHAnsi" w:hAnsiTheme="majorHAnsi" w:cs="Times New Roman"/>
          <w:sz w:val="24"/>
          <w:szCs w:val="24"/>
          <w:lang w:val="pt-BR"/>
        </w:rPr>
        <w:t>ção de uma gestão centralizada</w:t>
      </w:r>
      <w:r w:rsidR="00AD53E4" w:rsidRPr="00AD53E4">
        <w:rPr>
          <w:rFonts w:asciiTheme="majorHAnsi" w:hAnsiTheme="majorHAnsi" w:cs="Times New Roman"/>
          <w:sz w:val="24"/>
          <w:szCs w:val="24"/>
          <w:lang w:val="pt-BR"/>
        </w:rPr>
        <w:t xml:space="preserve"> de tesouraria pode provocar, ou seja, os problemas dos empréstimos </w:t>
      </w:r>
      <w:r w:rsidR="00AD53E4" w:rsidRPr="00AD53E4">
        <w:rPr>
          <w:rFonts w:asciiTheme="majorHAnsi" w:hAnsiTheme="majorHAnsi" w:cs="Times New Roman"/>
          <w:i/>
          <w:sz w:val="24"/>
          <w:szCs w:val="24"/>
          <w:lang w:val="pt-BR"/>
        </w:rPr>
        <w:t>upstream</w:t>
      </w:r>
      <w:r w:rsidR="00AD53E4" w:rsidRPr="00AD53E4">
        <w:rPr>
          <w:rFonts w:asciiTheme="majorHAnsi" w:hAnsiTheme="majorHAnsi" w:cs="Times New Roman"/>
          <w:sz w:val="24"/>
          <w:szCs w:val="24"/>
          <w:lang w:val="pt-BR"/>
        </w:rPr>
        <w:t xml:space="preserve"> na conservação do capital social das sociedades participantes, as limitações relativas a capacidade das sociedades comerciais para a prática de actividades de natureza exclusivamente financeira, os riscos da má gestão dos activos transferidos para a entidade centralizadora (responsável pela gestão dos activos transferidos para a sua conta, por todas as sociedades participantes no acordo de </w:t>
      </w:r>
      <w:r w:rsidR="00AD53E4" w:rsidRPr="00AD53E4">
        <w:rPr>
          <w:rFonts w:asciiTheme="majorHAnsi" w:hAnsiTheme="majorHAnsi" w:cs="Times New Roman"/>
          <w:i/>
          <w:sz w:val="24"/>
          <w:szCs w:val="24"/>
          <w:lang w:val="pt-BR"/>
        </w:rPr>
        <w:t>cash pooling</w:t>
      </w:r>
      <w:r w:rsidR="00AD53E4" w:rsidRPr="00AD53E4">
        <w:rPr>
          <w:rFonts w:asciiTheme="majorHAnsi" w:hAnsiTheme="majorHAnsi" w:cs="Times New Roman"/>
          <w:sz w:val="24"/>
          <w:szCs w:val="24"/>
          <w:lang w:val="pt-BR"/>
        </w:rPr>
        <w:t>) e a responsabilidade dos administradores da sociedade-mãe pelos danos causados à sociedade-filha.</w:t>
      </w:r>
    </w:p>
    <w:p w:rsidR="00A07132" w:rsidRPr="00E76791" w:rsidRDefault="00A07132" w:rsidP="00A07132">
      <w:pPr>
        <w:pStyle w:val="SemEspaamento1"/>
        <w:spacing w:line="360" w:lineRule="auto"/>
        <w:rPr>
          <w:rFonts w:ascii="Times New Roman" w:hAnsi="Times New Roman"/>
          <w:lang w:val="pt-BR"/>
        </w:rPr>
      </w:pPr>
    </w:p>
    <w:p w:rsidR="0015603D" w:rsidRDefault="0015603D" w:rsidP="00C2335E">
      <w:pPr>
        <w:spacing w:line="360" w:lineRule="auto"/>
        <w:rPr>
          <w:rFonts w:asciiTheme="majorHAnsi" w:hAnsiTheme="majorHAnsi" w:cs="Times New Roman"/>
          <w:sz w:val="24"/>
          <w:szCs w:val="24"/>
          <w:lang w:val="pt-BR"/>
        </w:rPr>
      </w:pPr>
    </w:p>
    <w:p w:rsidR="00732C53" w:rsidRDefault="00732C53" w:rsidP="00C2335E">
      <w:pPr>
        <w:spacing w:line="360" w:lineRule="auto"/>
        <w:rPr>
          <w:rFonts w:ascii="Times New Roman" w:hAnsi="Times New Roman" w:cs="Times New Roman"/>
          <w:sz w:val="24"/>
          <w:szCs w:val="24"/>
          <w:lang w:val="pt-BR"/>
        </w:rPr>
      </w:pPr>
    </w:p>
    <w:p w:rsidR="007D0670" w:rsidRDefault="007D0670" w:rsidP="00C3454B">
      <w:pPr>
        <w:spacing w:line="360" w:lineRule="auto"/>
        <w:rPr>
          <w:rFonts w:asciiTheme="majorHAnsi" w:hAnsiTheme="majorHAnsi" w:cs="Times New Roman"/>
          <w:sz w:val="24"/>
          <w:szCs w:val="24"/>
          <w:lang w:val="pt-BR"/>
        </w:rPr>
      </w:pPr>
    </w:p>
    <w:p w:rsidR="00C2335E" w:rsidRPr="00C2335E" w:rsidRDefault="00C2335E" w:rsidP="00C2335E">
      <w:pPr>
        <w:spacing w:line="360" w:lineRule="auto"/>
        <w:jc w:val="center"/>
        <w:rPr>
          <w:rFonts w:asciiTheme="majorHAnsi" w:hAnsiTheme="majorHAnsi" w:cs="Times New Roman"/>
          <w:sz w:val="24"/>
          <w:szCs w:val="24"/>
          <w:lang w:val="pt-BR"/>
        </w:rPr>
      </w:pPr>
      <w:r w:rsidRPr="00C2335E">
        <w:rPr>
          <w:rFonts w:asciiTheme="majorHAnsi" w:hAnsiTheme="majorHAnsi" w:cs="Times New Roman"/>
          <w:sz w:val="24"/>
          <w:szCs w:val="24"/>
          <w:lang w:val="pt-BR"/>
        </w:rPr>
        <w:t>CAPÍTULO II</w:t>
      </w:r>
    </w:p>
    <w:p w:rsidR="00C2335E" w:rsidRPr="00C2335E" w:rsidRDefault="00C2335E" w:rsidP="00C856F6">
      <w:pPr>
        <w:spacing w:line="360" w:lineRule="auto"/>
        <w:jc w:val="center"/>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A FIGURA DO </w:t>
      </w:r>
      <w:r w:rsidRPr="007D0670">
        <w:rPr>
          <w:rFonts w:asciiTheme="majorHAnsi" w:hAnsiTheme="majorHAnsi" w:cs="Times New Roman"/>
          <w:b/>
          <w:i/>
          <w:sz w:val="24"/>
          <w:szCs w:val="24"/>
          <w:lang w:val="pt-BR"/>
        </w:rPr>
        <w:t>CASH POOLING</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Aproximação à figura do </w:t>
      </w:r>
      <w:r w:rsidRPr="007D0670">
        <w:rPr>
          <w:rFonts w:asciiTheme="majorHAnsi" w:hAnsiTheme="majorHAnsi" w:cs="Times New Roman"/>
          <w:b/>
          <w:i/>
          <w:sz w:val="24"/>
          <w:szCs w:val="24"/>
          <w:lang w:val="pt-BR"/>
        </w:rPr>
        <w:t>cash pooling</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Os mercados estão cada vez mais competitivos e as empresas são obrigadas a buscar constantemente vantagens competitivas e a modernizar as suas estruturas, com vista a alcançar mais vantagens e a competir em circunstâncias melhores do que a dos seus concorrentes.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Para </w:t>
      </w:r>
      <w:r w:rsidR="00F63A01">
        <w:rPr>
          <w:rFonts w:asciiTheme="majorHAnsi" w:hAnsiTheme="majorHAnsi" w:cs="Times New Roman"/>
          <w:sz w:val="24"/>
          <w:szCs w:val="24"/>
          <w:lang w:val="pt-BR"/>
        </w:rPr>
        <w:t>atingir tais objectivos</w:t>
      </w:r>
      <w:r w:rsidR="0019497B">
        <w:rPr>
          <w:rFonts w:asciiTheme="majorHAnsi" w:hAnsiTheme="majorHAnsi" w:cs="Times New Roman"/>
          <w:sz w:val="24"/>
          <w:szCs w:val="24"/>
          <w:lang w:val="pt-BR"/>
        </w:rPr>
        <w:t xml:space="preserve">, as empresas precisam </w:t>
      </w:r>
      <w:r>
        <w:rPr>
          <w:rFonts w:asciiTheme="majorHAnsi" w:hAnsiTheme="majorHAnsi" w:cs="Times New Roman"/>
          <w:sz w:val="24"/>
          <w:szCs w:val="24"/>
          <w:lang w:val="pt-BR"/>
        </w:rPr>
        <w:t xml:space="preserve">deter </w:t>
      </w:r>
      <w:r w:rsidRPr="00C2335E">
        <w:rPr>
          <w:rFonts w:asciiTheme="majorHAnsi" w:hAnsiTheme="majorHAnsi" w:cs="Times New Roman"/>
          <w:sz w:val="24"/>
          <w:szCs w:val="24"/>
          <w:lang w:val="pt-BR"/>
        </w:rPr>
        <w:t>uma gestão de tesouraria eficiente, uma vez que, a gestão de tesouraria pode representar um instrumento pilar na gestão</w:t>
      </w:r>
      <w:r w:rsidR="0019497B">
        <w:rPr>
          <w:rFonts w:asciiTheme="majorHAnsi" w:hAnsiTheme="majorHAnsi" w:cs="Times New Roman"/>
          <w:sz w:val="24"/>
          <w:szCs w:val="24"/>
          <w:lang w:val="pt-BR"/>
        </w:rPr>
        <w:t xml:space="preserve"> de uma empresa</w:t>
      </w:r>
      <w:r w:rsidRPr="00C2335E">
        <w:rPr>
          <w:rFonts w:asciiTheme="majorHAnsi" w:hAnsiTheme="majorHAnsi" w:cs="Times New Roman"/>
          <w:sz w:val="24"/>
          <w:szCs w:val="24"/>
          <w:lang w:val="pt-BR"/>
        </w:rPr>
        <w:t>,</w:t>
      </w:r>
      <w:r w:rsidR="007D0670">
        <w:rPr>
          <w:rFonts w:asciiTheme="majorHAnsi" w:hAnsiTheme="majorHAnsi" w:cs="Times New Roman"/>
          <w:sz w:val="24"/>
          <w:szCs w:val="24"/>
          <w:lang w:val="pt-BR"/>
        </w:rPr>
        <w:t xml:space="preserve"> pois </w:t>
      </w:r>
      <w:r>
        <w:rPr>
          <w:rFonts w:asciiTheme="majorHAnsi" w:hAnsiTheme="majorHAnsi" w:cs="Times New Roman"/>
          <w:sz w:val="24"/>
          <w:szCs w:val="24"/>
          <w:lang w:val="pt-BR"/>
        </w:rPr>
        <w:t xml:space="preserve">permite que </w:t>
      </w:r>
      <w:r w:rsidRPr="00C2335E">
        <w:rPr>
          <w:rFonts w:asciiTheme="majorHAnsi" w:hAnsiTheme="majorHAnsi" w:cs="Times New Roman"/>
          <w:sz w:val="24"/>
          <w:szCs w:val="24"/>
          <w:lang w:val="pt-BR"/>
        </w:rPr>
        <w:t xml:space="preserve">às empresas </w:t>
      </w:r>
      <w:r>
        <w:rPr>
          <w:rFonts w:asciiTheme="majorHAnsi" w:hAnsiTheme="majorHAnsi" w:cs="Times New Roman"/>
          <w:sz w:val="24"/>
          <w:szCs w:val="24"/>
          <w:lang w:val="pt-BR"/>
        </w:rPr>
        <w:t xml:space="preserve">obtenham </w:t>
      </w:r>
      <w:r w:rsidRPr="00C2335E">
        <w:rPr>
          <w:rFonts w:asciiTheme="majorHAnsi" w:hAnsiTheme="majorHAnsi" w:cs="Times New Roman"/>
          <w:sz w:val="24"/>
          <w:szCs w:val="24"/>
          <w:lang w:val="pt-BR"/>
        </w:rPr>
        <w:t>informações financeiras certas, fidedignas, que permitam de forma atempada garantir meios líquidos financeiros para salvaguardar</w:t>
      </w:r>
      <w:r>
        <w:rPr>
          <w:rFonts w:asciiTheme="majorHAnsi" w:hAnsiTheme="majorHAnsi" w:cs="Times New Roman"/>
          <w:sz w:val="24"/>
          <w:szCs w:val="24"/>
          <w:lang w:val="pt-BR"/>
        </w:rPr>
        <w:t xml:space="preserve"> a sustentabilidade delas.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Assim, a gestão de tesouraria deve garantir um nível adequado e suficiente de caixa que assegure o normal funcionamento da empresa, acautelando eventuais necessidades não calendarizados, evitando que a empresa passe por dificuldades financeiras que coloquem em causa a sobrevivência da mesma</w:t>
      </w:r>
      <w:r w:rsidRPr="00C2335E">
        <w:rPr>
          <w:rStyle w:val="Refdenotaderodap"/>
          <w:rFonts w:asciiTheme="majorHAnsi" w:hAnsiTheme="majorHAnsi" w:cs="Times New Roman"/>
          <w:sz w:val="24"/>
          <w:szCs w:val="24"/>
          <w:lang w:val="pt-BR"/>
        </w:rPr>
        <w:footnoteReference w:id="5"/>
      </w:r>
      <w:r w:rsidRPr="00C2335E">
        <w:rPr>
          <w:rFonts w:asciiTheme="majorHAnsi" w:hAnsiTheme="majorHAnsi" w:cs="Times New Roman"/>
          <w:sz w:val="24"/>
          <w:szCs w:val="24"/>
          <w:lang w:val="pt-BR"/>
        </w:rPr>
        <w:t>. A  gestão de tesouraria tem como principais objectivos; a manutenção da liquidez gerindo as disponibilidades, a gestão dos riscos financeiros, a optimização da estrutura do capital, a obtenção de financiamento nas melhores condições possíveis, a gestão de créditos, taxas de juros e câmbios</w:t>
      </w:r>
      <w:r w:rsidRPr="00C2335E">
        <w:rPr>
          <w:rStyle w:val="Refdenotaderodap"/>
          <w:rFonts w:asciiTheme="majorHAnsi" w:hAnsiTheme="majorHAnsi" w:cs="Times New Roman"/>
          <w:sz w:val="24"/>
          <w:szCs w:val="24"/>
          <w:lang w:val="pt-BR"/>
        </w:rPr>
        <w:footnoteReference w:id="6"/>
      </w:r>
      <w:r w:rsidRPr="00C2335E">
        <w:rPr>
          <w:rFonts w:asciiTheme="majorHAnsi" w:hAnsiTheme="majorHAnsi" w:cs="Times New Roman"/>
          <w:sz w:val="24"/>
          <w:szCs w:val="24"/>
          <w:lang w:val="pt-BR"/>
        </w:rPr>
        <w:t xml:space="preserve">.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Ora, a internacionalização das empresas, os mercados mais competitivos, o surgimento de novos instrumentos financeiros e de tecnologias de informação exigiram da gestão de tesouraria a adopção de novas funções, deixando de lado, a simples gestão, que se baseava na recepção e pagamentos, para uma gestão estratégica, uma gestão de liquidez e de risco financeiro, uma gestão de apoio ao financiamento e ao investimento.</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É dentro deste cenário de restrições à nível das instituições de créditos e da necessidade de garantir a sustentabilidade das organizações, que os grupos de sociedades têm vindo a sobreviver e para tal, têm optad</w:t>
      </w:r>
      <w:r w:rsidR="002A4E13">
        <w:rPr>
          <w:rFonts w:asciiTheme="majorHAnsi" w:hAnsiTheme="majorHAnsi" w:cs="Times New Roman"/>
          <w:sz w:val="24"/>
          <w:szCs w:val="24"/>
          <w:lang w:val="pt-BR"/>
        </w:rPr>
        <w:t>o por escolher  o</w:t>
      </w:r>
      <w:r w:rsidR="00B34482">
        <w:rPr>
          <w:rFonts w:asciiTheme="majorHAnsi" w:hAnsiTheme="majorHAnsi" w:cs="Times New Roman"/>
          <w:sz w:val="24"/>
          <w:szCs w:val="24"/>
          <w:lang w:val="pt-BR"/>
        </w:rPr>
        <w:t xml:space="preserve"> sistema de </w:t>
      </w:r>
      <w:r w:rsidR="00B34482" w:rsidRPr="002A4E13">
        <w:rPr>
          <w:rFonts w:asciiTheme="majorHAnsi" w:hAnsiTheme="majorHAnsi" w:cs="Times New Roman"/>
          <w:i/>
          <w:sz w:val="24"/>
          <w:szCs w:val="24"/>
          <w:lang w:val="pt-BR"/>
        </w:rPr>
        <w:t>cash pooling</w:t>
      </w:r>
      <w:r w:rsidRPr="00C2335E">
        <w:rPr>
          <w:rFonts w:asciiTheme="majorHAnsi" w:hAnsiTheme="majorHAnsi" w:cs="Times New Roman"/>
          <w:i/>
          <w:sz w:val="24"/>
          <w:szCs w:val="24"/>
          <w:lang w:val="pt-BR"/>
        </w:rPr>
        <w:t xml:space="preserve">. </w:t>
      </w:r>
      <w:r w:rsidRPr="00C2335E">
        <w:rPr>
          <w:rFonts w:asciiTheme="majorHAnsi" w:hAnsiTheme="majorHAnsi" w:cs="Times New Roman"/>
          <w:sz w:val="24"/>
          <w:szCs w:val="24"/>
          <w:lang w:val="pt-BR"/>
        </w:rPr>
        <w:t xml:space="preserve">A adopção deste sistema visa garantir a optimização dos recursos disponíveis no grupo, reduzir os custos mediante um aumento do poder negocial, buscar por uma economia de escala e uma gestão mais especializada.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Ora, o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 xml:space="preserve">assenta na gestão consolidada de tesouraria de diversas empresas de um grupo, seja por meio de uma dessas empresas (a entidade centralizadora), seja  através de uma empresa constituída com o único fim de fazer a gestão da tesouraria do grupo (holding).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Para o efeito, é necessário que haja a assinatura de um contrato por todas as sociedades participantes do grupo, para que a entidade centralizadora possa actuar em nome destas e um acordo sobre a % da taxa de juro entre o banco e as sociedades participantes. </w:t>
      </w:r>
      <w:r>
        <w:rPr>
          <w:rStyle w:val="Refdenotaderodap"/>
          <w:rFonts w:asciiTheme="majorHAnsi" w:hAnsiTheme="majorHAnsi" w:cs="Times New Roman"/>
          <w:sz w:val="24"/>
          <w:szCs w:val="24"/>
          <w:lang w:val="pt-BR"/>
        </w:rPr>
        <w:footnoteReference w:id="7"/>
      </w:r>
    </w:p>
    <w:p w:rsidR="00E05479"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Trata-se de um instrumento de gestão que tem como fim último diminuir os problemas da proliferação de unidades de tesouraria no seio do grupo e tem como principal vantagem, a compensação do saldo devedor de algumas empresas do grupo pelo saldo credor das outras, ou seja, com a implementação deste instrumento de gestão, alcança-se a redução dos custos com recurso ao crédito bancário a curto-prazo, bem como  possibilita o centro de gestão de tesouraria recorrer aos fundos gerados para financiar às empresas do grupo</w:t>
      </w:r>
      <w:r w:rsidR="00501F4D">
        <w:rPr>
          <w:rFonts w:asciiTheme="majorHAnsi" w:hAnsiTheme="majorHAnsi" w:cs="Times New Roman"/>
          <w:sz w:val="24"/>
          <w:szCs w:val="24"/>
          <w:lang w:val="pt-BR"/>
        </w:rPr>
        <w:t>.</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Noção de Cash Pooling</w:t>
      </w:r>
    </w:p>
    <w:p w:rsidR="00C2335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É importante fazer referência de que tanto a nível económico como jurídico, não existe um conceito unitário de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dai que, vários foram os conceitos encontrados. </w:t>
      </w:r>
      <w:r w:rsidRPr="00C2335E">
        <w:rPr>
          <w:rFonts w:asciiTheme="majorHAnsi" w:hAnsiTheme="majorHAnsi" w:cs="Times New Roman"/>
          <w:sz w:val="24"/>
          <w:szCs w:val="24"/>
          <w:lang w:val="pt-BR"/>
        </w:rPr>
        <w:t>A</w:t>
      </w:r>
      <w:r>
        <w:rPr>
          <w:rFonts w:asciiTheme="majorHAnsi" w:hAnsiTheme="majorHAnsi" w:cs="Times New Roman"/>
          <w:sz w:val="24"/>
          <w:szCs w:val="24"/>
          <w:lang w:val="pt-BR"/>
        </w:rPr>
        <w:t xml:space="preserve"> título de exemplo, </w:t>
      </w:r>
      <w:r w:rsidR="001A74DD">
        <w:rPr>
          <w:rFonts w:asciiTheme="majorHAnsi" w:hAnsiTheme="majorHAnsi" w:cs="Times New Roman"/>
          <w:sz w:val="24"/>
          <w:szCs w:val="24"/>
          <w:lang w:val="pt-BR"/>
        </w:rPr>
        <w:t xml:space="preserve">encontramos </w:t>
      </w:r>
      <w:r w:rsidR="008D6F8B">
        <w:rPr>
          <w:rFonts w:asciiTheme="majorHAnsi" w:hAnsiTheme="majorHAnsi" w:cs="Times New Roman"/>
          <w:sz w:val="24"/>
          <w:szCs w:val="24"/>
          <w:lang w:val="pt-BR"/>
        </w:rPr>
        <w:t>Mónica Fluentes que entende que</w:t>
      </w:r>
      <w:r>
        <w:rPr>
          <w:rFonts w:asciiTheme="majorHAnsi" w:hAnsiTheme="majorHAnsi" w:cs="Times New Roman"/>
          <w:sz w:val="24"/>
          <w:szCs w:val="24"/>
          <w:lang w:val="pt-BR"/>
        </w:rPr>
        <w:t xml:space="preserve"> o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é tido como um acordo entre várias sociedades do mesmo grupo, com vista a realizar a gestão de uma conta bancária corrente e centralizada (</w:t>
      </w:r>
      <w:r w:rsidRPr="00C2335E">
        <w:rPr>
          <w:rFonts w:asciiTheme="majorHAnsi" w:hAnsiTheme="majorHAnsi" w:cs="Times New Roman"/>
          <w:i/>
          <w:sz w:val="24"/>
          <w:szCs w:val="24"/>
          <w:lang w:val="pt-BR"/>
        </w:rPr>
        <w:t>pool</w:t>
      </w:r>
      <w:r>
        <w:rPr>
          <w:rFonts w:asciiTheme="majorHAnsi" w:hAnsiTheme="majorHAnsi" w:cs="Times New Roman"/>
          <w:sz w:val="24"/>
          <w:szCs w:val="24"/>
          <w:lang w:val="pt-BR"/>
        </w:rPr>
        <w:t xml:space="preserve"> ou </w:t>
      </w:r>
      <w:r w:rsidRPr="00C2335E">
        <w:rPr>
          <w:rFonts w:asciiTheme="majorHAnsi" w:hAnsiTheme="majorHAnsi" w:cs="Times New Roman"/>
          <w:i/>
          <w:sz w:val="24"/>
          <w:szCs w:val="24"/>
          <w:lang w:val="pt-BR"/>
        </w:rPr>
        <w:t>master account</w:t>
      </w:r>
      <w:r>
        <w:rPr>
          <w:rFonts w:asciiTheme="majorHAnsi" w:hAnsiTheme="majorHAnsi" w:cs="Times New Roman"/>
          <w:sz w:val="24"/>
          <w:szCs w:val="24"/>
          <w:lang w:val="pt-BR"/>
        </w:rPr>
        <w:t>) por apenas uma delas (a entidade centralizadora), onde os saldos activos e passivos das contas bancárias actualizadas das várias empresas que compõem esse grupo, são diariamente depositadas. Desta forma, é gerado um conjunto de empréstimos automáticos entre sociedades, que são realizados diariamente para optimizar a posição global do grupo, obtendo assim, um saldo único para cada banco com o qual ele se relaciona.</w:t>
      </w:r>
      <w:r w:rsidR="001A74DD">
        <w:rPr>
          <w:rStyle w:val="Refdenotaderodap"/>
          <w:rFonts w:asciiTheme="majorHAnsi" w:hAnsiTheme="majorHAnsi" w:cs="Times New Roman"/>
          <w:sz w:val="24"/>
          <w:szCs w:val="24"/>
          <w:lang w:val="pt-BR"/>
        </w:rPr>
        <w:footnoteReference w:id="8"/>
      </w:r>
    </w:p>
    <w:p w:rsidR="00C2335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Por sua vez, Vera Nunes </w:t>
      </w:r>
      <w:r w:rsidRPr="00C2335E">
        <w:rPr>
          <w:rFonts w:asciiTheme="majorHAnsi" w:hAnsiTheme="majorHAnsi" w:cs="Times New Roman"/>
          <w:sz w:val="24"/>
          <w:szCs w:val="24"/>
          <w:lang w:val="pt-BR"/>
        </w:rPr>
        <w:t xml:space="preserve">define o contrato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como ” um serviço financeiro que poderá ser utilizado entre contas bancárias de uma só empresa ou entre contas bancárias de várias empresas do mesmo grupo, tratando da gestão conjunta desses capitais na vertente da rentabilidade desse capital, ou seja, mediante excedentes de tesouraria que existam de forma dispersa em várias contas, e/ou carências de tesouraria noutras contas, poderá proceder-se à sua gestão conjunta</w:t>
      </w:r>
      <w:r>
        <w:rPr>
          <w:rFonts w:asciiTheme="majorHAnsi" w:hAnsiTheme="majorHAnsi" w:cs="Times New Roman"/>
          <w:sz w:val="24"/>
          <w:szCs w:val="24"/>
          <w:lang w:val="pt-BR"/>
        </w:rPr>
        <w:t xml:space="preserve">” </w:t>
      </w:r>
      <w:r>
        <w:rPr>
          <w:rStyle w:val="Refdenotaderodap"/>
          <w:rFonts w:asciiTheme="majorHAnsi" w:hAnsiTheme="majorHAnsi" w:cs="Times New Roman"/>
          <w:sz w:val="24"/>
          <w:szCs w:val="24"/>
          <w:lang w:val="pt-BR"/>
        </w:rPr>
        <w:footnoteReference w:id="9"/>
      </w:r>
    </w:p>
    <w:p w:rsidR="00C2335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Ortega Verdugo entende que o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não é mais que um conjunto de empréstimos automáticos entre empresas que se realizam diariamente, com o fim de optimizar a posição global do grupo, alcançando um saldo único, junto do banco com a qual se relaciona.</w:t>
      </w:r>
      <w:r>
        <w:rPr>
          <w:rStyle w:val="Refdenotaderodap"/>
          <w:rFonts w:asciiTheme="majorHAnsi" w:hAnsiTheme="majorHAnsi" w:cs="Times New Roman"/>
          <w:sz w:val="24"/>
          <w:szCs w:val="24"/>
          <w:lang w:val="pt-BR"/>
        </w:rPr>
        <w:footnoteReference w:id="10"/>
      </w:r>
    </w:p>
    <w:p w:rsidR="00C2335E" w:rsidRPr="00C2335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Rebouta afirma que o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(gestão gentralizada de tesouraria) tem como objectivo “</w:t>
      </w:r>
      <w:r w:rsidRPr="00C2335E">
        <w:rPr>
          <w:rFonts w:asciiTheme="majorHAnsi" w:hAnsiTheme="majorHAnsi" w:cs="Times New Roman"/>
          <w:sz w:val="24"/>
          <w:szCs w:val="24"/>
          <w:lang w:val="pt-BR"/>
        </w:rPr>
        <w:t xml:space="preserve">a gestão consolidada da tesouraria de diversas empresas de um grupo de sociedades através de uma dessas empresas ou através de uma empresa especificamente constituída ou destinada para o efeito, ou </w:t>
      </w:r>
      <w:r w:rsidR="00FF38C4">
        <w:rPr>
          <w:rFonts w:asciiTheme="majorHAnsi" w:hAnsiTheme="majorHAnsi" w:cs="Times New Roman"/>
          <w:sz w:val="24"/>
          <w:szCs w:val="24"/>
          <w:lang w:val="pt-BR"/>
        </w:rPr>
        <w:t>seja, de forma sucinta, permitir</w:t>
      </w:r>
      <w:r w:rsidRPr="00C2335E">
        <w:rPr>
          <w:rFonts w:asciiTheme="majorHAnsi" w:hAnsiTheme="majorHAnsi" w:cs="Times New Roman"/>
          <w:sz w:val="24"/>
          <w:szCs w:val="24"/>
          <w:lang w:val="pt-BR"/>
        </w:rPr>
        <w:t xml:space="preserve"> relacionar saldos devedores e saldos credores junto de uma instituição financeira. Este tipo de operações permite a compensação do saldo devedor de algumas das empresas pelo saldo</w:t>
      </w:r>
      <w:r w:rsidR="00FF38C4">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credor das restantes, além de que o centro de gestão de tesouraria pode recorrer aos fundos gerados para</w:t>
      </w:r>
      <w:r>
        <w:rPr>
          <w:rFonts w:asciiTheme="majorHAnsi" w:hAnsiTheme="majorHAnsi" w:cs="Times New Roman"/>
          <w:sz w:val="24"/>
          <w:szCs w:val="24"/>
          <w:lang w:val="pt-BR"/>
        </w:rPr>
        <w:t xml:space="preserve"> financiar as empresas do grupo”.</w:t>
      </w:r>
      <w:r>
        <w:rPr>
          <w:rStyle w:val="Refdenotaderodap"/>
          <w:rFonts w:asciiTheme="majorHAnsi" w:hAnsiTheme="majorHAnsi" w:cs="Times New Roman"/>
          <w:sz w:val="24"/>
          <w:szCs w:val="24"/>
          <w:lang w:val="pt-BR"/>
        </w:rPr>
        <w:footnoteReference w:id="11"/>
      </w:r>
    </w:p>
    <w:p w:rsidR="00C2335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Dos c</w:t>
      </w:r>
      <w:r w:rsidR="00FB0CD9">
        <w:rPr>
          <w:rFonts w:asciiTheme="majorHAnsi" w:hAnsiTheme="majorHAnsi" w:cs="Times New Roman"/>
          <w:sz w:val="24"/>
          <w:szCs w:val="24"/>
          <w:lang w:val="pt-BR"/>
        </w:rPr>
        <w:t xml:space="preserve">onceitos </w:t>
      </w:r>
      <w:r>
        <w:rPr>
          <w:rFonts w:asciiTheme="majorHAnsi" w:hAnsiTheme="majorHAnsi" w:cs="Times New Roman"/>
          <w:sz w:val="24"/>
          <w:szCs w:val="24"/>
          <w:lang w:val="pt-BR"/>
        </w:rPr>
        <w:t xml:space="preserve">apresentados, podemos depreender que, o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tem como elementos caracterizadores os seguintes;</w:t>
      </w:r>
    </w:p>
    <w:p w:rsidR="00C2335E" w:rsidRDefault="00C2335E" w:rsidP="00C2335E">
      <w:pPr>
        <w:pStyle w:val="PargrafodaLista"/>
        <w:numPr>
          <w:ilvl w:val="0"/>
          <w:numId w:val="9"/>
        </w:num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Trata-se de um acordo entre sociedades do mesmo grupo;</w:t>
      </w:r>
    </w:p>
    <w:p w:rsidR="006E6EBE" w:rsidRDefault="008A4134" w:rsidP="00C2335E">
      <w:pPr>
        <w:pStyle w:val="PargrafodaLista"/>
        <w:numPr>
          <w:ilvl w:val="0"/>
          <w:numId w:val="9"/>
        </w:numPr>
        <w:spacing w:line="360" w:lineRule="auto"/>
        <w:rPr>
          <w:rFonts w:asciiTheme="majorHAnsi" w:hAnsiTheme="majorHAnsi" w:cs="Times New Roman"/>
          <w:sz w:val="24"/>
          <w:szCs w:val="24"/>
          <w:lang w:val="pt-BR"/>
        </w:rPr>
      </w:pPr>
      <w:r w:rsidRPr="006E6EBE">
        <w:rPr>
          <w:rFonts w:asciiTheme="majorHAnsi" w:hAnsiTheme="majorHAnsi" w:cs="Times New Roman"/>
          <w:sz w:val="24"/>
          <w:szCs w:val="24"/>
          <w:lang w:val="pt-BR"/>
        </w:rPr>
        <w:t>U</w:t>
      </w:r>
      <w:r w:rsidR="00C2335E" w:rsidRPr="006E6EBE">
        <w:rPr>
          <w:rFonts w:asciiTheme="majorHAnsi" w:hAnsiTheme="majorHAnsi" w:cs="Times New Roman"/>
          <w:sz w:val="24"/>
          <w:szCs w:val="24"/>
          <w:lang w:val="pt-BR"/>
        </w:rPr>
        <w:t xml:space="preserve">m acordo de gestão de uma conta </w:t>
      </w:r>
      <w:r w:rsidR="006E6EBE" w:rsidRPr="006E6EBE">
        <w:rPr>
          <w:rFonts w:asciiTheme="majorHAnsi" w:hAnsiTheme="majorHAnsi" w:cs="Times New Roman"/>
          <w:sz w:val="24"/>
          <w:szCs w:val="24"/>
          <w:lang w:val="pt-BR"/>
        </w:rPr>
        <w:t xml:space="preserve">global, onde são alocados os saldos das diversas sociedades do grupo </w:t>
      </w:r>
    </w:p>
    <w:p w:rsidR="00C2335E" w:rsidRPr="006E6EBE" w:rsidRDefault="00C2335E" w:rsidP="00C2335E">
      <w:pPr>
        <w:pStyle w:val="PargrafodaLista"/>
        <w:numPr>
          <w:ilvl w:val="0"/>
          <w:numId w:val="9"/>
        </w:numPr>
        <w:spacing w:line="360" w:lineRule="auto"/>
        <w:rPr>
          <w:rFonts w:asciiTheme="majorHAnsi" w:hAnsiTheme="majorHAnsi" w:cs="Times New Roman"/>
          <w:sz w:val="24"/>
          <w:szCs w:val="24"/>
          <w:lang w:val="pt-BR"/>
        </w:rPr>
      </w:pPr>
      <w:r w:rsidRPr="006E6EBE">
        <w:rPr>
          <w:rFonts w:asciiTheme="majorHAnsi" w:hAnsiTheme="majorHAnsi" w:cs="Times New Roman"/>
          <w:sz w:val="24"/>
          <w:szCs w:val="24"/>
          <w:lang w:val="pt-BR"/>
        </w:rPr>
        <w:t>Com vista a alcançar um saldo único positivo, junto da entidade bancária com o qual o grupo se relaciona.</w:t>
      </w:r>
    </w:p>
    <w:p w:rsidR="00B514DE" w:rsidRDefault="00C2335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 </w:t>
      </w:r>
      <w:r w:rsidRPr="00C2335E">
        <w:rPr>
          <w:rFonts w:asciiTheme="majorHAnsi" w:hAnsiTheme="majorHAnsi" w:cs="Times New Roman"/>
          <w:i/>
          <w:sz w:val="24"/>
          <w:szCs w:val="24"/>
          <w:lang w:val="pt-BR"/>
        </w:rPr>
        <w:t>cash pooling</w:t>
      </w:r>
      <w:r>
        <w:rPr>
          <w:rFonts w:asciiTheme="majorHAnsi" w:hAnsiTheme="majorHAnsi" w:cs="Times New Roman"/>
          <w:sz w:val="24"/>
          <w:szCs w:val="24"/>
          <w:lang w:val="pt-BR"/>
        </w:rPr>
        <w:t>, de acordo com Ana Perestrelo de oliveira  tem como elementos comuns “a consolidação dos saldos credores e dos saldos devedores das diversas empresas do grupo, num saldo único junto de determinada instituição bancária</w:t>
      </w:r>
      <w:r>
        <w:rPr>
          <w:rStyle w:val="Refdenotaderodap"/>
          <w:rFonts w:asciiTheme="majorHAnsi" w:hAnsiTheme="majorHAnsi" w:cs="Times New Roman"/>
          <w:sz w:val="24"/>
          <w:szCs w:val="24"/>
          <w:lang w:val="pt-BR"/>
        </w:rPr>
        <w:footnoteReference w:id="12"/>
      </w:r>
      <w:r>
        <w:rPr>
          <w:rFonts w:asciiTheme="majorHAnsi" w:hAnsiTheme="majorHAnsi" w:cs="Times New Roman"/>
          <w:sz w:val="24"/>
          <w:szCs w:val="24"/>
          <w:lang w:val="pt-BR"/>
        </w:rPr>
        <w:t xml:space="preserve">. </w:t>
      </w:r>
    </w:p>
    <w:p w:rsidR="00C2335E" w:rsidRDefault="008A4134"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segundo Polak, o </w:t>
      </w:r>
      <w:r w:rsidRPr="008A4134">
        <w:rPr>
          <w:rFonts w:asciiTheme="majorHAnsi" w:hAnsiTheme="majorHAnsi" w:cs="Times New Roman"/>
          <w:i/>
          <w:sz w:val="24"/>
          <w:szCs w:val="24"/>
          <w:lang w:val="pt-BR"/>
        </w:rPr>
        <w:t>cash pooling</w:t>
      </w:r>
      <w:r w:rsidR="00C856F6">
        <w:rPr>
          <w:rFonts w:asciiTheme="majorHAnsi" w:hAnsiTheme="majorHAnsi" w:cs="Times New Roman"/>
          <w:i/>
          <w:sz w:val="24"/>
          <w:szCs w:val="24"/>
          <w:lang w:val="pt-BR"/>
        </w:rPr>
        <w:t xml:space="preserve"> </w:t>
      </w:r>
      <w:r w:rsidR="00C2335E">
        <w:rPr>
          <w:rFonts w:asciiTheme="majorHAnsi" w:hAnsiTheme="majorHAnsi" w:cs="Times New Roman"/>
          <w:sz w:val="24"/>
          <w:szCs w:val="24"/>
          <w:lang w:val="pt-BR"/>
        </w:rPr>
        <w:t>visa permitir que as sociedades do grupo atinjam maior eficiência, maior transparência e acesso a informação em tempo real das várias sociedades de uma ampla área geográfica e com vários fusos horários</w:t>
      </w:r>
      <w:r w:rsidR="00B514DE">
        <w:rPr>
          <w:rFonts w:asciiTheme="majorHAnsi" w:hAnsiTheme="majorHAnsi" w:cs="Times New Roman"/>
          <w:sz w:val="24"/>
          <w:szCs w:val="24"/>
          <w:lang w:val="pt-BR"/>
        </w:rPr>
        <w:t xml:space="preserve">, isso porque, com a centralização das operações de </w:t>
      </w:r>
      <w:r w:rsidR="00B514DE" w:rsidRPr="00FF38C4">
        <w:rPr>
          <w:rFonts w:asciiTheme="majorHAnsi" w:hAnsiTheme="majorHAnsi" w:cs="Times New Roman"/>
          <w:i/>
          <w:sz w:val="24"/>
          <w:szCs w:val="24"/>
          <w:lang w:val="pt-BR"/>
        </w:rPr>
        <w:t>cash pooling</w:t>
      </w:r>
      <w:r w:rsidR="00B514DE">
        <w:rPr>
          <w:rFonts w:asciiTheme="majorHAnsi" w:hAnsiTheme="majorHAnsi" w:cs="Times New Roman"/>
          <w:sz w:val="24"/>
          <w:szCs w:val="24"/>
          <w:lang w:val="pt-BR"/>
        </w:rPr>
        <w:t xml:space="preserve"> a empresa pode alcançar uma melhor gestão dos fluxos de caixa internos, reduzir os custos operacionais e as taxas de transação</w:t>
      </w:r>
      <w:r w:rsidR="008D6F8B">
        <w:rPr>
          <w:rFonts w:asciiTheme="majorHAnsi" w:hAnsiTheme="majorHAnsi" w:cs="Times New Roman"/>
          <w:sz w:val="24"/>
          <w:szCs w:val="24"/>
          <w:lang w:val="pt-BR"/>
        </w:rPr>
        <w:t xml:space="preserve">. </w:t>
      </w:r>
    </w:p>
    <w:p w:rsidR="00501F4D" w:rsidRPr="00C2335E" w:rsidRDefault="00FB0CD9"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Fic</w:t>
      </w:r>
      <w:r w:rsidR="009A53F0">
        <w:rPr>
          <w:rFonts w:asciiTheme="majorHAnsi" w:hAnsiTheme="majorHAnsi" w:cs="Times New Roman"/>
          <w:sz w:val="24"/>
          <w:szCs w:val="24"/>
          <w:lang w:val="pt-BR"/>
        </w:rPr>
        <w:t xml:space="preserve">a claro que a ausência de um regime jurídico para a figura do </w:t>
      </w:r>
      <w:r w:rsidR="009A53F0" w:rsidRPr="009A53F0">
        <w:rPr>
          <w:rFonts w:asciiTheme="majorHAnsi" w:hAnsiTheme="majorHAnsi" w:cs="Times New Roman"/>
          <w:i/>
          <w:sz w:val="24"/>
          <w:szCs w:val="24"/>
          <w:lang w:val="pt-BR"/>
        </w:rPr>
        <w:t>cash pooling</w:t>
      </w:r>
      <w:r w:rsidR="009A53F0">
        <w:rPr>
          <w:rFonts w:asciiTheme="majorHAnsi" w:hAnsiTheme="majorHAnsi" w:cs="Times New Roman"/>
          <w:sz w:val="24"/>
          <w:szCs w:val="24"/>
          <w:lang w:val="pt-BR"/>
        </w:rPr>
        <w:t xml:space="preserve"> gera não só  essa proliferação de conceitos, como concede aos conceitos apresentados um pendor eminentemente económi</w:t>
      </w:r>
      <w:r w:rsidR="004F6AEA">
        <w:rPr>
          <w:rFonts w:asciiTheme="majorHAnsi" w:hAnsiTheme="majorHAnsi" w:cs="Times New Roman"/>
          <w:sz w:val="24"/>
          <w:szCs w:val="24"/>
          <w:lang w:val="pt-BR"/>
        </w:rPr>
        <w:t>co. Apesar disso, não podemos de</w:t>
      </w:r>
      <w:r w:rsidR="009A53F0">
        <w:rPr>
          <w:rFonts w:asciiTheme="majorHAnsi" w:hAnsiTheme="majorHAnsi" w:cs="Times New Roman"/>
          <w:sz w:val="24"/>
          <w:szCs w:val="24"/>
          <w:lang w:val="pt-BR"/>
        </w:rPr>
        <w:t xml:space="preserve">scurar </w:t>
      </w:r>
      <w:r w:rsidR="00874E29">
        <w:rPr>
          <w:rFonts w:asciiTheme="majorHAnsi" w:hAnsiTheme="majorHAnsi" w:cs="Times New Roman"/>
          <w:sz w:val="24"/>
          <w:szCs w:val="24"/>
          <w:lang w:val="pt-BR"/>
        </w:rPr>
        <w:t>d</w:t>
      </w:r>
      <w:r w:rsidR="009A53F0">
        <w:rPr>
          <w:rFonts w:asciiTheme="majorHAnsi" w:hAnsiTheme="majorHAnsi" w:cs="Times New Roman"/>
          <w:sz w:val="24"/>
          <w:szCs w:val="24"/>
          <w:lang w:val="pt-BR"/>
        </w:rPr>
        <w:t>a importância da figura</w:t>
      </w:r>
      <w:r w:rsidR="00874E29">
        <w:rPr>
          <w:rFonts w:asciiTheme="majorHAnsi" w:hAnsiTheme="majorHAnsi" w:cs="Times New Roman"/>
          <w:sz w:val="24"/>
          <w:szCs w:val="24"/>
          <w:lang w:val="pt-BR"/>
        </w:rPr>
        <w:t xml:space="preserve">, uma vez que ela constitui um verdadeiro meio alternativo de financiamento interno. É através das suas modalidades, das suas  vantagens e do modo de funcionamento da figura que poderemos </w:t>
      </w:r>
      <w:r w:rsidR="00170A2A">
        <w:rPr>
          <w:rFonts w:asciiTheme="majorHAnsi" w:hAnsiTheme="majorHAnsi" w:cs="Times New Roman"/>
          <w:sz w:val="24"/>
          <w:szCs w:val="24"/>
          <w:lang w:val="pt-BR"/>
        </w:rPr>
        <w:t xml:space="preserve">aferir </w:t>
      </w:r>
      <w:r w:rsidR="00874E29">
        <w:rPr>
          <w:rFonts w:asciiTheme="majorHAnsi" w:hAnsiTheme="majorHAnsi" w:cs="Times New Roman"/>
          <w:sz w:val="24"/>
          <w:szCs w:val="24"/>
          <w:lang w:val="pt-BR"/>
        </w:rPr>
        <w:t xml:space="preserve">se a implementação do </w:t>
      </w:r>
      <w:r w:rsidR="00170A2A">
        <w:rPr>
          <w:rFonts w:asciiTheme="majorHAnsi" w:hAnsiTheme="majorHAnsi" w:cs="Times New Roman"/>
          <w:sz w:val="24"/>
          <w:szCs w:val="24"/>
          <w:lang w:val="pt-BR"/>
        </w:rPr>
        <w:t>sistema no ordenamento jurídico angolano</w:t>
      </w:r>
      <w:r w:rsidR="00874E29">
        <w:rPr>
          <w:rFonts w:asciiTheme="majorHAnsi" w:hAnsiTheme="majorHAnsi" w:cs="Times New Roman"/>
          <w:sz w:val="24"/>
          <w:szCs w:val="24"/>
          <w:lang w:val="pt-BR"/>
        </w:rPr>
        <w:t xml:space="preserve"> de forma efectiva, poderá ser ou não </w:t>
      </w:r>
      <w:r w:rsidR="00170A2A">
        <w:rPr>
          <w:rFonts w:asciiTheme="majorHAnsi" w:hAnsiTheme="majorHAnsi" w:cs="Times New Roman"/>
          <w:sz w:val="24"/>
          <w:szCs w:val="24"/>
          <w:lang w:val="pt-BR"/>
        </w:rPr>
        <w:t xml:space="preserve">a resposta para os objectivos dos grupos de empresas. </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Modalidades de </w:t>
      </w:r>
      <w:r w:rsidRPr="00FF38C4">
        <w:rPr>
          <w:rFonts w:asciiTheme="majorHAnsi" w:hAnsiTheme="majorHAnsi" w:cs="Times New Roman"/>
          <w:b/>
          <w:i/>
          <w:sz w:val="24"/>
          <w:szCs w:val="24"/>
          <w:lang w:val="pt-BR"/>
        </w:rPr>
        <w:t>cash pooling</w:t>
      </w:r>
    </w:p>
    <w:p w:rsidR="00711423" w:rsidRDefault="00711423"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Relativamente as modalidades de </w:t>
      </w:r>
      <w:r w:rsidRPr="00711423">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dos estudos feitos, observou-se que grande parte dos autores destacam apenas duas modalidades de </w:t>
      </w:r>
      <w:r w:rsidRPr="0087263A">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nomeadamente o </w:t>
      </w:r>
      <w:r w:rsidRPr="0087263A">
        <w:rPr>
          <w:rFonts w:asciiTheme="majorHAnsi" w:hAnsiTheme="majorHAnsi" w:cs="Times New Roman"/>
          <w:i/>
          <w:sz w:val="24"/>
          <w:szCs w:val="24"/>
          <w:lang w:val="pt-BR"/>
        </w:rPr>
        <w:t>notional cash pooling</w:t>
      </w:r>
      <w:r>
        <w:rPr>
          <w:rFonts w:asciiTheme="majorHAnsi" w:hAnsiTheme="majorHAnsi" w:cs="Times New Roman"/>
          <w:sz w:val="24"/>
          <w:szCs w:val="24"/>
          <w:lang w:val="pt-BR"/>
        </w:rPr>
        <w:t xml:space="preserve"> e o </w:t>
      </w:r>
      <w:r w:rsidRPr="0087263A">
        <w:rPr>
          <w:rFonts w:asciiTheme="majorHAnsi" w:hAnsiTheme="majorHAnsi" w:cs="Times New Roman"/>
          <w:i/>
          <w:sz w:val="24"/>
          <w:szCs w:val="24"/>
          <w:lang w:val="pt-BR"/>
        </w:rPr>
        <w:t>cash concentration</w:t>
      </w:r>
      <w:r>
        <w:rPr>
          <w:rFonts w:asciiTheme="majorHAnsi" w:hAnsiTheme="majorHAnsi" w:cs="Times New Roman"/>
          <w:sz w:val="24"/>
          <w:szCs w:val="24"/>
          <w:lang w:val="pt-BR"/>
        </w:rPr>
        <w:t xml:space="preserve"> ou </w:t>
      </w:r>
      <w:r w:rsidRPr="0087263A">
        <w:rPr>
          <w:rFonts w:asciiTheme="majorHAnsi" w:hAnsiTheme="majorHAnsi" w:cs="Times New Roman"/>
          <w:i/>
          <w:sz w:val="24"/>
          <w:szCs w:val="24"/>
          <w:lang w:val="pt-BR"/>
        </w:rPr>
        <w:t>zero balancing</w:t>
      </w:r>
      <w:r>
        <w:rPr>
          <w:rFonts w:asciiTheme="majorHAnsi" w:hAnsiTheme="majorHAnsi" w:cs="Times New Roman"/>
          <w:sz w:val="24"/>
          <w:szCs w:val="24"/>
          <w:lang w:val="pt-BR"/>
        </w:rPr>
        <w:t>. Questionamo-nos qual seria o critério para a es</w:t>
      </w:r>
      <w:r w:rsidR="00A87B48">
        <w:rPr>
          <w:rFonts w:asciiTheme="majorHAnsi" w:hAnsiTheme="majorHAnsi" w:cs="Times New Roman"/>
          <w:sz w:val="24"/>
          <w:szCs w:val="24"/>
          <w:lang w:val="pt-BR"/>
        </w:rPr>
        <w:t xml:space="preserve">colha destas </w:t>
      </w:r>
      <w:r>
        <w:rPr>
          <w:rFonts w:asciiTheme="majorHAnsi" w:hAnsiTheme="majorHAnsi" w:cs="Times New Roman"/>
          <w:sz w:val="24"/>
          <w:szCs w:val="24"/>
          <w:lang w:val="pt-BR"/>
        </w:rPr>
        <w:t xml:space="preserve"> duas modalidades? </w:t>
      </w:r>
      <w:r w:rsidR="0087263A">
        <w:rPr>
          <w:rFonts w:asciiTheme="majorHAnsi" w:hAnsiTheme="majorHAnsi" w:cs="Times New Roman"/>
          <w:sz w:val="24"/>
          <w:szCs w:val="24"/>
          <w:lang w:val="pt-BR"/>
        </w:rPr>
        <w:t>Alguns autores adopta</w:t>
      </w:r>
      <w:r w:rsidR="00923076">
        <w:rPr>
          <w:rFonts w:asciiTheme="majorHAnsi" w:hAnsiTheme="majorHAnsi" w:cs="Times New Roman"/>
          <w:sz w:val="24"/>
          <w:szCs w:val="24"/>
          <w:lang w:val="pt-BR"/>
        </w:rPr>
        <w:t>ra</w:t>
      </w:r>
      <w:r w:rsidR="0087263A">
        <w:rPr>
          <w:rFonts w:asciiTheme="majorHAnsi" w:hAnsiTheme="majorHAnsi" w:cs="Times New Roman"/>
          <w:sz w:val="24"/>
          <w:szCs w:val="24"/>
          <w:lang w:val="pt-BR"/>
        </w:rPr>
        <w:t>m um cr</w:t>
      </w:r>
      <w:r w:rsidR="003F011F">
        <w:rPr>
          <w:rFonts w:asciiTheme="majorHAnsi" w:hAnsiTheme="majorHAnsi" w:cs="Times New Roman"/>
          <w:sz w:val="24"/>
          <w:szCs w:val="24"/>
          <w:lang w:val="pt-BR"/>
        </w:rPr>
        <w:t>itério subjectivo, enquanto que</w:t>
      </w:r>
      <w:r w:rsidR="0087263A">
        <w:rPr>
          <w:rFonts w:asciiTheme="majorHAnsi" w:hAnsiTheme="majorHAnsi" w:cs="Times New Roman"/>
          <w:sz w:val="24"/>
          <w:szCs w:val="24"/>
          <w:lang w:val="pt-BR"/>
        </w:rPr>
        <w:t xml:space="preserve"> outros opta</w:t>
      </w:r>
      <w:r w:rsidR="00A87B48">
        <w:rPr>
          <w:rFonts w:asciiTheme="majorHAnsi" w:hAnsiTheme="majorHAnsi" w:cs="Times New Roman"/>
          <w:sz w:val="24"/>
          <w:szCs w:val="24"/>
          <w:lang w:val="pt-BR"/>
        </w:rPr>
        <w:t>ra</w:t>
      </w:r>
      <w:r w:rsidR="0087263A">
        <w:rPr>
          <w:rFonts w:asciiTheme="majorHAnsi" w:hAnsiTheme="majorHAnsi" w:cs="Times New Roman"/>
          <w:sz w:val="24"/>
          <w:szCs w:val="24"/>
          <w:lang w:val="pt-BR"/>
        </w:rPr>
        <w:t xml:space="preserve">m por </w:t>
      </w:r>
      <w:r w:rsidR="00A87B48">
        <w:rPr>
          <w:rFonts w:asciiTheme="majorHAnsi" w:hAnsiTheme="majorHAnsi" w:cs="Times New Roman"/>
          <w:sz w:val="24"/>
          <w:szCs w:val="24"/>
          <w:lang w:val="pt-BR"/>
        </w:rPr>
        <w:t>destac</w:t>
      </w:r>
      <w:r w:rsidR="003F011F">
        <w:rPr>
          <w:rFonts w:asciiTheme="majorHAnsi" w:hAnsiTheme="majorHAnsi" w:cs="Times New Roman"/>
          <w:sz w:val="24"/>
          <w:szCs w:val="24"/>
          <w:lang w:val="pt-BR"/>
        </w:rPr>
        <w:t xml:space="preserve">ar aquelas modalidades </w:t>
      </w:r>
      <w:r w:rsidR="003E2B45">
        <w:rPr>
          <w:rFonts w:asciiTheme="majorHAnsi" w:hAnsiTheme="majorHAnsi" w:cs="Times New Roman"/>
          <w:sz w:val="24"/>
          <w:szCs w:val="24"/>
          <w:lang w:val="pt-BR"/>
        </w:rPr>
        <w:t>tidas como à</w:t>
      </w:r>
      <w:r w:rsidR="00923076">
        <w:rPr>
          <w:rFonts w:asciiTheme="majorHAnsi" w:hAnsiTheme="majorHAnsi" w:cs="Times New Roman"/>
          <w:sz w:val="24"/>
          <w:szCs w:val="24"/>
          <w:lang w:val="pt-BR"/>
        </w:rPr>
        <w:t>s</w:t>
      </w:r>
      <w:r w:rsidR="00264644">
        <w:rPr>
          <w:rFonts w:asciiTheme="majorHAnsi" w:hAnsiTheme="majorHAnsi" w:cs="Times New Roman"/>
          <w:sz w:val="24"/>
          <w:szCs w:val="24"/>
          <w:lang w:val="pt-BR"/>
        </w:rPr>
        <w:t xml:space="preserve"> modalidades clássicas</w:t>
      </w:r>
      <w:r w:rsidR="0087263A">
        <w:rPr>
          <w:rFonts w:asciiTheme="majorHAnsi" w:hAnsiTheme="majorHAnsi" w:cs="Times New Roman"/>
          <w:sz w:val="24"/>
          <w:szCs w:val="24"/>
          <w:lang w:val="pt-BR"/>
        </w:rPr>
        <w:t xml:space="preserve">. </w:t>
      </w:r>
      <w:r w:rsidR="00264644">
        <w:rPr>
          <w:rStyle w:val="Refdenotaderodap"/>
          <w:rFonts w:asciiTheme="majorHAnsi" w:hAnsiTheme="majorHAnsi" w:cs="Times New Roman"/>
          <w:sz w:val="24"/>
          <w:szCs w:val="24"/>
          <w:lang w:val="pt-BR"/>
        </w:rPr>
        <w:footnoteReference w:id="13"/>
      </w:r>
      <w:r w:rsidR="00923076">
        <w:rPr>
          <w:rFonts w:asciiTheme="majorHAnsi" w:hAnsiTheme="majorHAnsi" w:cs="Times New Roman"/>
          <w:sz w:val="24"/>
          <w:szCs w:val="24"/>
          <w:lang w:val="pt-BR"/>
        </w:rPr>
        <w:t xml:space="preserve">Atentemos ao exemplo de </w:t>
      </w:r>
      <w:r w:rsidR="0087263A">
        <w:rPr>
          <w:rFonts w:asciiTheme="majorHAnsi" w:hAnsiTheme="majorHAnsi" w:cs="Times New Roman"/>
          <w:sz w:val="24"/>
          <w:szCs w:val="24"/>
          <w:lang w:val="pt-BR"/>
        </w:rPr>
        <w:t xml:space="preserve">Verdugo Ortega, </w:t>
      </w:r>
      <w:r w:rsidR="00923076">
        <w:rPr>
          <w:rFonts w:asciiTheme="majorHAnsi" w:hAnsiTheme="majorHAnsi" w:cs="Times New Roman"/>
          <w:sz w:val="24"/>
          <w:szCs w:val="24"/>
          <w:lang w:val="pt-BR"/>
        </w:rPr>
        <w:t xml:space="preserve">que </w:t>
      </w:r>
      <w:r w:rsidR="0087263A">
        <w:rPr>
          <w:rFonts w:asciiTheme="majorHAnsi" w:hAnsiTheme="majorHAnsi" w:cs="Times New Roman"/>
          <w:sz w:val="24"/>
          <w:szCs w:val="24"/>
          <w:lang w:val="pt-BR"/>
        </w:rPr>
        <w:t>na escolha das modalidades para estudo, adoptou um critério subjectivo, ou seja, destacou as modalidades que mais convinham ao seu estudo</w:t>
      </w:r>
      <w:r w:rsidR="00057C3C">
        <w:rPr>
          <w:rFonts w:asciiTheme="majorHAnsi" w:hAnsiTheme="majorHAnsi" w:cs="Times New Roman"/>
          <w:sz w:val="24"/>
          <w:szCs w:val="24"/>
          <w:lang w:val="pt-BR"/>
        </w:rPr>
        <w:t>, destacou o</w:t>
      </w:r>
      <w:r w:rsidR="003E2B45">
        <w:rPr>
          <w:rFonts w:asciiTheme="majorHAnsi" w:hAnsiTheme="majorHAnsi" w:cs="Times New Roman"/>
          <w:sz w:val="24"/>
          <w:szCs w:val="24"/>
          <w:lang w:val="pt-BR"/>
        </w:rPr>
        <w:t xml:space="preserve"> “</w:t>
      </w:r>
      <w:r w:rsidR="003E2B45" w:rsidRPr="003E2B45">
        <w:rPr>
          <w:rFonts w:asciiTheme="majorHAnsi" w:hAnsiTheme="majorHAnsi" w:cs="Times New Roman"/>
          <w:i/>
          <w:sz w:val="24"/>
          <w:szCs w:val="24"/>
          <w:lang w:val="pt-BR"/>
        </w:rPr>
        <w:t>cash pooling con traspaso saldo cero</w:t>
      </w:r>
      <w:r w:rsidR="003E2B45">
        <w:rPr>
          <w:rFonts w:asciiTheme="majorHAnsi" w:hAnsiTheme="majorHAnsi" w:cs="Times New Roman"/>
          <w:sz w:val="24"/>
          <w:szCs w:val="24"/>
          <w:lang w:val="pt-BR"/>
        </w:rPr>
        <w:t>”, “</w:t>
      </w:r>
      <w:r w:rsidR="003E2B45" w:rsidRPr="00856192">
        <w:rPr>
          <w:rFonts w:asciiTheme="majorHAnsi" w:hAnsiTheme="majorHAnsi" w:cs="Times New Roman"/>
          <w:i/>
          <w:sz w:val="24"/>
          <w:szCs w:val="24"/>
          <w:lang w:val="pt-BR"/>
        </w:rPr>
        <w:t>cash pooling conceptual</w:t>
      </w:r>
      <w:r w:rsidR="003E2B45">
        <w:rPr>
          <w:rFonts w:asciiTheme="majorHAnsi" w:hAnsiTheme="majorHAnsi" w:cs="Times New Roman"/>
          <w:sz w:val="24"/>
          <w:szCs w:val="24"/>
          <w:lang w:val="pt-BR"/>
        </w:rPr>
        <w:t xml:space="preserve">” e o </w:t>
      </w:r>
      <w:r w:rsidR="003E2B45" w:rsidRPr="00856192">
        <w:rPr>
          <w:rFonts w:asciiTheme="majorHAnsi" w:hAnsiTheme="majorHAnsi" w:cs="Times New Roman"/>
          <w:i/>
          <w:sz w:val="24"/>
          <w:szCs w:val="24"/>
          <w:lang w:val="pt-BR"/>
        </w:rPr>
        <w:t>“cash pooling overnight</w:t>
      </w:r>
      <w:r w:rsidR="003E2B45">
        <w:rPr>
          <w:rFonts w:asciiTheme="majorHAnsi" w:hAnsiTheme="majorHAnsi" w:cs="Times New Roman"/>
          <w:sz w:val="24"/>
          <w:szCs w:val="24"/>
          <w:lang w:val="pt-BR"/>
        </w:rPr>
        <w:t>”</w:t>
      </w:r>
      <w:r w:rsidR="00856192">
        <w:rPr>
          <w:rStyle w:val="Refdenotaderodap"/>
          <w:rFonts w:asciiTheme="majorHAnsi" w:hAnsiTheme="majorHAnsi" w:cs="Times New Roman"/>
          <w:sz w:val="24"/>
          <w:szCs w:val="24"/>
          <w:lang w:val="pt-BR"/>
        </w:rPr>
        <w:footnoteReference w:id="14"/>
      </w:r>
      <w:r w:rsidR="003E2B45">
        <w:rPr>
          <w:rFonts w:asciiTheme="majorHAnsi" w:hAnsiTheme="majorHAnsi" w:cs="Times New Roman"/>
          <w:sz w:val="24"/>
          <w:szCs w:val="24"/>
          <w:lang w:val="pt-BR"/>
        </w:rPr>
        <w:t xml:space="preserve">. </w:t>
      </w:r>
    </w:p>
    <w:p w:rsidR="002B5EFA" w:rsidRDefault="00A87B48"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Rebouta, além das duas modalidades </w:t>
      </w:r>
      <w:r w:rsidR="00923076">
        <w:rPr>
          <w:rFonts w:asciiTheme="majorHAnsi" w:hAnsiTheme="majorHAnsi" w:cs="Times New Roman"/>
          <w:sz w:val="24"/>
          <w:szCs w:val="24"/>
          <w:lang w:val="pt-BR"/>
        </w:rPr>
        <w:t>m</w:t>
      </w:r>
      <w:r>
        <w:rPr>
          <w:rFonts w:asciiTheme="majorHAnsi" w:hAnsiTheme="majorHAnsi" w:cs="Times New Roman"/>
          <w:sz w:val="24"/>
          <w:szCs w:val="24"/>
          <w:lang w:val="pt-BR"/>
        </w:rPr>
        <w:t>ais conhecidas</w:t>
      </w:r>
      <w:r w:rsidR="00923076">
        <w:rPr>
          <w:rFonts w:asciiTheme="majorHAnsi" w:hAnsiTheme="majorHAnsi" w:cs="Times New Roman"/>
          <w:sz w:val="24"/>
          <w:szCs w:val="24"/>
          <w:lang w:val="pt-BR"/>
        </w:rPr>
        <w:t xml:space="preserve">, chama a atenção para uma terceira modalidade; </w:t>
      </w:r>
      <w:r w:rsidR="00923076" w:rsidRPr="008A4134">
        <w:rPr>
          <w:rFonts w:asciiTheme="majorHAnsi" w:hAnsiTheme="majorHAnsi" w:cs="Times New Roman"/>
          <w:i/>
          <w:sz w:val="24"/>
          <w:szCs w:val="24"/>
          <w:lang w:val="pt-BR"/>
        </w:rPr>
        <w:t>o adiantamento de tesouraria</w:t>
      </w:r>
      <w:r w:rsidR="008A4134">
        <w:rPr>
          <w:rFonts w:asciiTheme="majorHAnsi" w:hAnsiTheme="majorHAnsi" w:cs="Times New Roman"/>
          <w:sz w:val="24"/>
          <w:szCs w:val="24"/>
          <w:lang w:val="pt-BR"/>
        </w:rPr>
        <w:t>;</w:t>
      </w:r>
      <w:r w:rsidR="00923076">
        <w:rPr>
          <w:rFonts w:asciiTheme="majorHAnsi" w:hAnsiTheme="majorHAnsi" w:cs="Times New Roman"/>
          <w:sz w:val="24"/>
          <w:szCs w:val="24"/>
          <w:lang w:val="pt-BR"/>
        </w:rPr>
        <w:t xml:space="preserve"> que se traduz na </w:t>
      </w:r>
      <w:r w:rsidR="003E2B45">
        <w:rPr>
          <w:rFonts w:asciiTheme="majorHAnsi" w:hAnsiTheme="majorHAnsi" w:cs="Times New Roman"/>
          <w:sz w:val="24"/>
          <w:szCs w:val="24"/>
          <w:lang w:val="pt-BR"/>
        </w:rPr>
        <w:t xml:space="preserve">faculdade das sociedades, em função das suas necessidades poderem </w:t>
      </w:r>
      <w:r w:rsidR="00923076">
        <w:rPr>
          <w:rFonts w:asciiTheme="majorHAnsi" w:hAnsiTheme="majorHAnsi" w:cs="Times New Roman"/>
          <w:sz w:val="24"/>
          <w:szCs w:val="24"/>
          <w:lang w:val="pt-BR"/>
        </w:rPr>
        <w:t>“</w:t>
      </w:r>
      <w:r w:rsidR="003E2B45" w:rsidRPr="003E2B45">
        <w:rPr>
          <w:rFonts w:asciiTheme="majorHAnsi" w:hAnsiTheme="majorHAnsi" w:cs="Times New Roman"/>
          <w:sz w:val="24"/>
          <w:szCs w:val="24"/>
          <w:lang w:val="pt-BR"/>
        </w:rPr>
        <w:t>obter fundos junto de outras sociedades, incluindo a entidade centralizadora. Estes fundos poderão advir de excedentes de tesouraria de outras empresas do grupo ou do recurso a cr</w:t>
      </w:r>
      <w:r w:rsidR="003E2B45">
        <w:rPr>
          <w:rFonts w:asciiTheme="majorHAnsi" w:hAnsiTheme="majorHAnsi" w:cs="Times New Roman"/>
          <w:sz w:val="24"/>
          <w:szCs w:val="24"/>
          <w:lang w:val="pt-BR"/>
        </w:rPr>
        <w:t>édito negociado de forma global”</w:t>
      </w:r>
      <w:r w:rsidR="00856192">
        <w:rPr>
          <w:rStyle w:val="Refdenotaderodap"/>
          <w:rFonts w:asciiTheme="majorHAnsi" w:hAnsiTheme="majorHAnsi" w:cs="Times New Roman"/>
          <w:sz w:val="24"/>
          <w:szCs w:val="24"/>
          <w:lang w:val="pt-BR"/>
        </w:rPr>
        <w:footnoteReference w:id="15"/>
      </w:r>
      <w:r w:rsidR="00856192">
        <w:rPr>
          <w:rFonts w:asciiTheme="majorHAnsi" w:hAnsiTheme="majorHAnsi" w:cs="Times New Roman"/>
          <w:sz w:val="24"/>
          <w:szCs w:val="24"/>
          <w:lang w:val="pt-BR"/>
        </w:rPr>
        <w:t>.</w:t>
      </w:r>
    </w:p>
    <w:p w:rsidR="00CD60D5" w:rsidRDefault="00F86622" w:rsidP="00C2335E">
      <w:pPr>
        <w:spacing w:line="360" w:lineRule="auto"/>
        <w:rPr>
          <w:rFonts w:asciiTheme="majorHAnsi" w:hAnsiTheme="majorHAnsi" w:cs="Times New Roman"/>
          <w:sz w:val="24"/>
          <w:szCs w:val="24"/>
        </w:rPr>
      </w:pPr>
      <w:r>
        <w:rPr>
          <w:rFonts w:asciiTheme="majorHAnsi" w:hAnsiTheme="majorHAnsi" w:cs="Times New Roman"/>
          <w:sz w:val="24"/>
          <w:szCs w:val="24"/>
          <w:lang w:val="pt-BR"/>
        </w:rPr>
        <w:t>É também interessante fazer menção no nosso estudo</w:t>
      </w:r>
      <w:r w:rsidR="00B00D51">
        <w:rPr>
          <w:rFonts w:asciiTheme="majorHAnsi" w:hAnsiTheme="majorHAnsi" w:cs="Times New Roman"/>
          <w:sz w:val="24"/>
          <w:szCs w:val="24"/>
          <w:lang w:val="pt-BR"/>
        </w:rPr>
        <w:t>,</w:t>
      </w:r>
      <w:r>
        <w:rPr>
          <w:rFonts w:asciiTheme="majorHAnsi" w:hAnsiTheme="majorHAnsi" w:cs="Times New Roman"/>
          <w:sz w:val="24"/>
          <w:szCs w:val="24"/>
          <w:lang w:val="pt-BR"/>
        </w:rPr>
        <w:t xml:space="preserve"> de uma modalidade híbrida de </w:t>
      </w:r>
      <w:r w:rsidRPr="00F86622">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que tem sido objecto de estudo a nível internacional, o denominado </w:t>
      </w:r>
      <w:r w:rsidRPr="00F86622">
        <w:rPr>
          <w:rFonts w:asciiTheme="majorHAnsi" w:hAnsiTheme="majorHAnsi" w:cs="Times New Roman"/>
          <w:i/>
          <w:sz w:val="24"/>
          <w:szCs w:val="24"/>
          <w:lang w:val="pt-BR"/>
        </w:rPr>
        <w:t>cash pooling híbrido</w:t>
      </w:r>
      <w:r w:rsidR="00A923C0">
        <w:rPr>
          <w:rFonts w:asciiTheme="majorHAnsi" w:hAnsiTheme="majorHAnsi" w:cs="Times New Roman"/>
          <w:i/>
          <w:sz w:val="24"/>
          <w:szCs w:val="24"/>
          <w:lang w:val="pt-BR"/>
        </w:rPr>
        <w:t xml:space="preserve">. </w:t>
      </w:r>
      <w:r w:rsidR="00A923C0" w:rsidRPr="00A923C0">
        <w:rPr>
          <w:rFonts w:asciiTheme="majorHAnsi" w:hAnsiTheme="majorHAnsi" w:cs="Times New Roman"/>
          <w:sz w:val="24"/>
          <w:szCs w:val="24"/>
          <w:lang w:val="pt-BR"/>
        </w:rPr>
        <w:t>Segundo</w:t>
      </w:r>
      <w:r w:rsidR="00A923C0">
        <w:rPr>
          <w:rFonts w:asciiTheme="majorHAnsi" w:hAnsiTheme="majorHAnsi" w:cs="Times New Roman"/>
          <w:sz w:val="24"/>
          <w:szCs w:val="24"/>
          <w:lang w:val="pt-BR"/>
        </w:rPr>
        <w:t xml:space="preserve"> Carl Mantel o </w:t>
      </w:r>
      <w:r w:rsidR="00A923C0" w:rsidRPr="00CD60D5">
        <w:rPr>
          <w:rFonts w:asciiTheme="majorHAnsi" w:hAnsiTheme="majorHAnsi" w:cs="Times New Roman"/>
          <w:i/>
          <w:sz w:val="24"/>
          <w:szCs w:val="24"/>
          <w:lang w:val="pt-BR"/>
        </w:rPr>
        <w:t>cash pooling</w:t>
      </w:r>
      <w:r w:rsidR="00A923C0">
        <w:rPr>
          <w:rFonts w:asciiTheme="majorHAnsi" w:hAnsiTheme="majorHAnsi" w:cs="Times New Roman"/>
          <w:sz w:val="24"/>
          <w:szCs w:val="24"/>
          <w:lang w:val="pt-BR"/>
        </w:rPr>
        <w:t xml:space="preserve"> híbrido </w:t>
      </w:r>
      <w:r>
        <w:rPr>
          <w:rFonts w:asciiTheme="majorHAnsi" w:hAnsiTheme="majorHAnsi" w:cs="Times New Roman"/>
          <w:sz w:val="24"/>
          <w:szCs w:val="24"/>
          <w:lang w:val="pt-BR"/>
        </w:rPr>
        <w:t xml:space="preserve">nada mais é do que a combinação do </w:t>
      </w:r>
      <w:r w:rsidRPr="00F86622">
        <w:rPr>
          <w:rFonts w:asciiTheme="majorHAnsi" w:hAnsiTheme="majorHAnsi" w:cs="Times New Roman"/>
          <w:i/>
          <w:sz w:val="24"/>
          <w:szCs w:val="24"/>
          <w:lang w:val="pt-BR"/>
        </w:rPr>
        <w:t xml:space="preserve">notional cash pooling </w:t>
      </w:r>
      <w:r>
        <w:rPr>
          <w:rFonts w:asciiTheme="majorHAnsi" w:hAnsiTheme="majorHAnsi" w:cs="Times New Roman"/>
          <w:sz w:val="24"/>
          <w:szCs w:val="24"/>
          <w:lang w:val="pt-BR"/>
        </w:rPr>
        <w:t xml:space="preserve">e do </w:t>
      </w:r>
      <w:r w:rsidRPr="00F86622">
        <w:rPr>
          <w:rFonts w:asciiTheme="majorHAnsi" w:hAnsiTheme="majorHAnsi" w:cs="Times New Roman"/>
          <w:i/>
          <w:sz w:val="24"/>
          <w:szCs w:val="24"/>
          <w:lang w:val="pt-BR"/>
        </w:rPr>
        <w:t>cash concetration ou zero balancing</w:t>
      </w:r>
      <w:r>
        <w:rPr>
          <w:rFonts w:asciiTheme="majorHAnsi" w:hAnsiTheme="majorHAnsi" w:cs="Times New Roman"/>
          <w:sz w:val="24"/>
          <w:szCs w:val="24"/>
          <w:lang w:val="pt-BR"/>
        </w:rPr>
        <w:t xml:space="preserve">. </w:t>
      </w:r>
      <w:r w:rsidR="00A923C0" w:rsidRPr="00A923C0">
        <w:rPr>
          <w:rFonts w:asciiTheme="majorHAnsi" w:hAnsiTheme="majorHAnsi" w:cs="Times New Roman"/>
          <w:sz w:val="24"/>
          <w:szCs w:val="24"/>
        </w:rPr>
        <w:t>Tal combinaç</w:t>
      </w:r>
      <w:r w:rsidR="00FF38C4">
        <w:rPr>
          <w:rFonts w:asciiTheme="majorHAnsi" w:hAnsiTheme="majorHAnsi" w:cs="Times New Roman"/>
          <w:sz w:val="24"/>
          <w:szCs w:val="24"/>
        </w:rPr>
        <w:t>ão tem como principal objectivo;</w:t>
      </w:r>
      <w:r w:rsidR="00A923C0" w:rsidRPr="00A923C0">
        <w:rPr>
          <w:rFonts w:asciiTheme="majorHAnsi" w:hAnsiTheme="majorHAnsi" w:cs="Times New Roman"/>
          <w:sz w:val="24"/>
          <w:szCs w:val="24"/>
        </w:rPr>
        <w:t xml:space="preserve"> reunir diferentes tipos de moedas e de mercados onde uma empresa ou um grupo de empresas multinacional têm as suas operações. </w:t>
      </w:r>
    </w:p>
    <w:p w:rsidR="00856192" w:rsidRDefault="00A923C0" w:rsidP="00C2335E">
      <w:pPr>
        <w:spacing w:line="360" w:lineRule="auto"/>
      </w:pPr>
      <w:r w:rsidRPr="00A923C0">
        <w:rPr>
          <w:rFonts w:asciiTheme="majorHAnsi" w:hAnsiTheme="majorHAnsi" w:cs="Times New Roman"/>
          <w:sz w:val="24"/>
          <w:szCs w:val="24"/>
        </w:rPr>
        <w:t>Apesar de não ser um conceito totalmente novo, tem despertado o interesse de várias multinacionais, isso porque, as soluções híbridas foram especificame</w:t>
      </w:r>
      <w:r>
        <w:rPr>
          <w:rFonts w:asciiTheme="majorHAnsi" w:hAnsiTheme="majorHAnsi" w:cs="Times New Roman"/>
          <w:sz w:val="24"/>
          <w:szCs w:val="24"/>
        </w:rPr>
        <w:t>nte desenvolvidas para atender a</w:t>
      </w:r>
      <w:r w:rsidRPr="00A923C0">
        <w:rPr>
          <w:rFonts w:asciiTheme="majorHAnsi" w:hAnsiTheme="majorHAnsi" w:cs="Times New Roman"/>
          <w:sz w:val="24"/>
          <w:szCs w:val="24"/>
        </w:rPr>
        <w:t xml:space="preserve">s necessidades das operações nos mercados desafiadores e porque o </w:t>
      </w:r>
      <w:r w:rsidRPr="00A923C0">
        <w:rPr>
          <w:rFonts w:asciiTheme="majorHAnsi" w:hAnsiTheme="majorHAnsi" w:cs="Times New Roman"/>
          <w:i/>
          <w:sz w:val="24"/>
          <w:szCs w:val="24"/>
        </w:rPr>
        <w:t>cash pooling híbrido</w:t>
      </w:r>
      <w:r w:rsidRPr="00A923C0">
        <w:rPr>
          <w:rFonts w:asciiTheme="majorHAnsi" w:hAnsiTheme="majorHAnsi" w:cs="Times New Roman"/>
          <w:sz w:val="24"/>
          <w:szCs w:val="24"/>
        </w:rPr>
        <w:t xml:space="preserve"> concede </w:t>
      </w:r>
      <w:r>
        <w:rPr>
          <w:rFonts w:asciiTheme="majorHAnsi" w:hAnsiTheme="majorHAnsi" w:cs="Times New Roman"/>
          <w:sz w:val="24"/>
          <w:szCs w:val="24"/>
        </w:rPr>
        <w:t>inúmeras vantagens</w:t>
      </w:r>
      <w:r w:rsidRPr="00A923C0">
        <w:rPr>
          <w:rFonts w:asciiTheme="majorHAnsi" w:hAnsiTheme="majorHAnsi" w:cs="Times New Roman"/>
          <w:sz w:val="24"/>
          <w:szCs w:val="24"/>
        </w:rPr>
        <w:t>; cria formas eficientes para consolidar a liquidez com a melhor cobertura geográfica, elimina as necessidades de empréstimos locais e reduz as garantias corporativas para as linhas de crédito locais e elimina os empréstimos entre empresas, enquanto cria um novo veículo de financiamento</w:t>
      </w:r>
      <w:r>
        <w:rPr>
          <w:rStyle w:val="Refdenotaderodap"/>
        </w:rPr>
        <w:footnoteReference w:id="16"/>
      </w:r>
      <w:r>
        <w:t>.</w:t>
      </w:r>
    </w:p>
    <w:p w:rsidR="002B5EFA" w:rsidRDefault="002B5EFA" w:rsidP="00C2335E">
      <w:pPr>
        <w:spacing w:line="360" w:lineRule="auto"/>
        <w:rPr>
          <w:rFonts w:asciiTheme="majorHAnsi" w:hAnsiTheme="majorHAnsi"/>
          <w:sz w:val="24"/>
          <w:szCs w:val="24"/>
        </w:rPr>
      </w:pPr>
      <w:r w:rsidRPr="002B5EFA">
        <w:rPr>
          <w:rFonts w:asciiTheme="majorHAnsi" w:hAnsiTheme="majorHAnsi"/>
          <w:sz w:val="24"/>
          <w:szCs w:val="24"/>
        </w:rPr>
        <w:t>Por outra, Jansen chama atenç</w:t>
      </w:r>
      <w:r>
        <w:rPr>
          <w:rFonts w:asciiTheme="majorHAnsi" w:hAnsiTheme="majorHAnsi"/>
          <w:sz w:val="24"/>
          <w:szCs w:val="24"/>
        </w:rPr>
        <w:t>ão para um</w:t>
      </w:r>
      <w:r w:rsidR="00FA2386">
        <w:rPr>
          <w:rFonts w:asciiTheme="majorHAnsi" w:hAnsiTheme="majorHAnsi"/>
          <w:sz w:val="24"/>
          <w:szCs w:val="24"/>
        </w:rPr>
        <w:t>a outra modalidade de</w:t>
      </w:r>
      <w:r>
        <w:rPr>
          <w:rFonts w:asciiTheme="majorHAnsi" w:hAnsiTheme="majorHAnsi"/>
          <w:sz w:val="24"/>
          <w:szCs w:val="24"/>
        </w:rPr>
        <w:t xml:space="preserve"> </w:t>
      </w:r>
      <w:r w:rsidRPr="002B5EFA">
        <w:rPr>
          <w:rFonts w:asciiTheme="majorHAnsi" w:hAnsiTheme="majorHAnsi"/>
          <w:i/>
          <w:sz w:val="24"/>
          <w:szCs w:val="24"/>
        </w:rPr>
        <w:t>cash pooling,</w:t>
      </w:r>
      <w:r>
        <w:rPr>
          <w:rFonts w:asciiTheme="majorHAnsi" w:hAnsiTheme="majorHAnsi"/>
          <w:sz w:val="24"/>
          <w:szCs w:val="24"/>
        </w:rPr>
        <w:t xml:space="preserve"> - </w:t>
      </w:r>
      <w:r w:rsidRPr="002B5EFA">
        <w:rPr>
          <w:rFonts w:asciiTheme="majorHAnsi" w:hAnsiTheme="majorHAnsi"/>
          <w:i/>
          <w:sz w:val="24"/>
          <w:szCs w:val="24"/>
        </w:rPr>
        <w:t>on-line custumer- initiated account transfer system</w:t>
      </w:r>
      <w:r w:rsidR="00CD60D5">
        <w:rPr>
          <w:rFonts w:asciiTheme="majorHAnsi" w:hAnsiTheme="majorHAnsi"/>
          <w:sz w:val="24"/>
          <w:szCs w:val="24"/>
        </w:rPr>
        <w:t>. Neste sistema à</w:t>
      </w:r>
      <w:r>
        <w:rPr>
          <w:rFonts w:asciiTheme="majorHAnsi" w:hAnsiTheme="majorHAnsi"/>
          <w:sz w:val="24"/>
          <w:szCs w:val="24"/>
        </w:rPr>
        <w:t xml:space="preserve"> sociedade-mãe (titular da conta principal) ou outro representante devidamente autorizado tem acesso em tempo real dos saldos das contas bancárias das sociedades participantes e pode, por</w:t>
      </w:r>
      <w:r w:rsidR="00CD60D5">
        <w:rPr>
          <w:rFonts w:asciiTheme="majorHAnsi" w:hAnsiTheme="majorHAnsi"/>
          <w:sz w:val="24"/>
          <w:szCs w:val="24"/>
        </w:rPr>
        <w:t xml:space="preserve"> via electrónica, dar início às</w:t>
      </w:r>
      <w:r>
        <w:rPr>
          <w:rFonts w:asciiTheme="majorHAnsi" w:hAnsiTheme="majorHAnsi"/>
          <w:sz w:val="24"/>
          <w:szCs w:val="24"/>
        </w:rPr>
        <w:t xml:space="preserve"> transferências dos créditos e débitos destas contas. Neste tipo de sistema, a entidade bancária actua como mero receptor dos fundos e não tem qualquer direito de compensar ou apropriar-se dos saldos da conta.</w:t>
      </w:r>
    </w:p>
    <w:p w:rsidR="002B5EFA" w:rsidRDefault="002B5EFA" w:rsidP="00C2335E">
      <w:pPr>
        <w:spacing w:line="360" w:lineRule="auto"/>
        <w:rPr>
          <w:rFonts w:asciiTheme="majorHAnsi" w:hAnsiTheme="majorHAnsi"/>
          <w:sz w:val="24"/>
          <w:szCs w:val="24"/>
        </w:rPr>
      </w:pPr>
      <w:r>
        <w:rPr>
          <w:rFonts w:asciiTheme="majorHAnsi" w:hAnsiTheme="majorHAnsi"/>
          <w:sz w:val="24"/>
          <w:szCs w:val="24"/>
        </w:rPr>
        <w:t xml:space="preserve">A grande vantagem deste tipo de modalidade é que permite ao grupo exercer um maior controlo sobre os fluxos de caixa e fazer uso do mesmo, caso seja necessário, contrariamente ao que ocorreria num sistema </w:t>
      </w:r>
      <w:r w:rsidRPr="002B5EFA">
        <w:rPr>
          <w:rFonts w:asciiTheme="majorHAnsi" w:hAnsiTheme="majorHAnsi"/>
          <w:i/>
          <w:sz w:val="24"/>
          <w:szCs w:val="24"/>
        </w:rPr>
        <w:t>zero balancing</w:t>
      </w:r>
      <w:r>
        <w:rPr>
          <w:rFonts w:asciiTheme="majorHAnsi" w:hAnsiTheme="majorHAnsi"/>
          <w:sz w:val="24"/>
          <w:szCs w:val="24"/>
        </w:rPr>
        <w:t xml:space="preserve">. A grande desvantagem ocorre a nível administrativo, uma vez que </w:t>
      </w:r>
      <w:r w:rsidR="00AA20B3">
        <w:rPr>
          <w:rFonts w:asciiTheme="majorHAnsi" w:hAnsiTheme="majorHAnsi"/>
          <w:sz w:val="24"/>
          <w:szCs w:val="24"/>
        </w:rPr>
        <w:t>com a</w:t>
      </w:r>
      <w:r>
        <w:rPr>
          <w:rFonts w:asciiTheme="majorHAnsi" w:hAnsiTheme="majorHAnsi"/>
          <w:sz w:val="24"/>
          <w:szCs w:val="24"/>
        </w:rPr>
        <w:t xml:space="preserve"> implementação do sistema, será necessário alocar mais recursos administrativos para que seja possível monitorar as necessidades de caixa das subsidiárias, o que </w:t>
      </w:r>
      <w:r w:rsidR="00AA20B3">
        <w:rPr>
          <w:rFonts w:asciiTheme="majorHAnsi" w:hAnsiTheme="majorHAnsi"/>
          <w:sz w:val="24"/>
          <w:szCs w:val="24"/>
        </w:rPr>
        <w:t>em tese, pode não ser praticável, caso</w:t>
      </w:r>
      <w:r>
        <w:rPr>
          <w:rFonts w:asciiTheme="majorHAnsi" w:hAnsiTheme="majorHAnsi"/>
          <w:sz w:val="24"/>
          <w:szCs w:val="24"/>
        </w:rPr>
        <w:t xml:space="preserve"> o grupo </w:t>
      </w:r>
      <w:r w:rsidR="00AA20B3">
        <w:rPr>
          <w:rFonts w:asciiTheme="majorHAnsi" w:hAnsiTheme="majorHAnsi"/>
          <w:sz w:val="24"/>
          <w:szCs w:val="24"/>
        </w:rPr>
        <w:t xml:space="preserve">seja </w:t>
      </w:r>
      <w:r>
        <w:rPr>
          <w:rFonts w:asciiTheme="majorHAnsi" w:hAnsiTheme="majorHAnsi"/>
          <w:sz w:val="24"/>
          <w:szCs w:val="24"/>
        </w:rPr>
        <w:t>grande e complexo</w:t>
      </w:r>
      <w:r>
        <w:rPr>
          <w:rStyle w:val="Refdenotaderodap"/>
          <w:rFonts w:asciiTheme="majorHAnsi" w:hAnsiTheme="majorHAnsi"/>
          <w:sz w:val="24"/>
          <w:szCs w:val="24"/>
        </w:rPr>
        <w:footnoteReference w:id="17"/>
      </w:r>
      <w:r>
        <w:rPr>
          <w:rFonts w:asciiTheme="majorHAnsi" w:hAnsiTheme="majorHAnsi"/>
          <w:sz w:val="24"/>
          <w:szCs w:val="24"/>
        </w:rPr>
        <w:t>.</w:t>
      </w:r>
    </w:p>
    <w:p w:rsidR="00FF56D6" w:rsidRDefault="00FF56D6" w:rsidP="00C2335E">
      <w:pPr>
        <w:spacing w:line="360" w:lineRule="auto"/>
        <w:rPr>
          <w:rFonts w:asciiTheme="majorHAnsi" w:hAnsiTheme="majorHAnsi" w:cs="Times New Roman"/>
          <w:sz w:val="24"/>
          <w:szCs w:val="24"/>
        </w:rPr>
      </w:pPr>
      <w:r w:rsidRPr="00FF56D6">
        <w:rPr>
          <w:rFonts w:asciiTheme="majorHAnsi" w:hAnsiTheme="majorHAnsi"/>
          <w:sz w:val="24"/>
          <w:szCs w:val="24"/>
        </w:rPr>
        <w:t>Ora, para o nosso estudo</w:t>
      </w:r>
      <w:r w:rsidR="0077666E">
        <w:rPr>
          <w:rFonts w:asciiTheme="majorHAnsi" w:hAnsiTheme="majorHAnsi"/>
          <w:sz w:val="24"/>
          <w:szCs w:val="24"/>
        </w:rPr>
        <w:t>, além de caracterizamos as m</w:t>
      </w:r>
      <w:r w:rsidR="003E7AF1">
        <w:rPr>
          <w:rFonts w:asciiTheme="majorHAnsi" w:hAnsiTheme="majorHAnsi"/>
          <w:sz w:val="24"/>
          <w:szCs w:val="24"/>
        </w:rPr>
        <w:t xml:space="preserve">odalidades clássicas, optamos </w:t>
      </w:r>
      <w:r w:rsidR="00374D57">
        <w:rPr>
          <w:rFonts w:asciiTheme="majorHAnsi" w:hAnsiTheme="majorHAnsi"/>
          <w:sz w:val="24"/>
          <w:szCs w:val="24"/>
        </w:rPr>
        <w:t xml:space="preserve">por analisar </w:t>
      </w:r>
      <w:r w:rsidR="00CF45D6">
        <w:rPr>
          <w:rFonts w:asciiTheme="majorHAnsi" w:hAnsiTheme="majorHAnsi"/>
          <w:sz w:val="24"/>
          <w:szCs w:val="24"/>
        </w:rPr>
        <w:t xml:space="preserve">também </w:t>
      </w:r>
      <w:r w:rsidR="00374D57">
        <w:rPr>
          <w:rFonts w:asciiTheme="majorHAnsi" w:hAnsiTheme="majorHAnsi"/>
          <w:sz w:val="24"/>
          <w:szCs w:val="24"/>
        </w:rPr>
        <w:t xml:space="preserve">uma outra modalidade - </w:t>
      </w:r>
      <w:r w:rsidR="00374D57" w:rsidRPr="00374D57">
        <w:rPr>
          <w:rFonts w:asciiTheme="majorHAnsi" w:hAnsiTheme="majorHAnsi" w:cs="Times New Roman"/>
          <w:b/>
          <w:i/>
          <w:sz w:val="24"/>
          <w:szCs w:val="24"/>
        </w:rPr>
        <w:t>Multicurrency cash pooling</w:t>
      </w:r>
      <w:r w:rsidR="003F011F">
        <w:rPr>
          <w:rFonts w:asciiTheme="majorHAnsi" w:hAnsiTheme="majorHAnsi" w:cs="Times New Roman"/>
          <w:sz w:val="24"/>
          <w:szCs w:val="24"/>
        </w:rPr>
        <w:t xml:space="preserve">. A escolha justifica-se por acreditarmos que Angola </w:t>
      </w:r>
      <w:r w:rsidR="00374D57">
        <w:rPr>
          <w:rFonts w:asciiTheme="majorHAnsi" w:hAnsiTheme="majorHAnsi" w:cs="Times New Roman"/>
          <w:sz w:val="24"/>
          <w:szCs w:val="24"/>
        </w:rPr>
        <w:t xml:space="preserve">dentro de poucos anos </w:t>
      </w:r>
      <w:r w:rsidR="00CF45D6">
        <w:rPr>
          <w:rFonts w:asciiTheme="majorHAnsi" w:hAnsiTheme="majorHAnsi" w:cs="Times New Roman"/>
          <w:sz w:val="24"/>
          <w:szCs w:val="24"/>
        </w:rPr>
        <w:t>tornar</w:t>
      </w:r>
      <w:r w:rsidR="003F011F">
        <w:rPr>
          <w:rFonts w:asciiTheme="majorHAnsi" w:hAnsiTheme="majorHAnsi" w:cs="Times New Roman"/>
          <w:sz w:val="24"/>
          <w:szCs w:val="24"/>
        </w:rPr>
        <w:t>-se-</w:t>
      </w:r>
      <w:r w:rsidR="00CF45D6">
        <w:rPr>
          <w:rFonts w:asciiTheme="majorHAnsi" w:hAnsiTheme="majorHAnsi" w:cs="Times New Roman"/>
          <w:sz w:val="24"/>
          <w:szCs w:val="24"/>
        </w:rPr>
        <w:t>á numa grande potência exportadora de diferentes bens e serviços.</w:t>
      </w:r>
    </w:p>
    <w:p w:rsidR="00CF45D6" w:rsidRPr="00C2335E" w:rsidRDefault="003F011F" w:rsidP="00CF45D6">
      <w:pPr>
        <w:spacing w:line="360" w:lineRule="auto"/>
        <w:rPr>
          <w:rFonts w:asciiTheme="majorHAnsi" w:hAnsiTheme="majorHAnsi" w:cs="Times New Roman"/>
          <w:sz w:val="24"/>
          <w:szCs w:val="24"/>
          <w:lang w:val="pt-BR"/>
        </w:rPr>
      </w:pPr>
      <w:r>
        <w:rPr>
          <w:rFonts w:asciiTheme="majorHAnsi" w:hAnsiTheme="majorHAnsi" w:cs="Times New Roman"/>
          <w:sz w:val="24"/>
          <w:szCs w:val="24"/>
        </w:rPr>
        <w:t xml:space="preserve">Ora, na modalidade </w:t>
      </w:r>
      <w:r w:rsidR="00CF45D6" w:rsidRPr="00CF45D6">
        <w:rPr>
          <w:rFonts w:asciiTheme="majorHAnsi" w:hAnsiTheme="majorHAnsi" w:cs="Times New Roman"/>
          <w:i/>
          <w:sz w:val="24"/>
          <w:szCs w:val="24"/>
        </w:rPr>
        <w:t>notional cash pooling</w:t>
      </w:r>
      <w:r w:rsidR="00C856F6">
        <w:rPr>
          <w:rFonts w:asciiTheme="majorHAnsi" w:hAnsiTheme="majorHAnsi" w:cs="Times New Roman"/>
          <w:i/>
          <w:sz w:val="24"/>
          <w:szCs w:val="24"/>
        </w:rPr>
        <w:t xml:space="preserve"> </w:t>
      </w:r>
      <w:r w:rsidR="00CF45D6" w:rsidRPr="00C2335E">
        <w:rPr>
          <w:rFonts w:asciiTheme="majorHAnsi" w:hAnsiTheme="majorHAnsi" w:cs="Times New Roman"/>
          <w:sz w:val="24"/>
          <w:szCs w:val="24"/>
          <w:lang w:val="pt-BR"/>
        </w:rPr>
        <w:t>como o nome indica ocorre uma junção virtual dos saldos das contas das sociedades participantes para a conta centralizada, ou seja, não há uma retirada efectiva do dinheiro das contas das participadas, mas é o banco que, por meio de um contrato</w:t>
      </w:r>
      <w:r w:rsidR="00AA20B3">
        <w:rPr>
          <w:rFonts w:asciiTheme="majorHAnsi" w:hAnsiTheme="majorHAnsi" w:cs="Times New Roman"/>
          <w:sz w:val="24"/>
          <w:szCs w:val="24"/>
          <w:lang w:val="pt-BR"/>
        </w:rPr>
        <w:t>,</w:t>
      </w:r>
      <w:r w:rsidR="00CF45D6" w:rsidRPr="00C2335E">
        <w:rPr>
          <w:rFonts w:asciiTheme="majorHAnsi" w:hAnsiTheme="majorHAnsi" w:cs="Times New Roman"/>
          <w:sz w:val="24"/>
          <w:szCs w:val="24"/>
          <w:lang w:val="pt-BR"/>
        </w:rPr>
        <w:t xml:space="preserve"> consoli</w:t>
      </w:r>
      <w:r w:rsidR="00AA20B3">
        <w:rPr>
          <w:rFonts w:asciiTheme="majorHAnsi" w:hAnsiTheme="majorHAnsi" w:cs="Times New Roman"/>
          <w:sz w:val="24"/>
          <w:szCs w:val="24"/>
          <w:lang w:val="pt-BR"/>
        </w:rPr>
        <w:t>da</w:t>
      </w:r>
      <w:r w:rsidR="00CF45D6" w:rsidRPr="00C2335E">
        <w:rPr>
          <w:rFonts w:asciiTheme="majorHAnsi" w:hAnsiTheme="majorHAnsi" w:cs="Times New Roman"/>
          <w:sz w:val="24"/>
          <w:szCs w:val="24"/>
          <w:lang w:val="pt-BR"/>
        </w:rPr>
        <w:t xml:space="preserve"> de forma virtual os saldos positivos e negativos das contas das participadas.</w:t>
      </w:r>
    </w:p>
    <w:p w:rsidR="00CF45D6" w:rsidRDefault="00CF45D6" w:rsidP="00CF45D6">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É ainda por meio deste acordo que os juros são debitados ou creditados pelo banco, (sempre com a autorização das sociedades participantes) que realiza a divisão, na proporção dos saldos inicialmente existentes, ou seja, a entidade centralizadora actua em nome e por conta das sociedades intervenientes</w:t>
      </w:r>
      <w:r w:rsidRPr="00C2335E">
        <w:rPr>
          <w:rStyle w:val="Refdenotaderodap"/>
          <w:rFonts w:asciiTheme="majorHAnsi" w:hAnsiTheme="majorHAnsi" w:cs="Times New Roman"/>
          <w:sz w:val="24"/>
          <w:szCs w:val="24"/>
          <w:lang w:val="pt-BR"/>
        </w:rPr>
        <w:footnoteReference w:id="18"/>
      </w:r>
      <w:r w:rsidRPr="00C2335E">
        <w:rPr>
          <w:rFonts w:asciiTheme="majorHAnsi" w:hAnsiTheme="majorHAnsi" w:cs="Times New Roman"/>
          <w:sz w:val="24"/>
          <w:szCs w:val="24"/>
          <w:lang w:val="pt-BR"/>
        </w:rPr>
        <w:t xml:space="preserve">. </w:t>
      </w:r>
    </w:p>
    <w:p w:rsidR="002B5EFA" w:rsidRDefault="00CF45D6" w:rsidP="00CF45D6">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 grande objectivo desta modalidade é optimizar as taxas de juros que as sociedades participantes precisam pagar ou podem ganhar pelos seus fundos, nas respectivas contas bancárias, uma vez que as taxas de juros são calculadas sobre o saldo líquido de todas as contas participantes</w:t>
      </w:r>
      <w:r>
        <w:rPr>
          <w:rStyle w:val="Refdenotaderodap"/>
          <w:rFonts w:asciiTheme="majorHAnsi" w:hAnsiTheme="majorHAnsi" w:cs="Times New Roman"/>
          <w:sz w:val="24"/>
          <w:szCs w:val="24"/>
          <w:lang w:val="pt-BR"/>
        </w:rPr>
        <w:footnoteReference w:id="19"/>
      </w:r>
      <w:r w:rsidRPr="00C2335E">
        <w:rPr>
          <w:rFonts w:asciiTheme="majorHAnsi" w:hAnsiTheme="majorHAnsi" w:cs="Times New Roman"/>
          <w:sz w:val="24"/>
          <w:szCs w:val="24"/>
          <w:lang w:val="pt-BR"/>
        </w:rPr>
        <w:t xml:space="preserve">. </w:t>
      </w:r>
    </w:p>
    <w:p w:rsidR="002B5EFA" w:rsidRDefault="002B5EFA" w:rsidP="00CF45D6">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Em termos práticos, como é que isso se processa? </w:t>
      </w:r>
      <w:r w:rsidRPr="002B5EFA">
        <w:rPr>
          <w:rFonts w:asciiTheme="majorHAnsi" w:hAnsiTheme="majorHAnsi" w:cs="Times New Roman"/>
          <w:b/>
          <w:sz w:val="24"/>
          <w:szCs w:val="24"/>
          <w:lang w:val="pt-BR"/>
        </w:rPr>
        <w:t>A</w:t>
      </w:r>
      <w:r>
        <w:rPr>
          <w:rFonts w:asciiTheme="majorHAnsi" w:hAnsiTheme="majorHAnsi" w:cs="Times New Roman"/>
          <w:b/>
          <w:sz w:val="24"/>
          <w:szCs w:val="24"/>
          <w:lang w:val="pt-BR"/>
        </w:rPr>
        <w:t xml:space="preserve"> -</w:t>
      </w:r>
      <w:r>
        <w:rPr>
          <w:rFonts w:asciiTheme="majorHAnsi" w:hAnsiTheme="majorHAnsi" w:cs="Times New Roman"/>
          <w:sz w:val="24"/>
          <w:szCs w:val="24"/>
          <w:lang w:val="pt-BR"/>
        </w:rPr>
        <w:t xml:space="preserve"> entidade bancária celebra com </w:t>
      </w:r>
      <w:r w:rsidRPr="002B5EFA">
        <w:rPr>
          <w:rFonts w:asciiTheme="majorHAnsi" w:hAnsiTheme="majorHAnsi" w:cs="Times New Roman"/>
          <w:b/>
          <w:sz w:val="24"/>
          <w:szCs w:val="24"/>
          <w:lang w:val="pt-BR"/>
        </w:rPr>
        <w:t>B</w:t>
      </w:r>
      <w:r>
        <w:rPr>
          <w:rFonts w:asciiTheme="majorHAnsi" w:hAnsiTheme="majorHAnsi" w:cs="Times New Roman"/>
          <w:sz w:val="24"/>
          <w:szCs w:val="24"/>
          <w:lang w:val="pt-BR"/>
        </w:rPr>
        <w:t xml:space="preserve"> – Entidade centralizadora (e representante das sociedades participantes)</w:t>
      </w:r>
      <w:r w:rsidR="00346D82">
        <w:rPr>
          <w:rFonts w:asciiTheme="majorHAnsi" w:hAnsiTheme="majorHAnsi" w:cs="Times New Roman"/>
          <w:sz w:val="24"/>
          <w:szCs w:val="24"/>
          <w:lang w:val="pt-BR"/>
        </w:rPr>
        <w:t xml:space="preserve"> </w:t>
      </w:r>
      <w:r>
        <w:rPr>
          <w:rFonts w:asciiTheme="majorHAnsi" w:hAnsiTheme="majorHAnsi" w:cs="Times New Roman"/>
          <w:sz w:val="24"/>
          <w:szCs w:val="24"/>
          <w:lang w:val="pt-BR"/>
        </w:rPr>
        <w:t xml:space="preserve">um acordo, e por meio deste acordo, efectua a soma meramente virtual (quer com isso dizer, que as sociedades participantes mantêm a titularidade das suas contas) dos saldos de todas as contas das sociedades participantes no grupo. </w:t>
      </w:r>
      <w:r w:rsidRPr="002B5EFA">
        <w:rPr>
          <w:rFonts w:asciiTheme="majorHAnsi" w:hAnsiTheme="majorHAnsi" w:cs="Times New Roman"/>
          <w:b/>
          <w:sz w:val="24"/>
          <w:szCs w:val="24"/>
          <w:lang w:val="pt-BR"/>
        </w:rPr>
        <w:t xml:space="preserve">A </w:t>
      </w:r>
      <w:r>
        <w:rPr>
          <w:rFonts w:asciiTheme="majorHAnsi" w:hAnsiTheme="majorHAnsi" w:cs="Times New Roman"/>
          <w:b/>
          <w:sz w:val="24"/>
          <w:szCs w:val="24"/>
          <w:lang w:val="pt-BR"/>
        </w:rPr>
        <w:t>–</w:t>
      </w:r>
      <w:r>
        <w:rPr>
          <w:rFonts w:asciiTheme="majorHAnsi" w:hAnsiTheme="majorHAnsi" w:cs="Times New Roman"/>
          <w:sz w:val="24"/>
          <w:szCs w:val="24"/>
          <w:lang w:val="pt-BR"/>
        </w:rPr>
        <w:t xml:space="preserve"> efectua os cálculos dos juros das diferentes contas bancárias e debita ou credita juros junto de </w:t>
      </w:r>
      <w:r w:rsidRPr="002B5EFA">
        <w:rPr>
          <w:rFonts w:asciiTheme="majorHAnsi" w:hAnsiTheme="majorHAnsi" w:cs="Times New Roman"/>
          <w:b/>
          <w:sz w:val="24"/>
          <w:szCs w:val="24"/>
          <w:lang w:val="pt-BR"/>
        </w:rPr>
        <w:t>B</w:t>
      </w:r>
      <w:r>
        <w:rPr>
          <w:rFonts w:asciiTheme="majorHAnsi" w:hAnsiTheme="majorHAnsi" w:cs="Times New Roman"/>
          <w:sz w:val="24"/>
          <w:szCs w:val="24"/>
          <w:lang w:val="pt-BR"/>
        </w:rPr>
        <w:t>. É este que faz a compensação junto das sociedades participantes, em função do saldo que cada sociedade participante possuia inicialmente.</w:t>
      </w:r>
    </w:p>
    <w:p w:rsidR="00C2335E" w:rsidRPr="00C2335E" w:rsidRDefault="002B5EFA" w:rsidP="00CF45D6">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 grande vantagem para o grupo assenta na possibilidade das sociedades que apresentarem saldos positivos poderem “ceder” juros àquelas que apresentarem saldos negativos, permitindo desta forma, a racionalização das relações do grupo para com o sistema bancário</w:t>
      </w:r>
      <w:r w:rsidRPr="00C2335E">
        <w:rPr>
          <w:rStyle w:val="Refdenotaderodap"/>
          <w:rFonts w:asciiTheme="majorHAnsi" w:hAnsiTheme="majorHAnsi" w:cs="Times New Roman"/>
          <w:sz w:val="24"/>
          <w:szCs w:val="24"/>
          <w:lang w:val="pt-BR"/>
        </w:rPr>
        <w:footnoteReference w:id="20"/>
      </w:r>
      <w:r w:rsidRPr="00C2335E">
        <w:rPr>
          <w:rFonts w:asciiTheme="majorHAnsi" w:hAnsiTheme="majorHAnsi" w:cs="Times New Roman"/>
          <w:sz w:val="24"/>
          <w:szCs w:val="24"/>
          <w:lang w:val="pt-BR"/>
        </w:rPr>
        <w:t>.</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Na segunda modalidade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a entidade centralizadora que representa as sociedades do grupo celebra um contrato</w:t>
      </w:r>
      <w:r w:rsidR="002B5EFA">
        <w:rPr>
          <w:rFonts w:asciiTheme="majorHAnsi" w:hAnsiTheme="majorHAnsi" w:cs="Times New Roman"/>
          <w:sz w:val="24"/>
          <w:szCs w:val="24"/>
          <w:lang w:val="pt-BR"/>
        </w:rPr>
        <w:t xml:space="preserve"> de </w:t>
      </w:r>
      <w:r w:rsidR="002B5EFA" w:rsidRPr="002B5EFA">
        <w:rPr>
          <w:rFonts w:asciiTheme="majorHAnsi" w:hAnsiTheme="majorHAnsi" w:cs="Times New Roman"/>
          <w:i/>
          <w:sz w:val="24"/>
          <w:szCs w:val="24"/>
          <w:lang w:val="pt-BR"/>
        </w:rPr>
        <w:t>cash pooling</w:t>
      </w:r>
      <w:r w:rsidR="00A93023">
        <w:rPr>
          <w:rFonts w:asciiTheme="majorHAnsi" w:hAnsiTheme="majorHAnsi" w:cs="Times New Roman"/>
          <w:i/>
          <w:sz w:val="24"/>
          <w:szCs w:val="24"/>
          <w:lang w:val="pt-BR"/>
        </w:rPr>
        <w:t xml:space="preserve"> </w:t>
      </w:r>
      <w:r w:rsidRPr="00C2335E">
        <w:rPr>
          <w:rFonts w:asciiTheme="majorHAnsi" w:hAnsiTheme="majorHAnsi" w:cs="Times New Roman"/>
          <w:sz w:val="24"/>
          <w:szCs w:val="24"/>
          <w:lang w:val="pt-BR"/>
        </w:rPr>
        <w:t xml:space="preserve">com a entidade financeira (o banco) e torna-se titular de uma conta no banco (master account). As sociedades que compõem o grupo criam contas onde alocam diariamente fundos e estes são efectivamente transferidos para a conta global, ou seja, todas as contas periféricas diariamente são zeradas e o capital vai para a conta global, onde os saldos devedores são cobertos pelos saldos credores.                                                                                                                                                                                                                                                                                                                                                                                                                                                                                                                                                                                                                                                                                                                                                                                                                                                                                                                                                                                                                                                                                                                                                                                                                                                                                                                                                                                                                                                                                                                                                                                                                                                                                                                                                                                                                                                                                                                                                                                                                                                                                                                                                                                                                                                                                                                                                                                                                                                                                                                                                                                                                                                                                                                                                                                                                                                                                                                                                                                                                                                                                                                                                                                                                                                                                                                                                       </w:t>
      </w:r>
    </w:p>
    <w:p w:rsid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E de que forma são creditados ou debitados os juros? Após ser feita a consolidação diária dos saldos bancários de todas as contas das sociedades do grupo, com vista a constituir um saldo único global, o banco debita e credita os juros, reservando ao centro de gestão de tesouraria</w:t>
      </w:r>
      <w:r w:rsidR="00A93023">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a faculdade de imputar juros (credores ou devedores) às contas bancárias de cada uma das sociedades parte do grupo, em função dos saldos transferidos</w:t>
      </w:r>
      <w:r w:rsidRPr="00C2335E">
        <w:rPr>
          <w:rStyle w:val="Refdenotaderodap"/>
          <w:rFonts w:asciiTheme="majorHAnsi" w:hAnsiTheme="majorHAnsi" w:cs="Times New Roman"/>
          <w:sz w:val="24"/>
          <w:szCs w:val="24"/>
          <w:lang w:val="pt-BR"/>
        </w:rPr>
        <w:footnoteReference w:id="21"/>
      </w:r>
      <w:r w:rsidRPr="00C2335E">
        <w:rPr>
          <w:rFonts w:asciiTheme="majorHAnsi" w:hAnsiTheme="majorHAnsi" w:cs="Times New Roman"/>
          <w:sz w:val="24"/>
          <w:szCs w:val="24"/>
          <w:lang w:val="pt-BR"/>
        </w:rPr>
        <w:t>.</w:t>
      </w:r>
    </w:p>
    <w:p w:rsidR="00414D5F" w:rsidRDefault="00B65C35"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Para compr</w:t>
      </w:r>
      <w:r w:rsidR="00D4708B">
        <w:rPr>
          <w:rFonts w:asciiTheme="majorHAnsi" w:hAnsiTheme="majorHAnsi" w:cs="Times New Roman"/>
          <w:sz w:val="24"/>
          <w:szCs w:val="24"/>
          <w:lang w:val="pt-BR"/>
        </w:rPr>
        <w:t>eendermos a modalidade, adapta</w:t>
      </w:r>
      <w:r w:rsidR="00A57ACF">
        <w:rPr>
          <w:rFonts w:asciiTheme="majorHAnsi" w:hAnsiTheme="majorHAnsi" w:cs="Times New Roman"/>
          <w:sz w:val="24"/>
          <w:szCs w:val="24"/>
          <w:lang w:val="pt-BR"/>
        </w:rPr>
        <w:t>re</w:t>
      </w:r>
      <w:r>
        <w:rPr>
          <w:rFonts w:asciiTheme="majorHAnsi" w:hAnsiTheme="majorHAnsi" w:cs="Times New Roman"/>
          <w:sz w:val="24"/>
          <w:szCs w:val="24"/>
          <w:lang w:val="pt-BR"/>
        </w:rPr>
        <w:t>mos um exemplo apresentado por Vikram Chand</w:t>
      </w:r>
      <w:r>
        <w:rPr>
          <w:rStyle w:val="Refdenotaderodap"/>
          <w:rFonts w:asciiTheme="majorHAnsi" w:hAnsiTheme="majorHAnsi" w:cs="Times New Roman"/>
          <w:sz w:val="24"/>
          <w:szCs w:val="24"/>
          <w:lang w:val="pt-BR"/>
        </w:rPr>
        <w:footnoteReference w:id="22"/>
      </w:r>
      <w:r w:rsidR="00A0101D">
        <w:rPr>
          <w:rFonts w:asciiTheme="majorHAnsi" w:hAnsiTheme="majorHAnsi" w:cs="Times New Roman"/>
          <w:sz w:val="24"/>
          <w:szCs w:val="24"/>
          <w:lang w:val="pt-BR"/>
        </w:rPr>
        <w:t xml:space="preserve"> à</w:t>
      </w:r>
      <w:r w:rsidR="00A57ACF">
        <w:rPr>
          <w:rFonts w:asciiTheme="majorHAnsi" w:hAnsiTheme="majorHAnsi" w:cs="Times New Roman"/>
          <w:sz w:val="24"/>
          <w:szCs w:val="24"/>
          <w:lang w:val="pt-BR"/>
        </w:rPr>
        <w:t xml:space="preserve"> nossa realidade. </w:t>
      </w:r>
      <w:r w:rsidR="00385CFA" w:rsidRPr="00414D5F">
        <w:rPr>
          <w:rFonts w:asciiTheme="majorHAnsi" w:hAnsiTheme="majorHAnsi" w:cs="Times New Roman"/>
          <w:b/>
          <w:sz w:val="24"/>
          <w:szCs w:val="24"/>
          <w:lang w:val="pt-BR"/>
        </w:rPr>
        <w:t>A</w:t>
      </w:r>
      <w:r w:rsidR="00385CFA">
        <w:rPr>
          <w:rFonts w:asciiTheme="majorHAnsi" w:hAnsiTheme="majorHAnsi" w:cs="Times New Roman"/>
          <w:sz w:val="24"/>
          <w:szCs w:val="24"/>
          <w:lang w:val="pt-BR"/>
        </w:rPr>
        <w:t xml:space="preserve"> – sociedade anónima assinou um acordo de </w:t>
      </w:r>
      <w:r w:rsidR="00385CFA" w:rsidRPr="00414D5F">
        <w:rPr>
          <w:rFonts w:asciiTheme="majorHAnsi" w:hAnsiTheme="majorHAnsi" w:cs="Times New Roman"/>
          <w:i/>
          <w:sz w:val="24"/>
          <w:szCs w:val="24"/>
          <w:lang w:val="pt-BR"/>
        </w:rPr>
        <w:t>cash pooling</w:t>
      </w:r>
      <w:r w:rsidR="00385CFA">
        <w:rPr>
          <w:rFonts w:asciiTheme="majorHAnsi" w:hAnsiTheme="majorHAnsi" w:cs="Times New Roman"/>
          <w:sz w:val="24"/>
          <w:szCs w:val="24"/>
          <w:lang w:val="pt-BR"/>
        </w:rPr>
        <w:t xml:space="preserve"> com as subsidiárias</w:t>
      </w:r>
      <w:r w:rsidR="00FA2386">
        <w:rPr>
          <w:rFonts w:asciiTheme="majorHAnsi" w:hAnsiTheme="majorHAnsi" w:cs="Times New Roman"/>
          <w:sz w:val="24"/>
          <w:szCs w:val="24"/>
          <w:lang w:val="pt-BR"/>
        </w:rPr>
        <w:t xml:space="preserve"> </w:t>
      </w:r>
      <w:r w:rsidR="00414D5F" w:rsidRPr="00414D5F">
        <w:rPr>
          <w:rFonts w:asciiTheme="majorHAnsi" w:hAnsiTheme="majorHAnsi" w:cs="Times New Roman"/>
          <w:b/>
          <w:sz w:val="24"/>
          <w:szCs w:val="24"/>
          <w:lang w:val="pt-BR"/>
        </w:rPr>
        <w:t>B, C e D</w:t>
      </w:r>
      <w:r w:rsidR="00414D5F" w:rsidRPr="00414D5F">
        <w:rPr>
          <w:rFonts w:asciiTheme="majorHAnsi" w:hAnsiTheme="majorHAnsi" w:cs="Times New Roman"/>
          <w:sz w:val="24"/>
          <w:szCs w:val="24"/>
          <w:lang w:val="pt-BR"/>
        </w:rPr>
        <w:t xml:space="preserve">, na modalidade </w:t>
      </w:r>
      <w:r w:rsidR="00414D5F" w:rsidRPr="00414D5F">
        <w:rPr>
          <w:rFonts w:asciiTheme="majorHAnsi" w:hAnsiTheme="majorHAnsi" w:cs="Times New Roman"/>
          <w:i/>
          <w:sz w:val="24"/>
          <w:szCs w:val="24"/>
          <w:lang w:val="pt-BR"/>
        </w:rPr>
        <w:t>zero balancing</w:t>
      </w:r>
      <w:r w:rsidR="00414D5F">
        <w:rPr>
          <w:rFonts w:asciiTheme="majorHAnsi" w:hAnsiTheme="majorHAnsi" w:cs="Times New Roman"/>
          <w:sz w:val="24"/>
          <w:szCs w:val="24"/>
          <w:lang w:val="pt-BR"/>
        </w:rPr>
        <w:t xml:space="preserve">. </w:t>
      </w:r>
      <w:r w:rsidR="00414D5F" w:rsidRPr="00414D5F">
        <w:rPr>
          <w:rFonts w:asciiTheme="majorHAnsi" w:hAnsiTheme="majorHAnsi" w:cs="Times New Roman"/>
          <w:b/>
          <w:sz w:val="24"/>
          <w:szCs w:val="24"/>
          <w:lang w:val="pt-BR"/>
        </w:rPr>
        <w:t>A</w:t>
      </w:r>
      <w:r w:rsidR="00FE6AF6">
        <w:rPr>
          <w:rFonts w:asciiTheme="majorHAnsi" w:hAnsiTheme="majorHAnsi" w:cs="Times New Roman"/>
          <w:sz w:val="24"/>
          <w:szCs w:val="24"/>
          <w:lang w:val="pt-BR"/>
        </w:rPr>
        <w:t>–como entidade centralizadora abre uma conta bancária junto de uma instituição de crédito (o banco</w:t>
      </w:r>
      <w:r w:rsidR="00A0101D">
        <w:rPr>
          <w:rFonts w:asciiTheme="majorHAnsi" w:hAnsiTheme="majorHAnsi" w:cs="Times New Roman"/>
          <w:sz w:val="24"/>
          <w:szCs w:val="24"/>
          <w:lang w:val="pt-BR"/>
        </w:rPr>
        <w:t xml:space="preserve"> BIC</w:t>
      </w:r>
      <w:r w:rsidR="00FE6AF6">
        <w:rPr>
          <w:rFonts w:asciiTheme="majorHAnsi" w:hAnsiTheme="majorHAnsi" w:cs="Times New Roman"/>
          <w:sz w:val="24"/>
          <w:szCs w:val="24"/>
          <w:lang w:val="pt-BR"/>
        </w:rPr>
        <w:t xml:space="preserve">), do mesmo modo, as subsidiárias criam </w:t>
      </w:r>
      <w:r w:rsidR="00A57ACF">
        <w:rPr>
          <w:rFonts w:asciiTheme="majorHAnsi" w:hAnsiTheme="majorHAnsi" w:cs="Times New Roman"/>
          <w:sz w:val="24"/>
          <w:szCs w:val="24"/>
          <w:lang w:val="pt-BR"/>
        </w:rPr>
        <w:t>sub-</w:t>
      </w:r>
      <w:r w:rsidR="00FE6AF6">
        <w:rPr>
          <w:rFonts w:asciiTheme="majorHAnsi" w:hAnsiTheme="majorHAnsi" w:cs="Times New Roman"/>
          <w:sz w:val="24"/>
          <w:szCs w:val="24"/>
          <w:lang w:val="pt-BR"/>
        </w:rPr>
        <w:t xml:space="preserve">contas </w:t>
      </w:r>
      <w:r w:rsidR="00A57ACF">
        <w:rPr>
          <w:rFonts w:asciiTheme="majorHAnsi" w:hAnsiTheme="majorHAnsi" w:cs="Times New Roman"/>
          <w:sz w:val="24"/>
          <w:szCs w:val="24"/>
          <w:lang w:val="pt-BR"/>
        </w:rPr>
        <w:t>que estarão co-relacionadas com a conta principal (</w:t>
      </w:r>
      <w:r w:rsidR="00A57ACF" w:rsidRPr="00A57ACF">
        <w:rPr>
          <w:rFonts w:asciiTheme="majorHAnsi" w:hAnsiTheme="majorHAnsi" w:cs="Times New Roman"/>
          <w:i/>
          <w:sz w:val="24"/>
          <w:szCs w:val="24"/>
          <w:lang w:val="pt-BR"/>
        </w:rPr>
        <w:t>master account</w:t>
      </w:r>
      <w:r w:rsidR="00A0101D">
        <w:rPr>
          <w:rFonts w:asciiTheme="majorHAnsi" w:hAnsiTheme="majorHAnsi" w:cs="Times New Roman"/>
          <w:sz w:val="24"/>
          <w:szCs w:val="24"/>
          <w:lang w:val="pt-BR"/>
        </w:rPr>
        <w:t>) junto do mesmo banco (BIC)</w:t>
      </w:r>
      <w:r w:rsidR="00A57ACF">
        <w:rPr>
          <w:rFonts w:asciiTheme="majorHAnsi" w:hAnsiTheme="majorHAnsi" w:cs="Times New Roman"/>
          <w:sz w:val="24"/>
          <w:szCs w:val="24"/>
          <w:lang w:val="pt-BR"/>
        </w:rPr>
        <w:t>.</w:t>
      </w:r>
    </w:p>
    <w:p w:rsidR="00A57ACF" w:rsidRDefault="00A57ACF"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 acordo de </w:t>
      </w:r>
      <w:r w:rsidRPr="00A57ACF">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w:t>
      </w:r>
      <w:r w:rsidRPr="00EF75E3">
        <w:rPr>
          <w:rFonts w:asciiTheme="majorHAnsi" w:hAnsiTheme="majorHAnsi" w:cs="Times New Roman"/>
          <w:i/>
          <w:sz w:val="24"/>
          <w:szCs w:val="24"/>
          <w:lang w:val="pt-BR"/>
        </w:rPr>
        <w:t>cash concentration</w:t>
      </w:r>
      <w:r>
        <w:rPr>
          <w:rFonts w:asciiTheme="majorHAnsi" w:hAnsiTheme="majorHAnsi" w:cs="Times New Roman"/>
          <w:sz w:val="24"/>
          <w:szCs w:val="24"/>
          <w:lang w:val="pt-BR"/>
        </w:rPr>
        <w:t xml:space="preserve"> ou </w:t>
      </w:r>
      <w:r w:rsidRPr="00EF75E3">
        <w:rPr>
          <w:rFonts w:asciiTheme="majorHAnsi" w:hAnsiTheme="majorHAnsi" w:cs="Times New Roman"/>
          <w:i/>
          <w:sz w:val="24"/>
          <w:szCs w:val="24"/>
          <w:lang w:val="pt-BR"/>
        </w:rPr>
        <w:t>zero balancing</w:t>
      </w:r>
      <w:r>
        <w:rPr>
          <w:rFonts w:asciiTheme="majorHAnsi" w:hAnsiTheme="majorHAnsi" w:cs="Times New Roman"/>
          <w:sz w:val="24"/>
          <w:szCs w:val="24"/>
          <w:lang w:val="pt-BR"/>
        </w:rPr>
        <w:t>) estabelece que os saldos das contas bancárias das subsidiárias serão transferidos de</w:t>
      </w:r>
      <w:r w:rsidR="00EF75E3">
        <w:rPr>
          <w:rFonts w:asciiTheme="majorHAnsi" w:hAnsiTheme="majorHAnsi" w:cs="Times New Roman"/>
          <w:sz w:val="24"/>
          <w:szCs w:val="24"/>
          <w:lang w:val="pt-BR"/>
        </w:rPr>
        <w:t>/</w:t>
      </w:r>
      <w:r>
        <w:rPr>
          <w:rFonts w:asciiTheme="majorHAnsi" w:hAnsiTheme="majorHAnsi" w:cs="Times New Roman"/>
          <w:sz w:val="24"/>
          <w:szCs w:val="24"/>
          <w:lang w:val="pt-BR"/>
        </w:rPr>
        <w:t>ou para a conta principal (</w:t>
      </w:r>
      <w:r w:rsidRPr="00FA2386">
        <w:rPr>
          <w:rFonts w:asciiTheme="majorHAnsi" w:hAnsiTheme="majorHAnsi" w:cs="Times New Roman"/>
          <w:i/>
          <w:sz w:val="24"/>
          <w:szCs w:val="24"/>
          <w:lang w:val="pt-BR"/>
        </w:rPr>
        <w:t>master account</w:t>
      </w:r>
      <w:r>
        <w:rPr>
          <w:rFonts w:asciiTheme="majorHAnsi" w:hAnsiTheme="majorHAnsi" w:cs="Times New Roman"/>
          <w:sz w:val="24"/>
          <w:szCs w:val="24"/>
          <w:lang w:val="pt-BR"/>
        </w:rPr>
        <w:t>) de forma regular (</w:t>
      </w:r>
      <w:r w:rsidR="00FA2386">
        <w:rPr>
          <w:rFonts w:asciiTheme="majorHAnsi" w:hAnsiTheme="majorHAnsi" w:cs="Times New Roman"/>
          <w:sz w:val="24"/>
          <w:szCs w:val="24"/>
          <w:lang w:val="pt-BR"/>
        </w:rPr>
        <w:t>diariamente</w:t>
      </w:r>
      <w:r>
        <w:rPr>
          <w:rFonts w:asciiTheme="majorHAnsi" w:hAnsiTheme="majorHAnsi" w:cs="Times New Roman"/>
          <w:sz w:val="24"/>
          <w:szCs w:val="24"/>
          <w:lang w:val="pt-BR"/>
        </w:rPr>
        <w:t xml:space="preserve">). </w:t>
      </w:r>
      <w:r w:rsidR="00A0101D">
        <w:rPr>
          <w:rFonts w:asciiTheme="majorHAnsi" w:hAnsiTheme="majorHAnsi" w:cs="Times New Roman"/>
          <w:sz w:val="24"/>
          <w:szCs w:val="24"/>
          <w:lang w:val="pt-BR"/>
        </w:rPr>
        <w:t xml:space="preserve">Os saldos das contas bancárias das subsidiárias </w:t>
      </w:r>
      <w:r w:rsidR="00A0101D" w:rsidRPr="00A0101D">
        <w:rPr>
          <w:rFonts w:asciiTheme="majorHAnsi" w:hAnsiTheme="majorHAnsi" w:cs="Times New Roman"/>
          <w:b/>
          <w:sz w:val="24"/>
          <w:szCs w:val="24"/>
          <w:lang w:val="pt-BR"/>
        </w:rPr>
        <w:t>B</w:t>
      </w:r>
      <w:r w:rsidR="00A0101D">
        <w:rPr>
          <w:rFonts w:asciiTheme="majorHAnsi" w:hAnsiTheme="majorHAnsi" w:cs="Times New Roman"/>
          <w:sz w:val="24"/>
          <w:szCs w:val="24"/>
          <w:lang w:val="pt-BR"/>
        </w:rPr>
        <w:t xml:space="preserve"> e </w:t>
      </w:r>
      <w:r w:rsidR="00A0101D" w:rsidRPr="00A0101D">
        <w:rPr>
          <w:rFonts w:asciiTheme="majorHAnsi" w:hAnsiTheme="majorHAnsi" w:cs="Times New Roman"/>
          <w:b/>
          <w:sz w:val="24"/>
          <w:szCs w:val="24"/>
          <w:lang w:val="pt-BR"/>
        </w:rPr>
        <w:t>C</w:t>
      </w:r>
      <w:r w:rsidR="00FA2386">
        <w:rPr>
          <w:rFonts w:asciiTheme="majorHAnsi" w:hAnsiTheme="majorHAnsi" w:cs="Times New Roman"/>
          <w:b/>
          <w:sz w:val="24"/>
          <w:szCs w:val="24"/>
          <w:lang w:val="pt-BR"/>
        </w:rPr>
        <w:t xml:space="preserve"> </w:t>
      </w:r>
      <w:r w:rsidR="00A0101D" w:rsidRPr="00A0101D">
        <w:rPr>
          <w:rFonts w:asciiTheme="majorHAnsi" w:hAnsiTheme="majorHAnsi" w:cs="Times New Roman"/>
          <w:sz w:val="24"/>
          <w:szCs w:val="24"/>
          <w:lang w:val="pt-BR"/>
        </w:rPr>
        <w:t>apresentam saldo positivo de</w:t>
      </w:r>
      <w:r w:rsidR="00A0101D">
        <w:rPr>
          <w:rFonts w:asciiTheme="majorHAnsi" w:hAnsiTheme="majorHAnsi" w:cs="Times New Roman"/>
          <w:b/>
          <w:sz w:val="24"/>
          <w:szCs w:val="24"/>
          <w:lang w:val="pt-BR"/>
        </w:rPr>
        <w:t xml:space="preserve"> A</w:t>
      </w:r>
      <w:r w:rsidR="00A01055">
        <w:rPr>
          <w:rFonts w:asciiTheme="majorHAnsi" w:hAnsiTheme="majorHAnsi" w:cs="Times New Roman"/>
          <w:b/>
          <w:sz w:val="24"/>
          <w:szCs w:val="24"/>
          <w:lang w:val="pt-BR"/>
        </w:rPr>
        <w:t>kz</w:t>
      </w:r>
      <w:r w:rsidR="00A0101D">
        <w:rPr>
          <w:rFonts w:asciiTheme="majorHAnsi" w:hAnsiTheme="majorHAnsi" w:cs="Times New Roman"/>
          <w:b/>
          <w:sz w:val="24"/>
          <w:szCs w:val="24"/>
          <w:lang w:val="pt-BR"/>
        </w:rPr>
        <w:t>200.000,00</w:t>
      </w:r>
      <w:r w:rsidR="00AD1E62">
        <w:rPr>
          <w:rFonts w:asciiTheme="majorHAnsi" w:hAnsiTheme="majorHAnsi" w:cs="Times New Roman"/>
          <w:b/>
          <w:sz w:val="24"/>
          <w:szCs w:val="24"/>
          <w:lang w:val="pt-BR"/>
        </w:rPr>
        <w:t xml:space="preserve"> (Duzentos mil kwanzas)</w:t>
      </w:r>
      <w:r w:rsidR="00FA2386">
        <w:rPr>
          <w:rFonts w:asciiTheme="majorHAnsi" w:hAnsiTheme="majorHAnsi" w:cs="Times New Roman"/>
          <w:b/>
          <w:sz w:val="24"/>
          <w:szCs w:val="24"/>
          <w:lang w:val="pt-BR"/>
        </w:rPr>
        <w:t xml:space="preserve"> </w:t>
      </w:r>
      <w:r w:rsidR="00A0101D" w:rsidRPr="00A0101D">
        <w:rPr>
          <w:rFonts w:asciiTheme="majorHAnsi" w:hAnsiTheme="majorHAnsi" w:cs="Times New Roman"/>
          <w:sz w:val="24"/>
          <w:szCs w:val="24"/>
          <w:lang w:val="pt-BR"/>
        </w:rPr>
        <w:t>e de</w:t>
      </w:r>
      <w:r w:rsidR="00A0101D">
        <w:rPr>
          <w:rFonts w:asciiTheme="majorHAnsi" w:hAnsiTheme="majorHAnsi" w:cs="Times New Roman"/>
          <w:b/>
          <w:sz w:val="24"/>
          <w:szCs w:val="24"/>
          <w:lang w:val="pt-BR"/>
        </w:rPr>
        <w:t xml:space="preserve"> Akz300.000,00 </w:t>
      </w:r>
      <w:r w:rsidR="00AD1E62">
        <w:rPr>
          <w:rFonts w:asciiTheme="majorHAnsi" w:hAnsiTheme="majorHAnsi" w:cs="Times New Roman"/>
          <w:b/>
          <w:sz w:val="24"/>
          <w:szCs w:val="24"/>
          <w:lang w:val="pt-BR"/>
        </w:rPr>
        <w:t xml:space="preserve">(Trezentos mil kwanzas) </w:t>
      </w:r>
      <w:r w:rsidR="00A0101D" w:rsidRPr="00A0101D">
        <w:rPr>
          <w:rFonts w:asciiTheme="majorHAnsi" w:hAnsiTheme="majorHAnsi" w:cs="Times New Roman"/>
          <w:sz w:val="24"/>
          <w:szCs w:val="24"/>
          <w:lang w:val="pt-BR"/>
        </w:rPr>
        <w:t>respectivamente</w:t>
      </w:r>
      <w:r w:rsidR="00A0101D">
        <w:rPr>
          <w:rFonts w:asciiTheme="majorHAnsi" w:hAnsiTheme="majorHAnsi" w:cs="Times New Roman"/>
          <w:sz w:val="24"/>
          <w:szCs w:val="24"/>
          <w:lang w:val="pt-BR"/>
        </w:rPr>
        <w:t xml:space="preserve">, enquanto que a subsidiária </w:t>
      </w:r>
      <w:r w:rsidR="00A01055">
        <w:rPr>
          <w:rFonts w:asciiTheme="majorHAnsi" w:hAnsiTheme="majorHAnsi" w:cs="Times New Roman"/>
          <w:b/>
          <w:sz w:val="24"/>
          <w:szCs w:val="24"/>
          <w:lang w:val="pt-BR"/>
        </w:rPr>
        <w:t>D</w:t>
      </w:r>
      <w:r w:rsidR="00A0101D">
        <w:rPr>
          <w:rFonts w:asciiTheme="majorHAnsi" w:hAnsiTheme="majorHAnsi" w:cs="Times New Roman"/>
          <w:sz w:val="24"/>
          <w:szCs w:val="24"/>
          <w:lang w:val="pt-BR"/>
        </w:rPr>
        <w:t xml:space="preserve"> apresenta um saldo negativo de </w:t>
      </w:r>
      <w:r w:rsidR="00A01055">
        <w:rPr>
          <w:rFonts w:asciiTheme="majorHAnsi" w:hAnsiTheme="majorHAnsi" w:cs="Times New Roman"/>
          <w:b/>
          <w:sz w:val="24"/>
          <w:szCs w:val="24"/>
          <w:lang w:val="pt-BR"/>
        </w:rPr>
        <w:t>Akz</w:t>
      </w:r>
      <w:r w:rsidR="00A0101D" w:rsidRPr="00A0101D">
        <w:rPr>
          <w:rFonts w:asciiTheme="majorHAnsi" w:hAnsiTheme="majorHAnsi" w:cs="Times New Roman"/>
          <w:b/>
          <w:sz w:val="24"/>
          <w:szCs w:val="24"/>
          <w:lang w:val="pt-BR"/>
        </w:rPr>
        <w:t>150.000,00</w:t>
      </w:r>
      <w:r w:rsidR="00AD1E62">
        <w:rPr>
          <w:rFonts w:asciiTheme="majorHAnsi" w:hAnsiTheme="majorHAnsi" w:cs="Times New Roman"/>
          <w:b/>
          <w:sz w:val="24"/>
          <w:szCs w:val="24"/>
          <w:lang w:val="pt-BR"/>
        </w:rPr>
        <w:t xml:space="preserve"> (Cento e cinquenta mil kwanzas)</w:t>
      </w:r>
      <w:r w:rsidR="00A01055">
        <w:rPr>
          <w:rFonts w:asciiTheme="majorHAnsi" w:hAnsiTheme="majorHAnsi" w:cs="Times New Roman"/>
          <w:b/>
          <w:sz w:val="24"/>
          <w:szCs w:val="24"/>
          <w:lang w:val="pt-BR"/>
        </w:rPr>
        <w:t xml:space="preserve">. </w:t>
      </w:r>
      <w:r w:rsidR="00A01055">
        <w:rPr>
          <w:rFonts w:asciiTheme="majorHAnsi" w:hAnsiTheme="majorHAnsi" w:cs="Times New Roman"/>
          <w:sz w:val="24"/>
          <w:szCs w:val="24"/>
          <w:lang w:val="pt-BR"/>
        </w:rPr>
        <w:t xml:space="preserve">As taxas de juros oferecidas pelo banco são 10% para os saldos positivos e 15% para os negativos, dai que, numa base autónoma, </w:t>
      </w:r>
      <w:r w:rsidR="00A01055" w:rsidRPr="00A01055">
        <w:rPr>
          <w:rFonts w:asciiTheme="majorHAnsi" w:hAnsiTheme="majorHAnsi" w:cs="Times New Roman"/>
          <w:b/>
          <w:sz w:val="24"/>
          <w:szCs w:val="24"/>
          <w:lang w:val="pt-BR"/>
        </w:rPr>
        <w:t>B</w:t>
      </w:r>
      <w:r w:rsidR="00A01055">
        <w:rPr>
          <w:rFonts w:asciiTheme="majorHAnsi" w:hAnsiTheme="majorHAnsi" w:cs="Times New Roman"/>
          <w:sz w:val="24"/>
          <w:szCs w:val="24"/>
          <w:lang w:val="pt-BR"/>
        </w:rPr>
        <w:t xml:space="preserve"> e </w:t>
      </w:r>
      <w:r w:rsidR="00A01055" w:rsidRPr="00A01055">
        <w:rPr>
          <w:rFonts w:asciiTheme="majorHAnsi" w:hAnsiTheme="majorHAnsi" w:cs="Times New Roman"/>
          <w:b/>
          <w:sz w:val="24"/>
          <w:szCs w:val="24"/>
          <w:lang w:val="pt-BR"/>
        </w:rPr>
        <w:t>C</w:t>
      </w:r>
      <w:r w:rsidR="00AD1E62">
        <w:rPr>
          <w:rFonts w:asciiTheme="majorHAnsi" w:hAnsiTheme="majorHAnsi" w:cs="Times New Roman"/>
          <w:sz w:val="24"/>
          <w:szCs w:val="24"/>
          <w:lang w:val="pt-BR"/>
        </w:rPr>
        <w:t xml:space="preserve"> ganha</w:t>
      </w:r>
      <w:r w:rsidR="00A01055">
        <w:rPr>
          <w:rFonts w:asciiTheme="majorHAnsi" w:hAnsiTheme="majorHAnsi" w:cs="Times New Roman"/>
          <w:sz w:val="24"/>
          <w:szCs w:val="24"/>
          <w:lang w:val="pt-BR"/>
        </w:rPr>
        <w:t>m</w:t>
      </w:r>
      <w:r w:rsidR="00A93023">
        <w:rPr>
          <w:rFonts w:asciiTheme="majorHAnsi" w:hAnsiTheme="majorHAnsi" w:cs="Times New Roman"/>
          <w:sz w:val="24"/>
          <w:szCs w:val="24"/>
          <w:lang w:val="pt-BR"/>
        </w:rPr>
        <w:t xml:space="preserve"> </w:t>
      </w:r>
      <w:r w:rsidR="009224C9" w:rsidRPr="009224C9">
        <w:rPr>
          <w:rFonts w:asciiTheme="majorHAnsi" w:hAnsiTheme="majorHAnsi" w:cs="Times New Roman"/>
          <w:b/>
          <w:sz w:val="24"/>
          <w:szCs w:val="24"/>
          <w:lang w:val="pt-BR"/>
        </w:rPr>
        <w:t>Akz20.000,00</w:t>
      </w:r>
      <w:r w:rsidR="009224C9">
        <w:rPr>
          <w:rFonts w:asciiTheme="majorHAnsi" w:hAnsiTheme="majorHAnsi" w:cs="Times New Roman"/>
          <w:b/>
          <w:sz w:val="24"/>
          <w:szCs w:val="24"/>
          <w:lang w:val="pt-BR"/>
        </w:rPr>
        <w:t xml:space="preserve"> (Vinte mil kwanzas)</w:t>
      </w:r>
      <w:r w:rsidR="009224C9">
        <w:rPr>
          <w:rFonts w:asciiTheme="majorHAnsi" w:hAnsiTheme="majorHAnsi" w:cs="Times New Roman"/>
          <w:sz w:val="24"/>
          <w:szCs w:val="24"/>
          <w:lang w:val="pt-BR"/>
        </w:rPr>
        <w:t xml:space="preserve"> e </w:t>
      </w:r>
      <w:r w:rsidR="009224C9" w:rsidRPr="009224C9">
        <w:rPr>
          <w:rFonts w:asciiTheme="majorHAnsi" w:hAnsiTheme="majorHAnsi" w:cs="Times New Roman"/>
          <w:b/>
          <w:sz w:val="24"/>
          <w:szCs w:val="24"/>
          <w:lang w:val="pt-BR"/>
        </w:rPr>
        <w:t>Akz30.000,00</w:t>
      </w:r>
      <w:r w:rsidR="009224C9">
        <w:rPr>
          <w:rFonts w:asciiTheme="majorHAnsi" w:hAnsiTheme="majorHAnsi" w:cs="Times New Roman"/>
          <w:b/>
          <w:sz w:val="24"/>
          <w:szCs w:val="24"/>
          <w:lang w:val="pt-BR"/>
        </w:rPr>
        <w:t xml:space="preserve"> (Trinta mil kwanzas)</w:t>
      </w:r>
      <w:r w:rsidR="009224C9">
        <w:rPr>
          <w:rFonts w:asciiTheme="majorHAnsi" w:hAnsiTheme="majorHAnsi" w:cs="Times New Roman"/>
          <w:sz w:val="24"/>
          <w:szCs w:val="24"/>
          <w:lang w:val="pt-BR"/>
        </w:rPr>
        <w:t xml:space="preserve"> de juros combinados, o que perfaz uma receita de </w:t>
      </w:r>
      <w:r w:rsidR="009224C9" w:rsidRPr="009224C9">
        <w:rPr>
          <w:rFonts w:asciiTheme="majorHAnsi" w:hAnsiTheme="majorHAnsi" w:cs="Times New Roman"/>
          <w:b/>
          <w:sz w:val="24"/>
          <w:szCs w:val="24"/>
          <w:lang w:val="pt-BR"/>
        </w:rPr>
        <w:t>Akz50.000,00 (Cinquental mil kwanzas)</w:t>
      </w:r>
      <w:r w:rsidR="00AD1E62">
        <w:rPr>
          <w:rFonts w:asciiTheme="majorHAnsi" w:hAnsiTheme="majorHAnsi" w:cs="Times New Roman"/>
          <w:sz w:val="24"/>
          <w:szCs w:val="24"/>
          <w:lang w:val="pt-BR"/>
        </w:rPr>
        <w:t xml:space="preserve">, enquanto que </w:t>
      </w:r>
      <w:r w:rsidR="00AD1E62" w:rsidRPr="00AD1E62">
        <w:rPr>
          <w:rFonts w:asciiTheme="majorHAnsi" w:hAnsiTheme="majorHAnsi" w:cs="Times New Roman"/>
          <w:b/>
          <w:sz w:val="24"/>
          <w:szCs w:val="24"/>
          <w:lang w:val="pt-BR"/>
        </w:rPr>
        <w:t>D</w:t>
      </w:r>
      <w:r w:rsidR="00A93023">
        <w:rPr>
          <w:rFonts w:asciiTheme="majorHAnsi" w:hAnsiTheme="majorHAnsi" w:cs="Times New Roman"/>
          <w:b/>
          <w:sz w:val="24"/>
          <w:szCs w:val="24"/>
          <w:lang w:val="pt-BR"/>
        </w:rPr>
        <w:t xml:space="preserve"> </w:t>
      </w:r>
      <w:r w:rsidR="00AD1E62">
        <w:rPr>
          <w:rFonts w:asciiTheme="majorHAnsi" w:hAnsiTheme="majorHAnsi" w:cs="Times New Roman"/>
          <w:sz w:val="24"/>
          <w:szCs w:val="24"/>
          <w:lang w:val="pt-BR"/>
        </w:rPr>
        <w:t xml:space="preserve">teria uma despesa de </w:t>
      </w:r>
      <w:r w:rsidR="00CA1774" w:rsidRPr="00CA1774">
        <w:rPr>
          <w:rFonts w:asciiTheme="majorHAnsi" w:hAnsiTheme="majorHAnsi" w:cs="Times New Roman"/>
          <w:b/>
          <w:sz w:val="24"/>
          <w:szCs w:val="24"/>
          <w:lang w:val="pt-BR"/>
        </w:rPr>
        <w:t>Akz22.500,00 (Vinte e dois mil e quinhentos kwanzas)</w:t>
      </w:r>
      <w:r w:rsidR="00CA1774">
        <w:rPr>
          <w:rFonts w:asciiTheme="majorHAnsi" w:hAnsiTheme="majorHAnsi" w:cs="Times New Roman"/>
          <w:sz w:val="24"/>
          <w:szCs w:val="24"/>
          <w:lang w:val="pt-BR"/>
        </w:rPr>
        <w:t xml:space="preserve">, o que geraria um juro líquido positivo de </w:t>
      </w:r>
      <w:r w:rsidR="00CA1774" w:rsidRPr="00CA1774">
        <w:rPr>
          <w:rFonts w:asciiTheme="majorHAnsi" w:hAnsiTheme="majorHAnsi" w:cs="Times New Roman"/>
          <w:b/>
          <w:sz w:val="24"/>
          <w:szCs w:val="24"/>
          <w:lang w:val="pt-BR"/>
        </w:rPr>
        <w:t>Akz27.500,00 (Vinte e sete mil e quinhentos kwanzas)</w:t>
      </w:r>
      <w:r w:rsidR="00CA1774">
        <w:rPr>
          <w:rFonts w:asciiTheme="majorHAnsi" w:hAnsiTheme="majorHAnsi" w:cs="Times New Roman"/>
          <w:sz w:val="24"/>
          <w:szCs w:val="24"/>
          <w:lang w:val="pt-BR"/>
        </w:rPr>
        <w:t xml:space="preserve"> para o grupo.</w:t>
      </w:r>
    </w:p>
    <w:p w:rsidR="00CA1774" w:rsidRPr="00E76524" w:rsidRDefault="00CA1774" w:rsidP="00C2335E">
      <w:pPr>
        <w:spacing w:line="360" w:lineRule="auto"/>
        <w:rPr>
          <w:rFonts w:asciiTheme="majorHAnsi" w:hAnsiTheme="majorHAnsi" w:cs="Times New Roman"/>
          <w:i/>
          <w:sz w:val="24"/>
          <w:szCs w:val="24"/>
          <w:lang w:val="pt-BR"/>
        </w:rPr>
      </w:pPr>
      <w:r>
        <w:rPr>
          <w:rFonts w:asciiTheme="majorHAnsi" w:hAnsiTheme="majorHAnsi" w:cs="Times New Roman"/>
          <w:sz w:val="24"/>
          <w:szCs w:val="24"/>
          <w:lang w:val="pt-BR"/>
        </w:rPr>
        <w:t xml:space="preserve">No entanto, por adoptarem o sistema de </w:t>
      </w:r>
      <w:r w:rsidRPr="00CA1774">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na modalidade </w:t>
      </w:r>
      <w:r w:rsidRPr="00CA1774">
        <w:rPr>
          <w:rFonts w:asciiTheme="majorHAnsi" w:hAnsiTheme="majorHAnsi" w:cs="Times New Roman"/>
          <w:i/>
          <w:sz w:val="24"/>
          <w:szCs w:val="24"/>
          <w:lang w:val="pt-BR"/>
        </w:rPr>
        <w:t>zero balancing</w:t>
      </w:r>
      <w:r w:rsidRPr="00CA1774">
        <w:rPr>
          <w:rFonts w:asciiTheme="majorHAnsi" w:hAnsiTheme="majorHAnsi" w:cs="Times New Roman"/>
          <w:sz w:val="24"/>
          <w:szCs w:val="24"/>
          <w:lang w:val="pt-BR"/>
        </w:rPr>
        <w:t xml:space="preserve">, </w:t>
      </w:r>
      <w:r>
        <w:rPr>
          <w:rFonts w:asciiTheme="majorHAnsi" w:hAnsiTheme="majorHAnsi" w:cs="Times New Roman"/>
          <w:sz w:val="24"/>
          <w:szCs w:val="24"/>
          <w:lang w:val="pt-BR"/>
        </w:rPr>
        <w:t>os saldos da conta principal (</w:t>
      </w:r>
      <w:r w:rsidRPr="00FA2386">
        <w:rPr>
          <w:rFonts w:asciiTheme="majorHAnsi" w:hAnsiTheme="majorHAnsi" w:cs="Times New Roman"/>
          <w:i/>
          <w:sz w:val="24"/>
          <w:szCs w:val="24"/>
          <w:lang w:val="pt-BR"/>
        </w:rPr>
        <w:t>master account</w:t>
      </w:r>
      <w:r>
        <w:rPr>
          <w:rFonts w:asciiTheme="majorHAnsi" w:hAnsiTheme="majorHAnsi" w:cs="Times New Roman"/>
          <w:sz w:val="24"/>
          <w:szCs w:val="24"/>
          <w:lang w:val="pt-BR"/>
        </w:rPr>
        <w:t>) legalmente são de propriedade d</w:t>
      </w:r>
      <w:r w:rsidR="00EF75E3">
        <w:rPr>
          <w:rFonts w:asciiTheme="majorHAnsi" w:hAnsiTheme="majorHAnsi" w:cs="Times New Roman"/>
          <w:sz w:val="24"/>
          <w:szCs w:val="24"/>
          <w:lang w:val="pt-BR"/>
        </w:rPr>
        <w:t xml:space="preserve">e </w:t>
      </w:r>
      <w:r w:rsidR="00EF75E3" w:rsidRPr="00EF75E3">
        <w:rPr>
          <w:rFonts w:asciiTheme="majorHAnsi" w:hAnsiTheme="majorHAnsi" w:cs="Times New Roman"/>
          <w:b/>
          <w:sz w:val="24"/>
          <w:szCs w:val="24"/>
          <w:lang w:val="pt-BR"/>
        </w:rPr>
        <w:t>A</w:t>
      </w:r>
      <w:r w:rsidR="00EF75E3" w:rsidRPr="00EF75E3">
        <w:rPr>
          <w:rFonts w:asciiTheme="majorHAnsi" w:hAnsiTheme="majorHAnsi" w:cs="Times New Roman"/>
          <w:sz w:val="24"/>
          <w:szCs w:val="24"/>
          <w:lang w:val="pt-BR"/>
        </w:rPr>
        <w:t>, enquanto entidade centralizadora</w:t>
      </w:r>
      <w:r w:rsidR="00EF75E3">
        <w:rPr>
          <w:rFonts w:asciiTheme="majorHAnsi" w:hAnsiTheme="majorHAnsi" w:cs="Times New Roman"/>
          <w:sz w:val="24"/>
          <w:szCs w:val="24"/>
          <w:lang w:val="pt-BR"/>
        </w:rPr>
        <w:t xml:space="preserve">. Todo o grupo está com um excedente de </w:t>
      </w:r>
      <w:r w:rsidR="00C243DB" w:rsidRPr="00EF75E3">
        <w:rPr>
          <w:rFonts w:asciiTheme="majorHAnsi" w:hAnsiTheme="majorHAnsi" w:cs="Times New Roman"/>
          <w:b/>
          <w:sz w:val="24"/>
          <w:szCs w:val="24"/>
          <w:lang w:val="pt-BR"/>
        </w:rPr>
        <w:t xml:space="preserve">Akz350. </w:t>
      </w:r>
      <w:r w:rsidR="00EF75E3" w:rsidRPr="00EF75E3">
        <w:rPr>
          <w:rFonts w:asciiTheme="majorHAnsi" w:hAnsiTheme="majorHAnsi" w:cs="Times New Roman"/>
          <w:b/>
          <w:sz w:val="24"/>
          <w:szCs w:val="24"/>
          <w:lang w:val="pt-BR"/>
        </w:rPr>
        <w:t>000,00 (Tre</w:t>
      </w:r>
      <w:r w:rsidR="00C243DB">
        <w:rPr>
          <w:rFonts w:asciiTheme="majorHAnsi" w:hAnsiTheme="majorHAnsi" w:cs="Times New Roman"/>
          <w:b/>
          <w:sz w:val="24"/>
          <w:szCs w:val="24"/>
          <w:lang w:val="pt-BR"/>
        </w:rPr>
        <w:t xml:space="preserve">zentos e cinquenta mil kwanzas) </w:t>
      </w:r>
      <w:r w:rsidR="00EF75E3">
        <w:rPr>
          <w:rFonts w:asciiTheme="majorHAnsi" w:hAnsiTheme="majorHAnsi" w:cs="Times New Roman"/>
          <w:sz w:val="24"/>
          <w:szCs w:val="24"/>
          <w:lang w:val="pt-BR"/>
        </w:rPr>
        <w:t>sobre o qual</w:t>
      </w:r>
      <w:r w:rsidR="00C243DB">
        <w:rPr>
          <w:rFonts w:asciiTheme="majorHAnsi" w:hAnsiTheme="majorHAnsi" w:cs="Times New Roman"/>
          <w:sz w:val="24"/>
          <w:szCs w:val="24"/>
          <w:lang w:val="pt-BR"/>
        </w:rPr>
        <w:t>,</w:t>
      </w:r>
      <w:r w:rsidR="00EF75E3">
        <w:rPr>
          <w:rFonts w:asciiTheme="majorHAnsi" w:hAnsiTheme="majorHAnsi" w:cs="Times New Roman"/>
          <w:sz w:val="24"/>
          <w:szCs w:val="24"/>
          <w:lang w:val="pt-BR"/>
        </w:rPr>
        <w:t xml:space="preserve"> </w:t>
      </w:r>
      <w:r w:rsidR="00EF75E3" w:rsidRPr="00EF75E3">
        <w:rPr>
          <w:rFonts w:asciiTheme="majorHAnsi" w:hAnsiTheme="majorHAnsi" w:cs="Times New Roman"/>
          <w:b/>
          <w:sz w:val="24"/>
          <w:szCs w:val="24"/>
          <w:lang w:val="pt-BR"/>
        </w:rPr>
        <w:t>A</w:t>
      </w:r>
      <w:r w:rsidR="00501F4D">
        <w:rPr>
          <w:rFonts w:asciiTheme="majorHAnsi" w:hAnsiTheme="majorHAnsi" w:cs="Times New Roman"/>
          <w:b/>
          <w:sz w:val="24"/>
          <w:szCs w:val="24"/>
          <w:lang w:val="pt-BR"/>
        </w:rPr>
        <w:t xml:space="preserve"> </w:t>
      </w:r>
      <w:r w:rsidR="00EF75E3">
        <w:rPr>
          <w:rFonts w:asciiTheme="majorHAnsi" w:hAnsiTheme="majorHAnsi" w:cs="Times New Roman"/>
          <w:sz w:val="24"/>
          <w:szCs w:val="24"/>
          <w:lang w:val="pt-BR"/>
        </w:rPr>
        <w:t xml:space="preserve">pode obter juros de </w:t>
      </w:r>
      <w:r w:rsidR="00C243DB" w:rsidRPr="00EF75E3">
        <w:rPr>
          <w:rFonts w:asciiTheme="majorHAnsi" w:hAnsiTheme="majorHAnsi" w:cs="Times New Roman"/>
          <w:b/>
          <w:sz w:val="24"/>
          <w:szCs w:val="24"/>
          <w:lang w:val="pt-BR"/>
        </w:rPr>
        <w:t xml:space="preserve">Akz27. </w:t>
      </w:r>
      <w:r w:rsidR="00EF75E3" w:rsidRPr="00EF75E3">
        <w:rPr>
          <w:rFonts w:asciiTheme="majorHAnsi" w:hAnsiTheme="majorHAnsi" w:cs="Times New Roman"/>
          <w:b/>
          <w:sz w:val="24"/>
          <w:szCs w:val="24"/>
          <w:lang w:val="pt-BR"/>
        </w:rPr>
        <w:t>500,00 (Vinte e sete mil e quinhentos kwanzas)</w:t>
      </w:r>
      <w:r w:rsidR="00EF75E3" w:rsidRPr="00EF75E3">
        <w:rPr>
          <w:rFonts w:asciiTheme="majorHAnsi" w:hAnsiTheme="majorHAnsi" w:cs="Times New Roman"/>
          <w:sz w:val="24"/>
          <w:szCs w:val="24"/>
          <w:lang w:val="pt-BR"/>
        </w:rPr>
        <w:t>.</w:t>
      </w:r>
      <w:r w:rsidR="00FA2386">
        <w:rPr>
          <w:rFonts w:asciiTheme="majorHAnsi" w:hAnsiTheme="majorHAnsi" w:cs="Times New Roman"/>
          <w:sz w:val="24"/>
          <w:szCs w:val="24"/>
          <w:lang w:val="pt-BR"/>
        </w:rPr>
        <w:t xml:space="preserve"> </w:t>
      </w:r>
      <w:r w:rsidR="003029E0">
        <w:rPr>
          <w:rFonts w:asciiTheme="majorHAnsi" w:hAnsiTheme="majorHAnsi" w:cs="Times New Roman"/>
          <w:sz w:val="24"/>
          <w:szCs w:val="24"/>
          <w:lang w:val="pt-BR"/>
        </w:rPr>
        <w:t xml:space="preserve">Apesar da </w:t>
      </w:r>
      <w:r w:rsidR="003029E0" w:rsidRPr="003029E0">
        <w:rPr>
          <w:rFonts w:asciiTheme="majorHAnsi" w:hAnsiTheme="majorHAnsi" w:cs="Times New Roman"/>
          <w:b/>
          <w:sz w:val="24"/>
          <w:szCs w:val="24"/>
          <w:lang w:val="pt-BR"/>
        </w:rPr>
        <w:t xml:space="preserve">A </w:t>
      </w:r>
      <w:r w:rsidR="003029E0" w:rsidRPr="003029E0">
        <w:rPr>
          <w:rFonts w:asciiTheme="majorHAnsi" w:hAnsiTheme="majorHAnsi" w:cs="Times New Roman"/>
          <w:sz w:val="24"/>
          <w:szCs w:val="24"/>
          <w:lang w:val="pt-BR"/>
        </w:rPr>
        <w:t>ter legitimidade</w:t>
      </w:r>
      <w:r w:rsidR="003029E0">
        <w:rPr>
          <w:rFonts w:asciiTheme="majorHAnsi" w:hAnsiTheme="majorHAnsi" w:cs="Times New Roman"/>
          <w:sz w:val="24"/>
          <w:szCs w:val="24"/>
          <w:lang w:val="pt-BR"/>
        </w:rPr>
        <w:t xml:space="preserve"> de receber os juros da transação, é necessário ter-se em conta as regras dos precos de transferência, que no limite ditarão, se </w:t>
      </w:r>
      <w:r w:rsidR="003029E0" w:rsidRPr="000F627A">
        <w:rPr>
          <w:rFonts w:asciiTheme="majorHAnsi" w:hAnsiTheme="majorHAnsi" w:cs="Times New Roman"/>
          <w:b/>
          <w:sz w:val="24"/>
          <w:szCs w:val="24"/>
          <w:lang w:val="pt-BR"/>
        </w:rPr>
        <w:t>A</w:t>
      </w:r>
      <w:r w:rsidR="003029E0">
        <w:rPr>
          <w:rFonts w:asciiTheme="majorHAnsi" w:hAnsiTheme="majorHAnsi" w:cs="Times New Roman"/>
          <w:sz w:val="24"/>
          <w:szCs w:val="24"/>
          <w:lang w:val="pt-BR"/>
        </w:rPr>
        <w:t xml:space="preserve"> pode ou não receber esses juros, facto </w:t>
      </w:r>
      <w:r w:rsidR="000F627A">
        <w:rPr>
          <w:rFonts w:asciiTheme="majorHAnsi" w:hAnsiTheme="majorHAnsi" w:cs="Times New Roman"/>
          <w:sz w:val="24"/>
          <w:szCs w:val="24"/>
          <w:lang w:val="pt-BR"/>
        </w:rPr>
        <w:t xml:space="preserve">é que, para efeitos de compensação </w:t>
      </w:r>
      <w:r w:rsidR="000F627A" w:rsidRPr="000F627A">
        <w:rPr>
          <w:rFonts w:asciiTheme="majorHAnsi" w:hAnsiTheme="majorHAnsi" w:cs="Times New Roman"/>
          <w:b/>
          <w:sz w:val="24"/>
          <w:szCs w:val="24"/>
          <w:lang w:val="pt-BR"/>
        </w:rPr>
        <w:t>B</w:t>
      </w:r>
      <w:r w:rsidR="000F627A">
        <w:rPr>
          <w:rFonts w:asciiTheme="majorHAnsi" w:hAnsiTheme="majorHAnsi" w:cs="Times New Roman"/>
          <w:sz w:val="24"/>
          <w:szCs w:val="24"/>
          <w:lang w:val="pt-BR"/>
        </w:rPr>
        <w:t xml:space="preserve"> e </w:t>
      </w:r>
      <w:r w:rsidR="000F627A" w:rsidRPr="000F627A">
        <w:rPr>
          <w:rFonts w:asciiTheme="majorHAnsi" w:hAnsiTheme="majorHAnsi" w:cs="Times New Roman"/>
          <w:b/>
          <w:sz w:val="24"/>
          <w:szCs w:val="24"/>
          <w:lang w:val="pt-BR"/>
        </w:rPr>
        <w:t>C</w:t>
      </w:r>
      <w:r w:rsidR="000F627A">
        <w:rPr>
          <w:rFonts w:asciiTheme="majorHAnsi" w:hAnsiTheme="majorHAnsi" w:cs="Times New Roman"/>
          <w:sz w:val="24"/>
          <w:szCs w:val="24"/>
          <w:lang w:val="pt-BR"/>
        </w:rPr>
        <w:t xml:space="preserve"> fizeram um depósito para a conta principal (que constitui um </w:t>
      </w:r>
      <w:r w:rsidR="00FA2386">
        <w:rPr>
          <w:rFonts w:asciiTheme="majorHAnsi" w:hAnsiTheme="majorHAnsi" w:cs="Times New Roman"/>
          <w:sz w:val="24"/>
          <w:szCs w:val="24"/>
          <w:lang w:val="pt-BR"/>
        </w:rPr>
        <w:t>crédito, em favor destas sociedades</w:t>
      </w:r>
      <w:r w:rsidR="000F627A">
        <w:rPr>
          <w:rFonts w:asciiTheme="majorHAnsi" w:hAnsiTheme="majorHAnsi" w:cs="Times New Roman"/>
          <w:sz w:val="24"/>
          <w:szCs w:val="24"/>
          <w:lang w:val="pt-BR"/>
        </w:rPr>
        <w:t xml:space="preserve">), enquanto que </w:t>
      </w:r>
      <w:r w:rsidR="000F627A" w:rsidRPr="00FA2386">
        <w:rPr>
          <w:rFonts w:asciiTheme="majorHAnsi" w:hAnsiTheme="majorHAnsi" w:cs="Times New Roman"/>
          <w:b/>
          <w:sz w:val="24"/>
          <w:szCs w:val="24"/>
          <w:lang w:val="pt-BR"/>
        </w:rPr>
        <w:t>D</w:t>
      </w:r>
      <w:r w:rsidR="000F627A">
        <w:rPr>
          <w:rFonts w:asciiTheme="majorHAnsi" w:hAnsiTheme="majorHAnsi" w:cs="Times New Roman"/>
          <w:sz w:val="24"/>
          <w:szCs w:val="24"/>
          <w:lang w:val="pt-BR"/>
        </w:rPr>
        <w:t xml:space="preserve"> retirou dinheiro da conta principal, ou seja, recebeu um empréstimo. </w:t>
      </w:r>
    </w:p>
    <w:p w:rsidR="00C2335E" w:rsidRPr="00C2335E" w:rsidRDefault="00E76524"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Como podemos ver, e</w:t>
      </w:r>
      <w:r w:rsidR="00C2335E" w:rsidRPr="00C2335E">
        <w:rPr>
          <w:rFonts w:asciiTheme="majorHAnsi" w:hAnsiTheme="majorHAnsi" w:cs="Times New Roman"/>
          <w:sz w:val="24"/>
          <w:szCs w:val="24"/>
          <w:lang w:val="pt-BR"/>
        </w:rPr>
        <w:t>ste sistema tem como vantagem a simplificação e a diminuição dos custos de serviços de tesouraria no seio das subsidiárias. No entanto, s</w:t>
      </w:r>
      <w:r>
        <w:rPr>
          <w:rFonts w:asciiTheme="majorHAnsi" w:hAnsiTheme="majorHAnsi" w:cs="Times New Roman"/>
          <w:sz w:val="24"/>
          <w:szCs w:val="24"/>
          <w:lang w:val="pt-BR"/>
        </w:rPr>
        <w:t xml:space="preserve">egundo Barriocanal Muñoz </w:t>
      </w:r>
      <w:r w:rsidR="00C2335E" w:rsidRPr="00C2335E">
        <w:rPr>
          <w:rFonts w:asciiTheme="majorHAnsi" w:hAnsiTheme="majorHAnsi" w:cs="Times New Roman"/>
          <w:sz w:val="24"/>
          <w:szCs w:val="24"/>
          <w:lang w:val="pt-BR"/>
        </w:rPr>
        <w:t xml:space="preserve">este sistema pode reduzir o capital agregado no caixa das subsidiárias, não prevê acontecimentos eventuais ou não calendarizados, e a transferência efectiva dos fundos do conjunto das contas do grupo para a conta centralizada diminui o poder negocial do grupo diante dos bancos e entidades financeiras, sendo certo de que a solução para a limitação do risco não passaria por adoptar um </w:t>
      </w:r>
      <w:r w:rsidR="00C2335E" w:rsidRPr="00C2335E">
        <w:rPr>
          <w:rFonts w:asciiTheme="majorHAnsi" w:hAnsiTheme="majorHAnsi" w:cs="Times New Roman"/>
          <w:i/>
          <w:sz w:val="24"/>
          <w:szCs w:val="24"/>
          <w:lang w:val="pt-BR"/>
        </w:rPr>
        <w:t>cash pooling</w:t>
      </w:r>
      <w:r w:rsidR="00C2335E" w:rsidRPr="00C2335E">
        <w:rPr>
          <w:rFonts w:asciiTheme="majorHAnsi" w:hAnsiTheme="majorHAnsi" w:cs="Times New Roman"/>
          <w:sz w:val="24"/>
          <w:szCs w:val="24"/>
          <w:lang w:val="pt-BR"/>
        </w:rPr>
        <w:t xml:space="preserve"> com duas ou três entidades bancárias, pois geraria um aumento dos custos bancários</w:t>
      </w:r>
      <w:r w:rsidR="00C2335E" w:rsidRPr="00C2335E">
        <w:rPr>
          <w:rStyle w:val="Refdenotaderodap"/>
          <w:rFonts w:asciiTheme="majorHAnsi" w:hAnsiTheme="majorHAnsi" w:cs="Times New Roman"/>
          <w:sz w:val="24"/>
          <w:szCs w:val="24"/>
          <w:lang w:val="pt-BR"/>
        </w:rPr>
        <w:footnoteReference w:id="23"/>
      </w:r>
      <w:r>
        <w:rPr>
          <w:rFonts w:asciiTheme="majorHAnsi" w:hAnsiTheme="majorHAnsi" w:cs="Times New Roman"/>
          <w:sz w:val="24"/>
          <w:szCs w:val="24"/>
          <w:lang w:val="pt-BR"/>
        </w:rPr>
        <w:t xml:space="preserve">. </w:t>
      </w:r>
    </w:p>
    <w:p w:rsid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Segundo Rebouta é ainda possível nesta modalidade, uma variação do </w:t>
      </w:r>
      <w:r w:rsidRPr="00C2335E">
        <w:rPr>
          <w:rFonts w:asciiTheme="majorHAnsi" w:hAnsiTheme="majorHAnsi" w:cs="Times New Roman"/>
          <w:i/>
          <w:sz w:val="24"/>
          <w:szCs w:val="24"/>
          <w:lang w:val="pt-BR"/>
        </w:rPr>
        <w:t>cash concentration (zero balacing)</w:t>
      </w:r>
      <w:r w:rsidRPr="00C2335E">
        <w:rPr>
          <w:rFonts w:asciiTheme="majorHAnsi" w:hAnsiTheme="majorHAnsi" w:cs="Times New Roman"/>
          <w:sz w:val="24"/>
          <w:szCs w:val="24"/>
          <w:lang w:val="pt-BR"/>
        </w:rPr>
        <w:t xml:space="preserve"> – o denominado </w:t>
      </w:r>
      <w:r w:rsidRPr="00C2335E">
        <w:rPr>
          <w:rFonts w:asciiTheme="majorHAnsi" w:hAnsiTheme="majorHAnsi" w:cs="Times New Roman"/>
          <w:i/>
          <w:sz w:val="24"/>
          <w:szCs w:val="24"/>
          <w:lang w:val="pt-BR"/>
        </w:rPr>
        <w:t xml:space="preserve">flexible balancing </w:t>
      </w:r>
      <w:r w:rsidRPr="00C2335E">
        <w:rPr>
          <w:rFonts w:asciiTheme="majorHAnsi" w:hAnsiTheme="majorHAnsi" w:cs="Times New Roman"/>
          <w:sz w:val="24"/>
          <w:szCs w:val="24"/>
          <w:lang w:val="pt-BR"/>
        </w:rPr>
        <w:t xml:space="preserve">onde são determinados limites mínimos e máximos aos saldos bancários de cada conta periférica, com vista a manter um determinado nível de liquidez do grupo, sem que para isso seja necessário aplicar-se a regra de </w:t>
      </w:r>
      <w:r w:rsidRPr="00104961">
        <w:rPr>
          <w:rFonts w:asciiTheme="majorHAnsi" w:hAnsiTheme="majorHAnsi" w:cs="Times New Roman"/>
          <w:sz w:val="24"/>
          <w:szCs w:val="24"/>
          <w:lang w:val="pt-BR"/>
        </w:rPr>
        <w:t>transferências de fundos</w:t>
      </w:r>
      <w:r w:rsidRPr="00C2335E">
        <w:rPr>
          <w:rFonts w:asciiTheme="majorHAnsi" w:hAnsiTheme="majorHAnsi" w:cs="Times New Roman"/>
          <w:sz w:val="24"/>
          <w:szCs w:val="24"/>
          <w:lang w:val="pt-BR"/>
        </w:rPr>
        <w:t xml:space="preserve"> para e da conta centralizadora. Quer com isso dizer que o que é efectivamente transferido para a conta global é o saldo excedente, devendo permanecer na conta de cada participada, um saldo mínimo, cujo valor deve ser previamente determinado. </w:t>
      </w:r>
    </w:p>
    <w:p w:rsidR="00E76524" w:rsidRDefault="001E24A2"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 terceira modalidade de </w:t>
      </w:r>
      <w:r w:rsidRPr="001E24A2">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é a </w:t>
      </w:r>
      <w:r w:rsidRPr="001E24A2">
        <w:rPr>
          <w:rFonts w:asciiTheme="majorHAnsi" w:hAnsiTheme="majorHAnsi" w:cs="Times New Roman"/>
          <w:i/>
          <w:sz w:val="24"/>
          <w:szCs w:val="24"/>
          <w:lang w:val="pt-BR"/>
        </w:rPr>
        <w:t>Multi</w:t>
      </w:r>
      <w:r w:rsidR="00A300B7">
        <w:rPr>
          <w:rFonts w:asciiTheme="majorHAnsi" w:hAnsiTheme="majorHAnsi" w:cs="Times New Roman"/>
          <w:i/>
          <w:sz w:val="24"/>
          <w:szCs w:val="24"/>
          <w:lang w:val="pt-BR"/>
        </w:rPr>
        <w:t>-</w:t>
      </w:r>
      <w:r w:rsidRPr="001E24A2">
        <w:rPr>
          <w:rFonts w:asciiTheme="majorHAnsi" w:hAnsiTheme="majorHAnsi" w:cs="Times New Roman"/>
          <w:i/>
          <w:sz w:val="24"/>
          <w:szCs w:val="24"/>
          <w:lang w:val="pt-BR"/>
        </w:rPr>
        <w:t>currency pooling</w:t>
      </w:r>
      <w:r>
        <w:rPr>
          <w:rFonts w:asciiTheme="majorHAnsi" w:hAnsiTheme="majorHAnsi" w:cs="Times New Roman"/>
          <w:sz w:val="24"/>
          <w:szCs w:val="24"/>
          <w:lang w:val="pt-BR"/>
        </w:rPr>
        <w:t xml:space="preserve"> que nada mais é do que </w:t>
      </w:r>
      <w:r w:rsidR="00A300B7">
        <w:rPr>
          <w:rFonts w:asciiTheme="majorHAnsi" w:hAnsiTheme="majorHAnsi" w:cs="Times New Roman"/>
          <w:sz w:val="24"/>
          <w:szCs w:val="24"/>
          <w:lang w:val="pt-BR"/>
        </w:rPr>
        <w:t xml:space="preserve">o mecanismo que permite o grupo celebrar o acordo de cash pooling em multiplas moedas. Em regra, o que os bancos </w:t>
      </w:r>
      <w:r w:rsidR="00C5796E">
        <w:rPr>
          <w:rStyle w:val="Refdenotaderodap"/>
          <w:rFonts w:asciiTheme="majorHAnsi" w:hAnsiTheme="majorHAnsi" w:cs="Times New Roman"/>
          <w:sz w:val="24"/>
          <w:szCs w:val="24"/>
          <w:lang w:val="pt-BR"/>
        </w:rPr>
        <w:footnoteReference w:id="24"/>
      </w:r>
      <w:r w:rsidR="00A300B7">
        <w:rPr>
          <w:rFonts w:asciiTheme="majorHAnsi" w:hAnsiTheme="majorHAnsi" w:cs="Times New Roman"/>
          <w:sz w:val="24"/>
          <w:szCs w:val="24"/>
          <w:lang w:val="pt-BR"/>
        </w:rPr>
        <w:t xml:space="preserve">fazem é um </w:t>
      </w:r>
      <w:r w:rsidR="00A300B7" w:rsidRPr="00A300B7">
        <w:rPr>
          <w:rFonts w:asciiTheme="majorHAnsi" w:hAnsiTheme="majorHAnsi"/>
          <w:bCs/>
          <w:i/>
          <w:color w:val="1F2332"/>
          <w:sz w:val="24"/>
          <w:szCs w:val="24"/>
          <w:bdr w:val="none" w:sz="0" w:space="0" w:color="auto" w:frame="1"/>
          <w:shd w:val="clear" w:color="auto" w:fill="F7F8FA"/>
        </w:rPr>
        <w:t>Multi-currency virtual cash pooling</w:t>
      </w:r>
      <w:r w:rsidR="00A300B7">
        <w:rPr>
          <w:rFonts w:asciiTheme="majorHAnsi" w:hAnsiTheme="majorHAnsi" w:cs="Times New Roman"/>
          <w:sz w:val="24"/>
          <w:szCs w:val="24"/>
          <w:lang w:val="pt-BR"/>
        </w:rPr>
        <w:t xml:space="preserve">, ou seja, os bancos efectuam o cálculo dos juros das várias moedas e as convertem, de forma virtual em uma moeda base e é nesta moeda base que </w:t>
      </w:r>
      <w:r w:rsidR="003F1B6A">
        <w:rPr>
          <w:rFonts w:asciiTheme="majorHAnsi" w:hAnsiTheme="majorHAnsi" w:cs="Times New Roman"/>
          <w:sz w:val="24"/>
          <w:szCs w:val="24"/>
          <w:lang w:val="pt-BR"/>
        </w:rPr>
        <w:t xml:space="preserve">se acumularão juros sobre o saldo líquido virtual. </w:t>
      </w:r>
      <w:r w:rsidR="00175E61">
        <w:rPr>
          <w:rFonts w:asciiTheme="majorHAnsi" w:hAnsiTheme="majorHAnsi" w:cs="Times New Roman"/>
          <w:sz w:val="24"/>
          <w:szCs w:val="24"/>
          <w:lang w:val="pt-BR"/>
        </w:rPr>
        <w:t xml:space="preserve">E de que forma essa modalidade pode constituir uma mais-valia para o ordenamento jurídico angolano? </w:t>
      </w:r>
    </w:p>
    <w:p w:rsidR="0068321F" w:rsidRPr="00A300B7" w:rsidRDefault="0068321F" w:rsidP="00C2335E">
      <w:pPr>
        <w:spacing w:line="360" w:lineRule="auto"/>
        <w:rPr>
          <w:rFonts w:asciiTheme="majorHAnsi" w:hAnsiTheme="majorHAnsi" w:cs="Times New Roman"/>
          <w:sz w:val="24"/>
          <w:szCs w:val="24"/>
        </w:rPr>
      </w:pPr>
      <w:r>
        <w:rPr>
          <w:rFonts w:asciiTheme="majorHAnsi" w:hAnsiTheme="majorHAnsi" w:cs="Times New Roman"/>
          <w:sz w:val="24"/>
          <w:szCs w:val="24"/>
          <w:lang w:val="pt-BR"/>
        </w:rPr>
        <w:t>Angola é um “terreno fértil” com um índice de crescimento bastante motivador. Acrescido a este facto, temos uma nova lei de investimento que foi “forjada” para atrair mais  investidores. Ao atingir tal desiderato, teremos não só o desenvolvimento do sector empresarial, como o surgimento de diversas empresas e de</w:t>
      </w:r>
      <w:r w:rsidR="00C243DB">
        <w:rPr>
          <w:rFonts w:asciiTheme="majorHAnsi" w:hAnsiTheme="majorHAnsi" w:cs="Times New Roman"/>
          <w:sz w:val="24"/>
          <w:szCs w:val="24"/>
          <w:lang w:val="pt-BR"/>
        </w:rPr>
        <w:t xml:space="preserve"> grupos multinacionais. E</w:t>
      </w:r>
      <w:r w:rsidR="00AA7755">
        <w:rPr>
          <w:rFonts w:asciiTheme="majorHAnsi" w:hAnsiTheme="majorHAnsi" w:cs="Times New Roman"/>
          <w:sz w:val="24"/>
          <w:szCs w:val="24"/>
          <w:lang w:val="pt-BR"/>
        </w:rPr>
        <w:t xml:space="preserve">sta modalidade de </w:t>
      </w:r>
      <w:r w:rsidR="00AA7755" w:rsidRPr="00A42A46">
        <w:rPr>
          <w:rFonts w:asciiTheme="majorHAnsi" w:hAnsiTheme="majorHAnsi" w:cs="Times New Roman"/>
          <w:i/>
          <w:sz w:val="24"/>
          <w:szCs w:val="24"/>
          <w:lang w:val="pt-BR"/>
        </w:rPr>
        <w:t>cash pooling</w:t>
      </w:r>
      <w:r w:rsidR="00AA7755">
        <w:rPr>
          <w:rFonts w:asciiTheme="majorHAnsi" w:hAnsiTheme="majorHAnsi" w:cs="Times New Roman"/>
          <w:sz w:val="24"/>
          <w:szCs w:val="24"/>
          <w:lang w:val="pt-BR"/>
        </w:rPr>
        <w:t xml:space="preserve"> permitirá que o grupo de empresas obtenha reduções nas taxas de juros, sem que, inicialmente seja necessário alterar as posições de compensação do mercado</w:t>
      </w:r>
      <w:r w:rsidR="00AA7755">
        <w:rPr>
          <w:rStyle w:val="Refdenotaderodap"/>
          <w:rFonts w:asciiTheme="majorHAnsi" w:hAnsiTheme="majorHAnsi" w:cs="Times New Roman"/>
          <w:sz w:val="24"/>
          <w:szCs w:val="24"/>
        </w:rPr>
        <w:footnoteReference w:id="25"/>
      </w:r>
      <w:r w:rsidR="00AA7755">
        <w:rPr>
          <w:rFonts w:asciiTheme="majorHAnsi" w:hAnsiTheme="majorHAnsi" w:cs="Times New Roman"/>
          <w:sz w:val="24"/>
          <w:szCs w:val="24"/>
          <w:lang w:val="pt-BR"/>
        </w:rPr>
        <w:t xml:space="preserve">, </w:t>
      </w:r>
      <w:r w:rsidR="00B00D6B">
        <w:rPr>
          <w:rFonts w:asciiTheme="majorHAnsi" w:hAnsiTheme="majorHAnsi" w:cs="Times New Roman"/>
          <w:sz w:val="24"/>
          <w:szCs w:val="24"/>
          <w:lang w:val="pt-BR"/>
        </w:rPr>
        <w:t>é ainda vantajosa porque permite que empresas exportadoras que têm contas bancárias em diferentes moedas e com frequência convertem moeda estrangeira, possa</w:t>
      </w:r>
      <w:r w:rsidR="00A42A46">
        <w:rPr>
          <w:rFonts w:asciiTheme="majorHAnsi" w:hAnsiTheme="majorHAnsi" w:cs="Times New Roman"/>
          <w:sz w:val="24"/>
          <w:szCs w:val="24"/>
          <w:lang w:val="pt-BR"/>
        </w:rPr>
        <w:t>m</w:t>
      </w:r>
      <w:r w:rsidR="00B00D6B">
        <w:rPr>
          <w:rFonts w:asciiTheme="majorHAnsi" w:hAnsiTheme="majorHAnsi" w:cs="Times New Roman"/>
          <w:sz w:val="24"/>
          <w:szCs w:val="24"/>
          <w:lang w:val="pt-BR"/>
        </w:rPr>
        <w:t xml:space="preserve"> por meio de uma única conta</w:t>
      </w:r>
      <w:r w:rsidR="00DE59D1">
        <w:rPr>
          <w:rFonts w:asciiTheme="majorHAnsi" w:hAnsiTheme="majorHAnsi" w:cs="Times New Roman"/>
          <w:sz w:val="24"/>
          <w:szCs w:val="24"/>
          <w:lang w:val="pt-BR"/>
        </w:rPr>
        <w:t xml:space="preserve"> compensar os saldos das várias contas, sem que para isso, realize</w:t>
      </w:r>
      <w:r w:rsidR="00A42A46">
        <w:rPr>
          <w:rFonts w:asciiTheme="majorHAnsi" w:hAnsiTheme="majorHAnsi" w:cs="Times New Roman"/>
          <w:sz w:val="24"/>
          <w:szCs w:val="24"/>
          <w:lang w:val="pt-BR"/>
        </w:rPr>
        <w:t>m</w:t>
      </w:r>
      <w:r w:rsidR="00DE59D1">
        <w:rPr>
          <w:rFonts w:asciiTheme="majorHAnsi" w:hAnsiTheme="majorHAnsi" w:cs="Times New Roman"/>
          <w:sz w:val="24"/>
          <w:szCs w:val="24"/>
          <w:lang w:val="pt-BR"/>
        </w:rPr>
        <w:t xml:space="preserve"> uma única operação de câmbio, o que vai reduzir a procura de compra/venda de moeda e melhorará a visibi</w:t>
      </w:r>
      <w:r w:rsidR="003F011F">
        <w:rPr>
          <w:rFonts w:asciiTheme="majorHAnsi" w:hAnsiTheme="majorHAnsi" w:cs="Times New Roman"/>
          <w:sz w:val="24"/>
          <w:szCs w:val="24"/>
          <w:lang w:val="pt-BR"/>
        </w:rPr>
        <w:t>lidade e o controlo do dinheiro</w:t>
      </w:r>
      <w:r w:rsidR="00DE59D1">
        <w:rPr>
          <w:rFonts w:asciiTheme="majorHAnsi" w:hAnsiTheme="majorHAnsi" w:cs="Times New Roman"/>
          <w:sz w:val="24"/>
          <w:szCs w:val="24"/>
          <w:lang w:val="pt-BR"/>
        </w:rPr>
        <w:t xml:space="preserve"> de foma global</w:t>
      </w:r>
      <w:r w:rsidR="00586C70">
        <w:rPr>
          <w:rStyle w:val="Refdenotaderodap"/>
          <w:rFonts w:asciiTheme="majorHAnsi" w:hAnsiTheme="majorHAnsi" w:cs="Times New Roman"/>
          <w:sz w:val="24"/>
          <w:szCs w:val="24"/>
          <w:lang w:val="pt-BR"/>
        </w:rPr>
        <w:footnoteReference w:id="26"/>
      </w:r>
      <w:r w:rsidR="00DE59D1">
        <w:rPr>
          <w:rFonts w:asciiTheme="majorHAnsi" w:hAnsiTheme="majorHAnsi" w:cs="Times New Roman"/>
          <w:sz w:val="24"/>
          <w:szCs w:val="24"/>
          <w:lang w:val="pt-BR"/>
        </w:rPr>
        <w:t>.</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Elementos </w:t>
      </w:r>
      <w:r w:rsidR="006378A9">
        <w:rPr>
          <w:rFonts w:asciiTheme="majorHAnsi" w:hAnsiTheme="majorHAnsi" w:cs="Times New Roman"/>
          <w:b/>
          <w:sz w:val="24"/>
          <w:szCs w:val="24"/>
          <w:lang w:val="pt-BR"/>
        </w:rPr>
        <w:t xml:space="preserve">caracterizadores </w:t>
      </w:r>
      <w:r w:rsidRPr="00C2335E">
        <w:rPr>
          <w:rFonts w:asciiTheme="majorHAnsi" w:hAnsiTheme="majorHAnsi" w:cs="Times New Roman"/>
          <w:b/>
          <w:sz w:val="24"/>
          <w:szCs w:val="24"/>
          <w:lang w:val="pt-BR"/>
        </w:rPr>
        <w:t xml:space="preserve"> do </w:t>
      </w:r>
      <w:r w:rsidRPr="00C2335E">
        <w:rPr>
          <w:rFonts w:asciiTheme="majorHAnsi" w:hAnsiTheme="majorHAnsi" w:cs="Times New Roman"/>
          <w:b/>
          <w:i/>
          <w:sz w:val="24"/>
          <w:szCs w:val="24"/>
          <w:lang w:val="pt-BR"/>
        </w:rPr>
        <w:t>cash pooling</w:t>
      </w:r>
    </w:p>
    <w:p w:rsidR="003A431C" w:rsidRDefault="00C2335E" w:rsidP="00BE7A3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Os elementos </w:t>
      </w:r>
      <w:r w:rsidR="006378A9">
        <w:rPr>
          <w:rFonts w:asciiTheme="majorHAnsi" w:hAnsiTheme="majorHAnsi" w:cs="Times New Roman"/>
          <w:sz w:val="24"/>
          <w:szCs w:val="24"/>
          <w:lang w:val="pt-BR"/>
        </w:rPr>
        <w:t xml:space="preserve">caracterizadores do </w:t>
      </w:r>
      <w:r w:rsidR="006378A9" w:rsidRPr="006378A9">
        <w:rPr>
          <w:rFonts w:asciiTheme="majorHAnsi" w:hAnsiTheme="majorHAnsi" w:cs="Times New Roman"/>
          <w:i/>
          <w:sz w:val="24"/>
          <w:szCs w:val="24"/>
          <w:lang w:val="pt-BR"/>
        </w:rPr>
        <w:t>cash pooling</w:t>
      </w:r>
      <w:r w:rsidR="006378A9">
        <w:rPr>
          <w:rFonts w:asciiTheme="majorHAnsi" w:hAnsiTheme="majorHAnsi" w:cs="Times New Roman"/>
          <w:sz w:val="24"/>
          <w:szCs w:val="24"/>
          <w:lang w:val="pt-BR"/>
        </w:rPr>
        <w:t xml:space="preserve"> podem ser </w:t>
      </w:r>
      <w:r w:rsidRPr="00C2335E">
        <w:rPr>
          <w:rFonts w:asciiTheme="majorHAnsi" w:hAnsiTheme="majorHAnsi" w:cs="Times New Roman"/>
          <w:sz w:val="24"/>
          <w:szCs w:val="24"/>
          <w:lang w:val="pt-BR"/>
        </w:rPr>
        <w:t xml:space="preserve">subjectivos </w:t>
      </w:r>
      <w:r w:rsidR="006378A9">
        <w:rPr>
          <w:rFonts w:asciiTheme="majorHAnsi" w:hAnsiTheme="majorHAnsi" w:cs="Times New Roman"/>
          <w:sz w:val="24"/>
          <w:szCs w:val="24"/>
          <w:lang w:val="pt-BR"/>
        </w:rPr>
        <w:t xml:space="preserve">e formais.  </w:t>
      </w:r>
    </w:p>
    <w:p w:rsidR="00BE7A3E" w:rsidRDefault="00BE7A3E" w:rsidP="003A431C">
      <w:pPr>
        <w:spacing w:line="360" w:lineRule="auto"/>
        <w:ind w:firstLine="708"/>
        <w:rPr>
          <w:rFonts w:asciiTheme="majorHAnsi" w:hAnsiTheme="majorHAnsi" w:cs="Times New Roman"/>
          <w:sz w:val="24"/>
          <w:szCs w:val="24"/>
          <w:lang w:val="pt-BR"/>
        </w:rPr>
      </w:pPr>
      <w:r w:rsidRPr="00BE7A3E">
        <w:rPr>
          <w:rFonts w:asciiTheme="majorHAnsi" w:hAnsiTheme="majorHAnsi" w:cs="Times New Roman"/>
          <w:b/>
          <w:sz w:val="24"/>
          <w:szCs w:val="24"/>
          <w:lang w:val="pt-BR"/>
        </w:rPr>
        <w:t>4.1. E</w:t>
      </w:r>
      <w:r w:rsidR="006378A9" w:rsidRPr="00BE7A3E">
        <w:rPr>
          <w:rFonts w:asciiTheme="majorHAnsi" w:hAnsiTheme="majorHAnsi" w:cs="Times New Roman"/>
          <w:b/>
          <w:sz w:val="24"/>
          <w:szCs w:val="24"/>
          <w:lang w:val="pt-BR"/>
        </w:rPr>
        <w:t xml:space="preserve">lementos subjectivos </w:t>
      </w:r>
      <w:r w:rsidR="00C2335E" w:rsidRPr="00BE7A3E">
        <w:rPr>
          <w:rFonts w:asciiTheme="majorHAnsi" w:hAnsiTheme="majorHAnsi" w:cs="Times New Roman"/>
          <w:b/>
          <w:sz w:val="24"/>
          <w:szCs w:val="24"/>
          <w:lang w:val="pt-BR"/>
        </w:rPr>
        <w:t xml:space="preserve">do </w:t>
      </w:r>
      <w:r w:rsidR="00C2335E" w:rsidRPr="00BE7A3E">
        <w:rPr>
          <w:rFonts w:asciiTheme="majorHAnsi" w:hAnsiTheme="majorHAnsi" w:cs="Times New Roman"/>
          <w:b/>
          <w:i/>
          <w:sz w:val="24"/>
          <w:szCs w:val="24"/>
          <w:lang w:val="pt-BR"/>
        </w:rPr>
        <w:t>cash pooling</w:t>
      </w:r>
    </w:p>
    <w:p w:rsidR="00C2335E" w:rsidRPr="00C2335E" w:rsidRDefault="003A431C" w:rsidP="00BE7A3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Em regra, os elementos subjectivos do cash pooling são;</w:t>
      </w:r>
    </w:p>
    <w:p w:rsidR="00C2335E" w:rsidRPr="00BE7A3E" w:rsidRDefault="00C2335E" w:rsidP="00BE7A3E">
      <w:pPr>
        <w:pStyle w:val="PargrafodaLista"/>
        <w:numPr>
          <w:ilvl w:val="0"/>
          <w:numId w:val="10"/>
        </w:numPr>
        <w:spacing w:line="360" w:lineRule="auto"/>
        <w:rPr>
          <w:rFonts w:asciiTheme="majorHAnsi" w:hAnsiTheme="majorHAnsi" w:cs="Times New Roman"/>
          <w:b/>
          <w:sz w:val="24"/>
          <w:szCs w:val="24"/>
          <w:lang w:val="pt-BR"/>
        </w:rPr>
      </w:pPr>
      <w:r w:rsidRPr="00BE7A3E">
        <w:rPr>
          <w:rFonts w:asciiTheme="majorHAnsi" w:hAnsiTheme="majorHAnsi" w:cs="Times New Roman"/>
          <w:b/>
          <w:sz w:val="24"/>
          <w:szCs w:val="24"/>
          <w:lang w:val="pt-BR"/>
        </w:rPr>
        <w:t xml:space="preserve">A entidade credora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É a entidade credora que tem, em princípio, a função de abrir uma conta em nome da sociedade centralizadora, conta onde ocorrerá a operação de gestão dos saldos das contas periféricas. </w:t>
      </w:r>
    </w:p>
    <w:p w:rsidR="00C2335E" w:rsidRPr="00BE7A3E" w:rsidRDefault="00C2335E" w:rsidP="00BE7A3E">
      <w:pPr>
        <w:pStyle w:val="PargrafodaLista"/>
        <w:numPr>
          <w:ilvl w:val="0"/>
          <w:numId w:val="10"/>
        </w:numPr>
        <w:spacing w:line="360" w:lineRule="auto"/>
        <w:rPr>
          <w:rFonts w:asciiTheme="majorHAnsi" w:hAnsiTheme="majorHAnsi" w:cs="Times New Roman"/>
          <w:b/>
          <w:i/>
          <w:sz w:val="24"/>
          <w:szCs w:val="24"/>
          <w:lang w:val="pt-BR"/>
        </w:rPr>
      </w:pPr>
      <w:r w:rsidRPr="00BE7A3E">
        <w:rPr>
          <w:rFonts w:asciiTheme="majorHAnsi" w:hAnsiTheme="majorHAnsi" w:cs="Times New Roman"/>
          <w:b/>
          <w:sz w:val="24"/>
          <w:szCs w:val="24"/>
          <w:lang w:val="pt-BR"/>
        </w:rPr>
        <w:t xml:space="preserve">Os sujeitos parte do grupo que vão aderir ao contrato de </w:t>
      </w:r>
      <w:r w:rsidRPr="00BE7A3E">
        <w:rPr>
          <w:rFonts w:asciiTheme="majorHAnsi" w:hAnsiTheme="majorHAnsi" w:cs="Times New Roman"/>
          <w:b/>
          <w:i/>
          <w:sz w:val="24"/>
          <w:szCs w:val="24"/>
          <w:lang w:val="pt-BR"/>
        </w:rPr>
        <w:t>cash pooling</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Estes sujeitos são; a sociedade-mãe e as sociedades participantes no contrato. Parece-nos assertivo a ideia de que, apenas os órgãos da administração de cada uma das sociedades do grupo, envolvidas no contrato tenham competência para tomar decisão de definir o conteúdo e de celebrar um contrato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w:t>
      </w:r>
    </w:p>
    <w:p w:rsidR="00C2335E" w:rsidRPr="00C2335E" w:rsidRDefault="00C2335E" w:rsidP="00C2335E">
      <w:pPr>
        <w:spacing w:line="360" w:lineRule="auto"/>
        <w:rPr>
          <w:rFonts w:asciiTheme="majorHAnsi" w:eastAsia="Malgun Gothic" w:hAnsiTheme="majorHAnsi" w:cs="Times New Roman"/>
          <w:sz w:val="24"/>
          <w:szCs w:val="24"/>
          <w:lang w:val="pt-BR"/>
        </w:rPr>
      </w:pPr>
      <w:r w:rsidRPr="00C2335E">
        <w:rPr>
          <w:rFonts w:asciiTheme="majorHAnsi" w:hAnsiTheme="majorHAnsi" w:cs="Times New Roman"/>
          <w:sz w:val="24"/>
          <w:szCs w:val="24"/>
          <w:lang w:val="pt-BR"/>
        </w:rPr>
        <w:t>Tal entendimento encontra respaldo na construção dogmática do regime do grupo de sociedades – que é caracterizado pela direcção económica unitária</w:t>
      </w:r>
      <w:r w:rsidRPr="00C2335E">
        <w:rPr>
          <w:rStyle w:val="Refdenotaderodap"/>
          <w:rFonts w:asciiTheme="majorHAnsi" w:hAnsiTheme="majorHAnsi" w:cs="Times New Roman"/>
          <w:sz w:val="24"/>
          <w:szCs w:val="24"/>
          <w:lang w:val="pt-BR"/>
        </w:rPr>
        <w:footnoteReference w:id="27"/>
      </w:r>
      <w:r w:rsidRPr="00C2335E">
        <w:rPr>
          <w:rFonts w:asciiTheme="majorHAnsi" w:eastAsia="Malgun Gothic" w:hAnsiTheme="majorHAnsi" w:cs="Times New Roman"/>
          <w:sz w:val="24"/>
          <w:szCs w:val="24"/>
          <w:lang w:val="pt-BR"/>
        </w:rPr>
        <w:t xml:space="preserve"> e que tem como um dos indícios mais evidentes da existência de uma influência dominante da sociedade-mãe sobre as sociedades-filhas, - a centralização da política financeira do grupo. E tendo em conta que o </w:t>
      </w:r>
      <w:r w:rsidRPr="00C2335E">
        <w:rPr>
          <w:rFonts w:asciiTheme="majorHAnsi" w:eastAsia="Malgun Gothic" w:hAnsiTheme="majorHAnsi" w:cs="Times New Roman"/>
          <w:i/>
          <w:sz w:val="24"/>
          <w:szCs w:val="24"/>
          <w:lang w:val="pt-BR"/>
        </w:rPr>
        <w:t>cash pooling</w:t>
      </w:r>
      <w:r w:rsidRPr="00C2335E">
        <w:rPr>
          <w:rFonts w:asciiTheme="majorHAnsi" w:eastAsia="Malgun Gothic" w:hAnsiTheme="majorHAnsi" w:cs="Times New Roman"/>
          <w:sz w:val="24"/>
          <w:szCs w:val="24"/>
          <w:lang w:val="pt-BR"/>
        </w:rPr>
        <w:t xml:space="preserve"> é uma manifestação da centralização da política financeira do grupo que recai sobre o exercício da direcção económica unitária, é comum afirmar-se que apenas os administradores da sociedade-mãe como os administradores das sociedades-filhas, são os competentes para exercer e acatar estas políticas</w:t>
      </w:r>
      <w:r w:rsidRPr="00C2335E">
        <w:rPr>
          <w:rStyle w:val="Refdenotaderodap"/>
          <w:rFonts w:asciiTheme="majorHAnsi" w:eastAsia="Malgun Gothic" w:hAnsiTheme="majorHAnsi" w:cs="Times New Roman"/>
          <w:sz w:val="24"/>
          <w:szCs w:val="24"/>
          <w:lang w:val="pt-BR"/>
        </w:rPr>
        <w:footnoteReference w:id="28"/>
      </w:r>
      <w:r w:rsidR="00586C70">
        <w:rPr>
          <w:rFonts w:asciiTheme="majorHAnsi" w:eastAsia="Malgun Gothic" w:hAnsiTheme="majorHAnsi" w:cs="Times New Roman"/>
          <w:sz w:val="24"/>
          <w:szCs w:val="24"/>
          <w:lang w:val="pt-BR"/>
        </w:rPr>
        <w:t>.</w:t>
      </w:r>
    </w:p>
    <w:p w:rsidR="00C2335E" w:rsidRPr="00C2335E" w:rsidRDefault="00C2335E" w:rsidP="00C2335E">
      <w:pPr>
        <w:spacing w:line="360" w:lineRule="auto"/>
        <w:rPr>
          <w:rFonts w:asciiTheme="majorHAnsi" w:hAnsiTheme="majorHAnsi" w:cs="Times New Roman"/>
          <w:sz w:val="24"/>
          <w:szCs w:val="24"/>
        </w:rPr>
      </w:pPr>
      <w:r w:rsidRPr="00C2335E">
        <w:rPr>
          <w:rFonts w:asciiTheme="majorHAnsi" w:eastAsia="Malgun Gothic" w:hAnsiTheme="majorHAnsi" w:cs="Times New Roman"/>
          <w:sz w:val="24"/>
          <w:szCs w:val="24"/>
          <w:lang w:val="pt-BR"/>
        </w:rPr>
        <w:t xml:space="preserve">Outro argumento que milita em favor desta posição é apresentado por </w:t>
      </w:r>
      <w:r w:rsidR="00BE7A3E">
        <w:rPr>
          <w:rFonts w:asciiTheme="majorHAnsi" w:eastAsia="Malgun Gothic" w:hAnsiTheme="majorHAnsi" w:cs="Times New Roman"/>
          <w:sz w:val="24"/>
          <w:szCs w:val="24"/>
          <w:lang w:val="pt-BR"/>
        </w:rPr>
        <w:t xml:space="preserve">Teixeira de Abreu </w:t>
      </w:r>
      <w:r w:rsidRPr="00C2335E">
        <w:rPr>
          <w:rFonts w:asciiTheme="majorHAnsi" w:eastAsia="Malgun Gothic" w:hAnsiTheme="majorHAnsi" w:cs="Times New Roman"/>
          <w:sz w:val="24"/>
          <w:szCs w:val="24"/>
          <w:lang w:val="pt-BR"/>
        </w:rPr>
        <w:t xml:space="preserve">que entende que as operações de tesouraria são operações sujeitas a deliberação do órgão competente, ou seja, estão sujeitas a aprovação do conselho de administração de cada empresa participante e sob esta administração recaem as regras dos artigos 69.º e 425.º ambos da LSC. Tal obrigatoriedade tem como pano de fundo, a necessidade de salvaguardar o interesse de cada empresa participante, nomeadamente, quanto a percentagem de juros que lhe caberiam receber, ou mesmo os juros que lhe são imputados. </w:t>
      </w:r>
      <w:r w:rsidRPr="00C2335E">
        <w:rPr>
          <w:rStyle w:val="Refdenotaderodap"/>
          <w:rFonts w:asciiTheme="majorHAnsi" w:hAnsiTheme="majorHAnsi" w:cs="Times New Roman"/>
          <w:sz w:val="24"/>
          <w:szCs w:val="24"/>
        </w:rPr>
        <w:footnoteReference w:id="29"/>
      </w:r>
    </w:p>
    <w:p w:rsidR="00C2335E" w:rsidRPr="003A431C" w:rsidRDefault="00C2335E" w:rsidP="00BE7A3E">
      <w:pPr>
        <w:pStyle w:val="PargrafodaLista"/>
        <w:numPr>
          <w:ilvl w:val="2"/>
          <w:numId w:val="11"/>
        </w:numPr>
        <w:spacing w:before="0" w:after="200" w:line="360" w:lineRule="auto"/>
        <w:rPr>
          <w:rFonts w:asciiTheme="majorHAnsi" w:hAnsiTheme="majorHAnsi" w:cs="Times New Roman"/>
          <w:b/>
          <w:sz w:val="24"/>
          <w:szCs w:val="24"/>
          <w:lang w:val="pt-BR"/>
        </w:rPr>
      </w:pPr>
      <w:r w:rsidRPr="00BE7A3E">
        <w:rPr>
          <w:rFonts w:asciiTheme="majorHAnsi" w:hAnsiTheme="majorHAnsi" w:cs="Times New Roman"/>
          <w:b/>
          <w:sz w:val="24"/>
          <w:szCs w:val="24"/>
          <w:lang w:val="pt-BR"/>
        </w:rPr>
        <w:t xml:space="preserve">Elementos formais do </w:t>
      </w:r>
      <w:r w:rsidRPr="00BE7A3E">
        <w:rPr>
          <w:rFonts w:asciiTheme="majorHAnsi" w:hAnsiTheme="majorHAnsi" w:cs="Times New Roman"/>
          <w:b/>
          <w:i/>
          <w:sz w:val="24"/>
          <w:szCs w:val="24"/>
          <w:lang w:val="pt-BR"/>
        </w:rPr>
        <w:t>cash pooling</w:t>
      </w:r>
    </w:p>
    <w:p w:rsidR="003A431C" w:rsidRPr="00BE7A3E" w:rsidRDefault="003A431C" w:rsidP="003A431C">
      <w:pPr>
        <w:pStyle w:val="PargrafodaLista"/>
        <w:spacing w:before="0" w:after="200" w:line="360" w:lineRule="auto"/>
        <w:ind w:left="1440"/>
        <w:rPr>
          <w:rFonts w:asciiTheme="majorHAnsi" w:hAnsiTheme="majorHAnsi" w:cs="Times New Roman"/>
          <w:b/>
          <w:sz w:val="24"/>
          <w:szCs w:val="24"/>
          <w:lang w:val="pt-BR"/>
        </w:rPr>
      </w:pPr>
    </w:p>
    <w:p w:rsidR="00C2335E" w:rsidRPr="00BE7A3E" w:rsidRDefault="00C2335E" w:rsidP="00BE7A3E">
      <w:pPr>
        <w:pStyle w:val="PargrafodaLista"/>
        <w:numPr>
          <w:ilvl w:val="0"/>
          <w:numId w:val="10"/>
        </w:numPr>
        <w:spacing w:line="360" w:lineRule="auto"/>
        <w:rPr>
          <w:rFonts w:asciiTheme="majorHAnsi" w:hAnsiTheme="majorHAnsi" w:cs="Times New Roman"/>
          <w:b/>
          <w:sz w:val="24"/>
          <w:szCs w:val="24"/>
          <w:lang w:val="pt-BR"/>
        </w:rPr>
      </w:pPr>
      <w:r w:rsidRPr="00BE7A3E">
        <w:rPr>
          <w:rFonts w:asciiTheme="majorHAnsi" w:hAnsiTheme="majorHAnsi" w:cs="Times New Roman"/>
          <w:b/>
          <w:sz w:val="24"/>
          <w:szCs w:val="24"/>
          <w:lang w:val="pt-BR"/>
        </w:rPr>
        <w:t xml:space="preserve">Exigência de celebração de um contrato de </w:t>
      </w:r>
      <w:r w:rsidRPr="00BE7A3E">
        <w:rPr>
          <w:rFonts w:asciiTheme="majorHAnsi" w:hAnsiTheme="majorHAnsi" w:cs="Times New Roman"/>
          <w:b/>
          <w:i/>
          <w:sz w:val="24"/>
          <w:szCs w:val="24"/>
          <w:lang w:val="pt-BR"/>
        </w:rPr>
        <w:t>cash pooling</w:t>
      </w:r>
    </w:p>
    <w:p w:rsidR="003A431C"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celebração de qualquer contrato obedece a determinados critérios, critérios estes que, em função da sua natureza, podem ser mais ou menos complexo. A não tipificação de um regime jurídico para a figura do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gera a inexistência de normas próprias que regulem o contrato. A atipicidade do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a sua natureza complexa e o facto da adesão de um contrato de </w:t>
      </w:r>
      <w:r w:rsidRPr="00C2335E">
        <w:rPr>
          <w:rFonts w:asciiTheme="majorHAnsi" w:hAnsiTheme="majorHAnsi" w:cs="Times New Roman"/>
          <w:i/>
          <w:sz w:val="24"/>
          <w:szCs w:val="24"/>
          <w:lang w:val="pt-BR"/>
        </w:rPr>
        <w:t xml:space="preserve">cash pooling </w:t>
      </w:r>
      <w:r w:rsidR="003A431C">
        <w:rPr>
          <w:rFonts w:asciiTheme="majorHAnsi" w:hAnsiTheme="majorHAnsi" w:cs="Times New Roman"/>
          <w:sz w:val="24"/>
          <w:szCs w:val="24"/>
          <w:lang w:val="pt-BR"/>
        </w:rPr>
        <w:t>implica</w:t>
      </w:r>
      <w:r w:rsidR="00F2509B">
        <w:rPr>
          <w:rFonts w:asciiTheme="majorHAnsi" w:hAnsiTheme="majorHAnsi" w:cs="Times New Roman"/>
          <w:sz w:val="24"/>
          <w:szCs w:val="24"/>
          <w:lang w:val="pt-BR"/>
        </w:rPr>
        <w:t>r</w:t>
      </w:r>
      <w:r w:rsidRPr="00C2335E">
        <w:rPr>
          <w:rFonts w:asciiTheme="majorHAnsi" w:hAnsiTheme="majorHAnsi" w:cs="Times New Roman"/>
          <w:sz w:val="24"/>
          <w:szCs w:val="24"/>
          <w:lang w:val="pt-BR"/>
        </w:rPr>
        <w:t xml:space="preserve"> transferências de somas avultadas em dinheiro, o que em tese </w:t>
      </w:r>
      <w:r w:rsidR="00F2509B">
        <w:rPr>
          <w:rFonts w:asciiTheme="majorHAnsi" w:hAnsiTheme="majorHAnsi" w:cs="Times New Roman"/>
          <w:sz w:val="24"/>
          <w:szCs w:val="24"/>
          <w:lang w:val="pt-BR"/>
        </w:rPr>
        <w:t xml:space="preserve">, pode </w:t>
      </w:r>
      <w:r w:rsidRPr="00C2335E">
        <w:rPr>
          <w:rFonts w:asciiTheme="majorHAnsi" w:hAnsiTheme="majorHAnsi" w:cs="Times New Roman"/>
          <w:sz w:val="24"/>
          <w:szCs w:val="24"/>
          <w:lang w:val="pt-BR"/>
        </w:rPr>
        <w:t>gera</w:t>
      </w:r>
      <w:r w:rsidR="00F2509B">
        <w:rPr>
          <w:rFonts w:asciiTheme="majorHAnsi" w:hAnsiTheme="majorHAnsi" w:cs="Times New Roman"/>
          <w:sz w:val="24"/>
          <w:szCs w:val="24"/>
          <w:lang w:val="pt-BR"/>
        </w:rPr>
        <w:t>r</w:t>
      </w:r>
      <w:r w:rsidRPr="00C2335E">
        <w:rPr>
          <w:rFonts w:asciiTheme="majorHAnsi" w:hAnsiTheme="majorHAnsi" w:cs="Times New Roman"/>
          <w:sz w:val="24"/>
          <w:szCs w:val="24"/>
          <w:lang w:val="pt-BR"/>
        </w:rPr>
        <w:t xml:space="preserve"> riscos financeiros, </w:t>
      </w:r>
      <w:r w:rsidR="003A431C">
        <w:rPr>
          <w:rFonts w:asciiTheme="majorHAnsi" w:hAnsiTheme="majorHAnsi" w:cs="Times New Roman"/>
          <w:sz w:val="24"/>
          <w:szCs w:val="24"/>
          <w:lang w:val="pt-BR"/>
        </w:rPr>
        <w:t xml:space="preserve">dai justificar-se </w:t>
      </w:r>
      <w:r w:rsidRPr="00C2335E">
        <w:rPr>
          <w:rFonts w:asciiTheme="majorHAnsi" w:hAnsiTheme="majorHAnsi" w:cs="Times New Roman"/>
          <w:sz w:val="24"/>
          <w:szCs w:val="24"/>
          <w:lang w:val="pt-BR"/>
        </w:rPr>
        <w:t xml:space="preserve">a necessidade da celebração deste tipo de contrato  obedecer à forma escrita. </w:t>
      </w:r>
    </w:p>
    <w:p w:rsid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E será que a existência de um acordo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que não obedeça a forma escrita inviabiliza a prática de vários actos, tendentes a ges</w:t>
      </w:r>
      <w:r w:rsidR="003A431C">
        <w:rPr>
          <w:rFonts w:asciiTheme="majorHAnsi" w:hAnsiTheme="majorHAnsi" w:cs="Times New Roman"/>
          <w:sz w:val="24"/>
          <w:szCs w:val="24"/>
          <w:lang w:val="pt-BR"/>
        </w:rPr>
        <w:t xml:space="preserve">tão centralizada de tesouraria? </w:t>
      </w:r>
      <w:r w:rsidRPr="00C2335E">
        <w:rPr>
          <w:rFonts w:asciiTheme="majorHAnsi" w:hAnsiTheme="majorHAnsi" w:cs="Times New Roman"/>
          <w:sz w:val="24"/>
          <w:szCs w:val="24"/>
          <w:lang w:val="pt-BR"/>
        </w:rPr>
        <w:t xml:space="preserve">A </w:t>
      </w:r>
      <w:r w:rsidR="003A431C">
        <w:rPr>
          <w:rFonts w:asciiTheme="majorHAnsi" w:hAnsiTheme="majorHAnsi" w:cs="Times New Roman"/>
          <w:sz w:val="24"/>
          <w:szCs w:val="24"/>
          <w:lang w:val="pt-BR"/>
        </w:rPr>
        <w:t xml:space="preserve">resposta </w:t>
      </w:r>
      <w:r w:rsidR="004F6AEA">
        <w:rPr>
          <w:rFonts w:asciiTheme="majorHAnsi" w:hAnsiTheme="majorHAnsi" w:cs="Times New Roman"/>
          <w:sz w:val="24"/>
          <w:szCs w:val="24"/>
          <w:lang w:val="pt-BR"/>
        </w:rPr>
        <w:t>não pode ser positiva, porque apesar d</w:t>
      </w:r>
      <w:r w:rsidR="003A431C">
        <w:rPr>
          <w:rFonts w:asciiTheme="majorHAnsi" w:hAnsiTheme="majorHAnsi" w:cs="Times New Roman"/>
          <w:sz w:val="24"/>
          <w:szCs w:val="24"/>
          <w:lang w:val="pt-BR"/>
        </w:rPr>
        <w:t>a falta de u</w:t>
      </w:r>
      <w:r w:rsidR="00C856F6">
        <w:rPr>
          <w:rFonts w:asciiTheme="majorHAnsi" w:hAnsiTheme="majorHAnsi" w:cs="Times New Roman"/>
          <w:sz w:val="24"/>
          <w:szCs w:val="24"/>
          <w:lang w:val="pt-BR"/>
        </w:rPr>
        <w:t xml:space="preserve">m regime próprio para a figura, </w:t>
      </w:r>
      <w:r w:rsidR="003A431C">
        <w:rPr>
          <w:rFonts w:asciiTheme="majorHAnsi" w:hAnsiTheme="majorHAnsi" w:cs="Times New Roman"/>
          <w:sz w:val="24"/>
          <w:szCs w:val="24"/>
          <w:lang w:val="pt-BR"/>
        </w:rPr>
        <w:t>deixa</w:t>
      </w:r>
      <w:r w:rsidR="004F6AEA">
        <w:rPr>
          <w:rFonts w:asciiTheme="majorHAnsi" w:hAnsiTheme="majorHAnsi" w:cs="Times New Roman"/>
          <w:sz w:val="24"/>
          <w:szCs w:val="24"/>
          <w:lang w:val="pt-BR"/>
        </w:rPr>
        <w:t>r essa questão sem resposta</w:t>
      </w:r>
      <w:r w:rsidR="004A0BE5">
        <w:rPr>
          <w:rFonts w:asciiTheme="majorHAnsi" w:hAnsiTheme="majorHAnsi" w:cs="Times New Roman"/>
          <w:sz w:val="24"/>
          <w:szCs w:val="24"/>
          <w:lang w:val="pt-BR"/>
        </w:rPr>
        <w:t xml:space="preserve">, entendemos que não existe uma obrigatoriedade legal de obediência de forma, na celebração de um contrato de </w:t>
      </w:r>
      <w:r w:rsidR="004A0BE5" w:rsidRPr="004A0BE5">
        <w:rPr>
          <w:rFonts w:asciiTheme="majorHAnsi" w:hAnsiTheme="majorHAnsi" w:cs="Times New Roman"/>
          <w:i/>
          <w:sz w:val="24"/>
          <w:szCs w:val="24"/>
          <w:lang w:val="pt-BR"/>
        </w:rPr>
        <w:t>cash pooling</w:t>
      </w:r>
      <w:r w:rsidR="004A0BE5">
        <w:rPr>
          <w:rFonts w:asciiTheme="majorHAnsi" w:hAnsiTheme="majorHAnsi" w:cs="Times New Roman"/>
          <w:sz w:val="24"/>
          <w:szCs w:val="24"/>
          <w:lang w:val="pt-BR"/>
        </w:rPr>
        <w:t xml:space="preserve">, todavia, devido </w:t>
      </w:r>
      <w:r w:rsidR="003A431C">
        <w:rPr>
          <w:rFonts w:asciiTheme="majorHAnsi" w:hAnsiTheme="majorHAnsi" w:cs="Times New Roman"/>
          <w:sz w:val="24"/>
          <w:szCs w:val="24"/>
          <w:lang w:val="pt-BR"/>
        </w:rPr>
        <w:t>a complexidade deste sistema e os riscos financeiros que a sua adopção acarreta para os entes que celeb</w:t>
      </w:r>
      <w:r w:rsidR="004A0BE5">
        <w:rPr>
          <w:rFonts w:asciiTheme="majorHAnsi" w:hAnsiTheme="majorHAnsi" w:cs="Times New Roman"/>
          <w:sz w:val="24"/>
          <w:szCs w:val="24"/>
          <w:lang w:val="pt-BR"/>
        </w:rPr>
        <w:t>ram o contrato</w:t>
      </w:r>
      <w:r w:rsidRPr="00C2335E">
        <w:rPr>
          <w:rFonts w:asciiTheme="majorHAnsi" w:hAnsiTheme="majorHAnsi" w:cs="Times New Roman"/>
          <w:sz w:val="24"/>
          <w:szCs w:val="24"/>
          <w:lang w:val="pt-BR"/>
        </w:rPr>
        <w:t>,</w:t>
      </w:r>
      <w:r w:rsidR="004A0BE5">
        <w:rPr>
          <w:rFonts w:asciiTheme="majorHAnsi" w:hAnsiTheme="majorHAnsi" w:cs="Times New Roman"/>
          <w:sz w:val="24"/>
          <w:szCs w:val="24"/>
          <w:lang w:val="pt-BR"/>
        </w:rPr>
        <w:t xml:space="preserve"> somos de opinião de que </w:t>
      </w:r>
      <w:r w:rsidRPr="00C2335E">
        <w:rPr>
          <w:rFonts w:asciiTheme="majorHAnsi" w:hAnsiTheme="majorHAnsi" w:cs="Times New Roman"/>
          <w:sz w:val="24"/>
          <w:szCs w:val="24"/>
          <w:lang w:val="pt-BR"/>
        </w:rPr>
        <w:t xml:space="preserve">o acordo </w:t>
      </w:r>
      <w:r w:rsidR="004A0BE5">
        <w:rPr>
          <w:rFonts w:asciiTheme="majorHAnsi" w:hAnsiTheme="majorHAnsi" w:cs="Times New Roman"/>
          <w:sz w:val="24"/>
          <w:szCs w:val="24"/>
          <w:lang w:val="pt-BR"/>
        </w:rPr>
        <w:t>deve</w:t>
      </w:r>
      <w:r w:rsidR="003A431C">
        <w:rPr>
          <w:rFonts w:asciiTheme="majorHAnsi" w:hAnsiTheme="majorHAnsi" w:cs="Times New Roman"/>
          <w:sz w:val="24"/>
          <w:szCs w:val="24"/>
          <w:lang w:val="pt-BR"/>
        </w:rPr>
        <w:t xml:space="preserve"> sempre ser </w:t>
      </w:r>
      <w:r w:rsidRPr="00C2335E">
        <w:rPr>
          <w:rFonts w:asciiTheme="majorHAnsi" w:hAnsiTheme="majorHAnsi" w:cs="Times New Roman"/>
          <w:sz w:val="24"/>
          <w:szCs w:val="24"/>
          <w:lang w:val="pt-BR"/>
        </w:rPr>
        <w:t>celebrado por escrito.</w:t>
      </w:r>
    </w:p>
    <w:p w:rsidR="00C2335E" w:rsidRPr="00306E69" w:rsidRDefault="00C2335E" w:rsidP="00306E69">
      <w:pPr>
        <w:pStyle w:val="PargrafodaLista"/>
        <w:numPr>
          <w:ilvl w:val="0"/>
          <w:numId w:val="10"/>
        </w:numPr>
        <w:spacing w:line="360" w:lineRule="auto"/>
        <w:rPr>
          <w:rFonts w:asciiTheme="majorHAnsi" w:hAnsiTheme="majorHAnsi" w:cs="Times New Roman"/>
          <w:b/>
          <w:sz w:val="24"/>
          <w:szCs w:val="24"/>
          <w:lang w:val="pt-BR"/>
        </w:rPr>
      </w:pPr>
      <w:r w:rsidRPr="00306E69">
        <w:rPr>
          <w:rFonts w:asciiTheme="majorHAnsi" w:hAnsiTheme="majorHAnsi" w:cs="Times New Roman"/>
          <w:b/>
          <w:sz w:val="24"/>
          <w:szCs w:val="24"/>
          <w:lang w:val="pt-BR"/>
        </w:rPr>
        <w:t>Outras obrigações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Além da necessidade de obedecer à forma escrita é ainda exigível que as sociedades participantes no contrato de centralização de tesouraria cumpram com as normas de transparência e publicidade, previstas nos artigos 69.º e 168.º da LSC, sempre que estiverem em causa negócios vinculativos, ou seja, a obrigação traduzir-se-ia em incluir nos contratos ou outras operações vinculativas uma norma que faça referência ao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em que a sociedade esteja integrada. Tal exigência deverá estender-se às sociedades cotadas.</w:t>
      </w:r>
      <w:r w:rsidRPr="00C2335E">
        <w:rPr>
          <w:rStyle w:val="Refdenotaderodap"/>
          <w:rFonts w:asciiTheme="majorHAnsi" w:hAnsiTheme="majorHAnsi" w:cs="Times New Roman"/>
          <w:sz w:val="24"/>
          <w:szCs w:val="24"/>
          <w:lang w:val="pt-BR"/>
        </w:rPr>
        <w:footnoteReference w:id="30"/>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Vantagens na aplicação do sistema de </w:t>
      </w:r>
      <w:r w:rsidRPr="00C2335E">
        <w:rPr>
          <w:rFonts w:asciiTheme="majorHAnsi" w:hAnsiTheme="majorHAnsi" w:cs="Times New Roman"/>
          <w:b/>
          <w:i/>
          <w:sz w:val="24"/>
          <w:szCs w:val="24"/>
          <w:lang w:val="pt-BR"/>
        </w:rPr>
        <w:t>Cash pooling</w:t>
      </w:r>
      <w:r w:rsidRPr="00C2335E">
        <w:rPr>
          <w:rFonts w:asciiTheme="majorHAnsi" w:hAnsiTheme="majorHAnsi" w:cs="Times New Roman"/>
          <w:b/>
          <w:sz w:val="24"/>
          <w:szCs w:val="24"/>
          <w:lang w:val="pt-BR"/>
        </w:rPr>
        <w:t>.</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principal vantagem da adopção de um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para um grupo de sociedade é permitir o recurso inicial do capital interno por parte das sociedades participantes, sem que seja necessário utilizar fontes externas de financiamento. Outra vantagem, ass</w:t>
      </w:r>
      <w:r w:rsidR="00306E69">
        <w:rPr>
          <w:rFonts w:asciiTheme="majorHAnsi" w:hAnsiTheme="majorHAnsi" w:cs="Times New Roman"/>
          <w:sz w:val="24"/>
          <w:szCs w:val="24"/>
          <w:lang w:val="pt-BR"/>
        </w:rPr>
        <w:t xml:space="preserve">inalada pelo autor Rebel </w:t>
      </w:r>
      <w:r w:rsidRPr="00C2335E">
        <w:rPr>
          <w:rFonts w:asciiTheme="majorHAnsi" w:hAnsiTheme="majorHAnsi" w:cs="Times New Roman"/>
          <w:sz w:val="24"/>
          <w:szCs w:val="24"/>
          <w:lang w:val="pt-BR"/>
        </w:rPr>
        <w:t xml:space="preserve">assenta no facto da implementação do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permitir a  compensação de saldos devedores e credores entre as sociedades participantes no sistema.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implementação do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nas economias de grande escala pode também constituir um valor acrescentado, isso porque, com sistema deixa de ser necessário a gestão de várias contas, bastando para o efeito, a existência de uma “conta resumo” onde serão realizadas todas as transações, o que diminuirá de forma drástica os custos de transação, diminuirá a percentagem de juros (uma vez que estes passam a ser negociados numa única conta) e os rácios financeiros também serão melhores.</w:t>
      </w:r>
      <w:r w:rsidR="009D4071">
        <w:rPr>
          <w:rStyle w:val="Refdenotaderodap"/>
          <w:rFonts w:asciiTheme="majorHAnsi" w:hAnsiTheme="majorHAnsi" w:cs="Times New Roman"/>
          <w:sz w:val="24"/>
          <w:szCs w:val="24"/>
          <w:lang w:val="pt-BR"/>
        </w:rPr>
        <w:footnoteReference w:id="31"/>
      </w:r>
    </w:p>
    <w:p w:rsidR="00C2335E" w:rsidRPr="00C2335E" w:rsidRDefault="00F2509B"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Para o autor Weiner </w:t>
      </w:r>
      <w:r w:rsidR="00C2335E" w:rsidRPr="00C2335E">
        <w:rPr>
          <w:rFonts w:asciiTheme="majorHAnsi" w:hAnsiTheme="majorHAnsi" w:cs="Times New Roman"/>
          <w:sz w:val="24"/>
          <w:szCs w:val="24"/>
          <w:lang w:val="pt-BR"/>
        </w:rPr>
        <w:t>a centralização das a</w:t>
      </w:r>
      <w:r>
        <w:rPr>
          <w:rFonts w:asciiTheme="majorHAnsi" w:hAnsiTheme="majorHAnsi" w:cs="Times New Roman"/>
          <w:sz w:val="24"/>
          <w:szCs w:val="24"/>
          <w:lang w:val="pt-BR"/>
        </w:rPr>
        <w:t>c</w:t>
      </w:r>
      <w:r w:rsidR="00C2335E" w:rsidRPr="00C2335E">
        <w:rPr>
          <w:rFonts w:asciiTheme="majorHAnsi" w:hAnsiTheme="majorHAnsi" w:cs="Times New Roman"/>
          <w:sz w:val="24"/>
          <w:szCs w:val="24"/>
          <w:lang w:val="pt-BR"/>
        </w:rPr>
        <w:t xml:space="preserve">tividades de gestão e processamento facilitam o controlo, a informação está disponível em tempo real, a automação dos processos operacionais libertam tempo para iniciativas mais estratégicas, permite a mobilização do “caixa global” com custo mínimo e o acesso a opções de investimento de curto prazo para o excesso de liquidez. </w:t>
      </w:r>
      <w:r w:rsidR="00C2335E" w:rsidRPr="00C2335E">
        <w:rPr>
          <w:rStyle w:val="Refdenotaderodap"/>
          <w:rFonts w:asciiTheme="majorHAnsi" w:hAnsiTheme="majorHAnsi" w:cs="Times New Roman"/>
          <w:sz w:val="24"/>
          <w:szCs w:val="24"/>
          <w:lang w:val="pt-BR"/>
        </w:rPr>
        <w:footnoteReference w:id="32"/>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Por sua vez, os autores Retolaza e San-Jose </w:t>
      </w:r>
      <w:r w:rsidRPr="00C2335E">
        <w:rPr>
          <w:rStyle w:val="Refdenotaderodap"/>
          <w:rFonts w:asciiTheme="majorHAnsi" w:hAnsiTheme="majorHAnsi" w:cs="Times New Roman"/>
          <w:sz w:val="24"/>
          <w:szCs w:val="24"/>
          <w:lang w:val="pt-BR"/>
        </w:rPr>
        <w:footnoteReference w:id="33"/>
      </w:r>
      <w:r w:rsidRPr="00C2335E">
        <w:rPr>
          <w:rFonts w:asciiTheme="majorHAnsi" w:hAnsiTheme="majorHAnsi" w:cs="Times New Roman"/>
          <w:sz w:val="24"/>
          <w:szCs w:val="24"/>
          <w:lang w:val="pt-BR"/>
        </w:rPr>
        <w:t xml:space="preserve"> entendem que as vantagens do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podem revestir-se em dois tipos; benefícios quantitativos e qualitativos. Relativamente ao primeiro, o benefício assenta no facto das empresas, tanto as que realizam empréstimos, como as que recebem terem melhores retornos, </w:t>
      </w:r>
      <w:r w:rsidR="003F011F">
        <w:rPr>
          <w:rFonts w:asciiTheme="majorHAnsi" w:hAnsiTheme="majorHAnsi" w:cs="Times New Roman"/>
          <w:sz w:val="24"/>
          <w:szCs w:val="24"/>
          <w:lang w:val="pt-BR"/>
        </w:rPr>
        <w:t xml:space="preserve">ou seja, </w:t>
      </w:r>
      <w:r w:rsidRPr="00C2335E">
        <w:rPr>
          <w:rFonts w:asciiTheme="majorHAnsi" w:hAnsiTheme="majorHAnsi" w:cs="Times New Roman"/>
          <w:sz w:val="24"/>
          <w:szCs w:val="24"/>
          <w:lang w:val="pt-BR"/>
        </w:rPr>
        <w:t xml:space="preserve">os </w:t>
      </w:r>
      <w:r w:rsidRPr="003F011F">
        <w:rPr>
          <w:rFonts w:asciiTheme="majorHAnsi" w:hAnsiTheme="majorHAnsi" w:cs="Times New Roman"/>
          <w:i/>
          <w:sz w:val="24"/>
          <w:szCs w:val="24"/>
          <w:lang w:val="pt-BR"/>
        </w:rPr>
        <w:t>spread</w:t>
      </w:r>
      <w:r w:rsidRPr="00C2335E">
        <w:rPr>
          <w:rFonts w:asciiTheme="majorHAnsi" w:hAnsiTheme="majorHAnsi" w:cs="Times New Roman"/>
          <w:sz w:val="24"/>
          <w:szCs w:val="24"/>
          <w:lang w:val="pt-BR"/>
        </w:rPr>
        <w:t xml:space="preserve"> para as empresas que realizam emprestimos são maiores do que as que receberiam se </w:t>
      </w:r>
      <w:r w:rsidR="003F011F">
        <w:rPr>
          <w:rFonts w:asciiTheme="majorHAnsi" w:hAnsiTheme="majorHAnsi" w:cs="Times New Roman"/>
          <w:sz w:val="24"/>
          <w:szCs w:val="24"/>
          <w:lang w:val="pt-BR"/>
        </w:rPr>
        <w:t xml:space="preserve">a proveniência fosse de </w:t>
      </w:r>
      <w:r w:rsidRPr="00C2335E">
        <w:rPr>
          <w:rFonts w:asciiTheme="majorHAnsi" w:hAnsiTheme="majorHAnsi" w:cs="Times New Roman"/>
          <w:sz w:val="24"/>
          <w:szCs w:val="24"/>
          <w:lang w:val="pt-BR"/>
        </w:rPr>
        <w:t>uma instituição financeira</w:t>
      </w:r>
      <w:r w:rsidR="003F011F">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e as que pagam reembolsam menos do que aquilo que pagariam a uma instituição financeira; possibilita a consolidação de posições reduzindo saldos ociosos; a unificação das contas bancárias permite negociar em melhores condições com as instituições financeiras, pois o aumento do volume de negócios permite melhorar preços, conseguindo reduzir custos e melhorar taxas; permite a economia de custos indire</w:t>
      </w:r>
      <w:r w:rsidR="003F011F">
        <w:rPr>
          <w:rFonts w:asciiTheme="majorHAnsi" w:hAnsiTheme="majorHAnsi" w:cs="Times New Roman"/>
          <w:sz w:val="24"/>
          <w:szCs w:val="24"/>
          <w:lang w:val="pt-BR"/>
        </w:rPr>
        <w:t>c</w:t>
      </w:r>
      <w:r w:rsidRPr="00C2335E">
        <w:rPr>
          <w:rFonts w:asciiTheme="majorHAnsi" w:hAnsiTheme="majorHAnsi" w:cs="Times New Roman"/>
          <w:sz w:val="24"/>
          <w:szCs w:val="24"/>
          <w:lang w:val="pt-BR"/>
        </w:rPr>
        <w:t xml:space="preserve">tos no departamento de tesouraria de cada empresa, uma vez que, há um número menor de pessoas a gerir adequadamente o dinheiro de mais empresas; permite também a poupança na gestão da moeda, no entanto, essa gestão deve ser feita por </w:t>
      </w:r>
      <w:r w:rsidR="003F011F">
        <w:rPr>
          <w:rFonts w:asciiTheme="majorHAnsi" w:hAnsiTheme="majorHAnsi" w:cs="Times New Roman"/>
          <w:sz w:val="24"/>
          <w:szCs w:val="24"/>
          <w:lang w:val="pt-BR"/>
        </w:rPr>
        <w:t>técnicos especializado n</w:t>
      </w:r>
      <w:r w:rsidRPr="00C2335E">
        <w:rPr>
          <w:rFonts w:asciiTheme="majorHAnsi" w:hAnsiTheme="majorHAnsi" w:cs="Times New Roman"/>
          <w:sz w:val="24"/>
          <w:szCs w:val="24"/>
          <w:lang w:val="pt-BR"/>
        </w:rPr>
        <w:t xml:space="preserve">o mercado externo. Relativamente ao factor qualitativo os autores destacam que 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melhora a imagem do grupo junto das instituições financeiras, que melhora as condições financeiras e uma maior gestão profissional, com pessoas que se dedicam exclusivamente à tesouraria.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Para Polak</w:t>
      </w:r>
      <w:r w:rsidRPr="00C2335E">
        <w:rPr>
          <w:rStyle w:val="Refdenotaderodap"/>
          <w:rFonts w:asciiTheme="majorHAnsi" w:hAnsiTheme="majorHAnsi" w:cs="Times New Roman"/>
          <w:sz w:val="24"/>
          <w:szCs w:val="24"/>
          <w:lang w:val="pt-BR"/>
        </w:rPr>
        <w:footnoteReference w:id="34"/>
      </w:r>
      <w:r w:rsidR="003F011F">
        <w:rPr>
          <w:rFonts w:asciiTheme="majorHAnsi" w:hAnsiTheme="majorHAnsi" w:cs="Times New Roman"/>
          <w:sz w:val="24"/>
          <w:szCs w:val="24"/>
          <w:lang w:val="pt-BR"/>
        </w:rPr>
        <w:t xml:space="preserve">o </w:t>
      </w:r>
      <w:r w:rsidR="003F011F" w:rsidRPr="003F011F">
        <w:rPr>
          <w:rFonts w:asciiTheme="majorHAnsi" w:hAnsiTheme="majorHAnsi" w:cs="Times New Roman"/>
          <w:i/>
          <w:sz w:val="24"/>
          <w:szCs w:val="24"/>
          <w:lang w:val="pt-BR"/>
        </w:rPr>
        <w:t>cash pooling</w:t>
      </w:r>
      <w:r w:rsidR="008C3BF1">
        <w:rPr>
          <w:rFonts w:asciiTheme="majorHAnsi" w:hAnsiTheme="majorHAnsi" w:cs="Times New Roman"/>
          <w:i/>
          <w:sz w:val="24"/>
          <w:szCs w:val="24"/>
          <w:lang w:val="pt-BR"/>
        </w:rPr>
        <w:t xml:space="preserve"> </w:t>
      </w:r>
      <w:r w:rsidRPr="00C2335E">
        <w:rPr>
          <w:rFonts w:asciiTheme="majorHAnsi" w:hAnsiTheme="majorHAnsi" w:cs="Times New Roman"/>
          <w:sz w:val="24"/>
          <w:szCs w:val="24"/>
          <w:lang w:val="pt-BR"/>
        </w:rPr>
        <w:t xml:space="preserve">permite a redução do custo da dívida, aumenta o retorno do investimento, fornece conhecimentos para as unidades de negócio, reduz os riscos financeiros e garante a liquidez em todo o grupo. Por sua vez, Herrick e Gallanis </w:t>
      </w:r>
      <w:r w:rsidRPr="00C2335E">
        <w:rPr>
          <w:rStyle w:val="Refdenotaderodap"/>
          <w:rFonts w:asciiTheme="majorHAnsi" w:hAnsiTheme="majorHAnsi" w:cs="Times New Roman"/>
          <w:sz w:val="24"/>
          <w:szCs w:val="24"/>
          <w:lang w:val="pt-BR"/>
        </w:rPr>
        <w:footnoteReference w:id="35"/>
      </w:r>
      <w:r w:rsidRPr="00C2335E">
        <w:rPr>
          <w:rFonts w:asciiTheme="majorHAnsi" w:hAnsiTheme="majorHAnsi" w:cs="Times New Roman"/>
          <w:sz w:val="24"/>
          <w:szCs w:val="24"/>
          <w:lang w:val="pt-BR"/>
        </w:rPr>
        <w:t xml:space="preserve">, apresentam as vantagens do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em quatro vertentes (económica, controlo, gestão de risco e economias de escala). Quanto à vertente económica os autores destacam que 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permite a melhoria do “working capital management” através de um maior acesso ao dinheiro, resultando numa redução da dívida e maior retorno sobre o investimento devido ao excesso de fundos; a redução dos “cash flows” levando à melhoria da gestão de liquidez e a redução do número das contas bancárias, traduzindo-se em menores custos de transação e taxas bancárias.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Relativamente ao nível do controlo destacam a gestão normalizada de tesouraria. Quanto à gestão de risco apontam para uma gestão mais eficaz dos riscos de câmbio e de taxa de juro através de uma supervisão global; para a redução de custos com menor conversões de câmbio e transferências bancárias e uma visão global da exposição bancária. Por último, quanto às economias de escala, destacam o aumento da produtividade aproveitando a</w:t>
      </w:r>
      <w:r w:rsidR="008C3BF1">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centralização das actividades de tesouraria e tecnologia com vista a atingir uma maior produção com menos recursos humanos e a melhor gestão de processos através de indicad</w:t>
      </w:r>
      <w:r w:rsidR="00306E69">
        <w:rPr>
          <w:rFonts w:asciiTheme="majorHAnsi" w:hAnsiTheme="majorHAnsi" w:cs="Times New Roman"/>
          <w:sz w:val="24"/>
          <w:szCs w:val="24"/>
          <w:lang w:val="pt-BR"/>
        </w:rPr>
        <w:t xml:space="preserve">ores-chave de desempenho </w:t>
      </w:r>
      <w:r w:rsidRPr="00C2335E">
        <w:rPr>
          <w:rFonts w:asciiTheme="majorHAnsi" w:hAnsiTheme="majorHAnsi" w:cs="Times New Roman"/>
          <w:sz w:val="24"/>
          <w:szCs w:val="24"/>
          <w:lang w:val="pt-BR"/>
        </w:rPr>
        <w:t xml:space="preserve">padronizados. </w:t>
      </w:r>
      <w:r w:rsidRPr="00C2335E">
        <w:rPr>
          <w:rStyle w:val="Refdenotaderodap"/>
          <w:rFonts w:asciiTheme="majorHAnsi" w:hAnsiTheme="majorHAnsi" w:cs="Times New Roman"/>
          <w:sz w:val="24"/>
          <w:szCs w:val="24"/>
          <w:lang w:val="pt-BR"/>
        </w:rPr>
        <w:footnoteReference w:id="36"/>
      </w:r>
    </w:p>
    <w:p w:rsidR="006F073D" w:rsidRPr="00306E69" w:rsidRDefault="00C2335E" w:rsidP="00306E69">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Em síntese, um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permite a redução do endividamento externo do grupo, tendo em conta os custos e formalidades inerentes aos contratos de financiamento; a sociedade </w:t>
      </w:r>
      <w:r w:rsidRPr="00C2335E">
        <w:rPr>
          <w:rFonts w:asciiTheme="majorHAnsi" w:hAnsiTheme="majorHAnsi" w:cs="Times New Roman"/>
          <w:i/>
          <w:sz w:val="24"/>
          <w:szCs w:val="24"/>
          <w:lang w:val="pt-BR"/>
        </w:rPr>
        <w:t>pooler</w:t>
      </w:r>
      <w:r w:rsidRPr="00C2335E">
        <w:rPr>
          <w:rFonts w:asciiTheme="majorHAnsi" w:hAnsiTheme="majorHAnsi" w:cs="Times New Roman"/>
          <w:sz w:val="24"/>
          <w:szCs w:val="24"/>
          <w:lang w:val="pt-BR"/>
        </w:rPr>
        <w:t xml:space="preserve"> (centralizadora) passa a gerir da melhor forma os fluxos de liquidez oriundos das distintas sociedades periféricas, podendo até conceder financiamento às mesmas; permite a redução do risco de possuir contas do grupo em défice, bem como evita os excessos de liquidez; permite a redução de saldos inactivos, fruto da redução do número de contas bancárias; concede maior capacidade de manobra financeira, possibilitando o controlo imediato da liquidez do grupo. Com 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o grupo passa a dispor de uma solução global a nível da banca, tanta para as infra-estruturas locais como para as regionais; há uma supressão dos instrumentos de financiamentos locais para serem substituídos por instrumentos de créditos globais e  permite a compatibilização com as normas de segurança e standarts internacionais.</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Desvantagens na aplicação do sistema de </w:t>
      </w:r>
      <w:r w:rsidRPr="00C2335E">
        <w:rPr>
          <w:rFonts w:asciiTheme="majorHAnsi" w:hAnsiTheme="majorHAnsi" w:cs="Times New Roman"/>
          <w:b/>
          <w:i/>
          <w:sz w:val="24"/>
          <w:szCs w:val="24"/>
          <w:lang w:val="pt-BR"/>
        </w:rPr>
        <w:t>cash pooling</w:t>
      </w:r>
      <w:r w:rsidRPr="00C2335E">
        <w:rPr>
          <w:rFonts w:asciiTheme="majorHAnsi" w:hAnsiTheme="majorHAnsi" w:cs="Times New Roman"/>
          <w:b/>
          <w:sz w:val="24"/>
          <w:szCs w:val="24"/>
          <w:lang w:val="pt-BR"/>
        </w:rPr>
        <w:t>.</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Apesar das inúmeras vantagens que a implementação do sistema de gestão centralizada de tesouraria outorga, a mesma também acarreta riscos, tanto para as sociedades participantes, como para os credores externos;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Segundo Ana Perestrelo de Oliveira</w:t>
      </w:r>
      <w:r w:rsidRPr="00C2335E">
        <w:rPr>
          <w:rStyle w:val="Refdenotaderodap"/>
          <w:rFonts w:asciiTheme="majorHAnsi" w:hAnsiTheme="majorHAnsi" w:cs="Times New Roman"/>
          <w:sz w:val="24"/>
          <w:szCs w:val="24"/>
          <w:lang w:val="pt-BR"/>
        </w:rPr>
        <w:footnoteReference w:id="37"/>
      </w:r>
      <w:r w:rsidRPr="00C2335E">
        <w:rPr>
          <w:rFonts w:asciiTheme="majorHAnsi" w:hAnsiTheme="majorHAnsi" w:cs="Times New Roman"/>
          <w:sz w:val="24"/>
          <w:szCs w:val="24"/>
          <w:lang w:val="pt-BR"/>
        </w:rPr>
        <w:t xml:space="preserve">, com a implementação de um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as sociedades passam a partilhar o risco de liquidez das restantes participantes no sistema, colocando em cheque, a sua independência financeira.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As transferências diárias privam as subsidiárias participantes de meios líquidos, sendo estes substituídos por </w:t>
      </w:r>
      <w:r w:rsidR="008C3BF1">
        <w:rPr>
          <w:rFonts w:asciiTheme="majorHAnsi" w:hAnsiTheme="majorHAnsi" w:cs="Times New Roman"/>
          <w:sz w:val="24"/>
          <w:szCs w:val="24"/>
          <w:lang w:val="pt-BR"/>
        </w:rPr>
        <w:t xml:space="preserve">meras </w:t>
      </w:r>
      <w:r w:rsidRPr="00C2335E">
        <w:rPr>
          <w:rFonts w:asciiTheme="majorHAnsi" w:hAnsiTheme="majorHAnsi" w:cs="Times New Roman"/>
          <w:sz w:val="24"/>
          <w:szCs w:val="24"/>
          <w:lang w:val="pt-BR"/>
        </w:rPr>
        <w:t xml:space="preserve">pretensões de restituição contra a </w:t>
      </w:r>
      <w:r w:rsidR="008C3BF1">
        <w:rPr>
          <w:rFonts w:asciiTheme="majorHAnsi" w:hAnsiTheme="majorHAnsi" w:cs="Times New Roman"/>
          <w:sz w:val="24"/>
          <w:szCs w:val="24"/>
          <w:lang w:val="pt-BR"/>
        </w:rPr>
        <w:t>empresa-líder, que não garantem a mesma</w:t>
      </w:r>
      <w:r w:rsidRPr="00C2335E">
        <w:rPr>
          <w:rFonts w:asciiTheme="majorHAnsi" w:hAnsiTheme="majorHAnsi" w:cs="Times New Roman"/>
          <w:sz w:val="24"/>
          <w:szCs w:val="24"/>
          <w:lang w:val="pt-BR"/>
        </w:rPr>
        <w:t xml:space="preserve"> liquidez. Há necessidade de previsões confiáveis; as sociedades subsidiárias terão de realizar previsões e cobranças com maior cuidado e previsão, uma vez que, tais informações serão solicitadas pelo departamento central de tesouraria;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Outra desvantagem é a desmotivação das unidades centralizadas, fruto da perda de autonomia e das suas competências, ou seja, 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não atende de forma imediata às necessidades das unidades operacionais e pelo facto das sociedades participadas não deterem poder decisório, naturalmente, gera desmotivação.</w:t>
      </w:r>
    </w:p>
    <w:p w:rsidR="00C2335E" w:rsidRPr="00306E69" w:rsidRDefault="00C2335E" w:rsidP="00C2335E">
      <w:pPr>
        <w:autoSpaceDE w:val="0"/>
        <w:autoSpaceDN w:val="0"/>
        <w:adjustRightInd w:val="0"/>
        <w:spacing w:after="0" w:line="360" w:lineRule="auto"/>
        <w:rPr>
          <w:rFonts w:asciiTheme="majorHAnsi" w:hAnsiTheme="majorHAnsi" w:cs="Times New Roman"/>
          <w:iCs/>
          <w:sz w:val="24"/>
          <w:szCs w:val="24"/>
        </w:rPr>
      </w:pPr>
      <w:r w:rsidRPr="00C2335E">
        <w:rPr>
          <w:rFonts w:asciiTheme="majorHAnsi" w:hAnsiTheme="majorHAnsi" w:cs="Times New Roman"/>
          <w:sz w:val="24"/>
          <w:szCs w:val="24"/>
        </w:rPr>
        <w:t>Para Retolaza e San-Jose</w:t>
      </w:r>
      <w:r w:rsidRPr="00C2335E">
        <w:rPr>
          <w:rStyle w:val="Refdenotaderodap"/>
          <w:rFonts w:asciiTheme="majorHAnsi" w:hAnsiTheme="majorHAnsi" w:cs="Times New Roman"/>
          <w:sz w:val="24"/>
          <w:szCs w:val="24"/>
        </w:rPr>
        <w:footnoteReference w:id="38"/>
      </w:r>
      <w:r w:rsidRPr="00C2335E">
        <w:rPr>
          <w:rFonts w:asciiTheme="majorHAnsi" w:hAnsiTheme="majorHAnsi" w:cs="Times New Roman"/>
          <w:sz w:val="24"/>
          <w:szCs w:val="24"/>
        </w:rPr>
        <w:t xml:space="preserve">, no mercado financeiro internacional para a implementação do sistema de </w:t>
      </w:r>
      <w:r w:rsidRPr="00C2335E">
        <w:rPr>
          <w:rFonts w:asciiTheme="majorHAnsi" w:hAnsiTheme="majorHAnsi" w:cs="Times New Roman"/>
          <w:i/>
          <w:iCs/>
          <w:sz w:val="24"/>
          <w:szCs w:val="24"/>
        </w:rPr>
        <w:t xml:space="preserve">cash pooling </w:t>
      </w:r>
      <w:r w:rsidRPr="00C2335E">
        <w:rPr>
          <w:rFonts w:asciiTheme="majorHAnsi" w:hAnsiTheme="majorHAnsi" w:cs="Times New Roman"/>
          <w:iCs/>
          <w:sz w:val="24"/>
          <w:szCs w:val="24"/>
        </w:rPr>
        <w:t xml:space="preserve">é necessário que a </w:t>
      </w:r>
      <w:r w:rsidRPr="00C2335E">
        <w:rPr>
          <w:rFonts w:asciiTheme="majorHAnsi" w:hAnsiTheme="majorHAnsi" w:cs="Times New Roman"/>
          <w:i/>
          <w:iCs/>
          <w:sz w:val="24"/>
          <w:szCs w:val="24"/>
        </w:rPr>
        <w:t>priori</w:t>
      </w:r>
      <w:r w:rsidRPr="00C2335E">
        <w:rPr>
          <w:rFonts w:asciiTheme="majorHAnsi" w:hAnsiTheme="majorHAnsi" w:cs="Times New Roman"/>
          <w:iCs/>
          <w:sz w:val="24"/>
          <w:szCs w:val="24"/>
        </w:rPr>
        <w:t xml:space="preserve"> se tenha em linha</w:t>
      </w:r>
      <w:r w:rsidR="008C3BF1">
        <w:rPr>
          <w:rFonts w:asciiTheme="majorHAnsi" w:hAnsiTheme="majorHAnsi" w:cs="Times New Roman"/>
          <w:iCs/>
          <w:sz w:val="24"/>
          <w:szCs w:val="24"/>
        </w:rPr>
        <w:t>s de conta o regime jurídico do paí</w:t>
      </w:r>
      <w:r w:rsidRPr="00C2335E">
        <w:rPr>
          <w:rFonts w:asciiTheme="majorHAnsi" w:hAnsiTheme="majorHAnsi" w:cs="Times New Roman"/>
          <w:iCs/>
          <w:sz w:val="24"/>
          <w:szCs w:val="24"/>
        </w:rPr>
        <w:t>s onde este sistema deva ser implementado, isso porque</w:t>
      </w:r>
      <w:r w:rsidRPr="00C2335E">
        <w:rPr>
          <w:rFonts w:asciiTheme="majorHAnsi" w:hAnsiTheme="majorHAnsi" w:cs="Times New Roman"/>
          <w:i/>
          <w:iCs/>
          <w:sz w:val="24"/>
          <w:szCs w:val="24"/>
        </w:rPr>
        <w:t xml:space="preserve">, </w:t>
      </w:r>
      <w:r w:rsidRPr="00C2335E">
        <w:rPr>
          <w:rFonts w:asciiTheme="majorHAnsi" w:hAnsiTheme="majorHAnsi" w:cs="Times New Roman"/>
          <w:iCs/>
          <w:sz w:val="24"/>
          <w:szCs w:val="24"/>
        </w:rPr>
        <w:t>fruto da complexidade desta técnica, a sua implementação pode não ser possív</w:t>
      </w:r>
      <w:r w:rsidR="0030709B">
        <w:rPr>
          <w:rFonts w:asciiTheme="majorHAnsi" w:hAnsiTheme="majorHAnsi" w:cs="Times New Roman"/>
          <w:iCs/>
          <w:sz w:val="24"/>
          <w:szCs w:val="24"/>
        </w:rPr>
        <w:t>el em alguns países, dai se mostrar crucial</w:t>
      </w:r>
      <w:r w:rsidRPr="00C2335E">
        <w:rPr>
          <w:rFonts w:asciiTheme="majorHAnsi" w:hAnsiTheme="majorHAnsi" w:cs="Times New Roman"/>
          <w:iCs/>
          <w:sz w:val="24"/>
          <w:szCs w:val="24"/>
        </w:rPr>
        <w:t xml:space="preserve"> que se tenha um conhecimento aprofundado das leis existentes no pais onde se pretenda implementar o sistema.</w:t>
      </w:r>
    </w:p>
    <w:p w:rsidR="00C2335E" w:rsidRPr="00C2335E" w:rsidRDefault="00C2335E" w:rsidP="00C2335E">
      <w:pPr>
        <w:autoSpaceDE w:val="0"/>
        <w:autoSpaceDN w:val="0"/>
        <w:adjustRightInd w:val="0"/>
        <w:spacing w:after="0" w:line="360" w:lineRule="auto"/>
        <w:rPr>
          <w:rFonts w:asciiTheme="majorHAnsi" w:hAnsiTheme="majorHAnsi" w:cs="Times New Roman"/>
          <w:sz w:val="24"/>
          <w:szCs w:val="24"/>
        </w:rPr>
      </w:pPr>
      <w:r w:rsidRPr="00C2335E">
        <w:rPr>
          <w:rFonts w:asciiTheme="majorHAnsi" w:hAnsiTheme="majorHAnsi" w:cs="Times New Roman"/>
          <w:sz w:val="24"/>
          <w:szCs w:val="24"/>
        </w:rPr>
        <w:t>Por sua vez Rebel</w:t>
      </w:r>
      <w:r w:rsidRPr="00C2335E">
        <w:rPr>
          <w:rStyle w:val="Refdenotaderodap"/>
          <w:rFonts w:asciiTheme="majorHAnsi" w:hAnsiTheme="majorHAnsi" w:cs="Times New Roman"/>
          <w:sz w:val="24"/>
          <w:szCs w:val="24"/>
        </w:rPr>
        <w:footnoteReference w:id="39"/>
      </w:r>
      <w:r w:rsidRPr="00C2335E">
        <w:rPr>
          <w:rFonts w:asciiTheme="majorHAnsi" w:hAnsiTheme="majorHAnsi" w:cs="Times New Roman"/>
          <w:sz w:val="24"/>
          <w:szCs w:val="24"/>
        </w:rPr>
        <w:t xml:space="preserve">chama atenção para a necessidade de </w:t>
      </w:r>
      <w:r w:rsidR="00306E69" w:rsidRPr="00C2335E">
        <w:rPr>
          <w:rFonts w:asciiTheme="majorHAnsi" w:hAnsiTheme="majorHAnsi" w:cs="Times New Roman"/>
          <w:sz w:val="24"/>
          <w:szCs w:val="24"/>
        </w:rPr>
        <w:t>monitorização</w:t>
      </w:r>
      <w:r w:rsidRPr="00C2335E">
        <w:rPr>
          <w:rFonts w:asciiTheme="majorHAnsi" w:hAnsiTheme="majorHAnsi" w:cs="Times New Roman"/>
          <w:sz w:val="24"/>
          <w:szCs w:val="24"/>
        </w:rPr>
        <w:t xml:space="preserve"> intensa das estruturas de </w:t>
      </w:r>
      <w:r w:rsidRPr="00C2335E">
        <w:rPr>
          <w:rFonts w:asciiTheme="majorHAnsi" w:hAnsiTheme="majorHAnsi" w:cs="Times New Roman"/>
          <w:i/>
          <w:sz w:val="24"/>
          <w:szCs w:val="24"/>
        </w:rPr>
        <w:t>cash pooling</w:t>
      </w:r>
      <w:r w:rsidRPr="00C2335E">
        <w:rPr>
          <w:rFonts w:asciiTheme="majorHAnsi" w:hAnsiTheme="majorHAnsi" w:cs="Times New Roman"/>
          <w:sz w:val="24"/>
          <w:szCs w:val="24"/>
        </w:rPr>
        <w:t xml:space="preserve">, fruto da complexidade do sistema. Tal </w:t>
      </w:r>
      <w:r w:rsidR="00306E69" w:rsidRPr="00C2335E">
        <w:rPr>
          <w:rFonts w:asciiTheme="majorHAnsi" w:hAnsiTheme="majorHAnsi" w:cs="Times New Roman"/>
          <w:sz w:val="24"/>
          <w:szCs w:val="24"/>
        </w:rPr>
        <w:t>monitorização</w:t>
      </w:r>
      <w:r w:rsidRPr="00C2335E">
        <w:rPr>
          <w:rFonts w:asciiTheme="majorHAnsi" w:hAnsiTheme="majorHAnsi" w:cs="Times New Roman"/>
          <w:sz w:val="24"/>
          <w:szCs w:val="24"/>
        </w:rPr>
        <w:t>, passaria por se preparar relatórios de juros para todas as sociedades participantes,</w:t>
      </w:r>
      <w:r w:rsidR="00C856F6">
        <w:rPr>
          <w:rFonts w:asciiTheme="majorHAnsi" w:hAnsiTheme="majorHAnsi" w:cs="Times New Roman"/>
          <w:sz w:val="24"/>
          <w:szCs w:val="24"/>
        </w:rPr>
        <w:t xml:space="preserve"> </w:t>
      </w:r>
      <w:r w:rsidRPr="00C2335E">
        <w:rPr>
          <w:rFonts w:asciiTheme="majorHAnsi" w:hAnsiTheme="majorHAnsi" w:cs="Times New Roman"/>
          <w:sz w:val="24"/>
          <w:szCs w:val="24"/>
        </w:rPr>
        <w:t>levando a que o cálculo de validação dos juros se torne bastante complexo e demorado,</w:t>
      </w:r>
      <w:r w:rsidR="00C856F6">
        <w:rPr>
          <w:rFonts w:asciiTheme="majorHAnsi" w:hAnsiTheme="majorHAnsi" w:cs="Times New Roman"/>
          <w:sz w:val="24"/>
          <w:szCs w:val="24"/>
        </w:rPr>
        <w:t xml:space="preserve"> </w:t>
      </w:r>
      <w:r w:rsidRPr="00C2335E">
        <w:rPr>
          <w:rFonts w:asciiTheme="majorHAnsi" w:hAnsiTheme="majorHAnsi" w:cs="Times New Roman"/>
          <w:sz w:val="24"/>
          <w:szCs w:val="24"/>
        </w:rPr>
        <w:t>para além de ser necessário manter e actualizar toda a documentação relacionada com o</w:t>
      </w:r>
      <w:r w:rsidRPr="00C2335E">
        <w:rPr>
          <w:rFonts w:asciiTheme="majorHAnsi" w:hAnsiTheme="majorHAnsi" w:cs="Times New Roman"/>
          <w:i/>
          <w:iCs/>
          <w:sz w:val="24"/>
          <w:szCs w:val="24"/>
        </w:rPr>
        <w:t xml:space="preserve"> cash pooling</w:t>
      </w:r>
      <w:r w:rsidRPr="00C2335E">
        <w:rPr>
          <w:rFonts w:asciiTheme="majorHAnsi" w:hAnsiTheme="majorHAnsi" w:cs="Times New Roman"/>
          <w:sz w:val="24"/>
          <w:szCs w:val="24"/>
        </w:rPr>
        <w:t xml:space="preserve">. O autor assegura que a implementação de um sistema de gestão centralizada de tesouraria acarreta inúmeros custos; custos com honorários para os consultores e, por outro lado, na implementação ou reconfiguração de um novo </w:t>
      </w:r>
      <w:r w:rsidRPr="00C2335E">
        <w:rPr>
          <w:rFonts w:asciiTheme="majorHAnsi" w:hAnsiTheme="majorHAnsi" w:cs="Times New Roman"/>
          <w:i/>
          <w:iCs/>
          <w:sz w:val="24"/>
          <w:szCs w:val="24"/>
        </w:rPr>
        <w:t xml:space="preserve">Software </w:t>
      </w:r>
      <w:r w:rsidRPr="00C2335E">
        <w:rPr>
          <w:rFonts w:asciiTheme="majorHAnsi" w:hAnsiTheme="majorHAnsi" w:cs="Times New Roman"/>
          <w:sz w:val="24"/>
          <w:szCs w:val="24"/>
        </w:rPr>
        <w:t xml:space="preserve">de tesouraria necessário para monitorizar as estruturas de </w:t>
      </w:r>
      <w:r w:rsidRPr="00C2335E">
        <w:rPr>
          <w:rFonts w:asciiTheme="majorHAnsi" w:hAnsiTheme="majorHAnsi" w:cs="Times New Roman"/>
          <w:i/>
          <w:iCs/>
          <w:sz w:val="24"/>
          <w:szCs w:val="24"/>
        </w:rPr>
        <w:t>cash pooling</w:t>
      </w:r>
      <w:r w:rsidRPr="00C2335E">
        <w:rPr>
          <w:rFonts w:asciiTheme="majorHAnsi" w:hAnsiTheme="majorHAnsi" w:cs="Times New Roman"/>
          <w:sz w:val="24"/>
          <w:szCs w:val="24"/>
        </w:rPr>
        <w:t>.</w:t>
      </w:r>
      <w:r w:rsidR="001A25A1">
        <w:rPr>
          <w:rStyle w:val="Refdenotaderodap"/>
          <w:rFonts w:asciiTheme="majorHAnsi" w:hAnsiTheme="majorHAnsi" w:cs="Times New Roman"/>
          <w:sz w:val="24"/>
          <w:szCs w:val="24"/>
        </w:rPr>
        <w:footnoteReference w:id="40"/>
      </w:r>
    </w:p>
    <w:p w:rsidR="00C2335E" w:rsidRPr="00C2335E" w:rsidRDefault="00C2335E" w:rsidP="00C2335E">
      <w:pPr>
        <w:autoSpaceDE w:val="0"/>
        <w:autoSpaceDN w:val="0"/>
        <w:adjustRightInd w:val="0"/>
        <w:spacing w:after="0" w:line="360" w:lineRule="auto"/>
        <w:rPr>
          <w:rFonts w:asciiTheme="majorHAnsi" w:hAnsiTheme="majorHAnsi" w:cs="Times New Roman"/>
          <w:sz w:val="24"/>
          <w:szCs w:val="24"/>
        </w:rPr>
      </w:pPr>
      <w:r w:rsidRPr="00C2335E">
        <w:rPr>
          <w:rFonts w:asciiTheme="majorHAnsi" w:hAnsiTheme="majorHAnsi" w:cs="Times New Roman"/>
          <w:sz w:val="24"/>
          <w:szCs w:val="24"/>
        </w:rPr>
        <w:t xml:space="preserve">Por último, De La Espada </w:t>
      </w:r>
      <w:r w:rsidRPr="00C2335E">
        <w:rPr>
          <w:rStyle w:val="Refdenotaderodap"/>
          <w:rFonts w:asciiTheme="majorHAnsi" w:hAnsiTheme="majorHAnsi" w:cs="Times New Roman"/>
          <w:sz w:val="24"/>
          <w:szCs w:val="24"/>
        </w:rPr>
        <w:footnoteReference w:id="41"/>
      </w:r>
      <w:r w:rsidRPr="00C2335E">
        <w:rPr>
          <w:rFonts w:asciiTheme="majorHAnsi" w:hAnsiTheme="majorHAnsi" w:cs="Times New Roman"/>
          <w:sz w:val="24"/>
          <w:szCs w:val="24"/>
        </w:rPr>
        <w:t xml:space="preserve"> defende que um sistema de </w:t>
      </w:r>
      <w:r w:rsidRPr="00C2335E">
        <w:rPr>
          <w:rFonts w:asciiTheme="majorHAnsi" w:hAnsiTheme="majorHAnsi" w:cs="Times New Roman"/>
          <w:i/>
          <w:sz w:val="24"/>
          <w:szCs w:val="24"/>
        </w:rPr>
        <w:t>cash pooling</w:t>
      </w:r>
      <w:r w:rsidRPr="00C2335E">
        <w:rPr>
          <w:rFonts w:asciiTheme="majorHAnsi" w:hAnsiTheme="majorHAnsi" w:cs="Times New Roman"/>
          <w:sz w:val="24"/>
          <w:szCs w:val="24"/>
        </w:rPr>
        <w:t xml:space="preserve"> leva a que seja necessário deter uma estrutura maior para o departamento de tesouraria na entidade centralizadora, o que acarreta maiores custos com a estrutura central, fruto da reorganização dos sistemas informáticos e da centralização dos serviços bancários.</w:t>
      </w:r>
    </w:p>
    <w:p w:rsidR="00C2335E" w:rsidRDefault="00C2335E" w:rsidP="00C2335E">
      <w:pPr>
        <w:autoSpaceDE w:val="0"/>
        <w:autoSpaceDN w:val="0"/>
        <w:adjustRightInd w:val="0"/>
        <w:spacing w:after="0" w:line="360" w:lineRule="auto"/>
        <w:rPr>
          <w:rFonts w:asciiTheme="majorHAnsi" w:hAnsiTheme="majorHAnsi" w:cs="Times New Roman"/>
          <w:sz w:val="24"/>
          <w:szCs w:val="24"/>
        </w:rPr>
      </w:pPr>
      <w:r w:rsidRPr="00C2335E">
        <w:rPr>
          <w:rFonts w:asciiTheme="majorHAnsi" w:hAnsiTheme="majorHAnsi" w:cs="Times New Roman"/>
          <w:sz w:val="24"/>
          <w:szCs w:val="24"/>
        </w:rPr>
        <w:t xml:space="preserve">Apesar das inúmeras vantagens que a implementação de um sistema de </w:t>
      </w:r>
      <w:r w:rsidR="001A25A1" w:rsidRPr="00C856F6">
        <w:rPr>
          <w:rFonts w:asciiTheme="majorHAnsi" w:hAnsiTheme="majorHAnsi" w:cs="Times New Roman"/>
          <w:i/>
          <w:sz w:val="24"/>
          <w:szCs w:val="24"/>
        </w:rPr>
        <w:t>cash pooling</w:t>
      </w:r>
      <w:r w:rsidR="001A25A1">
        <w:rPr>
          <w:rFonts w:asciiTheme="majorHAnsi" w:hAnsiTheme="majorHAnsi" w:cs="Times New Roman"/>
          <w:sz w:val="24"/>
          <w:szCs w:val="24"/>
        </w:rPr>
        <w:t xml:space="preserve"> </w:t>
      </w:r>
      <w:r w:rsidRPr="00C2335E">
        <w:rPr>
          <w:rFonts w:asciiTheme="majorHAnsi" w:hAnsiTheme="majorHAnsi" w:cs="Times New Roman"/>
          <w:sz w:val="24"/>
          <w:szCs w:val="24"/>
        </w:rPr>
        <w:t xml:space="preserve">acarreta, não podemos nos esquecer que a adopção deste tipo de estrutura traz consigo riscos; riscos para as empresas participadas que ao transferirem capital para a conta centralizadora, assumem o risco de não serem pagos, riscos das empresas participadas decretarem falência, e também, porque as fontes de financiamento das empresas que adoptam este tipo de sistema são pouco diversificadas, pode gerar falta de liquidez.  </w:t>
      </w:r>
    </w:p>
    <w:p w:rsidR="0030709B" w:rsidRDefault="002805AE" w:rsidP="00C2335E">
      <w:pPr>
        <w:autoSpaceDE w:val="0"/>
        <w:autoSpaceDN w:val="0"/>
        <w:adjustRightInd w:val="0"/>
        <w:spacing w:after="0" w:line="360" w:lineRule="auto"/>
        <w:rPr>
          <w:rFonts w:asciiTheme="majorHAnsi" w:hAnsiTheme="majorHAnsi" w:cs="Times New Roman"/>
          <w:sz w:val="24"/>
          <w:szCs w:val="24"/>
        </w:rPr>
      </w:pPr>
      <w:r>
        <w:rPr>
          <w:rFonts w:asciiTheme="majorHAnsi" w:hAnsiTheme="majorHAnsi" w:cs="Times New Roman"/>
          <w:sz w:val="24"/>
          <w:szCs w:val="24"/>
        </w:rPr>
        <w:t xml:space="preserve">Estes </w:t>
      </w:r>
      <w:r w:rsidR="00386240">
        <w:rPr>
          <w:rFonts w:asciiTheme="majorHAnsi" w:hAnsiTheme="majorHAnsi" w:cs="Times New Roman"/>
          <w:sz w:val="24"/>
          <w:szCs w:val="24"/>
        </w:rPr>
        <w:t xml:space="preserve">riscos, agudizados </w:t>
      </w:r>
      <w:r w:rsidR="0030709B">
        <w:rPr>
          <w:rFonts w:asciiTheme="majorHAnsi" w:hAnsiTheme="majorHAnsi" w:cs="Times New Roman"/>
          <w:sz w:val="24"/>
          <w:szCs w:val="24"/>
        </w:rPr>
        <w:t xml:space="preserve">com </w:t>
      </w:r>
      <w:r w:rsidR="00B92354">
        <w:rPr>
          <w:rFonts w:asciiTheme="majorHAnsi" w:hAnsiTheme="majorHAnsi" w:cs="Times New Roman"/>
          <w:sz w:val="24"/>
          <w:szCs w:val="24"/>
        </w:rPr>
        <w:t xml:space="preserve">a implementação do sistema, na modalidade do </w:t>
      </w:r>
      <w:r w:rsidR="00B92354" w:rsidRPr="00B92354">
        <w:rPr>
          <w:rFonts w:asciiTheme="majorHAnsi" w:hAnsiTheme="majorHAnsi" w:cs="Times New Roman"/>
          <w:i/>
          <w:sz w:val="24"/>
          <w:szCs w:val="24"/>
        </w:rPr>
        <w:t xml:space="preserve">cash concentration </w:t>
      </w:r>
      <w:r w:rsidR="00B92354" w:rsidRPr="00B92354">
        <w:rPr>
          <w:rFonts w:asciiTheme="majorHAnsi" w:hAnsiTheme="majorHAnsi" w:cs="Times New Roman"/>
          <w:sz w:val="24"/>
          <w:szCs w:val="24"/>
        </w:rPr>
        <w:t>ou</w:t>
      </w:r>
      <w:r w:rsidR="00B92354" w:rsidRPr="00B92354">
        <w:rPr>
          <w:rFonts w:asciiTheme="majorHAnsi" w:hAnsiTheme="majorHAnsi" w:cs="Times New Roman"/>
          <w:i/>
          <w:sz w:val="24"/>
          <w:szCs w:val="24"/>
        </w:rPr>
        <w:t xml:space="preserve"> zero balancing</w:t>
      </w:r>
      <w:r w:rsidR="00C856F6">
        <w:rPr>
          <w:rFonts w:asciiTheme="majorHAnsi" w:hAnsiTheme="majorHAnsi" w:cs="Times New Roman"/>
          <w:i/>
          <w:sz w:val="24"/>
          <w:szCs w:val="24"/>
        </w:rPr>
        <w:t xml:space="preserve"> </w:t>
      </w:r>
      <w:r w:rsidR="00B92354">
        <w:rPr>
          <w:rFonts w:asciiTheme="majorHAnsi" w:hAnsiTheme="majorHAnsi" w:cs="Times New Roman"/>
          <w:sz w:val="24"/>
          <w:szCs w:val="24"/>
        </w:rPr>
        <w:t>tê</w:t>
      </w:r>
      <w:r w:rsidR="00B92354" w:rsidRPr="00B92354">
        <w:rPr>
          <w:rFonts w:asciiTheme="majorHAnsi" w:hAnsiTheme="majorHAnsi" w:cs="Times New Roman"/>
          <w:sz w:val="24"/>
          <w:szCs w:val="24"/>
        </w:rPr>
        <w:t>m levado a que outros ordenamento</w:t>
      </w:r>
      <w:r w:rsidR="00B92354">
        <w:rPr>
          <w:rFonts w:asciiTheme="majorHAnsi" w:hAnsiTheme="majorHAnsi" w:cs="Times New Roman"/>
          <w:i/>
          <w:sz w:val="24"/>
          <w:szCs w:val="24"/>
        </w:rPr>
        <w:t>s</w:t>
      </w:r>
      <w:r w:rsidR="00B92354">
        <w:rPr>
          <w:rFonts w:asciiTheme="majorHAnsi" w:hAnsiTheme="majorHAnsi" w:cs="Times New Roman"/>
          <w:sz w:val="24"/>
          <w:szCs w:val="24"/>
        </w:rPr>
        <w:t xml:space="preserve"> estabeleçam regras bastante apertadas, para a adopção do sistema de </w:t>
      </w:r>
      <w:r w:rsidR="00B92354" w:rsidRPr="00B92354">
        <w:rPr>
          <w:rFonts w:asciiTheme="majorHAnsi" w:hAnsiTheme="majorHAnsi" w:cs="Times New Roman"/>
          <w:i/>
          <w:sz w:val="24"/>
          <w:szCs w:val="24"/>
        </w:rPr>
        <w:t>cash pooling</w:t>
      </w:r>
      <w:r w:rsidR="00B92354">
        <w:rPr>
          <w:rFonts w:asciiTheme="majorHAnsi" w:hAnsiTheme="majorHAnsi" w:cs="Times New Roman"/>
          <w:sz w:val="24"/>
          <w:szCs w:val="24"/>
        </w:rPr>
        <w:t xml:space="preserve">, pelas subsidiárias do grupo. </w:t>
      </w:r>
    </w:p>
    <w:p w:rsidR="00386240" w:rsidRPr="00155C49" w:rsidRDefault="003F011F" w:rsidP="00C2335E">
      <w:pPr>
        <w:autoSpaceDE w:val="0"/>
        <w:autoSpaceDN w:val="0"/>
        <w:adjustRightInd w:val="0"/>
        <w:spacing w:after="0" w:line="360" w:lineRule="auto"/>
        <w:rPr>
          <w:rFonts w:asciiTheme="majorHAnsi" w:hAnsiTheme="majorHAnsi" w:cs="Times New Roman"/>
          <w:sz w:val="24"/>
          <w:szCs w:val="24"/>
          <w:lang w:val="en-US"/>
        </w:rPr>
      </w:pPr>
      <w:r w:rsidRPr="00155C49">
        <w:rPr>
          <w:rFonts w:asciiTheme="majorHAnsi" w:hAnsiTheme="majorHAnsi" w:cs="Times New Roman"/>
          <w:sz w:val="24"/>
          <w:szCs w:val="24"/>
        </w:rPr>
        <w:t>Assim, e d</w:t>
      </w:r>
      <w:r w:rsidR="00386240" w:rsidRPr="00155C49">
        <w:rPr>
          <w:rFonts w:asciiTheme="majorHAnsi" w:hAnsiTheme="majorHAnsi" w:cs="Times New Roman"/>
          <w:sz w:val="24"/>
          <w:szCs w:val="24"/>
        </w:rPr>
        <w:t xml:space="preserve">e acordo com </w:t>
      </w:r>
      <w:r w:rsidR="00386240" w:rsidRPr="00155C49">
        <w:rPr>
          <w:rFonts w:asciiTheme="majorHAnsi" w:hAnsiTheme="majorHAnsi" w:cs="Times New Roman"/>
          <w:i/>
          <w:sz w:val="24"/>
          <w:szCs w:val="24"/>
        </w:rPr>
        <w:t>Rebe</w:t>
      </w:r>
      <w:r w:rsidR="00386240" w:rsidRPr="00155C49">
        <w:rPr>
          <w:rFonts w:asciiTheme="majorHAnsi" w:hAnsiTheme="majorHAnsi" w:cs="Times New Roman"/>
          <w:sz w:val="24"/>
          <w:szCs w:val="24"/>
        </w:rPr>
        <w:t>l, “(…</w:t>
      </w:r>
      <w:r w:rsidRPr="00155C49">
        <w:rPr>
          <w:rFonts w:asciiTheme="majorHAnsi" w:hAnsiTheme="majorHAnsi" w:cs="Times New Roman"/>
          <w:sz w:val="24"/>
          <w:szCs w:val="24"/>
        </w:rPr>
        <w:t>)</w:t>
      </w:r>
      <w:r w:rsidRPr="00155C49">
        <w:rPr>
          <w:rFonts w:asciiTheme="majorHAnsi" w:hAnsiTheme="majorHAnsi" w:cs="Times New Roman"/>
          <w:i/>
          <w:sz w:val="24"/>
          <w:szCs w:val="24"/>
        </w:rPr>
        <w:t xml:space="preserve"> </w:t>
      </w:r>
      <w:r w:rsidRPr="00386240">
        <w:rPr>
          <w:rFonts w:asciiTheme="majorHAnsi" w:hAnsiTheme="majorHAnsi" w:cs="Times New Roman"/>
          <w:i/>
          <w:sz w:val="24"/>
          <w:szCs w:val="24"/>
          <w:lang w:val="en-US"/>
        </w:rPr>
        <w:t>Thin</w:t>
      </w:r>
      <w:r w:rsidR="00386240" w:rsidRPr="00386240">
        <w:rPr>
          <w:rFonts w:asciiTheme="majorHAnsi" w:hAnsiTheme="majorHAnsi" w:cs="Times New Roman"/>
          <w:i/>
          <w:sz w:val="24"/>
          <w:szCs w:val="24"/>
          <w:lang w:val="en-US"/>
        </w:rPr>
        <w:t xml:space="preserve"> capitalization rules and withholding tax issues have always eroded the benefit and effectiveness of zero balance cash pooling and will continue to do so, amongst others because it requires frequent advice from tax and legal consultants. But also because companies might wanterr at the safe side and maintain more capital than otherwise necessary in entities governed by thin capitalization rules. However the conditions required for participation of German subsidiaries in cash concentration schemes as stated in a recent verdict by the German High Court provide a new dimension to the issue and might make it difficult, if not impossible to include German entities in an international z</w:t>
      </w:r>
      <w:r w:rsidR="00386240">
        <w:rPr>
          <w:rFonts w:asciiTheme="majorHAnsi" w:hAnsiTheme="majorHAnsi" w:cs="Times New Roman"/>
          <w:i/>
          <w:sz w:val="24"/>
          <w:szCs w:val="24"/>
          <w:lang w:val="en-US"/>
        </w:rPr>
        <w:t>ero balance cash pool structure”</w:t>
      </w:r>
      <w:r w:rsidR="00386240" w:rsidRPr="00386240">
        <w:rPr>
          <w:rFonts w:asciiTheme="majorHAnsi" w:hAnsiTheme="majorHAnsi" w:cs="Times New Roman"/>
          <w:sz w:val="24"/>
          <w:szCs w:val="24"/>
          <w:lang w:val="en-US"/>
        </w:rPr>
        <w:t>.</w:t>
      </w:r>
      <w:r w:rsidR="00386240">
        <w:rPr>
          <w:rStyle w:val="Refdenotaderodap"/>
          <w:rFonts w:asciiTheme="majorHAnsi" w:hAnsiTheme="majorHAnsi" w:cs="Times New Roman"/>
          <w:i/>
          <w:sz w:val="24"/>
          <w:szCs w:val="24"/>
          <w:lang w:val="en-US"/>
        </w:rPr>
        <w:footnoteReference w:id="42"/>
      </w:r>
    </w:p>
    <w:p w:rsidR="003F011F" w:rsidRPr="005516C4" w:rsidRDefault="00783F1F" w:rsidP="005516C4">
      <w:pPr>
        <w:spacing w:after="0" w:line="360" w:lineRule="auto"/>
        <w:rPr>
          <w:rFonts w:asciiTheme="majorHAnsi" w:eastAsia="Batang" w:hAnsiTheme="majorHAnsi" w:cs="Times New Roman"/>
          <w:sz w:val="24"/>
          <w:szCs w:val="24"/>
          <w:lang w:val="pt-BR"/>
        </w:rPr>
      </w:pPr>
      <w:r w:rsidRPr="005516C4">
        <w:rPr>
          <w:rFonts w:asciiTheme="majorHAnsi" w:hAnsiTheme="majorHAnsi" w:cs="Times New Roman"/>
          <w:sz w:val="24"/>
          <w:szCs w:val="24"/>
        </w:rPr>
        <w:t xml:space="preserve">Apesar desta realidade, entre nós continuamos a </w:t>
      </w:r>
      <w:r w:rsidR="003F011F" w:rsidRPr="005516C4">
        <w:rPr>
          <w:rFonts w:asciiTheme="majorHAnsi" w:hAnsiTheme="majorHAnsi" w:cs="Times New Roman"/>
          <w:sz w:val="24"/>
          <w:szCs w:val="24"/>
        </w:rPr>
        <w:t xml:space="preserve">acreditar que a realidade do grupo de sociedades é uma </w:t>
      </w:r>
      <w:r w:rsidR="0030709B">
        <w:rPr>
          <w:rFonts w:asciiTheme="majorHAnsi" w:eastAsia="Batang" w:hAnsiTheme="majorHAnsi" w:cs="Times New Roman"/>
          <w:sz w:val="24"/>
          <w:szCs w:val="24"/>
          <w:lang w:val="pt-BR"/>
        </w:rPr>
        <w:t>realidade</w:t>
      </w:r>
      <w:r w:rsidR="003F011F" w:rsidRPr="005516C4">
        <w:rPr>
          <w:rFonts w:asciiTheme="majorHAnsi" w:eastAsia="Batang" w:hAnsiTheme="majorHAnsi" w:cs="Times New Roman"/>
          <w:sz w:val="24"/>
          <w:szCs w:val="24"/>
          <w:lang w:val="pt-BR"/>
        </w:rPr>
        <w:t xml:space="preserve"> especial, caracterizada por deter uma forte integração económica que leva a constantes transações e tomadas de decisões que visam o crescimento económico do grupo (decisões estas que aparentemente desvantajosas para alguma sociedade do grupo, mas que podem fazer crescer o grupo, enquanto unidade), dai que, as normas estabelecidas para esta realidade deveriam ser menos imperativas, para que desta forma, as transações que ocorrem nesta realidade especial tornem-se mais céleres, ou seja, há necessidade de haver uma maior flexibilização legislativa nas relações de grupo, o que se traduziria no estabelecimento de normas menos imperativa para quem adopte o sistema de </w:t>
      </w:r>
      <w:r w:rsidR="003F011F" w:rsidRPr="005516C4">
        <w:rPr>
          <w:rFonts w:asciiTheme="majorHAnsi" w:eastAsia="Batang" w:hAnsiTheme="majorHAnsi" w:cs="Times New Roman"/>
          <w:i/>
          <w:sz w:val="24"/>
          <w:szCs w:val="24"/>
          <w:lang w:val="pt-BR"/>
        </w:rPr>
        <w:t>cash pooling</w:t>
      </w:r>
      <w:r w:rsidR="003F011F" w:rsidRPr="005516C4">
        <w:rPr>
          <w:rFonts w:asciiTheme="majorHAnsi" w:eastAsia="Batang" w:hAnsiTheme="majorHAnsi" w:cs="Times New Roman"/>
          <w:sz w:val="24"/>
          <w:szCs w:val="24"/>
          <w:lang w:val="pt-BR"/>
        </w:rPr>
        <w:t xml:space="preserve">, sem descurar da necessidade de se estabelecer normas que protejam a liquidez das sociedades participantes no acordo.  </w:t>
      </w:r>
    </w:p>
    <w:p w:rsidR="005F3FC7" w:rsidRPr="00C2335E" w:rsidRDefault="003F011F" w:rsidP="00443C02">
      <w:pPr>
        <w:autoSpaceDE w:val="0"/>
        <w:autoSpaceDN w:val="0"/>
        <w:adjustRightInd w:val="0"/>
        <w:spacing w:after="0" w:line="360" w:lineRule="auto"/>
        <w:rPr>
          <w:rFonts w:asciiTheme="majorHAnsi" w:hAnsiTheme="majorHAnsi" w:cs="Times New Roman"/>
          <w:sz w:val="24"/>
          <w:szCs w:val="24"/>
        </w:rPr>
      </w:pPr>
      <w:r>
        <w:rPr>
          <w:rFonts w:asciiTheme="majorHAnsi" w:hAnsiTheme="majorHAnsi" w:cs="Times New Roman"/>
          <w:sz w:val="24"/>
          <w:szCs w:val="24"/>
        </w:rPr>
        <w:t xml:space="preserve">Entre nós, entendemos ainda que </w:t>
      </w:r>
      <w:r w:rsidR="00783F1F">
        <w:rPr>
          <w:rFonts w:asciiTheme="majorHAnsi" w:hAnsiTheme="majorHAnsi" w:cs="Times New Roman"/>
          <w:sz w:val="24"/>
          <w:szCs w:val="24"/>
        </w:rPr>
        <w:t xml:space="preserve">a implementação do sistema de </w:t>
      </w:r>
      <w:r w:rsidR="00783F1F" w:rsidRPr="00443C02">
        <w:rPr>
          <w:rFonts w:asciiTheme="majorHAnsi" w:hAnsiTheme="majorHAnsi" w:cs="Times New Roman"/>
          <w:i/>
          <w:sz w:val="24"/>
          <w:szCs w:val="24"/>
        </w:rPr>
        <w:t>cash pooling</w:t>
      </w:r>
      <w:r w:rsidR="00E77A0F">
        <w:rPr>
          <w:rFonts w:asciiTheme="majorHAnsi" w:hAnsiTheme="majorHAnsi" w:cs="Times New Roman"/>
          <w:sz w:val="24"/>
          <w:szCs w:val="24"/>
        </w:rPr>
        <w:t xml:space="preserve"> a nível </w:t>
      </w:r>
      <w:r w:rsidR="00783F1F">
        <w:rPr>
          <w:rFonts w:asciiTheme="majorHAnsi" w:hAnsiTheme="majorHAnsi" w:cs="Times New Roman"/>
          <w:sz w:val="24"/>
          <w:szCs w:val="24"/>
        </w:rPr>
        <w:t xml:space="preserve">do ordenamento jurídico angolano constitui verdadeiramente um valor acrescentado, na medida em que, </w:t>
      </w:r>
      <w:r w:rsidR="00EA44A9">
        <w:rPr>
          <w:rFonts w:asciiTheme="majorHAnsi" w:hAnsiTheme="majorHAnsi" w:cs="Times New Roman"/>
          <w:sz w:val="24"/>
          <w:szCs w:val="24"/>
        </w:rPr>
        <w:t>é um mei</w:t>
      </w:r>
      <w:r>
        <w:rPr>
          <w:rFonts w:asciiTheme="majorHAnsi" w:hAnsiTheme="majorHAnsi" w:cs="Times New Roman"/>
          <w:sz w:val="24"/>
          <w:szCs w:val="24"/>
        </w:rPr>
        <w:t xml:space="preserve">o alternativo de financiamento </w:t>
      </w:r>
      <w:r w:rsidR="00EA44A9">
        <w:rPr>
          <w:rFonts w:asciiTheme="majorHAnsi" w:hAnsiTheme="majorHAnsi" w:cs="Times New Roman"/>
          <w:sz w:val="24"/>
          <w:szCs w:val="24"/>
        </w:rPr>
        <w:t xml:space="preserve">que reduz o recurso ao financiamento externo, </w:t>
      </w:r>
      <w:r w:rsidR="00443C02">
        <w:rPr>
          <w:rFonts w:asciiTheme="majorHAnsi" w:hAnsiTheme="majorHAnsi" w:cs="Times New Roman"/>
          <w:sz w:val="24"/>
          <w:szCs w:val="24"/>
        </w:rPr>
        <w:t xml:space="preserve">melhora efectivamente os juros líquidos, facilita a administração, </w:t>
      </w:r>
      <w:r w:rsidR="006F073D">
        <w:rPr>
          <w:rFonts w:asciiTheme="majorHAnsi" w:hAnsiTheme="majorHAnsi" w:cs="Times New Roman"/>
          <w:sz w:val="24"/>
          <w:szCs w:val="24"/>
        </w:rPr>
        <w:t>e concede uma visão global da liquidez do grupo, vantagens que justificam a sua implementação de forma efectiva.</w:t>
      </w:r>
    </w:p>
    <w:p w:rsidR="00C2335E" w:rsidRPr="00C2335E" w:rsidRDefault="00C2335E" w:rsidP="00C2335E">
      <w:pPr>
        <w:autoSpaceDE w:val="0"/>
        <w:autoSpaceDN w:val="0"/>
        <w:adjustRightInd w:val="0"/>
        <w:spacing w:after="0" w:line="360" w:lineRule="auto"/>
        <w:rPr>
          <w:rFonts w:asciiTheme="majorHAnsi" w:hAnsiTheme="majorHAnsi" w:cs="Times New Roman"/>
          <w:sz w:val="24"/>
          <w:szCs w:val="24"/>
        </w:rPr>
      </w:pPr>
    </w:p>
    <w:p w:rsidR="00C2335E" w:rsidRPr="00C2335E" w:rsidRDefault="006F073D" w:rsidP="00C2335E">
      <w:pPr>
        <w:pStyle w:val="PargrafodaLista"/>
        <w:numPr>
          <w:ilvl w:val="0"/>
          <w:numId w:val="3"/>
        </w:numPr>
        <w:spacing w:before="0" w:after="200"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 xml:space="preserve">Implementação </w:t>
      </w:r>
      <w:r w:rsidR="00C2335E" w:rsidRPr="00C2335E">
        <w:rPr>
          <w:rFonts w:asciiTheme="majorHAnsi" w:hAnsiTheme="majorHAnsi" w:cs="Times New Roman"/>
          <w:b/>
          <w:sz w:val="24"/>
          <w:szCs w:val="24"/>
          <w:lang w:val="pt-BR"/>
        </w:rPr>
        <w:t xml:space="preserve">da figura do </w:t>
      </w:r>
      <w:r w:rsidR="00C2335E" w:rsidRPr="00C2335E">
        <w:rPr>
          <w:rFonts w:asciiTheme="majorHAnsi" w:hAnsiTheme="majorHAnsi" w:cs="Times New Roman"/>
          <w:b/>
          <w:i/>
          <w:sz w:val="24"/>
          <w:szCs w:val="24"/>
          <w:lang w:val="pt-BR"/>
        </w:rPr>
        <w:t>cash pooling</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Apesar d</w:t>
      </w:r>
      <w:r w:rsidR="006F073D">
        <w:rPr>
          <w:rFonts w:asciiTheme="majorHAnsi" w:hAnsiTheme="majorHAnsi" w:cs="Times New Roman"/>
          <w:sz w:val="24"/>
          <w:szCs w:val="24"/>
          <w:lang w:val="pt-BR"/>
        </w:rPr>
        <w:t>o sistema de cash pooling constituir uma mais-valia, a sua implem</w:t>
      </w:r>
      <w:r w:rsidR="0030709B">
        <w:rPr>
          <w:rFonts w:asciiTheme="majorHAnsi" w:hAnsiTheme="majorHAnsi" w:cs="Times New Roman"/>
          <w:sz w:val="24"/>
          <w:szCs w:val="24"/>
          <w:lang w:val="pt-BR"/>
        </w:rPr>
        <w:t>en</w:t>
      </w:r>
      <w:r w:rsidR="006F073D">
        <w:rPr>
          <w:rFonts w:asciiTheme="majorHAnsi" w:hAnsiTheme="majorHAnsi" w:cs="Times New Roman"/>
          <w:sz w:val="24"/>
          <w:szCs w:val="24"/>
          <w:lang w:val="pt-BR"/>
        </w:rPr>
        <w:t>t</w:t>
      </w:r>
      <w:r w:rsidR="0030709B">
        <w:rPr>
          <w:rFonts w:asciiTheme="majorHAnsi" w:hAnsiTheme="majorHAnsi" w:cs="Times New Roman"/>
          <w:sz w:val="24"/>
          <w:szCs w:val="24"/>
          <w:lang w:val="pt-BR"/>
        </w:rPr>
        <w:t>a</w:t>
      </w:r>
      <w:r w:rsidR="006F073D">
        <w:rPr>
          <w:rFonts w:asciiTheme="majorHAnsi" w:hAnsiTheme="majorHAnsi" w:cs="Times New Roman"/>
          <w:sz w:val="24"/>
          <w:szCs w:val="24"/>
          <w:lang w:val="pt-BR"/>
        </w:rPr>
        <w:t>ção</w:t>
      </w:r>
      <w:r w:rsidR="0030709B">
        <w:rPr>
          <w:rFonts w:asciiTheme="majorHAnsi" w:hAnsiTheme="majorHAnsi" w:cs="Times New Roman"/>
          <w:sz w:val="24"/>
          <w:szCs w:val="24"/>
          <w:lang w:val="pt-BR"/>
        </w:rPr>
        <w:t xml:space="preserve"> no seio de um grupo</w:t>
      </w:r>
      <w:r w:rsidR="006F073D">
        <w:rPr>
          <w:rFonts w:asciiTheme="majorHAnsi" w:hAnsiTheme="majorHAnsi" w:cs="Times New Roman"/>
          <w:sz w:val="24"/>
          <w:szCs w:val="24"/>
          <w:lang w:val="pt-BR"/>
        </w:rPr>
        <w:t xml:space="preserve"> deve ser feita de forma gradual. </w:t>
      </w:r>
      <w:r w:rsidR="0077158E">
        <w:rPr>
          <w:rFonts w:asciiTheme="majorHAnsi" w:hAnsiTheme="majorHAnsi" w:cs="Times New Roman"/>
          <w:sz w:val="24"/>
          <w:szCs w:val="24"/>
          <w:lang w:val="pt-BR"/>
        </w:rPr>
        <w:t>Fruto da sua natureza complexa, é necessário que inicialmente se estabeleça um conteúdo mínimo</w:t>
      </w:r>
      <w:r w:rsidRPr="00C2335E">
        <w:rPr>
          <w:rFonts w:asciiTheme="majorHAnsi" w:hAnsiTheme="majorHAnsi" w:cs="Times New Roman"/>
          <w:sz w:val="24"/>
          <w:szCs w:val="24"/>
          <w:lang w:val="pt-BR"/>
        </w:rPr>
        <w:t>, ou seja, a implementação deste tipo de sistema pressupõe que inicialmente haja um acordo – que em regra toma a forma de um mandato, por meio do qual, as sociedades participantes outorgam poderes à entidade centralizadora. Neste acordo define-se ainda;</w:t>
      </w:r>
    </w:p>
    <w:p w:rsidR="00C2335E" w:rsidRPr="00C2335E" w:rsidRDefault="00C2335E" w:rsidP="00732C53">
      <w:pPr>
        <w:spacing w:line="360" w:lineRule="auto"/>
        <w:ind w:firstLine="360"/>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ii) As regras e procedimentos de gestão de tesouraria a serem acordados com as instituições de crédito e, designadamente, se os excedentes serão </w:t>
      </w:r>
      <w:r w:rsidR="00732C53">
        <w:rPr>
          <w:rFonts w:asciiTheme="majorHAnsi" w:hAnsiTheme="majorHAnsi" w:cs="Times New Roman"/>
          <w:sz w:val="24"/>
          <w:szCs w:val="24"/>
          <w:lang w:val="pt-BR"/>
        </w:rPr>
        <w:t xml:space="preserve">meramente </w:t>
      </w:r>
      <w:r w:rsidRPr="00C2335E">
        <w:rPr>
          <w:rFonts w:asciiTheme="majorHAnsi" w:hAnsiTheme="majorHAnsi" w:cs="Times New Roman"/>
          <w:sz w:val="24"/>
          <w:szCs w:val="24"/>
          <w:lang w:val="pt-BR"/>
        </w:rPr>
        <w:t>e consolidados para efeitos de cálculo de juros (</w:t>
      </w:r>
      <w:r w:rsidRPr="0077158E">
        <w:rPr>
          <w:rFonts w:asciiTheme="majorHAnsi" w:hAnsiTheme="majorHAnsi" w:cs="Times New Roman"/>
          <w:i/>
          <w:sz w:val="24"/>
          <w:szCs w:val="24"/>
          <w:lang w:val="pt-BR"/>
        </w:rPr>
        <w:t>notional cash pooling</w:t>
      </w:r>
      <w:r w:rsidRPr="00C2335E">
        <w:rPr>
          <w:rFonts w:asciiTheme="majorHAnsi" w:hAnsiTheme="majorHAnsi" w:cs="Times New Roman"/>
          <w:sz w:val="24"/>
          <w:szCs w:val="24"/>
          <w:lang w:val="pt-BR"/>
        </w:rPr>
        <w:t>) ou se haverá uma efectiva transferência dos fundos (</w:t>
      </w:r>
      <w:r w:rsidRPr="0077158E">
        <w:rPr>
          <w:rFonts w:asciiTheme="majorHAnsi" w:hAnsiTheme="majorHAnsi" w:cs="Times New Roman"/>
          <w:i/>
          <w:sz w:val="24"/>
          <w:szCs w:val="24"/>
          <w:lang w:val="pt-BR"/>
        </w:rPr>
        <w:t>zero balancing</w:t>
      </w:r>
      <w:r w:rsidRPr="00C2335E">
        <w:rPr>
          <w:rFonts w:asciiTheme="majorHAnsi" w:hAnsiTheme="majorHAnsi" w:cs="Times New Roman"/>
          <w:sz w:val="24"/>
          <w:szCs w:val="24"/>
          <w:lang w:val="pt-BR"/>
        </w:rPr>
        <w:t>),</w:t>
      </w:r>
    </w:p>
    <w:p w:rsidR="00C2335E" w:rsidRPr="00C2335E" w:rsidRDefault="00C2335E" w:rsidP="00C2335E">
      <w:pPr>
        <w:spacing w:line="360" w:lineRule="auto"/>
        <w:ind w:firstLine="360"/>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 iii) A cobertura das necessidades das sociedades do grupo através de transferências efectuadas pela entidade centralizadora e </w:t>
      </w:r>
    </w:p>
    <w:p w:rsidR="00C2335E" w:rsidRPr="00C2335E" w:rsidRDefault="00C2335E" w:rsidP="00C2335E">
      <w:pPr>
        <w:spacing w:line="360" w:lineRule="auto"/>
        <w:ind w:firstLine="360"/>
        <w:rPr>
          <w:rFonts w:asciiTheme="majorHAnsi" w:hAnsiTheme="majorHAnsi" w:cs="Times New Roman"/>
          <w:sz w:val="24"/>
          <w:szCs w:val="24"/>
          <w:lang w:val="pt-BR"/>
        </w:rPr>
      </w:pPr>
      <w:r w:rsidRPr="00C2335E">
        <w:rPr>
          <w:rFonts w:asciiTheme="majorHAnsi" w:hAnsiTheme="majorHAnsi" w:cs="Times New Roman"/>
          <w:sz w:val="24"/>
          <w:szCs w:val="24"/>
          <w:lang w:val="pt-BR"/>
        </w:rPr>
        <w:t>iv) Eventualmente, convenciona-se também a responsabilidade da empresa gestora pela negociação de recursos e a aplicação de excedentes globais, entre outras cláusulas possíveis.</w:t>
      </w:r>
      <w:r w:rsidRPr="00C2335E">
        <w:rPr>
          <w:rStyle w:val="Refdenotaderodap"/>
          <w:rFonts w:asciiTheme="majorHAnsi" w:hAnsiTheme="majorHAnsi" w:cs="Times New Roman"/>
          <w:sz w:val="24"/>
          <w:szCs w:val="24"/>
          <w:lang w:val="pt-BR"/>
        </w:rPr>
        <w:footnoteReference w:id="43"/>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É ainda necessário um acordo das diversas sociedades com o banco, onde este se obriga a realizar transferências em nome e por conta destas sociedades (nos termos de um mandato). Em regra, as sociedades participantes do contrato obtêm créditos por meio dos excedentes de tesouraria, todavia é possível que estas sociedades participantes celebrem um contrato de crédito com a entidade bancária, com vista a obterem um financiamento, o que pressupõe uma responsabilidade solidária das distintas sociedades partes do acordo.</w:t>
      </w:r>
    </w:p>
    <w:p w:rsidR="00C2335E" w:rsidRPr="00C2335E" w:rsidRDefault="00C2335E" w:rsidP="00C2335E">
      <w:pPr>
        <w:spacing w:line="360" w:lineRule="auto"/>
        <w:ind w:firstLine="360"/>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Em suma, o contrato de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 xml:space="preserve">implica; </w:t>
      </w:r>
    </w:p>
    <w:p w:rsidR="00C2335E" w:rsidRPr="00C2335E" w:rsidRDefault="00C2335E" w:rsidP="00C2335E">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i) A abertura de uma conta junto de um banco e a consequente realização de depósitos bancários, </w:t>
      </w:r>
    </w:p>
    <w:p w:rsidR="00C2335E" w:rsidRPr="00C2335E" w:rsidRDefault="00C2335E" w:rsidP="00C2335E">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ii) A ordem de transferência (em forma de mandato), que pressupõe o estabelecimento de uma relação de conta-corrente ao nível do grupo, </w:t>
      </w:r>
    </w:p>
    <w:p w:rsidR="00C2335E" w:rsidRPr="00C2335E" w:rsidRDefault="00C2335E" w:rsidP="00C2335E">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iii) Transferências singulares de liquidez, que revestem a natureza de empréstimos;</w:t>
      </w:r>
    </w:p>
    <w:p w:rsidR="00C2335E" w:rsidRPr="00C2335E" w:rsidRDefault="00C2335E" w:rsidP="00C2335E">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iv) Eventualmente um contrato de crédito bancário, </w:t>
      </w:r>
    </w:p>
    <w:p w:rsidR="00C2335E" w:rsidRPr="00C2335E" w:rsidRDefault="00C2335E" w:rsidP="00C2335E">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v) a duração do contrato (que em regra deve ser por tempo indeterminado) e o direito de desistência unilateral para cada uma das sociedades participantes e</w:t>
      </w:r>
    </w:p>
    <w:p w:rsidR="00A65608" w:rsidRDefault="00C2335E" w:rsidP="00104961">
      <w:pPr>
        <w:pStyle w:val="PargrafodaLista"/>
        <w:numPr>
          <w:ilvl w:val="0"/>
          <w:numId w:val="6"/>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vi) Os detalhes sobre a circulação de informação e transparência entre os participantes do contrato (com destaque para a situação financeira das sociedades participantes). </w:t>
      </w:r>
      <w:r w:rsidRPr="00C2335E">
        <w:rPr>
          <w:rStyle w:val="Refdenotaderodap"/>
          <w:rFonts w:asciiTheme="majorHAnsi" w:hAnsiTheme="majorHAnsi" w:cs="Times New Roman"/>
          <w:sz w:val="24"/>
          <w:szCs w:val="24"/>
          <w:lang w:val="pt-BR"/>
        </w:rPr>
        <w:footnoteReference w:id="44"/>
      </w:r>
    </w:p>
    <w:p w:rsidR="00104961" w:rsidRPr="00104961" w:rsidRDefault="00104961" w:rsidP="00104961">
      <w:pPr>
        <w:pStyle w:val="PargrafodaLista"/>
        <w:spacing w:before="0" w:after="200" w:line="360" w:lineRule="auto"/>
        <w:ind w:left="1080"/>
        <w:rPr>
          <w:rFonts w:asciiTheme="majorHAnsi" w:hAnsiTheme="majorHAnsi" w:cs="Times New Roman"/>
          <w:sz w:val="24"/>
          <w:szCs w:val="24"/>
          <w:lang w:val="pt-BR"/>
        </w:rPr>
      </w:pP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A experiência africana do sistema de cash pooling</w:t>
      </w:r>
    </w:p>
    <w:p w:rsidR="00C2335E" w:rsidRPr="00C2335E" w:rsidRDefault="00C2335E" w:rsidP="00C2335E">
      <w:pPr>
        <w:spacing w:line="360" w:lineRule="auto"/>
        <w:ind w:firstLine="708"/>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a) Nos países africanos francófonos </w:t>
      </w:r>
      <w:r w:rsidRPr="00C2335E">
        <w:rPr>
          <w:rStyle w:val="Refdenotaderodap"/>
          <w:rFonts w:asciiTheme="majorHAnsi" w:hAnsiTheme="majorHAnsi" w:cs="Times New Roman"/>
          <w:b/>
          <w:sz w:val="24"/>
          <w:szCs w:val="24"/>
          <w:lang w:val="pt-BR"/>
        </w:rPr>
        <w:footnoteReference w:id="45"/>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 nível dos países africanos francófonos, a semelhança do que acontece em Angola, as operações de crédito são realizados de forma exclusiva pelos bancos e pelas instituições de crédito, todavia não são inviabilizadas a abertura de contas correntes entre sócios (que representem pelo menos 10% do capital social no espaço UEMOA e 5% no esp</w:t>
      </w:r>
      <w:r w:rsidR="008D482B">
        <w:rPr>
          <w:rFonts w:asciiTheme="majorHAnsi" w:hAnsiTheme="majorHAnsi" w:cs="Times New Roman"/>
          <w:sz w:val="24"/>
          <w:szCs w:val="24"/>
          <w:lang w:val="pt-BR"/>
        </w:rPr>
        <w:t>aço da CEMAC). O que quer dizer</w:t>
      </w:r>
      <w:r w:rsidRPr="00C2335E">
        <w:rPr>
          <w:rFonts w:asciiTheme="majorHAnsi" w:hAnsiTheme="majorHAnsi" w:cs="Times New Roman"/>
          <w:sz w:val="24"/>
          <w:szCs w:val="24"/>
          <w:lang w:val="pt-BR"/>
        </w:rPr>
        <w:t xml:space="preserve"> que para estes Estados membros</w:t>
      </w:r>
      <w:r w:rsidR="008D482B">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o monopólio bancário não será posto em causa</w:t>
      </w:r>
      <w:r w:rsidR="008D482B">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se uma empresa realizar operações de tesouraria com empresas que fazem parte do mesmo grupo (tendo sempre como pressuposto a existência de um poder de controlo efectivo, tanto directo como indirecto).</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Por outra, a realização das operações de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operadas por uma central de tesouraria situada no estrangeiro, obedece a um conjunto de formalismos e condições que constam da regulamentação cambial destes Estados membros que vão desde a declaração simples até a autorização, mediante a apresentação de documentação restritiva. Importa destacar que as condições para a realização de operações de crédito e empréstimos são mais rigorosas na área da CEMAC do que as da área da UEMOA.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Relativamente ao contrato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apesar da lei da OHADA relativo à lei das empresas comerciais e dos grupos de interesse económico no seu artigo 439º dispor que não seja necessário a aprovação do Conselho de Administração dos acordos e operações realizadas em condições regulares, a prática tem demonstrado que tais contratos devem ser submetidos aos processos de autorização prévia do Conselho de Administração. Tal imposição justifica-se pela necessidade de garantir que o montante do capital emprestado ou o montante dos juros pagos não possam ser considerados excessivos, ou pelo contrário, escassos.</w:t>
      </w:r>
    </w:p>
    <w:p w:rsidR="00C2335E" w:rsidRPr="00C2335E" w:rsidRDefault="00C2335E" w:rsidP="00C2335E">
      <w:pPr>
        <w:pStyle w:val="PargrafodaLista"/>
        <w:numPr>
          <w:ilvl w:val="0"/>
          <w:numId w:val="5"/>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Na África do Sul</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Na África do Sul não existem normas próprias que regulem o fenómeno do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 xml:space="preserve">nem tão pouco, regras fiscais para acordos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todavia para a sua aplicação é necessário atender as regras gerais anti-evasão, as regras de transferência de preços, bem como os regulamentos de controle. Relativamente às modalidades de cash pooling o </w:t>
      </w:r>
      <w:r w:rsidRPr="00C2335E">
        <w:rPr>
          <w:rFonts w:asciiTheme="majorHAnsi" w:hAnsiTheme="majorHAnsi" w:cs="Times New Roman"/>
          <w:i/>
          <w:sz w:val="24"/>
          <w:szCs w:val="24"/>
          <w:lang w:val="pt-BR"/>
        </w:rPr>
        <w:t>notional ou virtual cash pooling</w:t>
      </w:r>
      <w:r w:rsidRPr="00C2335E">
        <w:rPr>
          <w:rFonts w:asciiTheme="majorHAnsi" w:hAnsiTheme="majorHAnsi" w:cs="Times New Roman"/>
          <w:sz w:val="24"/>
          <w:szCs w:val="24"/>
          <w:lang w:val="pt-BR"/>
        </w:rPr>
        <w:t xml:space="preserve"> é praticado pela maior parte dos bancos locais e internacionais que fazem gestão de caixa na África do Sul, no entanto é vedada a prática entre grupos residentes e não-residentes.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Ainda para efeitos do </w:t>
      </w:r>
      <w:r w:rsidRPr="00C2335E">
        <w:rPr>
          <w:rFonts w:asciiTheme="majorHAnsi" w:hAnsiTheme="majorHAnsi" w:cs="Times New Roman"/>
          <w:i/>
          <w:sz w:val="24"/>
          <w:szCs w:val="24"/>
          <w:lang w:val="pt-BR"/>
        </w:rPr>
        <w:t>notional cash pooling</w:t>
      </w:r>
      <w:r w:rsidRPr="00C2335E">
        <w:rPr>
          <w:rFonts w:asciiTheme="majorHAnsi" w:hAnsiTheme="majorHAnsi" w:cs="Times New Roman"/>
          <w:sz w:val="24"/>
          <w:szCs w:val="24"/>
          <w:lang w:val="pt-BR"/>
        </w:rPr>
        <w:t xml:space="preserve"> cada sociedade participante no grupo detém personalidade jurídica, ou seja, é tida como uma entidade jurídica, daí que, uma ou mais entidades podem ser incluídas no grupo. Os empréstimos entre sociedades do mesmo grupo devem, como já fizemos referencia supra, obedecer às regras de transferência de preços e de capitalização</w:t>
      </w:r>
      <w:r w:rsidRPr="00C2335E">
        <w:rPr>
          <w:rStyle w:val="Refdenotaderodap"/>
          <w:rFonts w:asciiTheme="majorHAnsi" w:hAnsiTheme="majorHAnsi" w:cs="Times New Roman"/>
          <w:sz w:val="24"/>
          <w:szCs w:val="24"/>
          <w:lang w:val="pt-BR"/>
        </w:rPr>
        <w:footnoteReference w:id="46"/>
      </w:r>
      <w:r w:rsidRPr="00C2335E">
        <w:rPr>
          <w:rFonts w:asciiTheme="majorHAnsi" w:hAnsiTheme="majorHAnsi" w:cs="Times New Roman"/>
          <w:sz w:val="24"/>
          <w:szCs w:val="24"/>
          <w:lang w:val="pt-BR"/>
        </w:rPr>
        <w:t xml:space="preserve"> e não é permitido o </w:t>
      </w:r>
      <w:r w:rsidRPr="00C2335E">
        <w:rPr>
          <w:rFonts w:asciiTheme="majorHAnsi" w:hAnsiTheme="majorHAnsi" w:cs="Times New Roman"/>
          <w:i/>
          <w:sz w:val="24"/>
          <w:szCs w:val="24"/>
          <w:lang w:val="pt-BR"/>
        </w:rPr>
        <w:t>notional cash pooling</w:t>
      </w:r>
      <w:r w:rsidRPr="00C2335E">
        <w:rPr>
          <w:rFonts w:asciiTheme="majorHAnsi" w:hAnsiTheme="majorHAnsi" w:cs="Times New Roman"/>
          <w:sz w:val="24"/>
          <w:szCs w:val="24"/>
          <w:lang w:val="pt-BR"/>
        </w:rPr>
        <w:t xml:space="preserve"> transfronteiriço na África do Sul.</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No que tange à modalidade de </w:t>
      </w:r>
      <w:r w:rsidRPr="00C2335E">
        <w:rPr>
          <w:rFonts w:asciiTheme="majorHAnsi" w:hAnsiTheme="majorHAnsi" w:cs="Times New Roman"/>
          <w:i/>
          <w:sz w:val="24"/>
          <w:szCs w:val="24"/>
          <w:lang w:val="pt-BR"/>
        </w:rPr>
        <w:t>cash concentration</w:t>
      </w:r>
      <w:r w:rsidRPr="00C2335E">
        <w:rPr>
          <w:rFonts w:asciiTheme="majorHAnsi" w:hAnsiTheme="majorHAnsi" w:cs="Times New Roman"/>
          <w:sz w:val="24"/>
          <w:szCs w:val="24"/>
          <w:lang w:val="pt-BR"/>
        </w:rPr>
        <w:t xml:space="preserve"> ou </w:t>
      </w:r>
      <w:r w:rsidRPr="00C2335E">
        <w:rPr>
          <w:rFonts w:asciiTheme="majorHAnsi" w:hAnsiTheme="majorHAnsi" w:cs="Times New Roman"/>
          <w:i/>
          <w:sz w:val="24"/>
          <w:szCs w:val="24"/>
          <w:lang w:val="pt-BR"/>
        </w:rPr>
        <w:t>zero balancing</w:t>
      </w:r>
      <w:r w:rsidRPr="00C2335E">
        <w:rPr>
          <w:rFonts w:asciiTheme="majorHAnsi" w:hAnsiTheme="majorHAnsi" w:cs="Times New Roman"/>
          <w:sz w:val="24"/>
          <w:szCs w:val="24"/>
          <w:lang w:val="pt-BR"/>
        </w:rPr>
        <w:t xml:space="preserve"> é também praticado e permitido pela maior parte dos bancos comerciais na África do Sul, sendo a técnica mais utilizada. Apesar disso, a sua aplicação é restrita quando se trate de contas domésticas.</w:t>
      </w:r>
    </w:p>
    <w:p w:rsid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semelhança do </w:t>
      </w:r>
      <w:r w:rsidRPr="00C2335E">
        <w:rPr>
          <w:rFonts w:asciiTheme="majorHAnsi" w:hAnsiTheme="majorHAnsi" w:cs="Times New Roman"/>
          <w:i/>
          <w:sz w:val="24"/>
          <w:szCs w:val="24"/>
          <w:lang w:val="pt-BR"/>
        </w:rPr>
        <w:t>notional cash pooling</w:t>
      </w:r>
      <w:r w:rsidRPr="00C2335E">
        <w:rPr>
          <w:rFonts w:asciiTheme="majorHAnsi" w:hAnsiTheme="majorHAnsi" w:cs="Times New Roman"/>
          <w:sz w:val="24"/>
          <w:szCs w:val="24"/>
          <w:lang w:val="pt-BR"/>
        </w:rPr>
        <w:t>, o</w:t>
      </w:r>
      <w:r w:rsidR="008D482B">
        <w:rPr>
          <w:rFonts w:asciiTheme="majorHAnsi" w:hAnsiTheme="majorHAnsi" w:cs="Times New Roman"/>
          <w:sz w:val="24"/>
          <w:szCs w:val="24"/>
          <w:lang w:val="pt-BR"/>
        </w:rPr>
        <w:t xml:space="preserve"> </w:t>
      </w:r>
      <w:r w:rsidRPr="00C2335E">
        <w:rPr>
          <w:rFonts w:asciiTheme="majorHAnsi" w:hAnsiTheme="majorHAnsi" w:cs="Times New Roman"/>
          <w:i/>
          <w:sz w:val="24"/>
          <w:szCs w:val="24"/>
          <w:lang w:val="pt-BR"/>
        </w:rPr>
        <w:t>cash concentration</w:t>
      </w:r>
      <w:r w:rsidRPr="00C2335E">
        <w:rPr>
          <w:rFonts w:asciiTheme="majorHAnsi" w:hAnsiTheme="majorHAnsi" w:cs="Times New Roman"/>
          <w:sz w:val="24"/>
          <w:szCs w:val="24"/>
          <w:lang w:val="pt-BR"/>
        </w:rPr>
        <w:t xml:space="preserve"> transfronteiriço também não é permitido</w:t>
      </w:r>
      <w:r w:rsidRPr="00C2335E">
        <w:rPr>
          <w:rStyle w:val="Refdenotaderodap"/>
          <w:rFonts w:asciiTheme="majorHAnsi" w:hAnsiTheme="majorHAnsi" w:cs="Times New Roman"/>
          <w:sz w:val="24"/>
          <w:szCs w:val="24"/>
          <w:lang w:val="pt-BR"/>
        </w:rPr>
        <w:footnoteReference w:id="47"/>
      </w:r>
      <w:r w:rsidRPr="00C2335E">
        <w:rPr>
          <w:rFonts w:asciiTheme="majorHAnsi" w:hAnsiTheme="majorHAnsi" w:cs="Times New Roman"/>
          <w:sz w:val="24"/>
          <w:szCs w:val="24"/>
          <w:lang w:val="pt-BR"/>
        </w:rPr>
        <w:t xml:space="preserve">. </w:t>
      </w:r>
    </w:p>
    <w:p w:rsidR="00104961" w:rsidRPr="00C2335E" w:rsidRDefault="00104961" w:rsidP="00C2335E">
      <w:pPr>
        <w:spacing w:line="360" w:lineRule="auto"/>
        <w:rPr>
          <w:rFonts w:asciiTheme="majorHAnsi" w:hAnsiTheme="majorHAnsi" w:cs="Times New Roman"/>
          <w:sz w:val="24"/>
          <w:szCs w:val="24"/>
          <w:lang w:val="pt-BR"/>
        </w:rPr>
      </w:pPr>
    </w:p>
    <w:p w:rsidR="00C2335E" w:rsidRPr="00C2335E" w:rsidRDefault="00C2335E" w:rsidP="00C2335E">
      <w:pPr>
        <w:spacing w:line="360" w:lineRule="auto"/>
        <w:ind w:firstLine="708"/>
        <w:rPr>
          <w:rFonts w:asciiTheme="majorHAnsi" w:hAnsiTheme="majorHAnsi" w:cs="Times New Roman"/>
          <w:b/>
          <w:sz w:val="24"/>
          <w:szCs w:val="24"/>
          <w:lang w:val="pt-BR"/>
        </w:rPr>
      </w:pPr>
      <w:r w:rsidRPr="00C2335E">
        <w:rPr>
          <w:rFonts w:asciiTheme="majorHAnsi" w:hAnsiTheme="majorHAnsi" w:cs="Times New Roman"/>
          <w:b/>
          <w:sz w:val="24"/>
          <w:szCs w:val="24"/>
          <w:lang w:val="pt-BR"/>
        </w:rPr>
        <w:t>c) Na Nigéria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semelhança do que ocorre na África do Sul, na Nigéria também não existem normas próprias que regulem o fenómeno do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no entanto a modalidade de </w:t>
      </w:r>
      <w:r w:rsidRPr="00C2335E">
        <w:rPr>
          <w:rFonts w:asciiTheme="majorHAnsi" w:hAnsiTheme="majorHAnsi" w:cs="Times New Roman"/>
          <w:i/>
          <w:sz w:val="24"/>
          <w:szCs w:val="24"/>
          <w:lang w:val="pt-BR"/>
        </w:rPr>
        <w:t>notional cash pooling</w:t>
      </w:r>
      <w:r w:rsidRPr="00C2335E">
        <w:rPr>
          <w:rFonts w:asciiTheme="majorHAnsi" w:hAnsiTheme="majorHAnsi" w:cs="Times New Roman"/>
          <w:sz w:val="24"/>
          <w:szCs w:val="24"/>
          <w:lang w:val="pt-BR"/>
        </w:rPr>
        <w:t xml:space="preserve"> é permitida para as contas locais em moeda nacional, sendo a sua aplicação sujeita as regras da CBN. Quanto ao </w:t>
      </w:r>
      <w:r w:rsidRPr="00C2335E">
        <w:rPr>
          <w:rFonts w:asciiTheme="majorHAnsi" w:hAnsiTheme="majorHAnsi" w:cs="Times New Roman"/>
          <w:i/>
          <w:sz w:val="24"/>
          <w:szCs w:val="24"/>
          <w:lang w:val="pt-BR"/>
        </w:rPr>
        <w:t>cash concentration</w:t>
      </w:r>
      <w:r w:rsidRPr="00C2335E">
        <w:rPr>
          <w:rFonts w:asciiTheme="majorHAnsi" w:hAnsiTheme="majorHAnsi" w:cs="Times New Roman"/>
          <w:sz w:val="24"/>
          <w:szCs w:val="24"/>
          <w:lang w:val="pt-BR"/>
        </w:rPr>
        <w:t xml:space="preserve"> é praticado pelos bancos que possuem redes que operam em tempo real.</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transfronteiriço também não é permitido na Nigéria, devido aos regulamentos de controlo de câmbio.</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Verificamos que a nível dos países africanos, a falta de tipificação da figura do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leva a inúmeras restrições para a sua aplicação. Denota-se que a mesma não é na totalidade inviabilizada, mas as inúmeras regras para a sua aplicação, principalmente nos países africanos francófanos demonstra a falta de discussão quer a nível da doutrina, quer a nível jurisprudencial</w:t>
      </w:r>
      <w:r w:rsidR="008D482B">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da figura nestes países. A escolha destes países para estudo comparado foi feito com vista a estabelecer uma comparação no sentido negativo, ou seja, países onde a ausência de um regime legal para a figura gera uma inércia no estudo e aplicação do sistema a nível destes ordenamentos jurídicos.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 mesmo não acontece com os dois ordenamentos jurídicos infra mencionados, na medida em que, a falta de um regime próprio para a figura, não inviabilizou o estudo da mesma, nem tão pouco a sua aplicação. </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O sistema de </w:t>
      </w:r>
      <w:r w:rsidRPr="00AC4DAC">
        <w:rPr>
          <w:rFonts w:asciiTheme="majorHAnsi" w:hAnsiTheme="majorHAnsi" w:cs="Times New Roman"/>
          <w:b/>
          <w:i/>
          <w:sz w:val="24"/>
          <w:szCs w:val="24"/>
          <w:lang w:val="pt-BR"/>
        </w:rPr>
        <w:t>cash pooling</w:t>
      </w:r>
      <w:r w:rsidRPr="00C2335E">
        <w:rPr>
          <w:rFonts w:asciiTheme="majorHAnsi" w:hAnsiTheme="majorHAnsi" w:cs="Times New Roman"/>
          <w:b/>
          <w:sz w:val="24"/>
          <w:szCs w:val="24"/>
          <w:lang w:val="pt-BR"/>
        </w:rPr>
        <w:t xml:space="preserve"> na Alemanha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nível do ordenamento jurídico alemão também não existe um regime jurídico que rege o contrato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mas a participação das empresas num sistema de cash pooling acarreta uma série de riscos e de responsabilidade tanto para os administradores, como para os sócios das sociedades que nela participam. Isso corre porque há um conjunto de regras para a conservação da reserva do capital social que devem ser obedecidas, dai que o risco de responsabilidade civil ou penal é relativamente elevado para os administradores e para os sócios das sociedades que participam num acordo de </w:t>
      </w:r>
      <w:r w:rsidRPr="00C2335E">
        <w:rPr>
          <w:rFonts w:asciiTheme="majorHAnsi" w:hAnsiTheme="majorHAnsi" w:cs="Times New Roman"/>
          <w:i/>
          <w:sz w:val="24"/>
          <w:szCs w:val="24"/>
          <w:lang w:val="pt-BR"/>
        </w:rPr>
        <w:t>cash pooling</w:t>
      </w:r>
      <w:r w:rsidR="008070AB">
        <w:rPr>
          <w:rFonts w:asciiTheme="majorHAnsi" w:hAnsiTheme="majorHAnsi" w:cs="Times New Roman"/>
          <w:sz w:val="24"/>
          <w:szCs w:val="24"/>
          <w:lang w:val="pt-BR"/>
        </w:rPr>
        <w:t xml:space="preserve"> quando a sociedade te</w:t>
      </w:r>
      <w:r w:rsidRPr="00C2335E">
        <w:rPr>
          <w:rFonts w:asciiTheme="majorHAnsi" w:hAnsiTheme="majorHAnsi" w:cs="Times New Roman"/>
          <w:sz w:val="24"/>
          <w:szCs w:val="24"/>
          <w:lang w:val="pt-BR"/>
        </w:rPr>
        <w:t>m pouca liquidez e a sua adopção no sistema viola as regras da conservação do capital social.</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Para a implementação do sistema de </w:t>
      </w:r>
      <w:r w:rsidRPr="008D482B">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w:t>
      </w:r>
      <w:r w:rsidR="00A47743">
        <w:rPr>
          <w:rFonts w:asciiTheme="majorHAnsi" w:hAnsiTheme="majorHAnsi" w:cs="Times New Roman"/>
          <w:sz w:val="24"/>
          <w:szCs w:val="24"/>
          <w:lang w:val="pt-BR"/>
        </w:rPr>
        <w:t xml:space="preserve">num grupo de sociedades, </w:t>
      </w:r>
      <w:r w:rsidRPr="00C2335E">
        <w:rPr>
          <w:rFonts w:asciiTheme="majorHAnsi" w:hAnsiTheme="majorHAnsi" w:cs="Times New Roman"/>
          <w:sz w:val="24"/>
          <w:szCs w:val="24"/>
          <w:lang w:val="pt-BR"/>
        </w:rPr>
        <w:t xml:space="preserve">é necessário que os sócios aprovem a entrada da sociedade no acordo. Para tal, não é necessário que haja uma alteração aos estatutos da sociedade, uma vez que, a adopção de um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é tido como uma extensão da finalidade da sociedade. Apesar disso, pode no estatuto constar a obrigação dos sócios deliberarem sobre a aprovação da implementação do acordo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na sua sociedade.</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 artigo §43 do ("GmbHG") bem como o artigo § 93 do ("AktG") determinam que os administradores, na gestão das sociedades</w:t>
      </w:r>
      <w:r w:rsidR="00A47743">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estão vinculados aos deveres de cuidado e de lealdad</w:t>
      </w:r>
      <w:r w:rsidR="00A47743">
        <w:rPr>
          <w:rFonts w:asciiTheme="majorHAnsi" w:hAnsiTheme="majorHAnsi" w:cs="Times New Roman"/>
          <w:sz w:val="24"/>
          <w:szCs w:val="24"/>
          <w:lang w:val="pt-BR"/>
        </w:rPr>
        <w:t>e. Num contexto de inserção</w:t>
      </w:r>
      <w:r w:rsidRPr="00C2335E">
        <w:rPr>
          <w:rFonts w:asciiTheme="majorHAnsi" w:hAnsiTheme="majorHAnsi" w:cs="Times New Roman"/>
          <w:sz w:val="24"/>
          <w:szCs w:val="24"/>
          <w:lang w:val="pt-BR"/>
        </w:rPr>
        <w:t xml:space="preserve"> do sistema de </w:t>
      </w:r>
      <w:r w:rsidRPr="00A47743">
        <w:rPr>
          <w:rFonts w:asciiTheme="majorHAnsi" w:hAnsiTheme="majorHAnsi" w:cs="Times New Roman"/>
          <w:i/>
          <w:sz w:val="24"/>
          <w:szCs w:val="24"/>
          <w:lang w:val="pt-BR"/>
        </w:rPr>
        <w:t>cash pooling</w:t>
      </w:r>
      <w:r w:rsidR="00A47743">
        <w:rPr>
          <w:rFonts w:asciiTheme="majorHAnsi" w:hAnsiTheme="majorHAnsi" w:cs="Times New Roman"/>
          <w:i/>
          <w:sz w:val="24"/>
          <w:szCs w:val="24"/>
          <w:lang w:val="pt-BR"/>
        </w:rPr>
        <w:t>,</w:t>
      </w:r>
      <w:r w:rsidRPr="00C2335E">
        <w:rPr>
          <w:rFonts w:asciiTheme="majorHAnsi" w:hAnsiTheme="majorHAnsi" w:cs="Times New Roman"/>
          <w:sz w:val="24"/>
          <w:szCs w:val="24"/>
          <w:lang w:val="pt-BR"/>
        </w:rPr>
        <w:t xml:space="preserve"> estes deveres se concretizam se o grupo tiver tomado todas as medidas que garantam a </w:t>
      </w:r>
      <w:r w:rsidRPr="00A47743">
        <w:rPr>
          <w:rFonts w:asciiTheme="majorHAnsi" w:hAnsiTheme="majorHAnsi" w:cs="Times New Roman"/>
          <w:i/>
          <w:sz w:val="24"/>
          <w:szCs w:val="24"/>
          <w:lang w:val="pt-BR"/>
        </w:rPr>
        <w:t xml:space="preserve">posteriori </w:t>
      </w:r>
      <w:r w:rsidRPr="00C2335E">
        <w:rPr>
          <w:rFonts w:asciiTheme="majorHAnsi" w:hAnsiTheme="majorHAnsi" w:cs="Times New Roman"/>
          <w:sz w:val="24"/>
          <w:szCs w:val="24"/>
          <w:lang w:val="pt-BR"/>
        </w:rPr>
        <w:t xml:space="preserve">o reembolso dos fundos de cada sociedade participante. Se assim não for, o cumprimento dos deveres de cuidado e de lealdade serão tidos como cumpridos caso os administradores façam cessar a participação da sociedade se </w:t>
      </w:r>
      <w:r w:rsidR="00A47743">
        <w:rPr>
          <w:rFonts w:asciiTheme="majorHAnsi" w:hAnsiTheme="majorHAnsi" w:cs="Times New Roman"/>
          <w:sz w:val="24"/>
          <w:szCs w:val="24"/>
          <w:lang w:val="pt-BR"/>
        </w:rPr>
        <w:t>existir</w:t>
      </w:r>
      <w:r w:rsidRPr="00C2335E">
        <w:rPr>
          <w:rFonts w:asciiTheme="majorHAnsi" w:hAnsiTheme="majorHAnsi" w:cs="Times New Roman"/>
          <w:sz w:val="24"/>
          <w:szCs w:val="24"/>
          <w:lang w:val="pt-BR"/>
        </w:rPr>
        <w:t xml:space="preserve"> risco de falência da sociedade-mãe ou do grupo como um todo.</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Aos administradores de cada sociedade participante na </w:t>
      </w:r>
      <w:r w:rsidRPr="00C2335E">
        <w:rPr>
          <w:rFonts w:asciiTheme="majorHAnsi" w:hAnsiTheme="majorHAnsi" w:cs="Times New Roman"/>
          <w:i/>
          <w:sz w:val="24"/>
          <w:szCs w:val="24"/>
          <w:lang w:val="pt-BR"/>
        </w:rPr>
        <w:t>pool</w:t>
      </w:r>
      <w:r w:rsidRPr="00C2335E">
        <w:rPr>
          <w:rFonts w:asciiTheme="majorHAnsi" w:hAnsiTheme="majorHAnsi" w:cs="Times New Roman"/>
          <w:sz w:val="24"/>
          <w:szCs w:val="24"/>
          <w:lang w:val="pt-BR"/>
        </w:rPr>
        <w:t xml:space="preserve"> é também exigido que os mesmos observem normas de protecção de liquidez, previstos nos artigos (§ 64 sentença 3 GmbHG; § 92 SEC. 2 sentença 3 AktG), quer com isso dizer que se os administradores não cumprirem com as normas acima referenciadas, serão obrigadas a efectuarem os pagamentos a terceiros, caso o grupo se torne insolvente.</w:t>
      </w:r>
      <w:r w:rsidRPr="00C2335E">
        <w:rPr>
          <w:rFonts w:asciiTheme="majorHAnsi" w:hAnsiTheme="majorHAnsi" w:cs="Times New Roman"/>
          <w:sz w:val="24"/>
          <w:szCs w:val="24"/>
          <w:lang w:val="pt-BR"/>
        </w:rPr>
        <w:br/>
        <w:t xml:space="preserve">À entidade centralizadora pode também ser responsabilizada pela celebração de um acordo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se este colocar em risco a liquidez das sociedades participantes, ou seja, se com a implementação de um sistema centralizado de tesouraria, a sociedade participante não for capaz de cumpri</w:t>
      </w:r>
      <w:r w:rsidR="00EF5D26">
        <w:rPr>
          <w:rFonts w:asciiTheme="majorHAnsi" w:hAnsiTheme="majorHAnsi" w:cs="Times New Roman"/>
          <w:sz w:val="24"/>
          <w:szCs w:val="24"/>
          <w:lang w:val="pt-BR"/>
        </w:rPr>
        <w:t>r com as suas obrigações junto d</w:t>
      </w:r>
      <w:r w:rsidRPr="00C2335E">
        <w:rPr>
          <w:rFonts w:asciiTheme="majorHAnsi" w:hAnsiTheme="majorHAnsi" w:cs="Times New Roman"/>
          <w:sz w:val="24"/>
          <w:szCs w:val="24"/>
          <w:lang w:val="pt-BR"/>
        </w:rPr>
        <w:t>os seus credores sociais.</w:t>
      </w:r>
    </w:p>
    <w:p w:rsidR="008070AB"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É ainda possível a celebração de acordos que visam a redução dos riscos inerentes a implementação do sistema de </w:t>
      </w:r>
      <w:r w:rsidRPr="00A47743">
        <w:rPr>
          <w:rFonts w:asciiTheme="majorHAnsi" w:hAnsiTheme="majorHAnsi" w:cs="Times New Roman"/>
          <w:i/>
          <w:sz w:val="24"/>
          <w:szCs w:val="24"/>
          <w:lang w:val="pt-BR"/>
        </w:rPr>
        <w:t>cash po</w:t>
      </w:r>
      <w:r w:rsidR="00A47743">
        <w:rPr>
          <w:rFonts w:asciiTheme="majorHAnsi" w:hAnsiTheme="majorHAnsi" w:cs="Times New Roman"/>
          <w:i/>
          <w:sz w:val="24"/>
          <w:szCs w:val="24"/>
          <w:lang w:val="pt-BR"/>
        </w:rPr>
        <w:t>o</w:t>
      </w:r>
      <w:r w:rsidRPr="00A47743">
        <w:rPr>
          <w:rFonts w:asciiTheme="majorHAnsi" w:hAnsiTheme="majorHAnsi" w:cs="Times New Roman"/>
          <w:i/>
          <w:sz w:val="24"/>
          <w:szCs w:val="24"/>
          <w:lang w:val="pt-BR"/>
        </w:rPr>
        <w:t>ling</w:t>
      </w:r>
      <w:r w:rsidRPr="00C2335E">
        <w:rPr>
          <w:rFonts w:asciiTheme="majorHAnsi" w:hAnsiTheme="majorHAnsi" w:cs="Times New Roman"/>
          <w:sz w:val="24"/>
          <w:szCs w:val="24"/>
          <w:lang w:val="pt-BR"/>
        </w:rPr>
        <w:t xml:space="preserve"> e quando estes existem, devem salvaguardar os direitos das sociedades participantes, tais como o direito a informação e a rescisão. Apesar dos meios existentes para reduzir o risco típico da participação de um sistema de </w:t>
      </w:r>
      <w:r w:rsidRPr="00EF5D26">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a falta de uma lei de transferência de capital  a nível do ordenamento jurídico alemão inviabiliza a redução total destes riscos.</w:t>
      </w:r>
      <w:r w:rsidRPr="00C2335E">
        <w:rPr>
          <w:rStyle w:val="Refdenotaderodap"/>
          <w:rFonts w:asciiTheme="majorHAnsi" w:hAnsiTheme="majorHAnsi" w:cs="Times New Roman"/>
          <w:sz w:val="24"/>
          <w:szCs w:val="24"/>
          <w:lang w:val="pt-BR"/>
        </w:rPr>
        <w:footnoteReference w:id="48"/>
      </w:r>
    </w:p>
    <w:p w:rsidR="00455AEF" w:rsidRDefault="00A47743"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 autoridade tributária alemã </w:t>
      </w:r>
      <w:r w:rsidR="00455AEF">
        <w:rPr>
          <w:rFonts w:asciiTheme="majorHAnsi" w:hAnsiTheme="majorHAnsi" w:cs="Times New Roman"/>
          <w:sz w:val="24"/>
          <w:szCs w:val="24"/>
          <w:lang w:val="pt-BR"/>
        </w:rPr>
        <w:t>tem estabelecido um conjunto de regras apertadas, quer so</w:t>
      </w:r>
      <w:r w:rsidR="003C62F1">
        <w:rPr>
          <w:rFonts w:asciiTheme="majorHAnsi" w:hAnsiTheme="majorHAnsi" w:cs="Times New Roman"/>
          <w:sz w:val="24"/>
          <w:szCs w:val="24"/>
          <w:lang w:val="pt-BR"/>
        </w:rPr>
        <w:t xml:space="preserve">bre a aceitação das operações de </w:t>
      </w:r>
      <w:r w:rsidR="003C62F1" w:rsidRPr="00EF5D26">
        <w:rPr>
          <w:rFonts w:asciiTheme="majorHAnsi" w:hAnsiTheme="majorHAnsi" w:cs="Times New Roman"/>
          <w:i/>
          <w:sz w:val="24"/>
          <w:szCs w:val="24"/>
          <w:lang w:val="pt-BR"/>
        </w:rPr>
        <w:t>cash pooling</w:t>
      </w:r>
      <w:r w:rsidR="003C62F1">
        <w:rPr>
          <w:rFonts w:asciiTheme="majorHAnsi" w:hAnsiTheme="majorHAnsi" w:cs="Times New Roman"/>
          <w:sz w:val="24"/>
          <w:szCs w:val="24"/>
          <w:lang w:val="pt-BR"/>
        </w:rPr>
        <w:t xml:space="preserve"> no guia de preços de transferências internacional, quer na aplicação do principio da plena concorrência (arm´s and lenght principle). É </w:t>
      </w:r>
      <w:r w:rsidR="006167F7">
        <w:rPr>
          <w:rFonts w:asciiTheme="majorHAnsi" w:hAnsiTheme="majorHAnsi" w:cs="Times New Roman"/>
          <w:sz w:val="24"/>
          <w:szCs w:val="24"/>
          <w:lang w:val="pt-BR"/>
        </w:rPr>
        <w:t>regra</w:t>
      </w:r>
      <w:r>
        <w:rPr>
          <w:rFonts w:asciiTheme="majorHAnsi" w:hAnsiTheme="majorHAnsi" w:cs="Times New Roman"/>
          <w:sz w:val="24"/>
          <w:szCs w:val="24"/>
          <w:lang w:val="pt-BR"/>
        </w:rPr>
        <w:t xml:space="preserve"> </w:t>
      </w:r>
      <w:r w:rsidR="003C62F1">
        <w:rPr>
          <w:rFonts w:asciiTheme="majorHAnsi" w:hAnsiTheme="majorHAnsi" w:cs="Times New Roman"/>
          <w:sz w:val="24"/>
          <w:szCs w:val="24"/>
          <w:lang w:val="pt-BR"/>
        </w:rPr>
        <w:t>os agentes fiscalizadores actuarem em função das decisões tomadas pelos</w:t>
      </w:r>
      <w:r w:rsidR="006167F7">
        <w:rPr>
          <w:rFonts w:asciiTheme="majorHAnsi" w:hAnsiTheme="majorHAnsi" w:cs="Times New Roman"/>
          <w:sz w:val="24"/>
          <w:szCs w:val="24"/>
          <w:lang w:val="pt-BR"/>
        </w:rPr>
        <w:t xml:space="preserve"> tribunais. Tomamos como exemplo, a decisão tomada no caso de 1994 que incidiam sobre a análise de preços de transferência, ligadas ao </w:t>
      </w:r>
      <w:r w:rsidR="006167F7" w:rsidRPr="00EF5D26">
        <w:rPr>
          <w:rFonts w:asciiTheme="majorHAnsi" w:hAnsiTheme="majorHAnsi" w:cs="Times New Roman"/>
          <w:i/>
          <w:sz w:val="24"/>
          <w:szCs w:val="24"/>
          <w:lang w:val="pt-BR"/>
        </w:rPr>
        <w:t>cash pooling</w:t>
      </w:r>
      <w:r w:rsidR="006167F7">
        <w:rPr>
          <w:rFonts w:asciiTheme="majorHAnsi" w:hAnsiTheme="majorHAnsi" w:cs="Times New Roman"/>
          <w:sz w:val="24"/>
          <w:szCs w:val="24"/>
          <w:lang w:val="pt-BR"/>
        </w:rPr>
        <w:t>, nela o tribunal</w:t>
      </w:r>
      <w:r>
        <w:rPr>
          <w:rFonts w:asciiTheme="majorHAnsi" w:hAnsiTheme="majorHAnsi" w:cs="Times New Roman"/>
          <w:sz w:val="24"/>
          <w:szCs w:val="24"/>
          <w:lang w:val="pt-BR"/>
        </w:rPr>
        <w:t xml:space="preserve"> </w:t>
      </w:r>
      <w:r w:rsidR="006167F7" w:rsidRPr="006167F7">
        <w:rPr>
          <w:rFonts w:asciiTheme="majorHAnsi" w:hAnsiTheme="majorHAnsi" w:cs="Times New Roman"/>
          <w:sz w:val="24"/>
          <w:szCs w:val="24"/>
          <w:lang w:val="pt-BR"/>
        </w:rPr>
        <w:t xml:space="preserve">pronunciou-se pela determinação e afetação de lucros adjacentes a operação de </w:t>
      </w:r>
      <w:r w:rsidR="006167F7" w:rsidRPr="006167F7">
        <w:rPr>
          <w:rFonts w:asciiTheme="majorHAnsi" w:hAnsiTheme="majorHAnsi" w:cs="Times New Roman"/>
          <w:i/>
          <w:sz w:val="24"/>
          <w:szCs w:val="24"/>
          <w:lang w:val="pt-BR"/>
        </w:rPr>
        <w:t>cash pooling</w:t>
      </w:r>
      <w:r w:rsidR="00ED2D34">
        <w:rPr>
          <w:rFonts w:asciiTheme="majorHAnsi" w:hAnsiTheme="majorHAnsi" w:cs="Times New Roman"/>
          <w:sz w:val="24"/>
          <w:szCs w:val="24"/>
          <w:lang w:val="pt-BR"/>
        </w:rPr>
        <w:t xml:space="preserve"> </w:t>
      </w:r>
      <w:r w:rsidR="006167F7" w:rsidRPr="006167F7">
        <w:rPr>
          <w:rFonts w:asciiTheme="majorHAnsi" w:hAnsiTheme="majorHAnsi" w:cs="Times New Roman"/>
          <w:sz w:val="24"/>
          <w:szCs w:val="24"/>
          <w:lang w:val="pt-BR"/>
        </w:rPr>
        <w:t>atribuídos entre a sociedade</w:t>
      </w:r>
      <w:r>
        <w:rPr>
          <w:rFonts w:asciiTheme="majorHAnsi" w:hAnsiTheme="majorHAnsi" w:cs="Times New Roman"/>
          <w:sz w:val="24"/>
          <w:szCs w:val="24"/>
          <w:lang w:val="pt-BR"/>
        </w:rPr>
        <w:t xml:space="preserve"> </w:t>
      </w:r>
      <w:r w:rsidR="006167F7" w:rsidRPr="006167F7">
        <w:rPr>
          <w:rFonts w:asciiTheme="majorHAnsi" w:hAnsiTheme="majorHAnsi" w:cs="Times New Roman"/>
          <w:sz w:val="24"/>
          <w:szCs w:val="24"/>
          <w:lang w:val="pt-BR"/>
        </w:rPr>
        <w:t>gestora do Centro de Tesouraria (normalmente a sociedade dominante) e as restantes sociedades participantes da relação de domínio ou de grupo. De acordo com a referida decisão, o Tribunal evidenciou a necessidade de comparar esta situação com a realidade das entidades não relacionadas que também emprestariam dinheiro, como mutuantes ou credores, e qual seria normalmente a participação desta entidade independente nas transferências de débitos e créditos agregadas aos empréstimos e quais as taxas de juros aplicáveis e respetiva remuneração neste tipo de operações</w:t>
      </w:r>
      <w:r w:rsidR="00ED2D34">
        <w:rPr>
          <w:rFonts w:asciiTheme="majorHAnsi" w:hAnsiTheme="majorHAnsi" w:cs="Times New Roman"/>
          <w:sz w:val="24"/>
          <w:szCs w:val="24"/>
          <w:lang w:val="pt-BR"/>
        </w:rPr>
        <w:t>?</w:t>
      </w:r>
    </w:p>
    <w:p w:rsidR="006167F7" w:rsidRPr="00C2335E" w:rsidRDefault="006167F7"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Até a data, esta decisão tem impacto</w:t>
      </w:r>
      <w:r w:rsidR="00B64A3E">
        <w:rPr>
          <w:rFonts w:asciiTheme="majorHAnsi" w:hAnsiTheme="majorHAnsi" w:cs="Times New Roman"/>
          <w:sz w:val="24"/>
          <w:szCs w:val="24"/>
          <w:lang w:val="pt-BR"/>
        </w:rPr>
        <w:t xml:space="preserve">, quando se trata de avaliar as transações que levantem a problemática dos preços de transferência. </w:t>
      </w:r>
      <w:r w:rsidR="00B64A3E">
        <w:rPr>
          <w:rStyle w:val="Refdenotaderodap"/>
          <w:rFonts w:asciiTheme="majorHAnsi" w:hAnsiTheme="majorHAnsi" w:cs="Times New Roman"/>
          <w:sz w:val="24"/>
          <w:szCs w:val="24"/>
          <w:lang w:val="pt-BR"/>
        </w:rPr>
        <w:footnoteReference w:id="49"/>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O sistema de </w:t>
      </w:r>
      <w:r w:rsidRPr="00B64A3E">
        <w:rPr>
          <w:rFonts w:asciiTheme="majorHAnsi" w:hAnsiTheme="majorHAnsi" w:cs="Times New Roman"/>
          <w:b/>
          <w:i/>
          <w:sz w:val="24"/>
          <w:szCs w:val="24"/>
          <w:lang w:val="pt-BR"/>
        </w:rPr>
        <w:t>cash pooling</w:t>
      </w:r>
      <w:r w:rsidRPr="00C2335E">
        <w:rPr>
          <w:rFonts w:asciiTheme="majorHAnsi" w:hAnsiTheme="majorHAnsi" w:cs="Times New Roman"/>
          <w:b/>
          <w:sz w:val="24"/>
          <w:szCs w:val="24"/>
          <w:lang w:val="pt-BR"/>
        </w:rPr>
        <w:t xml:space="preserve"> na Itália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Apesar da inexistência de regras próprias sobre o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a nível do ordenamento jurídico italiano, a sua implementação no seio das sociedades implica o cumprimento de normas societárias; como as normas de conservação do capital social, normas sobre a assistência financeira e regras sobre os empréstimos entre sociedades.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No ordenamento jurídico italiano para que uma sociedade faça parte de um acordo de gestão centralizada de tesouraria é fundamental que de forma prévia essa autorização conste dos estautos e que tal actividade faça parte do objecto social da empresa, ou seja, é necessário que o fim social da empresa permita a concessão de empréstimos e de garantias às suas filiais, típicas de um acordo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sob pena de serem declarados como nulos todos os actos praticados sem obediência destas normas.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É ainda vedado a qualquer sociedade, principalmente as sociedades que detenham um acordo de </w:t>
      </w:r>
      <w:r w:rsidRPr="00EF5D26">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que celebrem acordos para qualquer tipo de apoio financeiro a sociedade-mãe ou qualquer outra sociedade do grupo (incluindo a prestação de garantias a terceiros, relativamente as obrigações da sociedade), sem que haja uma justa contrapartida.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 nível do ordenamento italiano, nos termos do artigo 2358</w:t>
      </w:r>
      <w:r w:rsidR="00EF5D26">
        <w:rPr>
          <w:rFonts w:asciiTheme="majorHAnsi" w:hAnsiTheme="majorHAnsi" w:cs="Times New Roman"/>
          <w:sz w:val="24"/>
          <w:szCs w:val="24"/>
          <w:lang w:val="pt-BR"/>
        </w:rPr>
        <w:t>º</w:t>
      </w:r>
      <w:r w:rsidRPr="00C2335E">
        <w:rPr>
          <w:rFonts w:asciiTheme="majorHAnsi" w:hAnsiTheme="majorHAnsi" w:cs="Times New Roman"/>
          <w:sz w:val="24"/>
          <w:szCs w:val="24"/>
          <w:lang w:val="pt-BR"/>
        </w:rPr>
        <w:t xml:space="preserve"> do CC é ainda vedado a contribuição com fundos ou o fornecimento de garantias que possam ter natureza de assistência financeira, sendo certo que se assim for serão declarados como nulos tais contribuições e/o garantias. </w:t>
      </w:r>
    </w:p>
    <w:p w:rsidR="00C2335E" w:rsidRPr="00C2335E" w:rsidRDefault="00ED2D34"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Para a adopção</w:t>
      </w:r>
      <w:r w:rsidR="00C2335E" w:rsidRPr="00C2335E">
        <w:rPr>
          <w:rFonts w:asciiTheme="majorHAnsi" w:hAnsiTheme="majorHAnsi" w:cs="Times New Roman"/>
          <w:sz w:val="24"/>
          <w:szCs w:val="24"/>
          <w:lang w:val="pt-BR"/>
        </w:rPr>
        <w:t xml:space="preserve"> de um sistema de </w:t>
      </w:r>
      <w:r w:rsidR="00C2335E" w:rsidRPr="00ED2D34">
        <w:rPr>
          <w:rFonts w:asciiTheme="majorHAnsi" w:hAnsiTheme="majorHAnsi" w:cs="Times New Roman"/>
          <w:i/>
          <w:sz w:val="24"/>
          <w:szCs w:val="24"/>
          <w:lang w:val="pt-BR"/>
        </w:rPr>
        <w:t>cash pooling</w:t>
      </w:r>
      <w:r w:rsidR="00C2335E" w:rsidRPr="00C2335E">
        <w:rPr>
          <w:rFonts w:asciiTheme="majorHAnsi" w:hAnsiTheme="majorHAnsi" w:cs="Times New Roman"/>
          <w:sz w:val="24"/>
          <w:szCs w:val="24"/>
          <w:lang w:val="pt-BR"/>
        </w:rPr>
        <w:t xml:space="preserve"> os administradores e os membros do colégio sindical da sociedade participante devem garantir que haja um interesse directo ou indirecto que justifique a adopção de um acordo de cash pooling, devem analisar de forma detalhada as condições e disposições deste acordo e os administradores que têm conflito de inte</w:t>
      </w:r>
      <w:r>
        <w:rPr>
          <w:rFonts w:asciiTheme="majorHAnsi" w:hAnsiTheme="majorHAnsi" w:cs="Times New Roman"/>
          <w:sz w:val="24"/>
          <w:szCs w:val="24"/>
          <w:lang w:val="pt-BR"/>
        </w:rPr>
        <w:t xml:space="preserve">resse (aqueles que façam parte </w:t>
      </w:r>
      <w:r w:rsidR="00C2335E" w:rsidRPr="00C2335E">
        <w:rPr>
          <w:rFonts w:asciiTheme="majorHAnsi" w:hAnsiTheme="majorHAnsi" w:cs="Times New Roman"/>
          <w:sz w:val="24"/>
          <w:szCs w:val="24"/>
          <w:lang w:val="pt-BR"/>
        </w:rPr>
        <w:t>do Conselho de administração de mais de uma sociedade participante) devem declarar este incoveniente e não mais participar no processo de negociação para a celebração deste contrato.</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 implementação de um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deve ter em conta as normas previstas nos artigos 2467</w:t>
      </w:r>
      <w:r w:rsidR="00EF5D26">
        <w:rPr>
          <w:rFonts w:asciiTheme="majorHAnsi" w:hAnsiTheme="majorHAnsi" w:cs="Times New Roman"/>
          <w:sz w:val="24"/>
          <w:szCs w:val="24"/>
          <w:lang w:val="pt-BR"/>
        </w:rPr>
        <w:t>º</w:t>
      </w:r>
      <w:r w:rsidRPr="00C2335E">
        <w:rPr>
          <w:rFonts w:asciiTheme="majorHAnsi" w:hAnsiTheme="majorHAnsi" w:cs="Times New Roman"/>
          <w:sz w:val="24"/>
          <w:szCs w:val="24"/>
          <w:lang w:val="pt-BR"/>
        </w:rPr>
        <w:t xml:space="preserve"> e 2497</w:t>
      </w:r>
      <w:r w:rsidR="00EF5D26">
        <w:rPr>
          <w:rFonts w:asciiTheme="majorHAnsi" w:hAnsiTheme="majorHAnsi" w:cs="Times New Roman"/>
          <w:sz w:val="24"/>
          <w:szCs w:val="24"/>
          <w:lang w:val="pt-BR"/>
        </w:rPr>
        <w:t>º</w:t>
      </w:r>
      <w:r w:rsidRPr="00C2335E">
        <w:rPr>
          <w:rFonts w:asciiTheme="majorHAnsi" w:hAnsiTheme="majorHAnsi" w:cs="Times New Roman"/>
          <w:sz w:val="24"/>
          <w:szCs w:val="24"/>
          <w:lang w:val="pt-BR"/>
        </w:rPr>
        <w:t xml:space="preserve"> do CC italiano, ou seja, normas que garantam a conservação do capital social.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Quanto aos deveres dos administradores das sociedades participantes estes têm o dever de preservar os bens da sociedade, evitando efectuar transações que coloquem em causa a situação financeira da sociedade, ou dos seus activos. Dai que seja crucial que os administradores avaliem todas as consequencias da </w:t>
      </w:r>
      <w:r w:rsidR="00ED2D34">
        <w:rPr>
          <w:rFonts w:asciiTheme="majorHAnsi" w:hAnsiTheme="majorHAnsi" w:cs="Times New Roman"/>
          <w:sz w:val="24"/>
          <w:szCs w:val="24"/>
          <w:lang w:val="pt-BR"/>
        </w:rPr>
        <w:t>inserção</w:t>
      </w:r>
      <w:r w:rsidRPr="00C2335E">
        <w:rPr>
          <w:rFonts w:asciiTheme="majorHAnsi" w:hAnsiTheme="majorHAnsi" w:cs="Times New Roman"/>
          <w:sz w:val="24"/>
          <w:szCs w:val="24"/>
          <w:lang w:val="pt-BR"/>
        </w:rPr>
        <w:t xml:space="preserve"> de um sistema de </w:t>
      </w:r>
      <w:r w:rsidRPr="00ED2D34">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Os administradores da sociedade-mãe respondem também junto dos seus credores</w:t>
      </w:r>
      <w:r w:rsidR="00ED2D34">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por obrigarem a subsidiária a fazer parte de um acordo de </w:t>
      </w:r>
      <w:r w:rsidRPr="00ED2D34">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que não salvaguarda os interesses da subsidiária. </w:t>
      </w:r>
      <w:r w:rsidRPr="00C2335E">
        <w:rPr>
          <w:rStyle w:val="Refdenotaderodap"/>
          <w:rFonts w:asciiTheme="majorHAnsi" w:hAnsiTheme="majorHAnsi" w:cs="Times New Roman"/>
          <w:sz w:val="24"/>
          <w:szCs w:val="24"/>
          <w:lang w:val="pt-BR"/>
        </w:rPr>
        <w:footnoteReference w:id="50"/>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Para mitigar os riscos inerentes a celebração do contrato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a nível do direito italiano são adoptadas determinadas medidas, nomeadamente, o de reservar um determinado montante que cubra o risco das sociedades participantes não conseguirem recuperar as somas avultadas que contribuem para efeitos do sistem de cash pooling. Outra solução passa por obter empréstimos junto de terceiros (como os bancos e outras empresas) no total montante disponibilizado no acordo, com vista a acautelar o cumprimento das suas obrigações junto dos seus credores.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Os bancos italianos em consonãncia com a Directiva 2007/64/CE têm entendido que a gestão centralizada de tesouraria feita por sociedades que pertencem ao mesmo grupo não</w:t>
      </w:r>
      <w:r w:rsidR="00ED2D34">
        <w:rPr>
          <w:rFonts w:asciiTheme="majorHAnsi" w:hAnsiTheme="majorHAnsi" w:cs="Times New Roman"/>
          <w:sz w:val="24"/>
          <w:szCs w:val="24"/>
          <w:lang w:val="pt-BR"/>
        </w:rPr>
        <w:t xml:space="preserve"> podem ser consideradas como </w:t>
      </w:r>
      <w:r w:rsidRPr="00C2335E">
        <w:rPr>
          <w:rFonts w:asciiTheme="majorHAnsi" w:hAnsiTheme="majorHAnsi" w:cs="Times New Roman"/>
          <w:sz w:val="24"/>
          <w:szCs w:val="24"/>
          <w:lang w:val="pt-BR"/>
        </w:rPr>
        <w:t xml:space="preserve">serviços de pagamento, uma vez que esta é feita por meio de uma </w:t>
      </w:r>
      <w:r w:rsidRPr="00ED2D34">
        <w:rPr>
          <w:rFonts w:asciiTheme="majorHAnsi" w:hAnsiTheme="majorHAnsi" w:cs="Times New Roman"/>
          <w:i/>
          <w:sz w:val="24"/>
          <w:szCs w:val="24"/>
          <w:lang w:val="pt-BR"/>
        </w:rPr>
        <w:t>pooler</w:t>
      </w:r>
      <w:r w:rsidRPr="00C2335E">
        <w:rPr>
          <w:rFonts w:asciiTheme="majorHAnsi" w:hAnsiTheme="majorHAnsi" w:cs="Times New Roman"/>
          <w:sz w:val="24"/>
          <w:szCs w:val="24"/>
          <w:lang w:val="pt-BR"/>
        </w:rPr>
        <w:t xml:space="preserve"> e visa unicamente optimizar a gestão de liquidez do grupo, dai que</w:t>
      </w:r>
      <w:r w:rsidR="00BF350F">
        <w:rPr>
          <w:rFonts w:asciiTheme="majorHAnsi" w:hAnsiTheme="majorHAnsi" w:cs="Times New Roman"/>
          <w:sz w:val="24"/>
          <w:szCs w:val="24"/>
          <w:lang w:val="pt-BR"/>
        </w:rPr>
        <w:t>,</w:t>
      </w:r>
      <w:r w:rsidRPr="00C2335E">
        <w:rPr>
          <w:rFonts w:asciiTheme="majorHAnsi" w:hAnsiTheme="majorHAnsi" w:cs="Times New Roman"/>
          <w:sz w:val="24"/>
          <w:szCs w:val="24"/>
          <w:lang w:val="pt-BR"/>
        </w:rPr>
        <w:t xml:space="preserve"> não seja necessário uma prévia autorização para actuar como entidade centralizadora.</w:t>
      </w:r>
    </w:p>
    <w:p w:rsidR="005516C4"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Tal isenção é garantida, porque se entende que a gestão de liquidez é limitada ás empresas do grupo e não é efectuada qualquer transferência de fundos a terceiros que não pertencem ao grupo</w:t>
      </w:r>
      <w:r w:rsidR="00047016">
        <w:rPr>
          <w:rFonts w:asciiTheme="majorHAnsi" w:hAnsiTheme="majorHAnsi" w:cs="Times New Roman"/>
          <w:sz w:val="24"/>
          <w:szCs w:val="24"/>
          <w:lang w:val="pt-BR"/>
        </w:rPr>
        <w:t>.</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O sistema de </w:t>
      </w:r>
      <w:r w:rsidRPr="00EF5D26">
        <w:rPr>
          <w:rFonts w:asciiTheme="majorHAnsi" w:hAnsiTheme="majorHAnsi" w:cs="Times New Roman"/>
          <w:b/>
          <w:i/>
          <w:sz w:val="24"/>
          <w:szCs w:val="24"/>
          <w:lang w:val="pt-BR"/>
        </w:rPr>
        <w:t>cash pooling</w:t>
      </w:r>
      <w:r w:rsidR="00047016">
        <w:rPr>
          <w:rFonts w:asciiTheme="majorHAnsi" w:hAnsiTheme="majorHAnsi" w:cs="Times New Roman"/>
          <w:b/>
          <w:sz w:val="24"/>
          <w:szCs w:val="24"/>
          <w:lang w:val="pt-BR"/>
        </w:rPr>
        <w:t xml:space="preserve"> no ordenamento jurídico angolano</w:t>
      </w:r>
    </w:p>
    <w:p w:rsidR="00BC60AC" w:rsidRDefault="00BC60AC" w:rsidP="00BC60AC">
      <w:pPr>
        <w:spacing w:line="360" w:lineRule="auto"/>
        <w:ind w:firstLine="708"/>
        <w:rPr>
          <w:rFonts w:asciiTheme="majorHAnsi" w:hAnsiTheme="majorHAnsi" w:cs="Times New Roman"/>
          <w:sz w:val="24"/>
          <w:szCs w:val="24"/>
          <w:lang w:val="pt-BR"/>
        </w:rPr>
      </w:pPr>
      <w:r w:rsidRPr="00BC60AC">
        <w:rPr>
          <w:rFonts w:asciiTheme="majorHAnsi" w:hAnsiTheme="majorHAnsi" w:cs="Times New Roman"/>
          <w:b/>
          <w:sz w:val="24"/>
          <w:szCs w:val="24"/>
          <w:lang w:val="pt-BR"/>
        </w:rPr>
        <w:t>11.1.</w:t>
      </w:r>
      <w:r w:rsidRPr="009951FB">
        <w:rPr>
          <w:rFonts w:asciiTheme="majorHAnsi" w:hAnsiTheme="majorHAnsi" w:cs="Times New Roman"/>
          <w:b/>
          <w:sz w:val="24"/>
          <w:szCs w:val="24"/>
          <w:lang w:val="pt-BR"/>
        </w:rPr>
        <w:t>Noção</w:t>
      </w:r>
    </w:p>
    <w:p w:rsidR="00891421" w:rsidRDefault="00BC60AC" w:rsidP="00BC60AC">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Com a epígrafe “</w:t>
      </w:r>
      <w:r w:rsidR="007C5AF3">
        <w:rPr>
          <w:rFonts w:asciiTheme="majorHAnsi" w:hAnsiTheme="majorHAnsi" w:cs="Times New Roman"/>
          <w:sz w:val="24"/>
          <w:szCs w:val="24"/>
          <w:lang w:val="pt-BR"/>
        </w:rPr>
        <w:t>fundos reembolsáveis e concessão de crédito”, a alínea d) do n.º2 do artigo 8.º da LIF estabelece que “</w:t>
      </w:r>
      <w:r w:rsidR="007712C1">
        <w:rPr>
          <w:rFonts w:asciiTheme="majorHAnsi" w:hAnsiTheme="majorHAnsi" w:cs="Times New Roman"/>
          <w:sz w:val="24"/>
          <w:szCs w:val="24"/>
          <w:lang w:val="pt-BR"/>
        </w:rPr>
        <w:t>(…) não são consideradas como concessão de créditos: as operações de tesouraria, quando legalmente permitidas, entre sociedades que se encontram numa relação de domínio ou de grupo;”</w:t>
      </w:r>
      <w:r w:rsidR="00891421">
        <w:rPr>
          <w:rFonts w:asciiTheme="majorHAnsi" w:hAnsiTheme="majorHAnsi" w:cs="Times New Roman"/>
          <w:sz w:val="24"/>
          <w:szCs w:val="24"/>
          <w:lang w:val="pt-BR"/>
        </w:rPr>
        <w:t>.</w:t>
      </w:r>
    </w:p>
    <w:p w:rsidR="009A42FA" w:rsidRDefault="008B2578" w:rsidP="00BC60AC">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Acrescido </w:t>
      </w:r>
      <w:r w:rsidR="009A42FA">
        <w:rPr>
          <w:rFonts w:asciiTheme="majorHAnsi" w:hAnsiTheme="majorHAnsi" w:cs="Times New Roman"/>
          <w:sz w:val="24"/>
          <w:szCs w:val="24"/>
          <w:lang w:val="pt-BR"/>
        </w:rPr>
        <w:t>a isso</w:t>
      </w:r>
      <w:r w:rsidR="00EF5D26">
        <w:rPr>
          <w:rFonts w:asciiTheme="majorHAnsi" w:hAnsiTheme="majorHAnsi" w:cs="Times New Roman"/>
          <w:sz w:val="24"/>
          <w:szCs w:val="24"/>
          <w:lang w:val="pt-BR"/>
        </w:rPr>
        <w:t xml:space="preserve">, temos o </w:t>
      </w:r>
      <w:r w:rsidR="00D94716">
        <w:rPr>
          <w:rFonts w:asciiTheme="majorHAnsi" w:hAnsiTheme="majorHAnsi" w:cs="Times New Roman"/>
          <w:sz w:val="24"/>
          <w:szCs w:val="24"/>
          <w:lang w:val="pt-BR"/>
        </w:rPr>
        <w:t xml:space="preserve">n.º 4 do artigo 491.º da LSC, </w:t>
      </w:r>
      <w:r w:rsidR="00EF5D26">
        <w:rPr>
          <w:rFonts w:asciiTheme="majorHAnsi" w:hAnsiTheme="majorHAnsi" w:cs="Times New Roman"/>
          <w:sz w:val="24"/>
          <w:szCs w:val="24"/>
          <w:lang w:val="pt-BR"/>
        </w:rPr>
        <w:t xml:space="preserve">que </w:t>
      </w:r>
      <w:r w:rsidR="00D94716">
        <w:rPr>
          <w:rFonts w:asciiTheme="majorHAnsi" w:hAnsiTheme="majorHAnsi" w:cs="Times New Roman"/>
          <w:sz w:val="24"/>
          <w:szCs w:val="24"/>
          <w:lang w:val="pt-BR"/>
        </w:rPr>
        <w:t>dispõe que “é proibido à sociedade directora transferir ou ordenar a transferencia de bens do activo da sociedade subordinada para outras sociedades do grupo, sem justa contrapartida</w:t>
      </w:r>
      <w:r>
        <w:rPr>
          <w:rFonts w:asciiTheme="majorHAnsi" w:hAnsiTheme="majorHAnsi" w:cs="Times New Roman"/>
          <w:sz w:val="24"/>
          <w:szCs w:val="24"/>
          <w:lang w:val="pt-BR"/>
        </w:rPr>
        <w:t xml:space="preserve">”. </w:t>
      </w:r>
    </w:p>
    <w:p w:rsidR="005516C4" w:rsidRDefault="009A42FA" w:rsidP="00BC60AC">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Daqui podemos extrair que as operações de </w:t>
      </w:r>
      <w:r w:rsidRPr="009210D3">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são permitidas, quando realizada</w:t>
      </w:r>
      <w:r w:rsidR="00CC2796">
        <w:rPr>
          <w:rFonts w:asciiTheme="majorHAnsi" w:hAnsiTheme="majorHAnsi" w:cs="Times New Roman"/>
          <w:sz w:val="24"/>
          <w:szCs w:val="24"/>
          <w:lang w:val="pt-BR"/>
        </w:rPr>
        <w:t>s por sociedades que se encontra</w:t>
      </w:r>
      <w:r>
        <w:rPr>
          <w:rFonts w:asciiTheme="majorHAnsi" w:hAnsiTheme="majorHAnsi" w:cs="Times New Roman"/>
          <w:sz w:val="24"/>
          <w:szCs w:val="24"/>
          <w:lang w:val="pt-BR"/>
        </w:rPr>
        <w:t>m numa relação de domínio ou de grupo, desde que haja uma justa contrapartida. Assim, sabemos que a nível do ordenamento jurídico angolano é permitido implementar-se o siste</w:t>
      </w:r>
      <w:r w:rsidR="00B03669">
        <w:rPr>
          <w:rFonts w:asciiTheme="majorHAnsi" w:hAnsiTheme="majorHAnsi" w:cs="Times New Roman"/>
          <w:sz w:val="24"/>
          <w:szCs w:val="24"/>
          <w:lang w:val="pt-BR"/>
        </w:rPr>
        <w:t xml:space="preserve">ma do </w:t>
      </w:r>
      <w:r w:rsidR="00B03669" w:rsidRPr="00EF5D26">
        <w:rPr>
          <w:rFonts w:asciiTheme="majorHAnsi" w:hAnsiTheme="majorHAnsi" w:cs="Times New Roman"/>
          <w:i/>
          <w:sz w:val="24"/>
          <w:szCs w:val="24"/>
          <w:lang w:val="pt-BR"/>
        </w:rPr>
        <w:t>cash pooling</w:t>
      </w:r>
      <w:r w:rsidR="00B03669">
        <w:rPr>
          <w:rFonts w:asciiTheme="majorHAnsi" w:hAnsiTheme="majorHAnsi" w:cs="Times New Roman"/>
          <w:sz w:val="24"/>
          <w:szCs w:val="24"/>
          <w:lang w:val="pt-BR"/>
        </w:rPr>
        <w:t xml:space="preserve">, mas será que podemos, a partir destes artigos extrair uma definição de gestão centralizada de tesouraria (cash pooling)? </w:t>
      </w:r>
    </w:p>
    <w:p w:rsidR="00E66F6B" w:rsidRDefault="00B03669" w:rsidP="00BC60AC">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Facto é que o legislador nacional não </w:t>
      </w:r>
      <w:r w:rsidR="005516C4">
        <w:rPr>
          <w:rFonts w:asciiTheme="majorHAnsi" w:hAnsiTheme="majorHAnsi" w:cs="Times New Roman"/>
          <w:sz w:val="24"/>
          <w:szCs w:val="24"/>
          <w:lang w:val="pt-BR"/>
        </w:rPr>
        <w:t xml:space="preserve">prestou larga atenção </w:t>
      </w:r>
      <w:r w:rsidR="00CC2796">
        <w:rPr>
          <w:rFonts w:asciiTheme="majorHAnsi" w:hAnsiTheme="majorHAnsi" w:cs="Times New Roman"/>
          <w:sz w:val="24"/>
          <w:szCs w:val="24"/>
          <w:lang w:val="pt-BR"/>
        </w:rPr>
        <w:t xml:space="preserve">para </w:t>
      </w:r>
      <w:r w:rsidR="005516C4">
        <w:rPr>
          <w:rFonts w:asciiTheme="majorHAnsi" w:hAnsiTheme="majorHAnsi" w:cs="Times New Roman"/>
          <w:sz w:val="24"/>
          <w:szCs w:val="24"/>
          <w:lang w:val="pt-BR"/>
        </w:rPr>
        <w:t xml:space="preserve">a figura do </w:t>
      </w:r>
      <w:r w:rsidR="005516C4" w:rsidRPr="005516C4">
        <w:rPr>
          <w:rFonts w:asciiTheme="majorHAnsi" w:hAnsiTheme="majorHAnsi" w:cs="Times New Roman"/>
          <w:i/>
          <w:sz w:val="24"/>
          <w:szCs w:val="24"/>
          <w:lang w:val="pt-BR"/>
        </w:rPr>
        <w:t>cash pooling</w:t>
      </w:r>
      <w:r w:rsidR="005516C4">
        <w:rPr>
          <w:rFonts w:asciiTheme="majorHAnsi" w:hAnsiTheme="majorHAnsi" w:cs="Times New Roman"/>
          <w:sz w:val="24"/>
          <w:szCs w:val="24"/>
          <w:lang w:val="pt-BR"/>
        </w:rPr>
        <w:t xml:space="preserve">, não tendo estabelecido </w:t>
      </w:r>
      <w:r>
        <w:rPr>
          <w:rFonts w:asciiTheme="majorHAnsi" w:hAnsiTheme="majorHAnsi" w:cs="Times New Roman"/>
          <w:sz w:val="24"/>
          <w:szCs w:val="24"/>
          <w:lang w:val="pt-BR"/>
        </w:rPr>
        <w:t xml:space="preserve">qualquer regime </w:t>
      </w:r>
      <w:r w:rsidR="00CC2796">
        <w:rPr>
          <w:rFonts w:asciiTheme="majorHAnsi" w:hAnsiTheme="majorHAnsi" w:cs="Times New Roman"/>
          <w:sz w:val="24"/>
          <w:szCs w:val="24"/>
          <w:lang w:val="pt-BR"/>
        </w:rPr>
        <w:t>jurídico</w:t>
      </w:r>
      <w:r>
        <w:rPr>
          <w:rFonts w:asciiTheme="majorHAnsi" w:hAnsiTheme="majorHAnsi" w:cs="Times New Roman"/>
          <w:sz w:val="24"/>
          <w:szCs w:val="24"/>
          <w:lang w:val="pt-BR"/>
        </w:rPr>
        <w:t>, limitou-se a permitir que a mesma fosse realizada por sociedades em relação de domínio ou de grupo, sem que para isso lançasse mão do desafio de apresentar uma definição, de clarificar a natureza jurídica da figura</w:t>
      </w:r>
      <w:r w:rsidR="00E66F6B">
        <w:rPr>
          <w:rFonts w:asciiTheme="majorHAnsi" w:hAnsiTheme="majorHAnsi" w:cs="Times New Roman"/>
          <w:sz w:val="24"/>
          <w:szCs w:val="24"/>
          <w:lang w:val="pt-BR"/>
        </w:rPr>
        <w:t xml:space="preserve">, bem como ditar regras para a sua implementação. </w:t>
      </w:r>
    </w:p>
    <w:p w:rsidR="002E1CAE" w:rsidRDefault="009963FC" w:rsidP="00BC60AC">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Desafio que fica á cargo da doutrina e jurisprudência, a</w:t>
      </w:r>
      <w:r w:rsidR="00E66F6B">
        <w:rPr>
          <w:rFonts w:asciiTheme="majorHAnsi" w:hAnsiTheme="majorHAnsi" w:cs="Times New Roman"/>
          <w:sz w:val="24"/>
          <w:szCs w:val="24"/>
          <w:lang w:val="pt-BR"/>
        </w:rPr>
        <w:t>inda assim, podemos depreender, a partir daqui</w:t>
      </w:r>
      <w:r w:rsidR="002E1CAE">
        <w:rPr>
          <w:rFonts w:asciiTheme="majorHAnsi" w:hAnsiTheme="majorHAnsi" w:cs="Times New Roman"/>
          <w:sz w:val="24"/>
          <w:szCs w:val="24"/>
          <w:lang w:val="pt-BR"/>
        </w:rPr>
        <w:t>,</w:t>
      </w:r>
      <w:r w:rsidR="00E66F6B">
        <w:rPr>
          <w:rFonts w:asciiTheme="majorHAnsi" w:hAnsiTheme="majorHAnsi" w:cs="Times New Roman"/>
          <w:sz w:val="24"/>
          <w:szCs w:val="24"/>
          <w:lang w:val="pt-BR"/>
        </w:rPr>
        <w:t xml:space="preserve"> que é possível que as</w:t>
      </w:r>
      <w:r w:rsidR="00B06848">
        <w:rPr>
          <w:rFonts w:asciiTheme="majorHAnsi" w:hAnsiTheme="majorHAnsi" w:cs="Times New Roman"/>
          <w:sz w:val="24"/>
          <w:szCs w:val="24"/>
          <w:lang w:val="pt-BR"/>
        </w:rPr>
        <w:t xml:space="preserve"> várias </w:t>
      </w:r>
      <w:r w:rsidR="00E66F6B">
        <w:rPr>
          <w:rFonts w:asciiTheme="majorHAnsi" w:hAnsiTheme="majorHAnsi" w:cs="Times New Roman"/>
          <w:sz w:val="24"/>
          <w:szCs w:val="24"/>
          <w:lang w:val="pt-BR"/>
        </w:rPr>
        <w:t xml:space="preserve"> sociedades que compõem</w:t>
      </w:r>
      <w:r w:rsidR="00B06848">
        <w:rPr>
          <w:rFonts w:asciiTheme="majorHAnsi" w:hAnsiTheme="majorHAnsi" w:cs="Times New Roman"/>
          <w:sz w:val="24"/>
          <w:szCs w:val="24"/>
          <w:lang w:val="pt-BR"/>
        </w:rPr>
        <w:t xml:space="preserve"> um grupo</w:t>
      </w:r>
      <w:r>
        <w:rPr>
          <w:rFonts w:asciiTheme="majorHAnsi" w:hAnsiTheme="majorHAnsi" w:cs="Times New Roman"/>
          <w:sz w:val="24"/>
          <w:szCs w:val="24"/>
          <w:lang w:val="pt-BR"/>
        </w:rPr>
        <w:t xml:space="preserve">, estabeleçam um acordo, onde uma </w:t>
      </w:r>
      <w:r w:rsidR="002E1CAE">
        <w:rPr>
          <w:rFonts w:asciiTheme="majorHAnsi" w:hAnsiTheme="majorHAnsi" w:cs="Times New Roman"/>
          <w:sz w:val="24"/>
          <w:szCs w:val="24"/>
          <w:lang w:val="pt-BR"/>
        </w:rPr>
        <w:t xml:space="preserve">dessas sociedades faça a gestão de uma conta global, junto de uma entidade bancária onde serão consolidados os saldos devedores e credores das diversas sociedades </w:t>
      </w:r>
      <w:r>
        <w:rPr>
          <w:rFonts w:asciiTheme="majorHAnsi" w:hAnsiTheme="majorHAnsi" w:cs="Times New Roman"/>
          <w:sz w:val="24"/>
          <w:szCs w:val="24"/>
          <w:lang w:val="pt-BR"/>
        </w:rPr>
        <w:t>participantes, num único saldo, com o fim de alcançar um saldo positivo, junto da entidade bancária.</w:t>
      </w:r>
    </w:p>
    <w:p w:rsidR="00B63B92" w:rsidRDefault="00B63B92" w:rsidP="00BC60AC">
      <w:pPr>
        <w:spacing w:line="360" w:lineRule="auto"/>
        <w:rPr>
          <w:rFonts w:asciiTheme="majorHAnsi" w:hAnsiTheme="majorHAnsi" w:cs="Times New Roman"/>
          <w:sz w:val="24"/>
          <w:szCs w:val="24"/>
          <w:lang w:val="pt-BR"/>
        </w:rPr>
      </w:pPr>
    </w:p>
    <w:p w:rsidR="00C2335E" w:rsidRPr="00C2335E" w:rsidRDefault="00EF705A" w:rsidP="00EF705A">
      <w:pPr>
        <w:spacing w:line="360" w:lineRule="auto"/>
        <w:ind w:firstLine="708"/>
        <w:rPr>
          <w:rFonts w:asciiTheme="majorHAnsi" w:hAnsiTheme="majorHAnsi" w:cs="Times New Roman"/>
          <w:b/>
          <w:sz w:val="24"/>
          <w:szCs w:val="24"/>
          <w:lang w:val="pt-BR"/>
        </w:rPr>
      </w:pPr>
      <w:r>
        <w:rPr>
          <w:rFonts w:asciiTheme="majorHAnsi" w:hAnsiTheme="majorHAnsi" w:cs="Times New Roman"/>
          <w:b/>
          <w:i/>
          <w:sz w:val="24"/>
          <w:szCs w:val="24"/>
          <w:lang w:val="pt-BR"/>
        </w:rPr>
        <w:t xml:space="preserve">11.2. </w:t>
      </w:r>
      <w:r w:rsidR="004D3D3C">
        <w:rPr>
          <w:rFonts w:asciiTheme="majorHAnsi" w:hAnsiTheme="majorHAnsi" w:cs="Times New Roman"/>
          <w:b/>
          <w:i/>
          <w:sz w:val="24"/>
          <w:szCs w:val="24"/>
          <w:lang w:val="pt-BR"/>
        </w:rPr>
        <w:t xml:space="preserve">Âmbito do direito societário. Nota introdutória </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Apesar da actividade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ser uma actividade atípica, para a sua implementação não é necessário que</w:t>
      </w:r>
      <w:r w:rsidR="00CC2796">
        <w:rPr>
          <w:rFonts w:asciiTheme="majorHAnsi" w:hAnsiTheme="majorHAnsi" w:cs="Times New Roman"/>
          <w:sz w:val="24"/>
          <w:szCs w:val="24"/>
          <w:lang w:val="pt-BR"/>
        </w:rPr>
        <w:t xml:space="preserve"> a mesma conste d</w:t>
      </w:r>
      <w:r w:rsidRPr="00C2335E">
        <w:rPr>
          <w:rFonts w:asciiTheme="majorHAnsi" w:hAnsiTheme="majorHAnsi" w:cs="Times New Roman"/>
          <w:sz w:val="24"/>
          <w:szCs w:val="24"/>
          <w:lang w:val="pt-BR"/>
        </w:rPr>
        <w:t xml:space="preserve">os estatutos, ou seja, dentro do objecto social da sociedade, uma vez que 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não é nada mais do que uma consequência da actividade</w:t>
      </w:r>
      <w:r w:rsidR="003059B5">
        <w:rPr>
          <w:rFonts w:asciiTheme="majorHAnsi" w:hAnsiTheme="majorHAnsi" w:cs="Times New Roman"/>
          <w:sz w:val="24"/>
          <w:szCs w:val="24"/>
          <w:lang w:val="pt-BR"/>
        </w:rPr>
        <w:t xml:space="preserve"> do grupo de sociedades, isto é</w:t>
      </w:r>
      <w:r w:rsidRPr="00C2335E">
        <w:rPr>
          <w:rFonts w:asciiTheme="majorHAnsi" w:hAnsiTheme="majorHAnsi" w:cs="Times New Roman"/>
          <w:sz w:val="24"/>
          <w:szCs w:val="24"/>
          <w:lang w:val="pt-BR"/>
        </w:rPr>
        <w:t>, cinge-se apenas numa mera gestão de tesouraria do grupo de sociedade.</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Por outra, geralmente as actividades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não entram em colisão com os interesses das soci</w:t>
      </w:r>
      <w:r w:rsidR="006F4217">
        <w:rPr>
          <w:rFonts w:asciiTheme="majorHAnsi" w:hAnsiTheme="majorHAnsi" w:cs="Times New Roman"/>
          <w:sz w:val="24"/>
          <w:szCs w:val="24"/>
          <w:lang w:val="pt-BR"/>
        </w:rPr>
        <w:t>edades participantes, mas, mesmo que se isso aconteça</w:t>
      </w:r>
      <w:r w:rsidRPr="00C2335E">
        <w:rPr>
          <w:rFonts w:asciiTheme="majorHAnsi" w:hAnsiTheme="majorHAnsi" w:cs="Times New Roman"/>
          <w:sz w:val="24"/>
          <w:szCs w:val="24"/>
          <w:lang w:val="pt-BR"/>
        </w:rPr>
        <w:t>, dentro do grupo de sociedades, a sociedade gestora tem a prerrogativa de emitir instruções desvantajosas e fazer prevalecer às suas instruç</w:t>
      </w:r>
      <w:r w:rsidR="00742880">
        <w:rPr>
          <w:rFonts w:asciiTheme="majorHAnsi" w:hAnsiTheme="majorHAnsi" w:cs="Times New Roman"/>
          <w:sz w:val="24"/>
          <w:szCs w:val="24"/>
          <w:lang w:val="pt-BR"/>
        </w:rPr>
        <w:t>ões, desde que tal decisão, fosse</w:t>
      </w:r>
      <w:r w:rsidRPr="00C2335E">
        <w:rPr>
          <w:rFonts w:asciiTheme="majorHAnsi" w:hAnsiTheme="majorHAnsi" w:cs="Times New Roman"/>
          <w:sz w:val="24"/>
          <w:szCs w:val="24"/>
          <w:lang w:val="pt-BR"/>
        </w:rPr>
        <w:t xml:space="preserve"> vantajosa para o grupo, ou para qualquer uma das sociedades participantes. A actividade de </w:t>
      </w:r>
      <w:r w:rsidRPr="003059B5">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encontra um limite na sua actuação – a de não poder servir para fins de assistência financeira.</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Quanto aos administradores das sociedades, sabemos que em termos gerais, estes estão vinculados a um conjunto de deveres</w:t>
      </w:r>
      <w:r w:rsidR="00CC2796">
        <w:rPr>
          <w:rFonts w:asciiTheme="majorHAnsi" w:hAnsiTheme="majorHAnsi" w:cs="Times New Roman"/>
          <w:sz w:val="24"/>
          <w:szCs w:val="24"/>
          <w:lang w:val="pt-BR"/>
        </w:rPr>
        <w:t xml:space="preserve">, sejam legais, contratuais e até mesmo </w:t>
      </w:r>
      <w:r w:rsidR="000A2A56">
        <w:rPr>
          <w:rFonts w:asciiTheme="majorHAnsi" w:hAnsiTheme="majorHAnsi" w:cs="Times New Roman"/>
          <w:sz w:val="24"/>
          <w:szCs w:val="24"/>
          <w:lang w:val="pt-BR"/>
        </w:rPr>
        <w:t>os que têm origem</w:t>
      </w:r>
      <w:r w:rsidR="00CC2796">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nos estatutos das sociedades em que estão vinculados. A actuação dos administradores visa não só a satisfação dos interesse</w:t>
      </w:r>
      <w:r w:rsidR="003059B5">
        <w:rPr>
          <w:rFonts w:asciiTheme="majorHAnsi" w:hAnsiTheme="majorHAnsi" w:cs="Times New Roman"/>
          <w:sz w:val="24"/>
          <w:szCs w:val="24"/>
          <w:lang w:val="pt-BR"/>
        </w:rPr>
        <w:t>s das sociedades, como também d</w:t>
      </w:r>
      <w:r w:rsidRPr="00C2335E">
        <w:rPr>
          <w:rFonts w:asciiTheme="majorHAnsi" w:hAnsiTheme="majorHAnsi" w:cs="Times New Roman"/>
          <w:sz w:val="24"/>
          <w:szCs w:val="24"/>
          <w:lang w:val="pt-BR"/>
        </w:rPr>
        <w:t>os credores sociais (artigo 83.º) e terceiros (84,º).</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Na realização das suas funções, os administradores estão vinculados a um conjunto de deveres, como é o caso do dever de diligencia, previsto no art. 69.º</w:t>
      </w:r>
      <w:r w:rsidR="00CC2796">
        <w:rPr>
          <w:rFonts w:asciiTheme="majorHAnsi" w:hAnsiTheme="majorHAnsi" w:cs="Times New Roman"/>
          <w:sz w:val="24"/>
          <w:szCs w:val="24"/>
          <w:lang w:val="pt-BR"/>
        </w:rPr>
        <w:t xml:space="preserve"> da LSC, que se desdobra nos </w:t>
      </w:r>
      <w:r w:rsidRPr="00C2335E">
        <w:rPr>
          <w:rFonts w:asciiTheme="majorHAnsi" w:hAnsiTheme="majorHAnsi" w:cs="Times New Roman"/>
          <w:sz w:val="24"/>
          <w:szCs w:val="24"/>
          <w:lang w:val="pt-BR"/>
        </w:rPr>
        <w:t>deveres de cuidado (diligência em sentido estrito) e de lealdade</w:t>
      </w:r>
      <w:r w:rsidRPr="00C2335E">
        <w:rPr>
          <w:rStyle w:val="Refdenotaderodap"/>
          <w:rFonts w:asciiTheme="majorHAnsi" w:hAnsiTheme="majorHAnsi" w:cs="Times New Roman"/>
          <w:sz w:val="24"/>
          <w:szCs w:val="24"/>
          <w:lang w:val="pt-BR"/>
        </w:rPr>
        <w:footnoteReference w:id="51"/>
      </w:r>
      <w:r w:rsidRPr="00C2335E">
        <w:rPr>
          <w:rFonts w:asciiTheme="majorHAnsi" w:hAnsiTheme="majorHAnsi" w:cs="Times New Roman"/>
          <w:sz w:val="24"/>
          <w:szCs w:val="24"/>
          <w:lang w:val="pt-BR"/>
        </w:rPr>
        <w:t xml:space="preserve"> Além destes deveres, há um conjunto de deveres específicos em que os administradores estão adstritos, </w:t>
      </w:r>
      <w:r w:rsidR="00CC2796">
        <w:rPr>
          <w:rFonts w:asciiTheme="majorHAnsi" w:hAnsiTheme="majorHAnsi" w:cs="Times New Roman"/>
          <w:sz w:val="24"/>
          <w:szCs w:val="24"/>
          <w:lang w:val="pt-BR"/>
        </w:rPr>
        <w:t>onde a violação dos mesmos dá lugar a responsabilidade civil</w:t>
      </w:r>
      <w:r w:rsidRPr="00C2335E">
        <w:rPr>
          <w:rFonts w:asciiTheme="majorHAnsi" w:hAnsiTheme="majorHAnsi" w:cs="Times New Roman"/>
          <w:sz w:val="24"/>
          <w:szCs w:val="24"/>
          <w:lang w:val="pt-BR"/>
        </w:rPr>
        <w:t xml:space="preserve">. </w:t>
      </w:r>
      <w:r w:rsidR="00CC2796">
        <w:rPr>
          <w:rFonts w:asciiTheme="majorHAnsi" w:hAnsiTheme="majorHAnsi" w:cs="Times New Roman"/>
          <w:sz w:val="24"/>
          <w:szCs w:val="24"/>
          <w:lang w:val="pt-BR"/>
        </w:rPr>
        <w:t xml:space="preserve">Estes deveres </w:t>
      </w:r>
      <w:r w:rsidRPr="00C2335E">
        <w:rPr>
          <w:rFonts w:asciiTheme="majorHAnsi" w:hAnsiTheme="majorHAnsi" w:cs="Times New Roman"/>
          <w:sz w:val="24"/>
          <w:szCs w:val="24"/>
          <w:lang w:val="pt-BR"/>
        </w:rPr>
        <w:t>concretizam</w:t>
      </w:r>
      <w:r w:rsidR="00CC2796">
        <w:rPr>
          <w:rFonts w:asciiTheme="majorHAnsi" w:hAnsiTheme="majorHAnsi" w:cs="Times New Roman"/>
          <w:sz w:val="24"/>
          <w:szCs w:val="24"/>
          <w:lang w:val="pt-BR"/>
        </w:rPr>
        <w:t>-se quando não são violadas;</w:t>
      </w:r>
    </w:p>
    <w:p w:rsidR="00C2335E" w:rsidRPr="00C2335E" w:rsidRDefault="00C2335E" w:rsidP="00C2335E">
      <w:pPr>
        <w:pStyle w:val="PargrafodaLista"/>
        <w:numPr>
          <w:ilvl w:val="0"/>
          <w:numId w:val="7"/>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Cláusulas contratuais ou deliberações sociais que fixem à sociedade determinado objecto ou que proibam a prática de determinados actos – artigo 7.º/2 da LSC;</w:t>
      </w:r>
    </w:p>
    <w:p w:rsidR="00C2335E" w:rsidRPr="00C2335E" w:rsidRDefault="00C2335E" w:rsidP="00C2335E">
      <w:pPr>
        <w:pStyle w:val="PargrafodaLista"/>
        <w:numPr>
          <w:ilvl w:val="0"/>
          <w:numId w:val="7"/>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Incumprimento do dever de relatar a gestão e de apresentar contas – artigo 70.º LSC;</w:t>
      </w:r>
    </w:p>
    <w:p w:rsidR="00C2335E" w:rsidRPr="00C2335E" w:rsidRDefault="00C2335E" w:rsidP="00C2335E">
      <w:pPr>
        <w:pStyle w:val="PargrafodaLista"/>
        <w:numPr>
          <w:ilvl w:val="0"/>
          <w:numId w:val="7"/>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Não convocação ou não requerimento da convocação da assembleia geral, quando se esteja perante a perda de metade do capital social – artigo 37.º/1 da LSC;</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 não cumprimento dos deveres acima referenciados gera responsabilidade dos administradores para com a sociedade, todavia estes não serão os únicos que responderão de form</w:t>
      </w:r>
      <w:r w:rsidR="00CC2796">
        <w:rPr>
          <w:rFonts w:asciiTheme="majorHAnsi" w:hAnsiTheme="majorHAnsi" w:cs="Times New Roman"/>
          <w:sz w:val="24"/>
          <w:szCs w:val="24"/>
          <w:lang w:val="pt-BR"/>
        </w:rPr>
        <w:t>a exclusiva, d</w:t>
      </w:r>
      <w:r w:rsidRPr="00C2335E">
        <w:rPr>
          <w:rFonts w:asciiTheme="majorHAnsi" w:hAnsiTheme="majorHAnsi" w:cs="Times New Roman"/>
          <w:sz w:val="24"/>
          <w:szCs w:val="24"/>
          <w:lang w:val="pt-BR"/>
        </w:rPr>
        <w:t xml:space="preserve">e acordo com o artigo 78.º da LSC respondem em regime de solidariedade os fundadores. </w:t>
      </w:r>
      <w:r w:rsidRPr="00C2335E">
        <w:rPr>
          <w:rStyle w:val="Refdenotaderodap"/>
          <w:rFonts w:asciiTheme="majorHAnsi" w:hAnsiTheme="majorHAnsi" w:cs="Times New Roman"/>
          <w:sz w:val="24"/>
          <w:szCs w:val="24"/>
          <w:lang w:val="pt-BR"/>
        </w:rPr>
        <w:footnoteReference w:id="52"/>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 nível dos grupos de sociedades são os membros do órgão de administração da sociedade directora a quem recai os mesmos deveres que qualquer gerente/administrador deve observar, nomeadamente os deveres de cuidado e os deveres de lealdade, recaindo sobre estes, a responsabilidade em caso de incumprimentos de tais deveres. Recai sobre os membros do órgão da administração a responsabilidade perante a sociedade subordinada, nos termos dos artigos da LSC.</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Assim, nos grupos de sociedade que decidam adoptar o sistema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os administradores responderão sempre que celebrarem contratos de </w:t>
      </w:r>
      <w:r w:rsidRPr="00C2335E">
        <w:rPr>
          <w:rFonts w:asciiTheme="majorHAnsi" w:hAnsiTheme="majorHAnsi" w:cs="Times New Roman"/>
          <w:i/>
          <w:sz w:val="24"/>
          <w:szCs w:val="24"/>
          <w:lang w:val="pt-BR"/>
        </w:rPr>
        <w:t>cash pooling</w:t>
      </w:r>
      <w:r w:rsidRPr="00C2335E">
        <w:rPr>
          <w:rFonts w:asciiTheme="majorHAnsi" w:hAnsiTheme="majorHAnsi" w:cs="Times New Roman"/>
          <w:sz w:val="24"/>
          <w:szCs w:val="24"/>
          <w:lang w:val="pt-BR"/>
        </w:rPr>
        <w:t xml:space="preserve"> em condições que possam afectar de forma adversa à vida económica da sociedade, sempre que não conseguirem desvincular-se de um contrato de </w:t>
      </w:r>
      <w:r w:rsidRPr="00C2335E">
        <w:rPr>
          <w:rFonts w:asciiTheme="majorHAnsi" w:hAnsiTheme="majorHAnsi" w:cs="Times New Roman"/>
          <w:i/>
          <w:sz w:val="24"/>
          <w:szCs w:val="24"/>
          <w:lang w:val="pt-BR"/>
        </w:rPr>
        <w:t xml:space="preserve">cash pooling </w:t>
      </w:r>
      <w:r w:rsidRPr="00C2335E">
        <w:rPr>
          <w:rFonts w:asciiTheme="majorHAnsi" w:hAnsiTheme="majorHAnsi" w:cs="Times New Roman"/>
          <w:sz w:val="24"/>
          <w:szCs w:val="24"/>
          <w:lang w:val="pt-BR"/>
        </w:rPr>
        <w:t>onde a viabilidade financeira do resto das sociedades do grupo detiore-se de tal forma que a sociedade não consiga recuperar o montante que investiu. Responderão ainda os administradores caso não consigam convocar ou não requerer a convocação nas situações em que os activos líquidos da sociedade caiam num valor abaixo de metade do capital social.</w:t>
      </w:r>
    </w:p>
    <w:p w:rsidR="00C2335E" w:rsidRPr="00C2335E" w:rsidRDefault="00C2335E" w:rsidP="00C2335E">
      <w:pPr>
        <w:pStyle w:val="PargrafodaLista"/>
        <w:numPr>
          <w:ilvl w:val="0"/>
          <w:numId w:val="3"/>
        </w:numPr>
        <w:spacing w:before="0" w:after="200" w:line="360" w:lineRule="auto"/>
        <w:rPr>
          <w:rFonts w:asciiTheme="majorHAnsi" w:hAnsiTheme="majorHAnsi" w:cs="Times New Roman"/>
          <w:b/>
          <w:i/>
          <w:sz w:val="24"/>
          <w:szCs w:val="24"/>
          <w:lang w:val="pt-BR"/>
        </w:rPr>
      </w:pPr>
      <w:r w:rsidRPr="00C2335E">
        <w:rPr>
          <w:rFonts w:asciiTheme="majorHAnsi" w:hAnsiTheme="majorHAnsi" w:cs="Times New Roman"/>
          <w:b/>
          <w:sz w:val="24"/>
          <w:szCs w:val="24"/>
          <w:lang w:val="pt-BR"/>
        </w:rPr>
        <w:t xml:space="preserve">Natureza jurídica do </w:t>
      </w:r>
      <w:r w:rsidRPr="00C2335E">
        <w:rPr>
          <w:rFonts w:asciiTheme="majorHAnsi" w:hAnsiTheme="majorHAnsi" w:cs="Times New Roman"/>
          <w:b/>
          <w:i/>
          <w:sz w:val="24"/>
          <w:szCs w:val="24"/>
          <w:lang w:val="pt-BR"/>
        </w:rPr>
        <w:t>Cash Pooling</w:t>
      </w:r>
    </w:p>
    <w:p w:rsidR="008F4EB0" w:rsidRDefault="00603FC1"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Importa </w:t>
      </w:r>
      <w:r w:rsidR="00AC4DAC">
        <w:rPr>
          <w:rFonts w:asciiTheme="majorHAnsi" w:hAnsiTheme="majorHAnsi" w:cs="Times New Roman"/>
          <w:sz w:val="24"/>
          <w:szCs w:val="24"/>
          <w:lang w:val="pt-BR"/>
        </w:rPr>
        <w:t xml:space="preserve">nesta fase do nosso estudo, </w:t>
      </w:r>
      <w:r>
        <w:rPr>
          <w:rFonts w:asciiTheme="majorHAnsi" w:hAnsiTheme="majorHAnsi" w:cs="Times New Roman"/>
          <w:sz w:val="24"/>
          <w:szCs w:val="24"/>
          <w:lang w:val="pt-BR"/>
        </w:rPr>
        <w:t xml:space="preserve">efectuar o enquadramento dogmático da figura do </w:t>
      </w:r>
      <w:r w:rsidRPr="003059B5">
        <w:rPr>
          <w:rFonts w:asciiTheme="majorHAnsi" w:hAnsiTheme="majorHAnsi" w:cs="Times New Roman"/>
          <w:i/>
          <w:sz w:val="24"/>
          <w:szCs w:val="24"/>
          <w:lang w:val="pt-BR"/>
        </w:rPr>
        <w:t>cash pooling</w:t>
      </w:r>
      <w:r>
        <w:rPr>
          <w:rFonts w:asciiTheme="majorHAnsi" w:hAnsiTheme="majorHAnsi" w:cs="Times New Roman"/>
          <w:sz w:val="24"/>
          <w:szCs w:val="24"/>
          <w:lang w:val="pt-BR"/>
        </w:rPr>
        <w:t>, ou seja, determ</w:t>
      </w:r>
      <w:r w:rsidR="00D26F06">
        <w:rPr>
          <w:rFonts w:asciiTheme="majorHAnsi" w:hAnsiTheme="majorHAnsi" w:cs="Times New Roman"/>
          <w:sz w:val="24"/>
          <w:szCs w:val="24"/>
          <w:lang w:val="pt-BR"/>
        </w:rPr>
        <w:t>inar a sua natureza jurídica. P</w:t>
      </w:r>
      <w:r>
        <w:rPr>
          <w:rFonts w:asciiTheme="majorHAnsi" w:hAnsiTheme="majorHAnsi" w:cs="Times New Roman"/>
          <w:sz w:val="24"/>
          <w:szCs w:val="24"/>
          <w:lang w:val="pt-BR"/>
        </w:rPr>
        <w:t xml:space="preserve">ara o efeito, </w:t>
      </w:r>
      <w:r w:rsidR="003059B5">
        <w:rPr>
          <w:rFonts w:asciiTheme="majorHAnsi" w:hAnsiTheme="majorHAnsi" w:cs="Times New Roman"/>
          <w:sz w:val="24"/>
          <w:szCs w:val="24"/>
          <w:lang w:val="pt-BR"/>
        </w:rPr>
        <w:t xml:space="preserve">foram </w:t>
      </w:r>
      <w:r w:rsidR="00117E60">
        <w:rPr>
          <w:rFonts w:asciiTheme="majorHAnsi" w:hAnsiTheme="majorHAnsi" w:cs="Times New Roman"/>
          <w:sz w:val="24"/>
          <w:szCs w:val="24"/>
          <w:lang w:val="pt-BR"/>
        </w:rPr>
        <w:t>apresentadas</w:t>
      </w:r>
      <w:r w:rsidR="00D26F06">
        <w:rPr>
          <w:rFonts w:asciiTheme="majorHAnsi" w:hAnsiTheme="majorHAnsi" w:cs="Times New Roman"/>
          <w:sz w:val="24"/>
          <w:szCs w:val="24"/>
          <w:lang w:val="pt-BR"/>
        </w:rPr>
        <w:t xml:space="preserve"> algumas soluç</w:t>
      </w:r>
      <w:r w:rsidR="00117E60">
        <w:rPr>
          <w:rFonts w:asciiTheme="majorHAnsi" w:hAnsiTheme="majorHAnsi" w:cs="Times New Roman"/>
          <w:sz w:val="24"/>
          <w:szCs w:val="24"/>
          <w:lang w:val="pt-BR"/>
        </w:rPr>
        <w:t xml:space="preserve">ões; a primeira solução </w:t>
      </w:r>
      <w:r w:rsidR="00D26F06">
        <w:rPr>
          <w:rFonts w:asciiTheme="majorHAnsi" w:hAnsiTheme="majorHAnsi" w:cs="Times New Roman"/>
          <w:sz w:val="24"/>
          <w:szCs w:val="24"/>
          <w:lang w:val="pt-BR"/>
        </w:rPr>
        <w:t xml:space="preserve">tem entendido que o contrato de </w:t>
      </w:r>
      <w:r w:rsidR="00D26F06" w:rsidRPr="00117E60">
        <w:rPr>
          <w:rFonts w:asciiTheme="majorHAnsi" w:hAnsiTheme="majorHAnsi" w:cs="Times New Roman"/>
          <w:i/>
          <w:sz w:val="24"/>
          <w:szCs w:val="24"/>
          <w:lang w:val="pt-BR"/>
        </w:rPr>
        <w:t>cash pooling</w:t>
      </w:r>
      <w:r w:rsidR="00D26F06">
        <w:rPr>
          <w:rFonts w:asciiTheme="majorHAnsi" w:hAnsiTheme="majorHAnsi" w:cs="Times New Roman"/>
          <w:sz w:val="24"/>
          <w:szCs w:val="24"/>
          <w:lang w:val="pt-BR"/>
        </w:rPr>
        <w:t xml:space="preserve"> tem natureza de um contrato crédito; </w:t>
      </w:r>
      <w:r w:rsidR="003059B5">
        <w:rPr>
          <w:rFonts w:asciiTheme="majorHAnsi" w:hAnsiTheme="majorHAnsi" w:cs="Times New Roman"/>
          <w:sz w:val="24"/>
          <w:szCs w:val="24"/>
          <w:lang w:val="pt-BR"/>
        </w:rPr>
        <w:t xml:space="preserve">a segunda entende </w:t>
      </w:r>
      <w:r w:rsidR="00A01FF6">
        <w:rPr>
          <w:rFonts w:asciiTheme="majorHAnsi" w:hAnsiTheme="majorHAnsi" w:cs="Times New Roman"/>
          <w:sz w:val="24"/>
          <w:szCs w:val="24"/>
          <w:lang w:val="pt-BR"/>
        </w:rPr>
        <w:t xml:space="preserve">que </w:t>
      </w:r>
      <w:r w:rsidR="008F4EB0">
        <w:rPr>
          <w:rFonts w:asciiTheme="majorHAnsi" w:hAnsiTheme="majorHAnsi" w:cs="Times New Roman"/>
          <w:sz w:val="24"/>
          <w:szCs w:val="24"/>
          <w:lang w:val="pt-BR"/>
        </w:rPr>
        <w:t xml:space="preserve">os fluxos financeiros do </w:t>
      </w:r>
      <w:r w:rsidR="008F4EB0" w:rsidRPr="00A01FF6">
        <w:rPr>
          <w:rFonts w:asciiTheme="majorHAnsi" w:hAnsiTheme="majorHAnsi" w:cs="Times New Roman"/>
          <w:i/>
          <w:sz w:val="24"/>
          <w:szCs w:val="24"/>
          <w:lang w:val="pt-BR"/>
        </w:rPr>
        <w:t>cash pooling</w:t>
      </w:r>
      <w:r w:rsidR="00AC4DAC">
        <w:rPr>
          <w:rFonts w:asciiTheme="majorHAnsi" w:hAnsiTheme="majorHAnsi" w:cs="Times New Roman"/>
          <w:i/>
          <w:sz w:val="24"/>
          <w:szCs w:val="24"/>
          <w:lang w:val="pt-BR"/>
        </w:rPr>
        <w:t xml:space="preserve"> </w:t>
      </w:r>
      <w:r w:rsidR="00A01FF6">
        <w:rPr>
          <w:rFonts w:asciiTheme="majorHAnsi" w:hAnsiTheme="majorHAnsi" w:cs="Times New Roman"/>
          <w:sz w:val="24"/>
          <w:szCs w:val="24"/>
          <w:lang w:val="pt-BR"/>
        </w:rPr>
        <w:t xml:space="preserve">não têm natureza creditícia, </w:t>
      </w:r>
      <w:r w:rsidR="00D26F06">
        <w:rPr>
          <w:rFonts w:asciiTheme="majorHAnsi" w:hAnsiTheme="majorHAnsi" w:cs="Times New Roman"/>
          <w:sz w:val="24"/>
          <w:szCs w:val="24"/>
          <w:lang w:val="pt-BR"/>
        </w:rPr>
        <w:t xml:space="preserve">e </w:t>
      </w:r>
      <w:r w:rsidR="00A01FF6">
        <w:rPr>
          <w:rFonts w:asciiTheme="majorHAnsi" w:hAnsiTheme="majorHAnsi" w:cs="Times New Roman"/>
          <w:sz w:val="24"/>
          <w:szCs w:val="24"/>
          <w:lang w:val="pt-BR"/>
        </w:rPr>
        <w:t xml:space="preserve">a </w:t>
      </w:r>
      <w:r w:rsidR="00BC29E8">
        <w:rPr>
          <w:rFonts w:asciiTheme="majorHAnsi" w:hAnsiTheme="majorHAnsi" w:cs="Times New Roman"/>
          <w:sz w:val="24"/>
          <w:szCs w:val="24"/>
          <w:lang w:val="pt-BR"/>
        </w:rPr>
        <w:t>terceira analisa o contrato como um contrato</w:t>
      </w:r>
      <w:r w:rsidR="00AC4DAC">
        <w:rPr>
          <w:rFonts w:asciiTheme="majorHAnsi" w:hAnsiTheme="majorHAnsi" w:cs="Times New Roman"/>
          <w:sz w:val="24"/>
          <w:szCs w:val="24"/>
          <w:lang w:val="pt-BR"/>
        </w:rPr>
        <w:t xml:space="preserve"> </w:t>
      </w:r>
      <w:r w:rsidR="00A01FF6">
        <w:rPr>
          <w:rFonts w:asciiTheme="majorHAnsi" w:hAnsiTheme="majorHAnsi" w:cs="Times New Roman"/>
          <w:sz w:val="24"/>
          <w:szCs w:val="24"/>
          <w:lang w:val="pt-BR"/>
        </w:rPr>
        <w:t xml:space="preserve">de conta corrente mercantil. </w:t>
      </w:r>
    </w:p>
    <w:p w:rsidR="00D26F06" w:rsidRDefault="00D26F06"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Apesar das divergências, os estudos demonstram que é unánime a ideia de que o contrato de </w:t>
      </w:r>
      <w:r w:rsidRPr="000C5E2F">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é um contrato atípico, uma vez que não possui um regime próprio</w:t>
      </w:r>
      <w:r w:rsidR="000C5E2F">
        <w:rPr>
          <w:rFonts w:asciiTheme="majorHAnsi" w:hAnsiTheme="majorHAnsi" w:cs="Times New Roman"/>
          <w:sz w:val="24"/>
          <w:szCs w:val="24"/>
          <w:lang w:val="pt-BR"/>
        </w:rPr>
        <w:t>, trata-se de um contrato misto que converge elementos de um contrato de depósito e de um contrato de mútuo.</w:t>
      </w:r>
    </w:p>
    <w:p w:rsidR="00A01FF6" w:rsidRDefault="00A01FF6" w:rsidP="00C2335E">
      <w:pPr>
        <w:spacing w:line="360" w:lineRule="auto"/>
        <w:rPr>
          <w:rFonts w:asciiTheme="majorHAnsi" w:hAnsiTheme="majorHAnsi" w:cs="Times New Roman"/>
          <w:b/>
          <w:sz w:val="24"/>
          <w:szCs w:val="24"/>
          <w:lang w:val="pt-BR"/>
        </w:rPr>
      </w:pPr>
      <w:r>
        <w:rPr>
          <w:rFonts w:asciiTheme="majorHAnsi" w:hAnsiTheme="majorHAnsi" w:cs="Times New Roman"/>
          <w:sz w:val="24"/>
          <w:szCs w:val="24"/>
          <w:lang w:val="pt-BR"/>
        </w:rPr>
        <w:tab/>
      </w:r>
      <w:r w:rsidRPr="00A01FF6">
        <w:rPr>
          <w:rFonts w:asciiTheme="majorHAnsi" w:hAnsiTheme="majorHAnsi" w:cs="Times New Roman"/>
          <w:b/>
          <w:sz w:val="24"/>
          <w:szCs w:val="24"/>
          <w:lang w:val="pt-BR"/>
        </w:rPr>
        <w:t xml:space="preserve">12.1. O contrato de </w:t>
      </w:r>
      <w:r w:rsidRPr="000C5E2F">
        <w:rPr>
          <w:rFonts w:asciiTheme="majorHAnsi" w:hAnsiTheme="majorHAnsi" w:cs="Times New Roman"/>
          <w:b/>
          <w:i/>
          <w:sz w:val="24"/>
          <w:szCs w:val="24"/>
          <w:lang w:val="pt-BR"/>
        </w:rPr>
        <w:t>cash pooling</w:t>
      </w:r>
      <w:r w:rsidRPr="00A01FF6">
        <w:rPr>
          <w:rFonts w:asciiTheme="majorHAnsi" w:hAnsiTheme="majorHAnsi" w:cs="Times New Roman"/>
          <w:b/>
          <w:sz w:val="24"/>
          <w:szCs w:val="24"/>
          <w:lang w:val="pt-BR"/>
        </w:rPr>
        <w:t xml:space="preserve"> como um contrato</w:t>
      </w:r>
      <w:r w:rsidR="000C5E2F">
        <w:rPr>
          <w:rFonts w:asciiTheme="majorHAnsi" w:hAnsiTheme="majorHAnsi" w:cs="Times New Roman"/>
          <w:b/>
          <w:sz w:val="24"/>
          <w:szCs w:val="24"/>
          <w:lang w:val="pt-BR"/>
        </w:rPr>
        <w:t xml:space="preserve"> de crédito</w:t>
      </w:r>
      <w:r>
        <w:rPr>
          <w:rFonts w:asciiTheme="majorHAnsi" w:hAnsiTheme="majorHAnsi" w:cs="Times New Roman"/>
          <w:b/>
          <w:sz w:val="24"/>
          <w:szCs w:val="24"/>
          <w:lang w:val="pt-BR"/>
        </w:rPr>
        <w:t>.</w:t>
      </w:r>
    </w:p>
    <w:p w:rsidR="00A01FF6" w:rsidRPr="00A01FF6" w:rsidRDefault="00F50A12"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Autores como Ortega Verdugo e V. Miola entendem que a natureza do contrato de </w:t>
      </w:r>
      <w:r w:rsidRPr="00F50A12">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é de um contrato de crédito, na medida em que as transferências dos saldos activos das contas periféricas para a conta da entidade centralizadora, representa o nascimento para as filiais de um verdadeiro direito de crédito, enquanto que a cobertura do saldo passivo das contas periféricas constituiem um empréstimo (contrato de mútuo) da entidade centralizadora para as filiais, </w:t>
      </w:r>
      <w:r w:rsidR="00117E60">
        <w:rPr>
          <w:rFonts w:asciiTheme="majorHAnsi" w:hAnsiTheme="majorHAnsi" w:cs="Times New Roman"/>
          <w:sz w:val="24"/>
          <w:szCs w:val="24"/>
          <w:lang w:val="pt-BR"/>
        </w:rPr>
        <w:t>isso porque, tais coberturas permitem que estejam disponíveis</w:t>
      </w:r>
      <w:r>
        <w:rPr>
          <w:rFonts w:asciiTheme="majorHAnsi" w:hAnsiTheme="majorHAnsi" w:cs="Times New Roman"/>
          <w:sz w:val="24"/>
          <w:szCs w:val="24"/>
          <w:lang w:val="pt-BR"/>
        </w:rPr>
        <w:t xml:space="preserve"> os recursos financeiros das sociedades do grupo. </w:t>
      </w:r>
    </w:p>
    <w:p w:rsidR="00E147C0" w:rsidRDefault="000819C3"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Para </w:t>
      </w:r>
      <w:r w:rsidR="004604A7">
        <w:rPr>
          <w:rFonts w:asciiTheme="majorHAnsi" w:hAnsiTheme="majorHAnsi" w:cs="Times New Roman"/>
          <w:sz w:val="24"/>
          <w:szCs w:val="24"/>
          <w:lang w:val="pt-BR"/>
        </w:rPr>
        <w:t xml:space="preserve">nós, um negócio de mútuo pressupõe não só a cedência de algo fungível como a inerente obrigação de restituição, e </w:t>
      </w:r>
      <w:r w:rsidR="00117E60">
        <w:rPr>
          <w:rFonts w:asciiTheme="majorHAnsi" w:hAnsiTheme="majorHAnsi" w:cs="Times New Roman"/>
          <w:sz w:val="24"/>
          <w:szCs w:val="24"/>
          <w:lang w:val="pt-BR"/>
        </w:rPr>
        <w:t xml:space="preserve">não nos parece que a nível do grupo que adopte um sistema de </w:t>
      </w:r>
      <w:r w:rsidR="00117E60" w:rsidRPr="00EE1ACB">
        <w:rPr>
          <w:rFonts w:asciiTheme="majorHAnsi" w:hAnsiTheme="majorHAnsi" w:cs="Times New Roman"/>
          <w:i/>
          <w:sz w:val="24"/>
          <w:szCs w:val="24"/>
          <w:lang w:val="pt-BR"/>
        </w:rPr>
        <w:t>cash pooling</w:t>
      </w:r>
      <w:r w:rsidR="00742880">
        <w:rPr>
          <w:rFonts w:asciiTheme="majorHAnsi" w:hAnsiTheme="majorHAnsi" w:cs="Times New Roman"/>
          <w:sz w:val="24"/>
          <w:szCs w:val="24"/>
          <w:lang w:val="pt-BR"/>
        </w:rPr>
        <w:t xml:space="preserve"> haja</w:t>
      </w:r>
      <w:r w:rsidR="00117E60">
        <w:rPr>
          <w:rFonts w:asciiTheme="majorHAnsi" w:hAnsiTheme="majorHAnsi" w:cs="Times New Roman"/>
          <w:sz w:val="24"/>
          <w:szCs w:val="24"/>
          <w:lang w:val="pt-BR"/>
        </w:rPr>
        <w:t xml:space="preserve">, de forma regular, a restituição dos activos transferidos para a </w:t>
      </w:r>
      <w:r w:rsidR="00117E60" w:rsidRPr="00117E60">
        <w:rPr>
          <w:rFonts w:asciiTheme="majorHAnsi" w:hAnsiTheme="majorHAnsi" w:cs="Times New Roman"/>
          <w:i/>
          <w:sz w:val="24"/>
          <w:szCs w:val="24"/>
          <w:lang w:val="pt-BR"/>
        </w:rPr>
        <w:t>pooler</w:t>
      </w:r>
      <w:r w:rsidR="00117E60">
        <w:rPr>
          <w:rFonts w:asciiTheme="majorHAnsi" w:hAnsiTheme="majorHAnsi" w:cs="Times New Roman"/>
          <w:sz w:val="24"/>
          <w:szCs w:val="24"/>
          <w:lang w:val="pt-BR"/>
        </w:rPr>
        <w:t xml:space="preserve">, isso porque, </w:t>
      </w:r>
      <w:r w:rsidR="004604A7">
        <w:rPr>
          <w:rFonts w:asciiTheme="majorHAnsi" w:hAnsiTheme="majorHAnsi" w:cs="Times New Roman"/>
          <w:sz w:val="24"/>
          <w:szCs w:val="24"/>
          <w:lang w:val="pt-BR"/>
        </w:rPr>
        <w:t xml:space="preserve">o fim último do contrato de </w:t>
      </w:r>
      <w:r w:rsidR="004604A7" w:rsidRPr="00117E60">
        <w:rPr>
          <w:rFonts w:asciiTheme="majorHAnsi" w:hAnsiTheme="majorHAnsi" w:cs="Times New Roman"/>
          <w:i/>
          <w:sz w:val="24"/>
          <w:szCs w:val="24"/>
          <w:lang w:val="pt-BR"/>
        </w:rPr>
        <w:t>cash pooling</w:t>
      </w:r>
      <w:r w:rsidR="004604A7">
        <w:rPr>
          <w:rFonts w:asciiTheme="majorHAnsi" w:hAnsiTheme="majorHAnsi" w:cs="Times New Roman"/>
          <w:sz w:val="24"/>
          <w:szCs w:val="24"/>
          <w:lang w:val="pt-BR"/>
        </w:rPr>
        <w:t xml:space="preserve"> é a gestão da tesouraria do grupo, com vista a evitar-s</w:t>
      </w:r>
      <w:r w:rsidR="00117E60">
        <w:rPr>
          <w:rFonts w:asciiTheme="majorHAnsi" w:hAnsiTheme="majorHAnsi" w:cs="Times New Roman"/>
          <w:sz w:val="24"/>
          <w:szCs w:val="24"/>
          <w:lang w:val="pt-BR"/>
        </w:rPr>
        <w:t xml:space="preserve">e o recurso ao crédito externo e no âmbito desta gestão, </w:t>
      </w:r>
      <w:r w:rsidR="004604A7">
        <w:rPr>
          <w:rFonts w:asciiTheme="majorHAnsi" w:hAnsiTheme="majorHAnsi" w:cs="Times New Roman"/>
          <w:sz w:val="24"/>
          <w:szCs w:val="24"/>
          <w:lang w:val="pt-BR"/>
        </w:rPr>
        <w:t>muitas vezes a filial que cedeu os seus activos</w:t>
      </w:r>
      <w:r w:rsidR="00742880">
        <w:rPr>
          <w:rFonts w:asciiTheme="majorHAnsi" w:hAnsiTheme="majorHAnsi" w:cs="Times New Roman"/>
          <w:sz w:val="24"/>
          <w:szCs w:val="24"/>
          <w:lang w:val="pt-BR"/>
        </w:rPr>
        <w:t>,</w:t>
      </w:r>
      <w:r w:rsidR="004604A7">
        <w:rPr>
          <w:rFonts w:asciiTheme="majorHAnsi" w:hAnsiTheme="majorHAnsi" w:cs="Times New Roman"/>
          <w:sz w:val="24"/>
          <w:szCs w:val="24"/>
          <w:lang w:val="pt-BR"/>
        </w:rPr>
        <w:t xml:space="preserve"> pode não ver restituído estes valores, </w:t>
      </w:r>
      <w:r w:rsidR="00117E60">
        <w:rPr>
          <w:rFonts w:asciiTheme="majorHAnsi" w:hAnsiTheme="majorHAnsi" w:cs="Times New Roman"/>
          <w:sz w:val="24"/>
          <w:szCs w:val="24"/>
          <w:lang w:val="pt-BR"/>
        </w:rPr>
        <w:t xml:space="preserve">desde que seja comprovada que houve uma contrapartida, em favor de qualquer uma das sociedades participantes. </w:t>
      </w:r>
    </w:p>
    <w:p w:rsidR="00E147C0" w:rsidRDefault="00E147C0" w:rsidP="00E147C0">
      <w:pPr>
        <w:spacing w:line="360" w:lineRule="auto"/>
        <w:ind w:firstLine="708"/>
        <w:rPr>
          <w:rFonts w:asciiTheme="majorHAnsi" w:hAnsiTheme="majorHAnsi" w:cs="Times New Roman"/>
          <w:b/>
          <w:sz w:val="24"/>
          <w:szCs w:val="24"/>
          <w:lang w:val="pt-BR"/>
        </w:rPr>
      </w:pPr>
      <w:r>
        <w:rPr>
          <w:rFonts w:asciiTheme="majorHAnsi" w:hAnsiTheme="majorHAnsi" w:cs="Times New Roman"/>
          <w:b/>
          <w:sz w:val="24"/>
          <w:szCs w:val="24"/>
          <w:lang w:val="pt-BR"/>
        </w:rPr>
        <w:t>12.2</w:t>
      </w:r>
      <w:r w:rsidRPr="00A01FF6">
        <w:rPr>
          <w:rFonts w:asciiTheme="majorHAnsi" w:hAnsiTheme="majorHAnsi" w:cs="Times New Roman"/>
          <w:b/>
          <w:sz w:val="24"/>
          <w:szCs w:val="24"/>
          <w:lang w:val="pt-BR"/>
        </w:rPr>
        <w:t xml:space="preserve">. O contrato de </w:t>
      </w:r>
      <w:r w:rsidRPr="000C5E2F">
        <w:rPr>
          <w:rFonts w:asciiTheme="majorHAnsi" w:hAnsiTheme="majorHAnsi" w:cs="Times New Roman"/>
          <w:b/>
          <w:i/>
          <w:sz w:val="24"/>
          <w:szCs w:val="24"/>
          <w:lang w:val="pt-BR"/>
        </w:rPr>
        <w:t>cash pooling</w:t>
      </w:r>
      <w:r>
        <w:rPr>
          <w:rFonts w:asciiTheme="majorHAnsi" w:hAnsiTheme="majorHAnsi" w:cs="Times New Roman"/>
          <w:b/>
          <w:sz w:val="24"/>
          <w:szCs w:val="24"/>
          <w:lang w:val="pt-BR"/>
        </w:rPr>
        <w:t xml:space="preserve"> como meras injecções de liquidez.</w:t>
      </w:r>
    </w:p>
    <w:p w:rsidR="00E147C0" w:rsidRDefault="00E147C0"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Alessandra Daccò por sua vez entende que o contrato de </w:t>
      </w:r>
      <w:r w:rsidRPr="00535195">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não tem natureza de um verdadeiro contrato de crédito, na medida em que os contratos de </w:t>
      </w:r>
      <w:r w:rsidRPr="00535195">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não encontram respaldo nas linhas de crédito em sentido próprio, sendo apenas meras injecções de liquidez, próprias da organização de um grupo de sociedades. Um contrato de crédito pressupõe a existência de um prazo determinado para o seu usufruto e destinam-se a cobrir necessidades imediatas e transitórias, o que quer dizer que a partir do momento em que elas são entregues, devem ser liquidadas e vencidas.</w:t>
      </w:r>
    </w:p>
    <w:p w:rsidR="00714BEC" w:rsidRPr="00402F5E" w:rsidRDefault="000F738A" w:rsidP="00DD0DBD">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Claramente que esta posição doutrinária peca por não ter tido em conta que a modalidade </w:t>
      </w:r>
      <w:r w:rsidRPr="00402F5E">
        <w:rPr>
          <w:rFonts w:asciiTheme="majorHAnsi" w:hAnsiTheme="majorHAnsi" w:cs="Times New Roman"/>
          <w:i/>
          <w:sz w:val="24"/>
          <w:szCs w:val="24"/>
          <w:lang w:val="pt-BR"/>
        </w:rPr>
        <w:t>zero balancing</w:t>
      </w:r>
      <w:r w:rsidR="00742880">
        <w:rPr>
          <w:rFonts w:asciiTheme="majorHAnsi" w:hAnsiTheme="majorHAnsi" w:cs="Times New Roman"/>
          <w:i/>
          <w:sz w:val="24"/>
          <w:szCs w:val="24"/>
          <w:lang w:val="pt-BR"/>
        </w:rPr>
        <w:t>, onde</w:t>
      </w:r>
      <w:r>
        <w:rPr>
          <w:rFonts w:asciiTheme="majorHAnsi" w:hAnsiTheme="majorHAnsi" w:cs="Times New Roman"/>
          <w:sz w:val="24"/>
          <w:szCs w:val="24"/>
          <w:lang w:val="pt-BR"/>
        </w:rPr>
        <w:t xml:space="preserve"> há um prazo determinado para a realização da operação (que em regra </w:t>
      </w:r>
      <w:r w:rsidR="00714BEC">
        <w:rPr>
          <w:rFonts w:asciiTheme="majorHAnsi" w:hAnsiTheme="majorHAnsi" w:cs="Times New Roman"/>
          <w:sz w:val="24"/>
          <w:szCs w:val="24"/>
          <w:lang w:val="pt-BR"/>
        </w:rPr>
        <w:t>são feitos no final de cada período laboral) e visa efectivamente optimizar a posição líquida do grupo.</w:t>
      </w:r>
      <w:r w:rsidR="00A74B1E">
        <w:rPr>
          <w:rFonts w:asciiTheme="majorHAnsi" w:hAnsiTheme="majorHAnsi" w:cs="Times New Roman"/>
          <w:sz w:val="24"/>
          <w:szCs w:val="24"/>
          <w:lang w:val="pt-BR"/>
        </w:rPr>
        <w:t xml:space="preserve"> Dai </w:t>
      </w:r>
      <w:r w:rsidR="00057A45">
        <w:rPr>
          <w:rFonts w:asciiTheme="majorHAnsi" w:hAnsiTheme="majorHAnsi" w:cs="Times New Roman"/>
          <w:sz w:val="24"/>
          <w:szCs w:val="24"/>
          <w:lang w:val="pt-BR"/>
        </w:rPr>
        <w:t xml:space="preserve">entendermos que </w:t>
      </w:r>
      <w:r w:rsidR="00742880">
        <w:rPr>
          <w:rFonts w:asciiTheme="majorHAnsi" w:hAnsiTheme="majorHAnsi" w:cs="Times New Roman"/>
          <w:sz w:val="24"/>
          <w:szCs w:val="24"/>
          <w:lang w:val="pt-BR"/>
        </w:rPr>
        <w:t xml:space="preserve">o contrato de </w:t>
      </w:r>
      <w:r w:rsidR="00742880" w:rsidRPr="00402F5E">
        <w:rPr>
          <w:rFonts w:asciiTheme="majorHAnsi" w:hAnsiTheme="majorHAnsi" w:cs="Times New Roman"/>
          <w:i/>
          <w:sz w:val="24"/>
          <w:szCs w:val="24"/>
          <w:lang w:val="pt-BR"/>
        </w:rPr>
        <w:t>cash pooling</w:t>
      </w:r>
      <w:r w:rsidR="00742880">
        <w:rPr>
          <w:rFonts w:asciiTheme="majorHAnsi" w:hAnsiTheme="majorHAnsi" w:cs="Times New Roman"/>
          <w:sz w:val="24"/>
          <w:szCs w:val="24"/>
          <w:lang w:val="pt-BR"/>
        </w:rPr>
        <w:t xml:space="preserve">, apesar de não ter como causa unitária o contrato de crédito, não podemos descurar da sua importância, para </w:t>
      </w:r>
      <w:r w:rsidR="00402F5E">
        <w:rPr>
          <w:rFonts w:asciiTheme="majorHAnsi" w:hAnsiTheme="majorHAnsi" w:cs="Times New Roman"/>
          <w:sz w:val="24"/>
          <w:szCs w:val="24"/>
          <w:lang w:val="pt-BR"/>
        </w:rPr>
        <w:t xml:space="preserve">determinação da natureza jurídica do </w:t>
      </w:r>
      <w:r w:rsidR="00402F5E" w:rsidRPr="00402F5E">
        <w:rPr>
          <w:rFonts w:asciiTheme="majorHAnsi" w:hAnsiTheme="majorHAnsi" w:cs="Times New Roman"/>
          <w:i/>
          <w:sz w:val="24"/>
          <w:szCs w:val="24"/>
          <w:lang w:val="pt-BR"/>
        </w:rPr>
        <w:t>cash pooling</w:t>
      </w:r>
      <w:r w:rsidR="00402F5E">
        <w:rPr>
          <w:rFonts w:asciiTheme="majorHAnsi" w:hAnsiTheme="majorHAnsi" w:cs="Times New Roman"/>
          <w:sz w:val="24"/>
          <w:szCs w:val="24"/>
          <w:lang w:val="pt-BR"/>
        </w:rPr>
        <w:t>.</w:t>
      </w:r>
    </w:p>
    <w:p w:rsidR="00714BEC" w:rsidRDefault="00714BEC" w:rsidP="00714BEC">
      <w:pPr>
        <w:spacing w:line="360" w:lineRule="auto"/>
        <w:ind w:firstLine="708"/>
        <w:rPr>
          <w:rFonts w:asciiTheme="majorHAnsi" w:hAnsiTheme="majorHAnsi" w:cs="Times New Roman"/>
          <w:b/>
          <w:sz w:val="24"/>
          <w:szCs w:val="24"/>
          <w:lang w:val="pt-BR"/>
        </w:rPr>
      </w:pPr>
      <w:r>
        <w:rPr>
          <w:rFonts w:asciiTheme="majorHAnsi" w:hAnsiTheme="majorHAnsi" w:cs="Times New Roman"/>
          <w:b/>
          <w:sz w:val="24"/>
          <w:szCs w:val="24"/>
          <w:lang w:val="pt-BR"/>
        </w:rPr>
        <w:t>12.3</w:t>
      </w:r>
      <w:r w:rsidRPr="00A01FF6">
        <w:rPr>
          <w:rFonts w:asciiTheme="majorHAnsi" w:hAnsiTheme="majorHAnsi" w:cs="Times New Roman"/>
          <w:b/>
          <w:sz w:val="24"/>
          <w:szCs w:val="24"/>
          <w:lang w:val="pt-BR"/>
        </w:rPr>
        <w:t xml:space="preserve">. O contrato de </w:t>
      </w:r>
      <w:r w:rsidRPr="000C5E2F">
        <w:rPr>
          <w:rFonts w:asciiTheme="majorHAnsi" w:hAnsiTheme="majorHAnsi" w:cs="Times New Roman"/>
          <w:b/>
          <w:i/>
          <w:sz w:val="24"/>
          <w:szCs w:val="24"/>
          <w:lang w:val="pt-BR"/>
        </w:rPr>
        <w:t>cash pooling</w:t>
      </w:r>
      <w:r>
        <w:rPr>
          <w:rFonts w:asciiTheme="majorHAnsi" w:hAnsiTheme="majorHAnsi" w:cs="Times New Roman"/>
          <w:b/>
          <w:sz w:val="24"/>
          <w:szCs w:val="24"/>
          <w:lang w:val="pt-BR"/>
        </w:rPr>
        <w:t xml:space="preserve"> como um contrato de conta corrente mercantil.</w:t>
      </w:r>
    </w:p>
    <w:p w:rsidR="00714BEC" w:rsidRDefault="00F94487" w:rsidP="00DD0DBD">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O</w:t>
      </w:r>
      <w:r w:rsidR="00C51069">
        <w:rPr>
          <w:rFonts w:asciiTheme="majorHAnsi" w:hAnsiTheme="majorHAnsi" w:cs="Times New Roman"/>
          <w:sz w:val="24"/>
          <w:szCs w:val="24"/>
          <w:lang w:val="pt-BR"/>
        </w:rPr>
        <w:t>s</w:t>
      </w:r>
      <w:r>
        <w:rPr>
          <w:rFonts w:asciiTheme="majorHAnsi" w:hAnsiTheme="majorHAnsi" w:cs="Times New Roman"/>
          <w:sz w:val="24"/>
          <w:szCs w:val="24"/>
          <w:lang w:val="pt-BR"/>
        </w:rPr>
        <w:t xml:space="preserve"> autor</w:t>
      </w:r>
      <w:r w:rsidR="00C51069">
        <w:rPr>
          <w:rFonts w:asciiTheme="majorHAnsi" w:hAnsiTheme="majorHAnsi" w:cs="Times New Roman"/>
          <w:sz w:val="24"/>
          <w:szCs w:val="24"/>
          <w:lang w:val="pt-BR"/>
        </w:rPr>
        <w:t>es Eizaguirre e Ruggeri acompanham o entendimento de</w:t>
      </w:r>
      <w:r w:rsidR="00057A45">
        <w:rPr>
          <w:rFonts w:asciiTheme="majorHAnsi" w:hAnsiTheme="majorHAnsi" w:cs="Times New Roman"/>
          <w:sz w:val="24"/>
          <w:szCs w:val="24"/>
          <w:lang w:val="pt-BR"/>
        </w:rPr>
        <w:t xml:space="preserve"> que o contrato de </w:t>
      </w:r>
      <w:r w:rsidR="00057A45" w:rsidRPr="00F94487">
        <w:rPr>
          <w:rFonts w:asciiTheme="majorHAnsi" w:hAnsiTheme="majorHAnsi" w:cs="Times New Roman"/>
          <w:i/>
          <w:sz w:val="24"/>
          <w:szCs w:val="24"/>
          <w:lang w:val="pt-BR"/>
        </w:rPr>
        <w:t>cash pooling</w:t>
      </w:r>
      <w:r w:rsidR="00057A45">
        <w:rPr>
          <w:rFonts w:asciiTheme="majorHAnsi" w:hAnsiTheme="majorHAnsi" w:cs="Times New Roman"/>
          <w:sz w:val="24"/>
          <w:szCs w:val="24"/>
          <w:lang w:val="pt-BR"/>
        </w:rPr>
        <w:t xml:space="preserve"> tem natureza de um contrato de conta corrente mercantil</w:t>
      </w:r>
      <w:r w:rsidR="00C51069">
        <w:rPr>
          <w:rFonts w:asciiTheme="majorHAnsi" w:hAnsiTheme="majorHAnsi" w:cs="Times New Roman"/>
          <w:sz w:val="24"/>
          <w:szCs w:val="24"/>
          <w:lang w:val="pt-BR"/>
        </w:rPr>
        <w:t xml:space="preserve"> e</w:t>
      </w:r>
      <w:r w:rsidR="00057A45">
        <w:rPr>
          <w:rFonts w:asciiTheme="majorHAnsi" w:hAnsiTheme="majorHAnsi" w:cs="Times New Roman"/>
          <w:sz w:val="24"/>
          <w:szCs w:val="24"/>
          <w:lang w:val="pt-BR"/>
        </w:rPr>
        <w:t xml:space="preserve"> fazem-no, tendo como escopo a ideia de que, o contrato de conta corrente mercantil consiste na simplificação da liquidação da relação negocial</w:t>
      </w:r>
      <w:r w:rsidR="00F12C4C">
        <w:rPr>
          <w:rStyle w:val="Refdenotaderodap"/>
          <w:rFonts w:asciiTheme="majorHAnsi" w:hAnsiTheme="majorHAnsi" w:cs="Times New Roman"/>
          <w:sz w:val="24"/>
          <w:szCs w:val="24"/>
          <w:lang w:val="pt-BR"/>
        </w:rPr>
        <w:footnoteReference w:id="53"/>
      </w:r>
      <w:r w:rsidR="00057A45">
        <w:rPr>
          <w:rFonts w:asciiTheme="majorHAnsi" w:hAnsiTheme="majorHAnsi" w:cs="Times New Roman"/>
          <w:sz w:val="24"/>
          <w:szCs w:val="24"/>
          <w:lang w:val="pt-BR"/>
        </w:rPr>
        <w:t xml:space="preserve">, ou seja o contrato de conta corrente mercantil tem como objectivo </w:t>
      </w:r>
      <w:r w:rsidR="00F12C4C">
        <w:rPr>
          <w:rFonts w:asciiTheme="majorHAnsi" w:hAnsiTheme="majorHAnsi" w:cs="Times New Roman"/>
          <w:sz w:val="24"/>
          <w:szCs w:val="24"/>
          <w:lang w:val="pt-BR"/>
        </w:rPr>
        <w:t>permitir a extinção simplificada dos créditos derivados da relação negocial.</w:t>
      </w:r>
    </w:p>
    <w:p w:rsidR="00427AC8" w:rsidRDefault="00427AC8" w:rsidP="00DD0DBD">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Dai que, os defensores desta teoria, entendem que no contrato de </w:t>
      </w:r>
      <w:r w:rsidRPr="00427AC8">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as partes permitem que seja feita a liquidação dos activos e passivos (ta</w:t>
      </w:r>
      <w:r w:rsidR="006A6777">
        <w:rPr>
          <w:rFonts w:asciiTheme="majorHAnsi" w:hAnsiTheme="majorHAnsi" w:cs="Times New Roman"/>
          <w:sz w:val="24"/>
          <w:szCs w:val="24"/>
          <w:lang w:val="pt-BR"/>
        </w:rPr>
        <w:t xml:space="preserve">nto </w:t>
      </w:r>
      <w:r w:rsidR="006A6777" w:rsidRPr="00742880">
        <w:rPr>
          <w:rFonts w:asciiTheme="majorHAnsi" w:hAnsiTheme="majorHAnsi" w:cs="Times New Roman"/>
          <w:i/>
          <w:sz w:val="24"/>
          <w:szCs w:val="24"/>
          <w:lang w:val="pt-BR"/>
        </w:rPr>
        <w:t>downstream</w:t>
      </w:r>
      <w:r w:rsidR="006A6777">
        <w:rPr>
          <w:rFonts w:asciiTheme="majorHAnsi" w:hAnsiTheme="majorHAnsi" w:cs="Times New Roman"/>
          <w:sz w:val="24"/>
          <w:szCs w:val="24"/>
          <w:lang w:val="pt-BR"/>
        </w:rPr>
        <w:t xml:space="preserve"> como </w:t>
      </w:r>
      <w:r w:rsidR="006A6777" w:rsidRPr="00742880">
        <w:rPr>
          <w:rFonts w:asciiTheme="majorHAnsi" w:hAnsiTheme="majorHAnsi" w:cs="Times New Roman"/>
          <w:i/>
          <w:sz w:val="24"/>
          <w:szCs w:val="24"/>
          <w:lang w:val="pt-BR"/>
        </w:rPr>
        <w:t>upstream</w:t>
      </w:r>
      <w:r w:rsidR="006A6777">
        <w:rPr>
          <w:rFonts w:asciiTheme="majorHAnsi" w:hAnsiTheme="majorHAnsi" w:cs="Times New Roman"/>
          <w:sz w:val="24"/>
          <w:szCs w:val="24"/>
          <w:lang w:val="pt-BR"/>
        </w:rPr>
        <w:t>) das suas contas num período pré-determinado (em regra no final de cada dia laboral), p</w:t>
      </w:r>
      <w:r w:rsidR="00B61F60">
        <w:rPr>
          <w:rFonts w:asciiTheme="majorHAnsi" w:hAnsiTheme="majorHAnsi" w:cs="Times New Roman"/>
          <w:sz w:val="24"/>
          <w:szCs w:val="24"/>
          <w:lang w:val="pt-BR"/>
        </w:rPr>
        <w:t xml:space="preserve">ara que se </w:t>
      </w:r>
      <w:r w:rsidR="00742880">
        <w:rPr>
          <w:rFonts w:asciiTheme="majorHAnsi" w:hAnsiTheme="majorHAnsi" w:cs="Times New Roman"/>
          <w:sz w:val="24"/>
          <w:szCs w:val="24"/>
          <w:lang w:val="pt-BR"/>
        </w:rPr>
        <w:t>faça</w:t>
      </w:r>
      <w:r w:rsidR="00B61F60">
        <w:rPr>
          <w:rFonts w:asciiTheme="majorHAnsi" w:hAnsiTheme="majorHAnsi" w:cs="Times New Roman"/>
          <w:sz w:val="24"/>
          <w:szCs w:val="24"/>
          <w:lang w:val="pt-BR"/>
        </w:rPr>
        <w:t xml:space="preserve"> </w:t>
      </w:r>
      <w:r w:rsidR="006A6777">
        <w:rPr>
          <w:rFonts w:asciiTheme="majorHAnsi" w:hAnsiTheme="majorHAnsi" w:cs="Times New Roman"/>
          <w:sz w:val="24"/>
          <w:szCs w:val="24"/>
          <w:lang w:val="pt-BR"/>
        </w:rPr>
        <w:t xml:space="preserve">uma compensação global </w:t>
      </w:r>
      <w:r w:rsidR="00B61F60">
        <w:rPr>
          <w:rFonts w:asciiTheme="majorHAnsi" w:hAnsiTheme="majorHAnsi" w:cs="Times New Roman"/>
          <w:sz w:val="24"/>
          <w:szCs w:val="24"/>
          <w:lang w:val="pt-BR"/>
        </w:rPr>
        <w:t>de todos os activos e passivos</w:t>
      </w:r>
      <w:r w:rsidR="00B61F60">
        <w:rPr>
          <w:rStyle w:val="Refdenotaderodap"/>
          <w:rFonts w:asciiTheme="majorHAnsi" w:hAnsiTheme="majorHAnsi" w:cs="Times New Roman"/>
          <w:sz w:val="24"/>
          <w:szCs w:val="24"/>
          <w:lang w:val="pt-BR"/>
        </w:rPr>
        <w:footnoteReference w:id="54"/>
      </w:r>
      <w:r w:rsidR="00B61F60">
        <w:rPr>
          <w:rFonts w:asciiTheme="majorHAnsi" w:hAnsiTheme="majorHAnsi" w:cs="Times New Roman"/>
          <w:sz w:val="24"/>
          <w:szCs w:val="24"/>
          <w:lang w:val="pt-BR"/>
        </w:rPr>
        <w:t xml:space="preserve">. </w:t>
      </w:r>
    </w:p>
    <w:p w:rsidR="00B61F60" w:rsidRDefault="00B61F60" w:rsidP="00DD0DBD">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A crítica a esta teoria surge por se entender que como o objectivo do contrato de conta corrente mercantil é permitir a extinção simplificada dos créditos derivados da relação negocial</w:t>
      </w:r>
      <w:r w:rsidR="00593F0C">
        <w:rPr>
          <w:rFonts w:asciiTheme="majorHAnsi" w:hAnsiTheme="majorHAnsi" w:cs="Times New Roman"/>
          <w:sz w:val="24"/>
          <w:szCs w:val="24"/>
          <w:lang w:val="pt-BR"/>
        </w:rPr>
        <w:t xml:space="preserve">, cai ao lado do que verdadeiramente é o objectivo do contrato de </w:t>
      </w:r>
      <w:r w:rsidR="00593F0C" w:rsidRPr="00593F0C">
        <w:rPr>
          <w:rFonts w:asciiTheme="majorHAnsi" w:hAnsiTheme="majorHAnsi" w:cs="Times New Roman"/>
          <w:i/>
          <w:sz w:val="24"/>
          <w:szCs w:val="24"/>
          <w:lang w:val="pt-BR"/>
        </w:rPr>
        <w:t>cash pooling</w:t>
      </w:r>
      <w:r w:rsidR="00593F0C">
        <w:rPr>
          <w:rFonts w:asciiTheme="majorHAnsi" w:hAnsiTheme="majorHAnsi" w:cs="Times New Roman"/>
          <w:sz w:val="24"/>
          <w:szCs w:val="24"/>
          <w:lang w:val="pt-BR"/>
        </w:rPr>
        <w:t xml:space="preserve"> que é mais do que um mecanismo jurídico</w:t>
      </w:r>
      <w:r w:rsidR="000A2A56">
        <w:rPr>
          <w:rFonts w:asciiTheme="majorHAnsi" w:hAnsiTheme="majorHAnsi" w:cs="Times New Roman"/>
          <w:sz w:val="24"/>
          <w:szCs w:val="24"/>
          <w:lang w:val="pt-BR"/>
        </w:rPr>
        <w:t xml:space="preserve"> </w:t>
      </w:r>
      <w:r w:rsidR="00593F0C">
        <w:rPr>
          <w:rFonts w:asciiTheme="majorHAnsi" w:hAnsiTheme="majorHAnsi" w:cs="Times New Roman"/>
          <w:sz w:val="24"/>
          <w:szCs w:val="24"/>
          <w:lang w:val="pt-BR"/>
        </w:rPr>
        <w:t>de “simplificação” da liquidação dos créditos recíprocos que as par</w:t>
      </w:r>
      <w:r w:rsidR="000A2A56">
        <w:rPr>
          <w:rFonts w:asciiTheme="majorHAnsi" w:hAnsiTheme="majorHAnsi" w:cs="Times New Roman"/>
          <w:sz w:val="24"/>
          <w:szCs w:val="24"/>
          <w:lang w:val="pt-BR"/>
        </w:rPr>
        <w:t>tes se outorgam de forma diária. O</w:t>
      </w:r>
      <w:r w:rsidR="00593F0C">
        <w:rPr>
          <w:rFonts w:asciiTheme="majorHAnsi" w:hAnsiTheme="majorHAnsi" w:cs="Times New Roman"/>
          <w:sz w:val="24"/>
          <w:szCs w:val="24"/>
          <w:lang w:val="pt-BR"/>
        </w:rPr>
        <w:t xml:space="preserve"> contrato </w:t>
      </w:r>
      <w:r w:rsidR="00593F0C" w:rsidRPr="00593F0C">
        <w:rPr>
          <w:rFonts w:asciiTheme="majorHAnsi" w:hAnsiTheme="majorHAnsi" w:cs="Times New Roman"/>
          <w:i/>
          <w:sz w:val="24"/>
          <w:szCs w:val="24"/>
          <w:lang w:val="pt-BR"/>
        </w:rPr>
        <w:t>cash pooling</w:t>
      </w:r>
      <w:r w:rsidR="00593F0C">
        <w:rPr>
          <w:rFonts w:asciiTheme="majorHAnsi" w:hAnsiTheme="majorHAnsi" w:cs="Times New Roman"/>
          <w:sz w:val="24"/>
          <w:szCs w:val="24"/>
          <w:lang w:val="pt-BR"/>
        </w:rPr>
        <w:t xml:space="preserve"> apesar de ter na sua gênese elementos de um contrato de mútuo (empréstimo), não se trata de uma operação de financiamento, nem tão pouco a compensação de créditos e dívidas</w:t>
      </w:r>
      <w:r w:rsidR="00C51069">
        <w:rPr>
          <w:rFonts w:asciiTheme="majorHAnsi" w:hAnsiTheme="majorHAnsi" w:cs="Times New Roman"/>
          <w:sz w:val="24"/>
          <w:szCs w:val="24"/>
          <w:lang w:val="pt-BR"/>
        </w:rPr>
        <w:t xml:space="preserve">, mas visa melhorar a </w:t>
      </w:r>
      <w:r w:rsidR="003A735F">
        <w:rPr>
          <w:rFonts w:asciiTheme="majorHAnsi" w:hAnsiTheme="majorHAnsi" w:cs="Times New Roman"/>
          <w:sz w:val="24"/>
          <w:szCs w:val="24"/>
          <w:lang w:val="pt-BR"/>
        </w:rPr>
        <w:t>gestão da tesouraria do grupo, com vista a evitar, custos inerentes ao financimento externo.</w:t>
      </w:r>
      <w:r w:rsidR="00EE629E">
        <w:rPr>
          <w:rStyle w:val="Refdenotaderodap"/>
          <w:rFonts w:asciiTheme="majorHAnsi" w:hAnsiTheme="majorHAnsi" w:cs="Times New Roman"/>
          <w:sz w:val="24"/>
          <w:szCs w:val="24"/>
          <w:lang w:val="pt-BR"/>
        </w:rPr>
        <w:footnoteReference w:id="55"/>
      </w:r>
    </w:p>
    <w:p w:rsidR="00047016" w:rsidRDefault="00EE629E" w:rsidP="00C2335E">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Para nós o contrato de </w:t>
      </w:r>
      <w:r w:rsidRPr="00395DC8">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não tem como causa unitária o contrato de crédito, nem </w:t>
      </w:r>
      <w:r w:rsidR="00395DC8">
        <w:rPr>
          <w:rFonts w:asciiTheme="majorHAnsi" w:hAnsiTheme="majorHAnsi" w:cs="Times New Roman"/>
          <w:sz w:val="24"/>
          <w:szCs w:val="24"/>
          <w:lang w:val="pt-BR"/>
        </w:rPr>
        <w:t xml:space="preserve">tão pouco </w:t>
      </w:r>
      <w:r>
        <w:rPr>
          <w:rFonts w:asciiTheme="majorHAnsi" w:hAnsiTheme="majorHAnsi" w:cs="Times New Roman"/>
          <w:sz w:val="24"/>
          <w:szCs w:val="24"/>
          <w:lang w:val="pt-BR"/>
        </w:rPr>
        <w:t>o contrato de conta corrente mercantil</w:t>
      </w:r>
      <w:r w:rsidR="00395DC8">
        <w:rPr>
          <w:rFonts w:asciiTheme="majorHAnsi" w:hAnsiTheme="majorHAnsi" w:cs="Times New Roman"/>
          <w:sz w:val="24"/>
          <w:szCs w:val="24"/>
          <w:lang w:val="pt-BR"/>
        </w:rPr>
        <w:t>, mas trata-se de um contrato atípico, que resulta da combinação de elementos próprios do contrato de conta corrente mercantil e de elementos próprios de um contrato de financiamento, que tem como causa unitária, especificamente a gestão de centralização de tesouraria do grupo</w:t>
      </w:r>
      <w:r w:rsidR="00C2335E" w:rsidRPr="00C2335E">
        <w:rPr>
          <w:rStyle w:val="Refdenotaderodap"/>
          <w:rFonts w:asciiTheme="majorHAnsi" w:hAnsiTheme="majorHAnsi" w:cs="Times New Roman"/>
          <w:sz w:val="24"/>
          <w:szCs w:val="24"/>
          <w:lang w:val="pt-BR"/>
        </w:rPr>
        <w:footnoteReference w:id="56"/>
      </w:r>
      <w:r w:rsidR="00C2335E" w:rsidRPr="00C2335E">
        <w:rPr>
          <w:rFonts w:asciiTheme="majorHAnsi" w:hAnsiTheme="majorHAnsi" w:cs="Times New Roman"/>
          <w:sz w:val="24"/>
          <w:szCs w:val="24"/>
          <w:lang w:val="pt-BR"/>
        </w:rPr>
        <w:t>.</w:t>
      </w:r>
    </w:p>
    <w:p w:rsidR="00C51069" w:rsidRPr="00C2335E" w:rsidRDefault="00C51069" w:rsidP="00C2335E">
      <w:pPr>
        <w:spacing w:line="360" w:lineRule="auto"/>
        <w:rPr>
          <w:rFonts w:asciiTheme="majorHAnsi" w:hAnsiTheme="majorHAnsi" w:cs="Times New Roman"/>
          <w:sz w:val="24"/>
          <w:szCs w:val="24"/>
          <w:lang w:val="pt-BR"/>
        </w:rPr>
      </w:pPr>
    </w:p>
    <w:p w:rsidR="00C2335E" w:rsidRPr="00C2335E" w:rsidRDefault="00B63B92" w:rsidP="00C2335E">
      <w:pPr>
        <w:pStyle w:val="PargrafodaLista"/>
        <w:numPr>
          <w:ilvl w:val="0"/>
          <w:numId w:val="3"/>
        </w:numPr>
        <w:spacing w:before="0" w:after="200"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 xml:space="preserve"> </w:t>
      </w:r>
      <w:r w:rsidR="00C2335E" w:rsidRPr="00C2335E">
        <w:rPr>
          <w:rFonts w:asciiTheme="majorHAnsi" w:hAnsiTheme="majorHAnsi" w:cs="Times New Roman"/>
          <w:b/>
          <w:sz w:val="24"/>
          <w:szCs w:val="24"/>
          <w:lang w:val="pt-BR"/>
        </w:rPr>
        <w:t>Distinção de figuras afins; a figura do netting.</w:t>
      </w:r>
    </w:p>
    <w:p w:rsidR="00C2335E" w:rsidRPr="00C2335E" w:rsidRDefault="00C2335E" w:rsidP="00C2335E">
      <w:pPr>
        <w:pStyle w:val="PargrafodaLista"/>
        <w:numPr>
          <w:ilvl w:val="1"/>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Noção de netting</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As empresas em regra geram dois tipos de fluxos monetários; aqueles que envolvem agentes externos e aqueles que se esgotam a nível interno. Todos estes fluxos monetários devem ser geridos, com vista a evitarem-se desperdícios.</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Neste contexto, nos grupos de sociedades são realizadas operações entre os seus membros, operações estas com carácter vinculativo. Em consequência, o grupo passa a ter um notável fluxo de créditos e obrigações recíprocas e quando isso acontece, em regra, uma das sociedades do grupo fica encarregue de proceder a harmonização entre os créditos e as obrigações das contas dos participantes, contribuindo desta forma, para a racionalização sustentável da circulação do capital entre elas.</w:t>
      </w:r>
    </w:p>
    <w:p w:rsidR="005701D8"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Este fenómeno de compensar os fluxos financeiros ligados a actividade mantida entre as sociedades do grupo é conhecida como </w:t>
      </w:r>
      <w:r w:rsidRPr="00C2335E">
        <w:rPr>
          <w:rFonts w:asciiTheme="majorHAnsi" w:hAnsiTheme="majorHAnsi" w:cs="Times New Roman"/>
          <w:i/>
          <w:sz w:val="24"/>
          <w:szCs w:val="24"/>
          <w:lang w:val="pt-BR"/>
        </w:rPr>
        <w:t>netting</w:t>
      </w:r>
      <w:r w:rsidRPr="00C2335E">
        <w:rPr>
          <w:rFonts w:asciiTheme="majorHAnsi" w:hAnsiTheme="majorHAnsi" w:cs="Times New Roman"/>
          <w:sz w:val="24"/>
          <w:szCs w:val="24"/>
          <w:lang w:val="pt-BR"/>
        </w:rPr>
        <w:t xml:space="preserve"> (compensação) e é definida como “a conversão dos créditos e obrigações decorrentes de ordens de transferência que um ou mais participantes emitem em favor de outro ou outros participantes, ou que deles recebem num único crédito (líquido ou uma única obrigação líquida), de forma que apenas será exigível esse crédito líquido ou devida essa obrigação líquida”</w:t>
      </w:r>
      <w:r w:rsidRPr="00C2335E">
        <w:rPr>
          <w:rStyle w:val="Refdenotaderodap"/>
          <w:rFonts w:asciiTheme="majorHAnsi" w:hAnsiTheme="majorHAnsi" w:cs="Times New Roman"/>
          <w:sz w:val="24"/>
          <w:szCs w:val="24"/>
          <w:lang w:val="pt-BR"/>
        </w:rPr>
        <w:footnoteReference w:id="57"/>
      </w:r>
      <w:r w:rsidR="005701D8">
        <w:rPr>
          <w:rFonts w:asciiTheme="majorHAnsi" w:hAnsiTheme="majorHAnsi" w:cs="Times New Roman"/>
          <w:sz w:val="24"/>
          <w:szCs w:val="24"/>
          <w:lang w:val="pt-BR"/>
        </w:rPr>
        <w:t>.</w:t>
      </w:r>
    </w:p>
    <w:p w:rsidR="005701D8" w:rsidRDefault="005701D8" w:rsidP="00C2335E">
      <w:pPr>
        <w:spacing w:line="360" w:lineRule="auto"/>
        <w:rPr>
          <w:rFonts w:asciiTheme="majorHAnsi" w:hAnsiTheme="majorHAnsi" w:cs="Times New Roman"/>
          <w:sz w:val="24"/>
          <w:szCs w:val="24"/>
          <w:lang w:val="pt-BR"/>
        </w:rPr>
      </w:pPr>
    </w:p>
    <w:p w:rsidR="005701D8" w:rsidRDefault="005701D8" w:rsidP="00C2335E">
      <w:pPr>
        <w:spacing w:line="360" w:lineRule="auto"/>
        <w:rPr>
          <w:rFonts w:asciiTheme="majorHAnsi" w:hAnsiTheme="majorHAnsi" w:cs="Times New Roman"/>
          <w:sz w:val="24"/>
          <w:szCs w:val="24"/>
          <w:lang w:val="pt-BR"/>
        </w:rPr>
      </w:pPr>
    </w:p>
    <w:p w:rsidR="005701D8" w:rsidRPr="00C2335E" w:rsidRDefault="005701D8" w:rsidP="00C2335E">
      <w:pPr>
        <w:spacing w:line="360" w:lineRule="auto"/>
        <w:rPr>
          <w:rFonts w:asciiTheme="majorHAnsi" w:hAnsiTheme="majorHAnsi" w:cs="Times New Roman"/>
          <w:sz w:val="24"/>
          <w:szCs w:val="24"/>
          <w:lang w:val="pt-BR"/>
        </w:rPr>
      </w:pPr>
    </w:p>
    <w:p w:rsidR="00C2335E" w:rsidRPr="00C2335E" w:rsidRDefault="00C2335E" w:rsidP="00C2335E">
      <w:pPr>
        <w:pStyle w:val="PargrafodaLista"/>
        <w:numPr>
          <w:ilvl w:val="1"/>
          <w:numId w:val="3"/>
        </w:numPr>
        <w:spacing w:before="0" w:after="200" w:line="360" w:lineRule="auto"/>
        <w:rPr>
          <w:rFonts w:asciiTheme="majorHAnsi" w:hAnsiTheme="majorHAnsi" w:cs="Times New Roman"/>
          <w:b/>
          <w:sz w:val="24"/>
          <w:szCs w:val="24"/>
          <w:lang w:val="pt-BR"/>
        </w:rPr>
      </w:pPr>
      <w:r w:rsidRPr="00C2335E">
        <w:rPr>
          <w:rFonts w:asciiTheme="majorHAnsi" w:hAnsiTheme="majorHAnsi" w:cs="Times New Roman"/>
          <w:b/>
          <w:sz w:val="24"/>
          <w:szCs w:val="24"/>
          <w:lang w:val="pt-BR"/>
        </w:rPr>
        <w:t xml:space="preserve">Funcionamento da figura do </w:t>
      </w:r>
      <w:r w:rsidRPr="00B7586C">
        <w:rPr>
          <w:rFonts w:asciiTheme="majorHAnsi" w:hAnsiTheme="majorHAnsi" w:cs="Times New Roman"/>
          <w:b/>
          <w:i/>
          <w:sz w:val="24"/>
          <w:szCs w:val="24"/>
          <w:lang w:val="pt-BR"/>
        </w:rPr>
        <w:t>Netting</w:t>
      </w:r>
    </w:p>
    <w:p w:rsidR="00C2335E" w:rsidRPr="00C2335E" w:rsidRDefault="00C2335E" w:rsidP="00C2335E">
      <w:pPr>
        <w:spacing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 xml:space="preserve">O funcionamento do sistema de </w:t>
      </w:r>
      <w:r w:rsidRPr="00B7586C">
        <w:rPr>
          <w:rFonts w:asciiTheme="majorHAnsi" w:hAnsiTheme="majorHAnsi" w:cs="Times New Roman"/>
          <w:i/>
          <w:sz w:val="24"/>
          <w:szCs w:val="24"/>
          <w:lang w:val="pt-BR"/>
        </w:rPr>
        <w:t>netting</w:t>
      </w:r>
      <w:r w:rsidRPr="00C2335E">
        <w:rPr>
          <w:rFonts w:asciiTheme="majorHAnsi" w:hAnsiTheme="majorHAnsi" w:cs="Times New Roman"/>
          <w:sz w:val="24"/>
          <w:szCs w:val="24"/>
          <w:lang w:val="pt-BR"/>
        </w:rPr>
        <w:t xml:space="preserve"> dependerá da modalidade que o grupo de sociedade escolher. Doutrinariamente a classificação do netting tem sido feita em duas principais modalidades;</w:t>
      </w:r>
    </w:p>
    <w:p w:rsidR="00C2335E" w:rsidRPr="00C2335E" w:rsidRDefault="00C2335E" w:rsidP="00C2335E">
      <w:pPr>
        <w:pStyle w:val="PargrafodaLista"/>
        <w:numPr>
          <w:ilvl w:val="0"/>
          <w:numId w:val="8"/>
        </w:numPr>
        <w:spacing w:before="0" w:after="200" w:line="360" w:lineRule="auto"/>
        <w:rPr>
          <w:rFonts w:asciiTheme="majorHAnsi" w:hAnsiTheme="majorHAnsi" w:cs="Times New Roman"/>
          <w:sz w:val="24"/>
          <w:szCs w:val="24"/>
          <w:lang w:val="pt-BR"/>
        </w:rPr>
      </w:pPr>
      <w:r w:rsidRPr="00C2335E">
        <w:rPr>
          <w:rFonts w:asciiTheme="majorHAnsi" w:hAnsiTheme="majorHAnsi" w:cs="Times New Roman"/>
          <w:sz w:val="24"/>
          <w:szCs w:val="24"/>
          <w:lang w:val="pt-BR"/>
        </w:rPr>
        <w:t>O denominado netting bilateral – onde a compensação</w:t>
      </w:r>
      <w:r w:rsidR="00B7586C">
        <w:rPr>
          <w:rFonts w:asciiTheme="majorHAnsi" w:hAnsiTheme="majorHAnsi" w:cs="Times New Roman"/>
          <w:sz w:val="24"/>
          <w:szCs w:val="24"/>
          <w:lang w:val="pt-BR"/>
        </w:rPr>
        <w:t xml:space="preserve"> </w:t>
      </w:r>
      <w:r w:rsidRPr="00C2335E">
        <w:rPr>
          <w:rFonts w:asciiTheme="majorHAnsi" w:hAnsiTheme="majorHAnsi" w:cs="Times New Roman"/>
          <w:sz w:val="24"/>
          <w:szCs w:val="24"/>
          <w:lang w:val="pt-BR"/>
        </w:rPr>
        <w:t>operar-se por meio de duas empresas. Este sistema não permite uma optimização real e coordenada na gestão das relações intragrupo, fruto da ausência de uma visão geral do grupo, no entanto é bastante útil para os casos de empresas do grupo com trocas frequentes.</w:t>
      </w:r>
    </w:p>
    <w:p w:rsidR="00C2335E" w:rsidRPr="00DD1DBB" w:rsidRDefault="00C2335E" w:rsidP="00C2335E">
      <w:pPr>
        <w:pStyle w:val="PargrafodaLista"/>
        <w:numPr>
          <w:ilvl w:val="0"/>
          <w:numId w:val="8"/>
        </w:numPr>
        <w:spacing w:before="0" w:after="200" w:line="360" w:lineRule="auto"/>
        <w:rPr>
          <w:rFonts w:ascii="Times New Roman" w:hAnsi="Times New Roman" w:cs="Times New Roman"/>
          <w:sz w:val="24"/>
          <w:szCs w:val="24"/>
          <w:lang w:val="pt-BR"/>
        </w:rPr>
      </w:pPr>
      <w:r w:rsidRPr="00C2335E">
        <w:rPr>
          <w:rFonts w:asciiTheme="majorHAnsi" w:hAnsiTheme="majorHAnsi" w:cs="Times New Roman"/>
          <w:sz w:val="24"/>
          <w:szCs w:val="24"/>
          <w:lang w:val="pt-BR"/>
        </w:rPr>
        <w:t xml:space="preserve">O </w:t>
      </w:r>
      <w:r w:rsidRPr="00B7586C">
        <w:rPr>
          <w:rFonts w:asciiTheme="majorHAnsi" w:hAnsiTheme="majorHAnsi" w:cs="Times New Roman"/>
          <w:i/>
          <w:sz w:val="24"/>
          <w:szCs w:val="24"/>
          <w:lang w:val="pt-BR"/>
        </w:rPr>
        <w:t>netting</w:t>
      </w:r>
      <w:r w:rsidRPr="00C2335E">
        <w:rPr>
          <w:rFonts w:asciiTheme="majorHAnsi" w:hAnsiTheme="majorHAnsi" w:cs="Times New Roman"/>
          <w:sz w:val="24"/>
          <w:szCs w:val="24"/>
          <w:lang w:val="pt-BR"/>
        </w:rPr>
        <w:t xml:space="preserve"> multilateral – nele é criado um centro de compensação onde às posições de todas as empresas do grupo convergem e, após a execução da compensação, o saldo global é regulado. Este centro de compensação também pode funcionar como um “banco”, na medida em que este liquidará as posições</w:t>
      </w:r>
      <w:r w:rsidRPr="00DD1DBB">
        <w:rPr>
          <w:rFonts w:ascii="Times New Roman" w:hAnsi="Times New Roman" w:cs="Times New Roman"/>
          <w:sz w:val="24"/>
          <w:szCs w:val="24"/>
          <w:lang w:val="pt-BR"/>
        </w:rPr>
        <w:t xml:space="preserve"> de débito das sociedades do grupo que não têm condições no momento, outorgando a estas uma extensão do prazo para pagamento (financiamento real).</w:t>
      </w:r>
    </w:p>
    <w:p w:rsidR="00C2335E" w:rsidRDefault="00C0076A" w:rsidP="00C2335E">
      <w:pPr>
        <w:spacing w:line="360" w:lineRule="auto"/>
        <w:rPr>
          <w:rFonts w:ascii="Times New Roman" w:hAnsi="Times New Roman" w:cs="Times New Roman"/>
          <w:sz w:val="24"/>
          <w:szCs w:val="24"/>
          <w:lang w:val="pt-BR"/>
        </w:rPr>
      </w:pPr>
      <w:r>
        <w:rPr>
          <w:rFonts w:ascii="Times New Roman" w:hAnsi="Times New Roman" w:cs="Times New Roman"/>
          <w:sz w:val="24"/>
          <w:szCs w:val="24"/>
          <w:lang w:val="pt-BR"/>
        </w:rPr>
        <w:t xml:space="preserve">Segundo Caliumi </w:t>
      </w:r>
      <w:r w:rsidR="00C2335E">
        <w:rPr>
          <w:rFonts w:ascii="Times New Roman" w:hAnsi="Times New Roman" w:cs="Times New Roman"/>
          <w:sz w:val="24"/>
          <w:szCs w:val="24"/>
          <w:lang w:val="pt-BR"/>
        </w:rPr>
        <w:t>esta segunda modalidade dá origem a um fluxo de interesse que é taxado e o valor desta taxa deverá constar do regulamento operacional do sistema de compensação, sendo certo que o mesmo deve ser harmonizado com o valor da taxa no mercado, sob pena de gerar manobras especulativas no seio das empresas locais</w:t>
      </w:r>
      <w:r w:rsidR="00C2335E">
        <w:rPr>
          <w:rStyle w:val="Refdenotaderodap"/>
          <w:rFonts w:ascii="Times New Roman" w:hAnsi="Times New Roman" w:cs="Times New Roman"/>
          <w:szCs w:val="24"/>
          <w:lang w:val="pt-BR"/>
        </w:rPr>
        <w:footnoteReference w:id="58"/>
      </w:r>
      <w:r w:rsidR="00C2335E">
        <w:rPr>
          <w:rFonts w:ascii="Times New Roman" w:hAnsi="Times New Roman" w:cs="Times New Roman"/>
          <w:sz w:val="24"/>
          <w:szCs w:val="24"/>
          <w:lang w:val="pt-BR"/>
        </w:rPr>
        <w:t xml:space="preserve">. </w:t>
      </w:r>
    </w:p>
    <w:p w:rsidR="00C2335E" w:rsidRDefault="00C2335E" w:rsidP="00C2335E">
      <w:pPr>
        <w:spacing w:line="360" w:lineRule="auto"/>
        <w:rPr>
          <w:rFonts w:ascii="Times New Roman" w:hAnsi="Times New Roman" w:cs="Times New Roman"/>
          <w:sz w:val="24"/>
          <w:szCs w:val="24"/>
          <w:lang w:val="pt-BR"/>
        </w:rPr>
      </w:pPr>
      <w:r>
        <w:rPr>
          <w:rFonts w:ascii="Times New Roman" w:hAnsi="Times New Roman" w:cs="Times New Roman"/>
          <w:sz w:val="24"/>
          <w:szCs w:val="24"/>
          <w:lang w:val="pt-BR"/>
        </w:rPr>
        <w:t xml:space="preserve">Para Mónica Fluentes  o </w:t>
      </w:r>
      <w:r w:rsidRPr="00AD3E52">
        <w:rPr>
          <w:rFonts w:ascii="Times New Roman" w:hAnsi="Times New Roman" w:cs="Times New Roman"/>
          <w:i/>
          <w:sz w:val="24"/>
          <w:szCs w:val="24"/>
          <w:lang w:val="pt-BR"/>
        </w:rPr>
        <w:t>netting</w:t>
      </w:r>
      <w:r>
        <w:rPr>
          <w:rFonts w:ascii="Times New Roman" w:hAnsi="Times New Roman" w:cs="Times New Roman"/>
          <w:sz w:val="24"/>
          <w:szCs w:val="24"/>
          <w:lang w:val="pt-BR"/>
        </w:rPr>
        <w:t xml:space="preserve"> a semelhança do </w:t>
      </w:r>
      <w:r w:rsidRPr="00AD343E">
        <w:rPr>
          <w:rFonts w:ascii="Times New Roman" w:hAnsi="Times New Roman" w:cs="Times New Roman"/>
          <w:i/>
          <w:sz w:val="24"/>
          <w:szCs w:val="24"/>
          <w:lang w:val="pt-BR"/>
        </w:rPr>
        <w:t>cash pooling</w:t>
      </w:r>
      <w:r>
        <w:rPr>
          <w:rFonts w:ascii="Times New Roman" w:hAnsi="Times New Roman" w:cs="Times New Roman"/>
          <w:sz w:val="24"/>
          <w:szCs w:val="24"/>
          <w:lang w:val="pt-BR"/>
        </w:rPr>
        <w:t xml:space="preserve"> representa uma forma de </w:t>
      </w:r>
      <w:r w:rsidRPr="00AD3E52">
        <w:rPr>
          <w:rFonts w:ascii="Times New Roman" w:hAnsi="Times New Roman" w:cs="Times New Roman"/>
          <w:i/>
          <w:sz w:val="24"/>
          <w:szCs w:val="24"/>
          <w:lang w:val="pt-BR"/>
        </w:rPr>
        <w:t>cash management</w:t>
      </w:r>
      <w:r>
        <w:rPr>
          <w:rFonts w:ascii="Times New Roman" w:hAnsi="Times New Roman" w:cs="Times New Roman"/>
          <w:sz w:val="24"/>
          <w:szCs w:val="24"/>
          <w:lang w:val="pt-BR"/>
        </w:rPr>
        <w:t xml:space="preserve"> dos grupos de sociedades, daí que</w:t>
      </w:r>
      <w:r w:rsidR="00B7586C">
        <w:rPr>
          <w:rFonts w:ascii="Times New Roman" w:hAnsi="Times New Roman" w:cs="Times New Roman"/>
          <w:sz w:val="24"/>
          <w:szCs w:val="24"/>
          <w:lang w:val="pt-BR"/>
        </w:rPr>
        <w:t>,</w:t>
      </w:r>
      <w:r>
        <w:rPr>
          <w:rFonts w:ascii="Times New Roman" w:hAnsi="Times New Roman" w:cs="Times New Roman"/>
          <w:sz w:val="24"/>
          <w:szCs w:val="24"/>
          <w:lang w:val="pt-BR"/>
        </w:rPr>
        <w:t xml:space="preserve"> as suas vantagens sejam facilmente visíveis. A autora reafirma que embora seja uma técnica complexa em suas operações, ela permite conceber de forma contínua um fluxo detalhado e actualizado de informações sobre as operações entre as várias empresas do grupo e sobre as suas respectivas posições financeiras. Tal operação é essencial porque permite que a </w:t>
      </w:r>
      <w:r w:rsidRPr="00AD3E52">
        <w:rPr>
          <w:rFonts w:ascii="Times New Roman" w:hAnsi="Times New Roman" w:cs="Times New Roman"/>
          <w:i/>
          <w:sz w:val="24"/>
          <w:szCs w:val="24"/>
          <w:lang w:val="pt-BR"/>
        </w:rPr>
        <w:t>pooler</w:t>
      </w:r>
      <w:r>
        <w:rPr>
          <w:rFonts w:ascii="Times New Roman" w:hAnsi="Times New Roman" w:cs="Times New Roman"/>
          <w:sz w:val="24"/>
          <w:szCs w:val="24"/>
          <w:lang w:val="pt-BR"/>
        </w:rPr>
        <w:t xml:space="preserve"> recolha todos os dados e informações relevantes, dentro dos prazos pré-estabelecidos e realize os cálculos e as avaliações técnico-operacionais necessárias para construir a matriz de crédito e de dívida.</w:t>
      </w:r>
    </w:p>
    <w:p w:rsidR="00C2335E" w:rsidRDefault="00C2335E" w:rsidP="00C2335E">
      <w:pPr>
        <w:spacing w:line="360" w:lineRule="auto"/>
        <w:rPr>
          <w:rFonts w:ascii="Times New Roman" w:hAnsi="Times New Roman" w:cs="Times New Roman"/>
          <w:sz w:val="24"/>
          <w:szCs w:val="24"/>
          <w:lang w:val="pt-BR"/>
        </w:rPr>
      </w:pPr>
      <w:r>
        <w:rPr>
          <w:rFonts w:ascii="Times New Roman" w:hAnsi="Times New Roman" w:cs="Times New Roman"/>
          <w:sz w:val="24"/>
          <w:szCs w:val="24"/>
          <w:lang w:val="pt-BR"/>
        </w:rPr>
        <w:t xml:space="preserve">Além deste aspecto positivo, o </w:t>
      </w:r>
      <w:r w:rsidRPr="00CA0AD8">
        <w:rPr>
          <w:rFonts w:ascii="Times New Roman" w:hAnsi="Times New Roman" w:cs="Times New Roman"/>
          <w:i/>
          <w:sz w:val="24"/>
          <w:szCs w:val="24"/>
          <w:lang w:val="pt-BR"/>
        </w:rPr>
        <w:t>netting</w:t>
      </w:r>
      <w:r w:rsidR="000A2A56">
        <w:rPr>
          <w:rFonts w:ascii="Times New Roman" w:hAnsi="Times New Roman" w:cs="Times New Roman"/>
          <w:i/>
          <w:sz w:val="24"/>
          <w:szCs w:val="24"/>
          <w:lang w:val="pt-BR"/>
        </w:rPr>
        <w:t xml:space="preserve"> </w:t>
      </w:r>
      <w:r>
        <w:rPr>
          <w:rFonts w:ascii="Times New Roman" w:hAnsi="Times New Roman" w:cs="Times New Roman"/>
          <w:sz w:val="24"/>
          <w:szCs w:val="24"/>
          <w:lang w:val="pt-BR"/>
        </w:rPr>
        <w:t>possui outras vantagens, nomeadamente;</w:t>
      </w:r>
    </w:p>
    <w:p w:rsidR="00C2335E" w:rsidRDefault="00C2335E" w:rsidP="00C2335E">
      <w:pPr>
        <w:pStyle w:val="PargrafodaLista"/>
        <w:numPr>
          <w:ilvl w:val="0"/>
          <w:numId w:val="4"/>
        </w:numPr>
        <w:spacing w:before="0" w:after="200" w:line="360" w:lineRule="auto"/>
        <w:rPr>
          <w:rFonts w:ascii="Times New Roman" w:hAnsi="Times New Roman" w:cs="Times New Roman"/>
          <w:sz w:val="24"/>
          <w:szCs w:val="24"/>
          <w:lang w:val="pt-BR"/>
        </w:rPr>
      </w:pPr>
      <w:r>
        <w:rPr>
          <w:rFonts w:ascii="Times New Roman" w:hAnsi="Times New Roman" w:cs="Times New Roman"/>
          <w:sz w:val="24"/>
          <w:szCs w:val="24"/>
          <w:lang w:val="pt-BR"/>
        </w:rPr>
        <w:t>Reduz a carga de trabalho administrativo para as sociedades participantes do grupo, graças à diminuição do número de operações realizadas;</w:t>
      </w:r>
    </w:p>
    <w:p w:rsidR="00C2335E" w:rsidRDefault="00C2335E" w:rsidP="00C2335E">
      <w:pPr>
        <w:pStyle w:val="PargrafodaLista"/>
        <w:numPr>
          <w:ilvl w:val="0"/>
          <w:numId w:val="4"/>
        </w:numPr>
        <w:spacing w:before="0" w:after="200" w:line="360" w:lineRule="auto"/>
        <w:rPr>
          <w:rFonts w:ascii="Times New Roman" w:hAnsi="Times New Roman" w:cs="Times New Roman"/>
          <w:sz w:val="24"/>
          <w:szCs w:val="24"/>
          <w:lang w:val="pt-BR"/>
        </w:rPr>
      </w:pPr>
      <w:r>
        <w:rPr>
          <w:rFonts w:ascii="Times New Roman" w:hAnsi="Times New Roman" w:cs="Times New Roman"/>
          <w:sz w:val="24"/>
          <w:szCs w:val="24"/>
          <w:lang w:val="pt-BR"/>
        </w:rPr>
        <w:t xml:space="preserve"> Permite melhorar as relações intragrupo, em termos de limitação de disputas e cumprimento das condições de pagamentos e de prazos;</w:t>
      </w:r>
    </w:p>
    <w:p w:rsidR="00C2335E" w:rsidRDefault="00C2335E" w:rsidP="00C2335E">
      <w:pPr>
        <w:pStyle w:val="PargrafodaLista"/>
        <w:numPr>
          <w:ilvl w:val="0"/>
          <w:numId w:val="4"/>
        </w:numPr>
        <w:spacing w:before="0" w:after="200" w:line="360" w:lineRule="auto"/>
        <w:rPr>
          <w:rFonts w:ascii="Times New Roman" w:hAnsi="Times New Roman" w:cs="Times New Roman"/>
          <w:sz w:val="24"/>
          <w:szCs w:val="24"/>
          <w:lang w:val="pt-BR"/>
        </w:rPr>
      </w:pPr>
      <w:r>
        <w:rPr>
          <w:rFonts w:ascii="Times New Roman" w:hAnsi="Times New Roman" w:cs="Times New Roman"/>
          <w:sz w:val="24"/>
          <w:szCs w:val="24"/>
          <w:lang w:val="pt-BR"/>
        </w:rPr>
        <w:t>E permite ainda, melhorar a situação do grupo, por meio de uma previsão mais precisa do fluxo de caixa infragrupo, bem como melhorar o gerenciamento da liquidez.</w:t>
      </w:r>
    </w:p>
    <w:p w:rsidR="00C2335E" w:rsidRDefault="00C2335E" w:rsidP="00C2335E">
      <w:pPr>
        <w:spacing w:line="360" w:lineRule="auto"/>
        <w:rPr>
          <w:rFonts w:ascii="Times New Roman" w:hAnsi="Times New Roman" w:cs="Times New Roman"/>
          <w:sz w:val="24"/>
          <w:szCs w:val="24"/>
          <w:lang w:val="pt-BR"/>
        </w:rPr>
      </w:pPr>
      <w:r>
        <w:rPr>
          <w:rFonts w:ascii="Times New Roman" w:hAnsi="Times New Roman" w:cs="Times New Roman"/>
          <w:sz w:val="24"/>
          <w:szCs w:val="24"/>
          <w:lang w:val="pt-BR"/>
        </w:rPr>
        <w:t xml:space="preserve">Qual então a grande diferença entre a figura do </w:t>
      </w:r>
      <w:r w:rsidRPr="00790F9F">
        <w:rPr>
          <w:rFonts w:ascii="Times New Roman" w:hAnsi="Times New Roman" w:cs="Times New Roman"/>
          <w:i/>
          <w:sz w:val="24"/>
          <w:szCs w:val="24"/>
          <w:lang w:val="pt-BR"/>
        </w:rPr>
        <w:t>netting</w:t>
      </w:r>
      <w:r>
        <w:rPr>
          <w:rFonts w:ascii="Times New Roman" w:hAnsi="Times New Roman" w:cs="Times New Roman"/>
          <w:sz w:val="24"/>
          <w:szCs w:val="24"/>
          <w:lang w:val="pt-BR"/>
        </w:rPr>
        <w:t xml:space="preserve"> da do </w:t>
      </w:r>
      <w:r w:rsidRPr="00790F9F">
        <w:rPr>
          <w:rFonts w:ascii="Times New Roman" w:hAnsi="Times New Roman" w:cs="Times New Roman"/>
          <w:i/>
          <w:sz w:val="24"/>
          <w:szCs w:val="24"/>
          <w:lang w:val="pt-BR"/>
        </w:rPr>
        <w:t>cash pooling</w:t>
      </w:r>
      <w:r>
        <w:rPr>
          <w:rFonts w:ascii="Times New Roman" w:hAnsi="Times New Roman" w:cs="Times New Roman"/>
          <w:sz w:val="24"/>
          <w:szCs w:val="24"/>
          <w:lang w:val="pt-BR"/>
        </w:rPr>
        <w:t xml:space="preserve">? O neeting distingue-se do </w:t>
      </w:r>
      <w:r w:rsidRPr="00F852FA">
        <w:rPr>
          <w:rFonts w:ascii="Times New Roman" w:hAnsi="Times New Roman" w:cs="Times New Roman"/>
          <w:i/>
          <w:sz w:val="24"/>
          <w:szCs w:val="24"/>
          <w:lang w:val="pt-BR"/>
        </w:rPr>
        <w:t>cash pooling</w:t>
      </w:r>
      <w:r>
        <w:rPr>
          <w:rFonts w:ascii="Times New Roman" w:hAnsi="Times New Roman" w:cs="Times New Roman"/>
          <w:sz w:val="24"/>
          <w:szCs w:val="24"/>
          <w:lang w:val="pt-BR"/>
        </w:rPr>
        <w:t xml:space="preserve"> porque ele, regra geral, é apenas um sistema de compensação, ou seja, o </w:t>
      </w:r>
      <w:r w:rsidRPr="00DC286E">
        <w:rPr>
          <w:rFonts w:ascii="Times New Roman" w:hAnsi="Times New Roman" w:cs="Times New Roman"/>
          <w:i/>
          <w:sz w:val="24"/>
          <w:szCs w:val="24"/>
          <w:lang w:val="pt-BR"/>
        </w:rPr>
        <w:t>netting</w:t>
      </w:r>
      <w:r w:rsidR="00B7586C">
        <w:rPr>
          <w:rFonts w:ascii="Times New Roman" w:hAnsi="Times New Roman" w:cs="Times New Roman"/>
          <w:i/>
          <w:sz w:val="24"/>
          <w:szCs w:val="24"/>
          <w:lang w:val="pt-BR"/>
        </w:rPr>
        <w:t xml:space="preserve"> </w:t>
      </w:r>
      <w:r w:rsidRPr="00DC286E">
        <w:rPr>
          <w:rFonts w:ascii="Times New Roman" w:hAnsi="Times New Roman" w:cs="Times New Roman"/>
          <w:i/>
          <w:sz w:val="24"/>
          <w:szCs w:val="24"/>
          <w:lang w:val="pt-BR"/>
        </w:rPr>
        <w:t>stricto sensu</w:t>
      </w:r>
      <w:r>
        <w:rPr>
          <w:rFonts w:ascii="Times New Roman" w:hAnsi="Times New Roman" w:cs="Times New Roman"/>
          <w:sz w:val="24"/>
          <w:szCs w:val="24"/>
          <w:lang w:val="pt-BR"/>
        </w:rPr>
        <w:t xml:space="preserve"> tem como única tarefa - a compensação dos créditos e obrigações recíprocas entre as sociedades participantes do grupo (função que em regra é da competência da sociedade-mãe, mas que pode também ser exercida por um terceiro (um banco externo)</w:t>
      </w:r>
      <w:r w:rsidR="00B7586C">
        <w:rPr>
          <w:rFonts w:ascii="Times New Roman" w:hAnsi="Times New Roman" w:cs="Times New Roman"/>
          <w:sz w:val="24"/>
          <w:szCs w:val="24"/>
          <w:lang w:val="pt-BR"/>
        </w:rPr>
        <w:t>)</w:t>
      </w:r>
      <w:r>
        <w:rPr>
          <w:rFonts w:ascii="Times New Roman" w:hAnsi="Times New Roman" w:cs="Times New Roman"/>
          <w:sz w:val="24"/>
          <w:szCs w:val="24"/>
          <w:lang w:val="pt-BR"/>
        </w:rPr>
        <w:t xml:space="preserve"> </w:t>
      </w:r>
      <w:r>
        <w:rPr>
          <w:rStyle w:val="Refdenotaderodap"/>
          <w:rFonts w:ascii="Times New Roman" w:hAnsi="Times New Roman" w:cs="Times New Roman"/>
          <w:szCs w:val="24"/>
          <w:lang w:val="pt-BR"/>
        </w:rPr>
        <w:footnoteReference w:id="59"/>
      </w:r>
      <w:r w:rsidR="00B7586C">
        <w:rPr>
          <w:rFonts w:ascii="Times New Roman" w:hAnsi="Times New Roman" w:cs="Times New Roman"/>
          <w:sz w:val="24"/>
          <w:szCs w:val="24"/>
          <w:lang w:val="pt-BR"/>
        </w:rPr>
        <w:t>,</w:t>
      </w:r>
      <w:r>
        <w:rPr>
          <w:rFonts w:ascii="Times New Roman" w:hAnsi="Times New Roman" w:cs="Times New Roman"/>
          <w:sz w:val="24"/>
          <w:szCs w:val="24"/>
          <w:lang w:val="pt-BR"/>
        </w:rPr>
        <w:t xml:space="preserve"> enquanto que o </w:t>
      </w:r>
      <w:r w:rsidRPr="001F0F00">
        <w:rPr>
          <w:rFonts w:ascii="Times New Roman" w:hAnsi="Times New Roman" w:cs="Times New Roman"/>
          <w:i/>
          <w:sz w:val="24"/>
          <w:szCs w:val="24"/>
          <w:lang w:val="pt-BR"/>
        </w:rPr>
        <w:t>cash pooling</w:t>
      </w:r>
      <w:r>
        <w:rPr>
          <w:rFonts w:ascii="Times New Roman" w:hAnsi="Times New Roman" w:cs="Times New Roman"/>
          <w:sz w:val="24"/>
          <w:szCs w:val="24"/>
          <w:lang w:val="pt-BR"/>
        </w:rPr>
        <w:t xml:space="preserve"> vai além da compensação, visa efectivamente fazer uma gestão da tesouraria do grupo. </w:t>
      </w:r>
    </w:p>
    <w:p w:rsidR="00C2335E" w:rsidRDefault="00C2335E" w:rsidP="00C2335E">
      <w:pPr>
        <w:spacing w:line="360" w:lineRule="auto"/>
        <w:jc w:val="center"/>
        <w:rPr>
          <w:rFonts w:ascii="Times New Roman" w:hAnsi="Times New Roman" w:cs="Times New Roman"/>
          <w:sz w:val="24"/>
          <w:szCs w:val="24"/>
          <w:lang w:val="pt-BR"/>
        </w:rPr>
      </w:pPr>
    </w:p>
    <w:p w:rsidR="00C51069" w:rsidRDefault="00C51069" w:rsidP="00C2335E">
      <w:pPr>
        <w:spacing w:line="360" w:lineRule="auto"/>
        <w:jc w:val="center"/>
        <w:rPr>
          <w:rFonts w:ascii="Times New Roman" w:hAnsi="Times New Roman" w:cs="Times New Roman"/>
          <w:sz w:val="24"/>
          <w:szCs w:val="24"/>
          <w:lang w:val="pt-BR"/>
        </w:rPr>
      </w:pPr>
    </w:p>
    <w:p w:rsidR="00C51069" w:rsidRDefault="00C51069" w:rsidP="00C2335E">
      <w:pPr>
        <w:spacing w:line="360" w:lineRule="auto"/>
        <w:jc w:val="center"/>
        <w:rPr>
          <w:rFonts w:ascii="Times New Roman" w:hAnsi="Times New Roman" w:cs="Times New Roman"/>
          <w:sz w:val="24"/>
          <w:szCs w:val="24"/>
          <w:lang w:val="pt-BR"/>
        </w:rPr>
      </w:pPr>
    </w:p>
    <w:p w:rsidR="00C51069" w:rsidRDefault="00C51069" w:rsidP="00C2335E">
      <w:pPr>
        <w:spacing w:line="360" w:lineRule="auto"/>
        <w:jc w:val="center"/>
        <w:rPr>
          <w:rFonts w:ascii="Times New Roman" w:hAnsi="Times New Roman" w:cs="Times New Roman"/>
          <w:sz w:val="24"/>
          <w:szCs w:val="24"/>
          <w:lang w:val="pt-BR"/>
        </w:rPr>
      </w:pPr>
    </w:p>
    <w:p w:rsidR="00C51069" w:rsidRDefault="00C51069" w:rsidP="00C2335E">
      <w:pPr>
        <w:spacing w:line="360" w:lineRule="auto"/>
        <w:jc w:val="center"/>
        <w:rPr>
          <w:rFonts w:ascii="Times New Roman" w:hAnsi="Times New Roman" w:cs="Times New Roman"/>
          <w:sz w:val="24"/>
          <w:szCs w:val="24"/>
          <w:lang w:val="pt-BR"/>
        </w:rPr>
      </w:pPr>
    </w:p>
    <w:p w:rsidR="00E40A38" w:rsidRDefault="00E40A38" w:rsidP="00B7586C">
      <w:pPr>
        <w:spacing w:line="360" w:lineRule="auto"/>
        <w:rPr>
          <w:rFonts w:ascii="Times New Roman" w:hAnsi="Times New Roman" w:cs="Times New Roman"/>
          <w:sz w:val="24"/>
          <w:szCs w:val="24"/>
          <w:lang w:val="pt-BR"/>
        </w:rPr>
      </w:pPr>
    </w:p>
    <w:p w:rsidR="00B63B92" w:rsidRDefault="00B63B92" w:rsidP="00B7586C">
      <w:pPr>
        <w:spacing w:line="360" w:lineRule="auto"/>
        <w:rPr>
          <w:rFonts w:ascii="Times New Roman" w:hAnsi="Times New Roman" w:cs="Times New Roman"/>
          <w:sz w:val="24"/>
          <w:szCs w:val="24"/>
          <w:lang w:val="pt-BR"/>
        </w:rPr>
      </w:pPr>
    </w:p>
    <w:p w:rsidR="00E40A38" w:rsidRPr="00E40A38" w:rsidRDefault="00E40A38" w:rsidP="00E40A38">
      <w:pPr>
        <w:spacing w:line="360" w:lineRule="auto"/>
        <w:jc w:val="center"/>
        <w:rPr>
          <w:rFonts w:asciiTheme="majorHAnsi" w:hAnsiTheme="majorHAnsi" w:cs="Times New Roman"/>
          <w:sz w:val="24"/>
          <w:szCs w:val="24"/>
          <w:lang w:val="pt-BR"/>
        </w:rPr>
      </w:pPr>
      <w:r w:rsidRPr="00E40A38">
        <w:rPr>
          <w:rFonts w:asciiTheme="majorHAnsi" w:hAnsiTheme="majorHAnsi" w:cs="Times New Roman"/>
          <w:sz w:val="24"/>
          <w:szCs w:val="24"/>
          <w:lang w:val="pt-BR"/>
        </w:rPr>
        <w:t>CAPÍTULO III</w:t>
      </w:r>
    </w:p>
    <w:p w:rsidR="00E40A38" w:rsidRPr="00E40A38" w:rsidRDefault="00E40A38" w:rsidP="00E40A38">
      <w:pPr>
        <w:spacing w:line="360" w:lineRule="auto"/>
        <w:rPr>
          <w:rFonts w:asciiTheme="majorHAnsi" w:hAnsiTheme="majorHAnsi" w:cs="Times New Roman"/>
          <w:b/>
          <w:sz w:val="24"/>
          <w:szCs w:val="24"/>
          <w:lang w:val="pt-BR"/>
        </w:rPr>
      </w:pPr>
      <w:r w:rsidRPr="00E40A38">
        <w:rPr>
          <w:rFonts w:asciiTheme="majorHAnsi" w:hAnsiTheme="majorHAnsi" w:cs="Times New Roman"/>
          <w:b/>
          <w:sz w:val="24"/>
          <w:szCs w:val="24"/>
          <w:lang w:val="pt-BR"/>
        </w:rPr>
        <w:t xml:space="preserve">IMPLICAÇÕES SOCIETÁRIAS INERENTES À FIGURA DO </w:t>
      </w:r>
      <w:r w:rsidRPr="00E40A38">
        <w:rPr>
          <w:rFonts w:asciiTheme="majorHAnsi" w:hAnsiTheme="majorHAnsi" w:cs="Times New Roman"/>
          <w:b/>
          <w:i/>
          <w:sz w:val="24"/>
          <w:szCs w:val="24"/>
          <w:lang w:val="pt-BR"/>
        </w:rPr>
        <w:t>CASH POOLING</w:t>
      </w:r>
      <w:r w:rsidRPr="00E40A38">
        <w:rPr>
          <w:rFonts w:asciiTheme="majorHAnsi" w:hAnsiTheme="majorHAnsi" w:cs="Times New Roman"/>
          <w:b/>
          <w:sz w:val="24"/>
          <w:szCs w:val="24"/>
          <w:lang w:val="pt-BR"/>
        </w:rPr>
        <w:t>.</w:t>
      </w:r>
    </w:p>
    <w:p w:rsidR="00E40A38" w:rsidRDefault="00E40A38" w:rsidP="00E40A38">
      <w:pPr>
        <w:pStyle w:val="PargrafodaLista"/>
        <w:numPr>
          <w:ilvl w:val="0"/>
          <w:numId w:val="12"/>
        </w:numPr>
        <w:spacing w:before="0" w:after="200" w:line="360" w:lineRule="auto"/>
        <w:rPr>
          <w:rFonts w:asciiTheme="majorHAnsi" w:hAnsiTheme="majorHAnsi" w:cs="Times New Roman"/>
          <w:b/>
          <w:sz w:val="24"/>
          <w:szCs w:val="24"/>
          <w:lang w:val="pt-BR"/>
        </w:rPr>
      </w:pPr>
      <w:r w:rsidRPr="00E40A38">
        <w:rPr>
          <w:rFonts w:asciiTheme="majorHAnsi" w:hAnsiTheme="majorHAnsi" w:cs="Times New Roman"/>
          <w:b/>
          <w:sz w:val="24"/>
          <w:szCs w:val="24"/>
          <w:lang w:val="pt-BR"/>
        </w:rPr>
        <w:t>Apresentação do problema</w:t>
      </w:r>
    </w:p>
    <w:p w:rsidR="00E40A38" w:rsidRPr="00E40A38" w:rsidRDefault="00E40A38" w:rsidP="00E40A38">
      <w:pPr>
        <w:spacing w:before="0" w:after="200" w:line="360" w:lineRule="auto"/>
        <w:rPr>
          <w:rFonts w:asciiTheme="majorHAnsi" w:hAnsiTheme="majorHAnsi" w:cs="Times New Roman"/>
          <w:b/>
          <w:sz w:val="24"/>
          <w:szCs w:val="24"/>
          <w:lang w:val="pt-BR"/>
        </w:rPr>
      </w:pPr>
      <w:r w:rsidRPr="00E40A38">
        <w:rPr>
          <w:rFonts w:asciiTheme="majorHAnsi" w:hAnsiTheme="majorHAnsi" w:cs="Times New Roman"/>
          <w:sz w:val="24"/>
          <w:szCs w:val="24"/>
          <w:lang w:val="pt-BR"/>
        </w:rPr>
        <w:t xml:space="preserve">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particularmente na modalidade de </w:t>
      </w:r>
      <w:r w:rsidRPr="00E40A38">
        <w:rPr>
          <w:rFonts w:asciiTheme="majorHAnsi" w:hAnsiTheme="majorHAnsi" w:cs="Times New Roman"/>
          <w:i/>
          <w:sz w:val="24"/>
          <w:szCs w:val="24"/>
          <w:lang w:val="pt-BR"/>
        </w:rPr>
        <w:t>zero balancing</w:t>
      </w:r>
      <w:r w:rsidRPr="00E40A38">
        <w:rPr>
          <w:rFonts w:asciiTheme="majorHAnsi" w:hAnsiTheme="majorHAnsi" w:cs="Times New Roman"/>
          <w:sz w:val="24"/>
          <w:szCs w:val="24"/>
          <w:lang w:val="pt-BR"/>
        </w:rPr>
        <w:t xml:space="preserve"> (aqueles que acarretam uma transferência efectiva dos activos entre os membros, partes do sistema) apresentam problemas específicos quando são implementados no seio de um grupo de sociedades. As exigências em torno da conservação da cifra do capital social, constitui a nível da doutrina e jurisprudência actual um problema para o funcionamento do grupo de sociedade que pretende adoptar 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a possibilidade de quem faz a gestão da </w:t>
      </w:r>
      <w:r w:rsidRPr="00E40A38">
        <w:rPr>
          <w:rFonts w:asciiTheme="majorHAnsi" w:hAnsiTheme="majorHAnsi" w:cs="Times New Roman"/>
          <w:i/>
          <w:sz w:val="24"/>
          <w:szCs w:val="24"/>
          <w:lang w:val="pt-BR"/>
        </w:rPr>
        <w:t>pooler</w:t>
      </w:r>
      <w:r w:rsidRPr="00E40A38">
        <w:rPr>
          <w:rFonts w:asciiTheme="majorHAnsi" w:hAnsiTheme="majorHAnsi" w:cs="Times New Roman"/>
          <w:sz w:val="24"/>
          <w:szCs w:val="24"/>
          <w:lang w:val="pt-BR"/>
        </w:rPr>
        <w:t xml:space="preserve"> poder usar de manobras abusivas ou negligentes que prejudiquem as outras sociedades participantes no sistema (por exemplo, nas situações em que haja confusão de património das sociedades participantes) e as consequências para a sociedade gestora e os seus administradores, constitui um outro problema no seio do grupo, a falta de um regime jurídico sobre o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levanta o problema de se aferir se no nosso ordenamento jurídica, tal sistema poderá ou não ser implementado.</w:t>
      </w:r>
    </w:p>
    <w:p w:rsid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Por outra, a natureza eminentemente financeira do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cria outro problema; o de saber se o objecto social das sociedades do grupo</w:t>
      </w:r>
      <w:r w:rsidR="000C01A0">
        <w:rPr>
          <w:rFonts w:asciiTheme="majorHAnsi" w:hAnsiTheme="majorHAnsi" w:cs="Times New Roman"/>
          <w:sz w:val="24"/>
          <w:szCs w:val="24"/>
          <w:lang w:val="pt-BR"/>
        </w:rPr>
        <w:t>,</w:t>
      </w:r>
      <w:r w:rsidRPr="00E40A38">
        <w:rPr>
          <w:rFonts w:asciiTheme="majorHAnsi" w:hAnsiTheme="majorHAnsi" w:cs="Times New Roman"/>
          <w:sz w:val="24"/>
          <w:szCs w:val="24"/>
          <w:lang w:val="pt-BR"/>
        </w:rPr>
        <w:t xml:space="preserve"> participantes do sistema de centralização de tesouraria pode consubstan</w:t>
      </w:r>
      <w:r>
        <w:rPr>
          <w:rFonts w:asciiTheme="majorHAnsi" w:hAnsiTheme="majorHAnsi" w:cs="Times New Roman"/>
          <w:sz w:val="24"/>
          <w:szCs w:val="24"/>
          <w:lang w:val="pt-BR"/>
        </w:rPr>
        <w:t>ciar-se num factor impeditivo para a</w:t>
      </w:r>
      <w:r w:rsidRPr="00E40A38">
        <w:rPr>
          <w:rFonts w:asciiTheme="majorHAnsi" w:hAnsiTheme="majorHAnsi" w:cs="Times New Roman"/>
          <w:sz w:val="24"/>
          <w:szCs w:val="24"/>
          <w:lang w:val="pt-BR"/>
        </w:rPr>
        <w:t xml:space="preserve"> adesão ao sistema. Pretendemos ao longo deste capítulo, abordar estes e outros problemas jurídicos inerentes à figura do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w:t>
      </w:r>
      <w:r>
        <w:rPr>
          <w:rFonts w:asciiTheme="majorHAnsi" w:hAnsiTheme="majorHAnsi" w:cs="Times New Roman"/>
          <w:sz w:val="24"/>
          <w:szCs w:val="24"/>
          <w:lang w:val="pt-BR"/>
        </w:rPr>
        <w:t>apresentando as soluções que os outros ordenamentos jurídicos adoptaram em seus sistemas e aferir</w:t>
      </w:r>
      <w:r w:rsidR="000C01A0">
        <w:rPr>
          <w:rFonts w:asciiTheme="majorHAnsi" w:hAnsiTheme="majorHAnsi" w:cs="Times New Roman"/>
          <w:sz w:val="24"/>
          <w:szCs w:val="24"/>
          <w:lang w:val="pt-BR"/>
        </w:rPr>
        <w:t>,</w:t>
      </w:r>
      <w:r>
        <w:rPr>
          <w:rFonts w:asciiTheme="majorHAnsi" w:hAnsiTheme="majorHAnsi" w:cs="Times New Roman"/>
          <w:sz w:val="24"/>
          <w:szCs w:val="24"/>
          <w:lang w:val="pt-BR"/>
        </w:rPr>
        <w:t xml:space="preserve"> se é possível aplicar tais soluções ao ordenamento jurídico nacional, </w:t>
      </w:r>
      <w:r w:rsidRPr="00E40A38">
        <w:rPr>
          <w:rFonts w:asciiTheme="majorHAnsi" w:hAnsiTheme="majorHAnsi" w:cs="Times New Roman"/>
          <w:sz w:val="24"/>
          <w:szCs w:val="24"/>
          <w:lang w:val="pt-BR"/>
        </w:rPr>
        <w:t>tendo sempre como entrave, as limitações legais que possuim</w:t>
      </w:r>
      <w:r>
        <w:rPr>
          <w:rFonts w:asciiTheme="majorHAnsi" w:hAnsiTheme="majorHAnsi" w:cs="Times New Roman"/>
          <w:sz w:val="24"/>
          <w:szCs w:val="24"/>
          <w:lang w:val="pt-BR"/>
        </w:rPr>
        <w:t>os</w:t>
      </w:r>
      <w:r w:rsidRPr="00E40A38">
        <w:rPr>
          <w:rFonts w:asciiTheme="majorHAnsi" w:hAnsiTheme="majorHAnsi" w:cs="Times New Roman"/>
          <w:sz w:val="24"/>
          <w:szCs w:val="24"/>
          <w:lang w:val="pt-BR"/>
        </w:rPr>
        <w:t>.</w:t>
      </w:r>
    </w:p>
    <w:p w:rsidR="00E40A38" w:rsidRDefault="00E40A38" w:rsidP="00E40A38">
      <w:pPr>
        <w:pStyle w:val="PargrafodaLista"/>
        <w:numPr>
          <w:ilvl w:val="0"/>
          <w:numId w:val="12"/>
        </w:numPr>
        <w:spacing w:line="360" w:lineRule="auto"/>
        <w:rPr>
          <w:rFonts w:asciiTheme="majorHAnsi" w:hAnsiTheme="majorHAnsi" w:cs="Times New Roman"/>
          <w:b/>
          <w:sz w:val="24"/>
          <w:szCs w:val="24"/>
          <w:lang w:val="pt-BR"/>
        </w:rPr>
      </w:pPr>
      <w:r w:rsidRPr="00E40A38">
        <w:rPr>
          <w:rFonts w:asciiTheme="majorHAnsi" w:hAnsiTheme="majorHAnsi" w:cs="Times New Roman"/>
          <w:b/>
          <w:sz w:val="24"/>
          <w:szCs w:val="24"/>
          <w:lang w:val="pt-BR"/>
        </w:rPr>
        <w:t xml:space="preserve">Operações de </w:t>
      </w:r>
      <w:r w:rsidRPr="00E40A38">
        <w:rPr>
          <w:rFonts w:asciiTheme="majorHAnsi" w:hAnsiTheme="majorHAnsi" w:cs="Times New Roman"/>
          <w:b/>
          <w:i/>
          <w:sz w:val="24"/>
          <w:szCs w:val="24"/>
          <w:lang w:val="pt-BR"/>
        </w:rPr>
        <w:t>cash pooling</w:t>
      </w:r>
      <w:r w:rsidRPr="00E40A38">
        <w:rPr>
          <w:rFonts w:asciiTheme="majorHAnsi" w:hAnsiTheme="majorHAnsi" w:cs="Times New Roman"/>
          <w:b/>
          <w:sz w:val="24"/>
          <w:szCs w:val="24"/>
          <w:lang w:val="pt-BR"/>
        </w:rPr>
        <w:t>, como “operações de crédito”.</w:t>
      </w:r>
    </w:p>
    <w:p w:rsidR="00E40A38" w:rsidRDefault="00E40A38"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De acordo com as alíneas a) e b) do n.º1 do artigo 4.º da LIF as operações de crédito são, regra geral, realizadas pelas instituições bancárias e tendo em conta que o sistema de </w:t>
      </w:r>
      <w:r w:rsidRPr="00E40A38">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visa a captação dos activos das sociedades participantes do sistema para a conta da entidade centralizadora, com vista a consolidação dos créditos e débitos destes saldos, por formas a fazer um saldo único, podendo assim, optimizar a posição global do grupo, questiona-se se este tipo de operação pode ou não ser realizada por uma entidade não bancária, como é o caso dos grupos de sociedades.</w:t>
      </w:r>
    </w:p>
    <w:p w:rsid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O</w:t>
      </w:r>
      <w:r>
        <w:rPr>
          <w:rFonts w:asciiTheme="majorHAnsi" w:hAnsiTheme="majorHAnsi" w:cs="Times New Roman"/>
          <w:sz w:val="24"/>
          <w:szCs w:val="24"/>
          <w:lang w:val="pt-BR"/>
        </w:rPr>
        <w:t xml:space="preserve">ra, a falta de um regime jurídico próprio para </w:t>
      </w:r>
      <w:r w:rsidRPr="00E40A38">
        <w:rPr>
          <w:rFonts w:asciiTheme="majorHAnsi" w:hAnsiTheme="majorHAnsi" w:cs="Times New Roman"/>
          <w:sz w:val="24"/>
          <w:szCs w:val="24"/>
          <w:lang w:val="pt-BR"/>
        </w:rPr>
        <w:t xml:space="preserve">as operações de centralização de gestão de tesouraria, </w:t>
      </w:r>
      <w:r>
        <w:rPr>
          <w:rFonts w:asciiTheme="majorHAnsi" w:hAnsiTheme="majorHAnsi" w:cs="Times New Roman"/>
          <w:sz w:val="24"/>
          <w:szCs w:val="24"/>
          <w:lang w:val="pt-BR"/>
        </w:rPr>
        <w:t xml:space="preserve">leva a que o seu enquadramento seja </w:t>
      </w:r>
      <w:r w:rsidRPr="00E40A38">
        <w:rPr>
          <w:rFonts w:asciiTheme="majorHAnsi" w:hAnsiTheme="majorHAnsi" w:cs="Times New Roman"/>
          <w:sz w:val="24"/>
          <w:szCs w:val="24"/>
          <w:lang w:val="pt-BR"/>
        </w:rPr>
        <w:t>feito por meio da lei das instituições financeiras e subsidiariamente pela lei das sociedades comerciais.</w:t>
      </w:r>
      <w:r>
        <w:rPr>
          <w:rFonts w:asciiTheme="majorHAnsi" w:hAnsiTheme="majorHAnsi" w:cs="Times New Roman"/>
          <w:sz w:val="24"/>
          <w:szCs w:val="24"/>
          <w:lang w:val="pt-BR"/>
        </w:rPr>
        <w:t xml:space="preserve"> É a LIF, na alínea d), do n.º2, do artigo 8.º que</w:t>
      </w:r>
      <w:r w:rsidR="007335CC">
        <w:rPr>
          <w:rFonts w:asciiTheme="majorHAnsi" w:hAnsiTheme="majorHAnsi" w:cs="Times New Roman"/>
          <w:sz w:val="24"/>
          <w:szCs w:val="24"/>
          <w:lang w:val="pt-BR"/>
        </w:rPr>
        <w:t xml:space="preserve"> dá resposta a</w:t>
      </w:r>
      <w:r w:rsidR="000C01A0">
        <w:rPr>
          <w:rFonts w:asciiTheme="majorHAnsi" w:hAnsiTheme="majorHAnsi" w:cs="Times New Roman"/>
          <w:sz w:val="24"/>
          <w:szCs w:val="24"/>
          <w:lang w:val="pt-BR"/>
        </w:rPr>
        <w:t xml:space="preserve"> esta questão, na medida em que</w:t>
      </w:r>
      <w:r w:rsidR="007335CC">
        <w:rPr>
          <w:rFonts w:asciiTheme="majorHAnsi" w:hAnsiTheme="majorHAnsi" w:cs="Times New Roman"/>
          <w:sz w:val="24"/>
          <w:szCs w:val="24"/>
          <w:lang w:val="pt-BR"/>
        </w:rPr>
        <w:t xml:space="preserve"> a disposição legal</w:t>
      </w:r>
      <w:r>
        <w:rPr>
          <w:rFonts w:asciiTheme="majorHAnsi" w:hAnsiTheme="majorHAnsi" w:cs="Times New Roman"/>
          <w:sz w:val="24"/>
          <w:szCs w:val="24"/>
          <w:lang w:val="pt-BR"/>
        </w:rPr>
        <w:t xml:space="preserve"> permite que as </w:t>
      </w:r>
      <w:r w:rsidRPr="00E40A38">
        <w:rPr>
          <w:rFonts w:asciiTheme="majorHAnsi" w:hAnsiTheme="majorHAnsi" w:cs="Times New Roman"/>
          <w:sz w:val="24"/>
          <w:szCs w:val="24"/>
          <w:lang w:val="pt-BR"/>
        </w:rPr>
        <w:t xml:space="preserve">operações de gestão centralizada de tesouraria </w:t>
      </w:r>
      <w:r>
        <w:rPr>
          <w:rFonts w:asciiTheme="majorHAnsi" w:hAnsiTheme="majorHAnsi" w:cs="Times New Roman"/>
          <w:sz w:val="24"/>
          <w:szCs w:val="24"/>
          <w:lang w:val="pt-BR"/>
        </w:rPr>
        <w:t xml:space="preserve">sejam realizadas por </w:t>
      </w:r>
      <w:r w:rsidRPr="00E40A38">
        <w:rPr>
          <w:rFonts w:asciiTheme="majorHAnsi" w:hAnsiTheme="majorHAnsi" w:cs="Times New Roman"/>
          <w:sz w:val="24"/>
          <w:szCs w:val="24"/>
          <w:lang w:val="pt-BR"/>
        </w:rPr>
        <w:t xml:space="preserve">sociedades que se encontram numa relação de domínio ou de grupo, mesmo que não sejam instituições de crédito. </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Tal particularidade advém da excepção ao princípio da exclusividade. O princípio da exclusividade determina que a actividade de receber do público depósitos ou outros fundos reembolsáveis para a utilização por conta própria e exercer a função de intermediário de liquidação de operações de pagamento, apenas pode ser exercida pelas instituições financeiras bancárias (segundo – art 7.º), todavia é no nº2 alínea d) do artigo 8.º da lei das instituições financeiras, onde encontramos a excepção ao princípio da exclusividade das instituições de crédito, ou seja, o princípio é afastado quando estejam em causa operações de tesouraria legalmente permitidos entre sociedades que se encontram numa relação de domínio ou de grupo.</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A lei das instituições financeiras define sociedades em relação de grupo como as “sociedades coligadas entre si, nos termos em que a lei das sociedades comerciais caracteriza este tipo de relação independentemente das respectivas sedes se situarem no país ou no estrangeiro”. </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Assim, o nosso legislador estabelece um regime especial para as sociedades coligadas, regime onde vigora o princípio da tipicidade – o que quer dizer que nem todas as coligações que se estabelecem entre empresas estão sujeitas ao regime jurídico especial consagrado nos artigos 463. º e seguintes, daí que, qualquer coligação empresarial que não se enquadre nos tipos previstos por lei, obedecerão, </w:t>
      </w:r>
      <w:r w:rsidR="000C01A0" w:rsidRPr="000C01A0">
        <w:rPr>
          <w:rFonts w:asciiTheme="majorHAnsi" w:hAnsiTheme="majorHAnsi" w:cs="Times New Roman"/>
          <w:sz w:val="24"/>
          <w:szCs w:val="24"/>
          <w:lang w:val="pt-BR"/>
        </w:rPr>
        <w:t>em princípio</w:t>
      </w:r>
      <w:r w:rsidRPr="00E40A38">
        <w:rPr>
          <w:rFonts w:asciiTheme="majorHAnsi" w:hAnsiTheme="majorHAnsi" w:cs="Times New Roman"/>
          <w:sz w:val="24"/>
          <w:szCs w:val="24"/>
          <w:lang w:val="pt-BR"/>
        </w:rPr>
        <w:t xml:space="preserve">, o regime societário geral. </w:t>
      </w:r>
    </w:p>
    <w:p w:rsidR="00E40A38" w:rsidRPr="00E40A38" w:rsidRDefault="00E40A38"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Apesar da LIF</w:t>
      </w:r>
      <w:r w:rsidRPr="00E40A38">
        <w:rPr>
          <w:rFonts w:asciiTheme="majorHAnsi" w:hAnsiTheme="majorHAnsi" w:cs="Times New Roman"/>
          <w:sz w:val="24"/>
          <w:szCs w:val="24"/>
          <w:lang w:val="pt-BR"/>
        </w:rPr>
        <w:t xml:space="preserve"> ao apresentar o conceito de sociedades em relação de grupo não relevar para efeitos deste a sede social das sociedades coligadas, a lei das sociedades comerciais, no n.º2 do artigo 463.º restringe a aplicação do regime especial das sociedades coligadas aos casos de sociedades que tenham a sua sede no estrangeiro, o que quer dizer que, ao abrigo da LSC, só as sociedades com sede em Angola podem estabelecer relações de grupo. Tal limitação é bastante descriminatória, </w:t>
      </w:r>
      <w:r>
        <w:rPr>
          <w:rFonts w:asciiTheme="majorHAnsi" w:hAnsiTheme="majorHAnsi" w:cs="Times New Roman"/>
          <w:sz w:val="24"/>
          <w:szCs w:val="24"/>
          <w:lang w:val="pt-BR"/>
        </w:rPr>
        <w:t xml:space="preserve">uma vez que cria uma </w:t>
      </w:r>
      <w:r w:rsidRPr="00E40A38">
        <w:rPr>
          <w:rFonts w:asciiTheme="majorHAnsi" w:hAnsiTheme="majorHAnsi" w:cs="Times New Roman"/>
          <w:sz w:val="24"/>
          <w:szCs w:val="24"/>
          <w:lang w:val="pt-BR"/>
        </w:rPr>
        <w:t>situação de desigualdade entre sociedades em relação de grupo com sede em Angola e as sociedades em relação de grupo com sede no estrangeiro.</w:t>
      </w:r>
    </w:p>
    <w:p w:rsidR="00E40A38" w:rsidRPr="00E40A38" w:rsidRDefault="00E40A38"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 situação discriminatória ganha outros contornos </w:t>
      </w:r>
      <w:r w:rsidRPr="00E40A38">
        <w:rPr>
          <w:rFonts w:asciiTheme="majorHAnsi" w:hAnsiTheme="majorHAnsi" w:cs="Times New Roman"/>
          <w:sz w:val="24"/>
          <w:szCs w:val="24"/>
          <w:lang w:val="pt-BR"/>
        </w:rPr>
        <w:t>quando se pretende fazer uso dos meios de defesa para a impugnação dos actos praticados pelas sociedades dominantes, na medida em que os credores das sociedades dominadas com sede em Angola podem atacar o património da sociedade mãe, nos termos dos artigos 473. º e 489. º ambos da LSC, enquanto que os credores das sociedades dominadas com sede no estrangeiro, podem apenas fazer recurso às normas gerais da LSC para defenderem os seus interesses.</w:t>
      </w:r>
    </w:p>
    <w:p w:rsid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Esta situação descriminatória agudiza-se quando </w:t>
      </w:r>
      <w:r>
        <w:rPr>
          <w:rFonts w:asciiTheme="majorHAnsi" w:hAnsiTheme="majorHAnsi" w:cs="Times New Roman"/>
          <w:sz w:val="24"/>
          <w:szCs w:val="24"/>
          <w:lang w:val="pt-BR"/>
        </w:rPr>
        <w:t xml:space="preserve">se </w:t>
      </w:r>
      <w:r w:rsidRPr="00E40A38">
        <w:rPr>
          <w:rFonts w:asciiTheme="majorHAnsi" w:hAnsiTheme="majorHAnsi" w:cs="Times New Roman"/>
          <w:sz w:val="24"/>
          <w:szCs w:val="24"/>
          <w:lang w:val="pt-BR"/>
        </w:rPr>
        <w:t xml:space="preserve">está em causa a implementação do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uma vez que os grupos de sociedades que actualmente detêm delegações geograficamente dispersas ou com presenças descentralizadas, tanto a nível nacional como internacional, encontram no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o mecanismo ideal para opt</w:t>
      </w:r>
      <w:r w:rsidR="00B1467B">
        <w:rPr>
          <w:rFonts w:asciiTheme="majorHAnsi" w:hAnsiTheme="majorHAnsi" w:cs="Times New Roman"/>
          <w:sz w:val="24"/>
          <w:szCs w:val="24"/>
          <w:lang w:val="pt-BR"/>
        </w:rPr>
        <w:t>imizar os seus recursos. Daí</w:t>
      </w:r>
      <w:r w:rsidRPr="00E40A38">
        <w:rPr>
          <w:rFonts w:asciiTheme="majorHAnsi" w:hAnsiTheme="majorHAnsi" w:cs="Times New Roman"/>
          <w:sz w:val="24"/>
          <w:szCs w:val="24"/>
          <w:lang w:val="pt-BR"/>
        </w:rPr>
        <w:t xml:space="preserve"> entende</w:t>
      </w:r>
      <w:r w:rsidR="00B1467B">
        <w:rPr>
          <w:rFonts w:asciiTheme="majorHAnsi" w:hAnsiTheme="majorHAnsi" w:cs="Times New Roman"/>
          <w:sz w:val="24"/>
          <w:szCs w:val="24"/>
          <w:lang w:val="pt-BR"/>
        </w:rPr>
        <w:t>r</w:t>
      </w:r>
      <w:r w:rsidRPr="00E40A38">
        <w:rPr>
          <w:rFonts w:asciiTheme="majorHAnsi" w:hAnsiTheme="majorHAnsi" w:cs="Times New Roman"/>
          <w:sz w:val="24"/>
          <w:szCs w:val="24"/>
          <w:lang w:val="pt-BR"/>
        </w:rPr>
        <w:t xml:space="preserve">mos ser </w:t>
      </w:r>
      <w:r w:rsidR="00B1467B" w:rsidRPr="00E40A38">
        <w:rPr>
          <w:rFonts w:asciiTheme="majorHAnsi" w:hAnsiTheme="majorHAnsi" w:cs="Times New Roman"/>
          <w:sz w:val="24"/>
          <w:szCs w:val="24"/>
          <w:lang w:val="pt-BR"/>
        </w:rPr>
        <w:t>necessária uma interpretação corretiva desta disposição, permitindo</w:t>
      </w:r>
      <w:r w:rsidRPr="00E40A38">
        <w:rPr>
          <w:rFonts w:asciiTheme="majorHAnsi" w:hAnsiTheme="majorHAnsi" w:cs="Times New Roman"/>
          <w:sz w:val="24"/>
          <w:szCs w:val="24"/>
          <w:lang w:val="pt-BR"/>
        </w:rPr>
        <w:t xml:space="preserve"> que as sociedades que se encontram numa relação de domínio ou de grupo com sede no estrangeiro possam legalmente realizar operações de tesouraria, a semelhança das sociedades em relação de domínio ou de grupo com sede em Angola.</w:t>
      </w:r>
    </w:p>
    <w:p w:rsidR="00E40A38" w:rsidRPr="00E40A38" w:rsidRDefault="00E40A38" w:rsidP="00E40A38">
      <w:pPr>
        <w:pStyle w:val="PargrafodaLista"/>
        <w:numPr>
          <w:ilvl w:val="0"/>
          <w:numId w:val="12"/>
        </w:numPr>
        <w:spacing w:before="0" w:after="200" w:line="360" w:lineRule="auto"/>
        <w:rPr>
          <w:rFonts w:asciiTheme="majorHAnsi" w:hAnsiTheme="majorHAnsi" w:cs="Times New Roman"/>
          <w:b/>
          <w:sz w:val="24"/>
          <w:szCs w:val="24"/>
          <w:lang w:val="pt-BR"/>
        </w:rPr>
      </w:pPr>
      <w:r w:rsidRPr="00E40A38">
        <w:rPr>
          <w:rFonts w:asciiTheme="majorHAnsi" w:hAnsiTheme="majorHAnsi" w:cs="Times New Roman"/>
          <w:b/>
          <w:sz w:val="24"/>
          <w:szCs w:val="24"/>
          <w:lang w:val="pt-BR"/>
        </w:rPr>
        <w:t>A disciplina da conservação do capital social e os empréstimos upstream.</w:t>
      </w:r>
    </w:p>
    <w:p w:rsidR="007C572D" w:rsidRDefault="007C572D"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As transferências dos activos das sociedades participantes para a conta da entidade centralizadora, principalmente na modalidade </w:t>
      </w:r>
      <w:r w:rsidRPr="007C572D">
        <w:rPr>
          <w:rFonts w:asciiTheme="majorHAnsi" w:hAnsiTheme="majorHAnsi" w:cs="Times New Roman"/>
          <w:i/>
          <w:sz w:val="24"/>
          <w:szCs w:val="24"/>
          <w:lang w:val="pt-BR"/>
        </w:rPr>
        <w:t>zero balancing</w:t>
      </w:r>
      <w:r w:rsidR="00D0116B">
        <w:rPr>
          <w:rFonts w:asciiTheme="majorHAnsi" w:hAnsiTheme="majorHAnsi" w:cs="Times New Roman"/>
          <w:i/>
          <w:sz w:val="24"/>
          <w:szCs w:val="24"/>
          <w:lang w:val="pt-BR"/>
        </w:rPr>
        <w:t xml:space="preserve"> </w:t>
      </w:r>
      <w:r>
        <w:rPr>
          <w:rFonts w:asciiTheme="majorHAnsi" w:hAnsiTheme="majorHAnsi" w:cs="Times New Roman"/>
          <w:sz w:val="24"/>
          <w:szCs w:val="24"/>
          <w:lang w:val="pt-BR"/>
        </w:rPr>
        <w:t>geram empréstimos a nível do grupo</w:t>
      </w:r>
      <w:r w:rsidR="007335CC">
        <w:rPr>
          <w:rFonts w:asciiTheme="majorHAnsi" w:hAnsiTheme="majorHAnsi" w:cs="Times New Roman"/>
          <w:sz w:val="24"/>
          <w:szCs w:val="24"/>
          <w:lang w:val="pt-BR"/>
        </w:rPr>
        <w:t xml:space="preserve"> e o que se tem questionado é se, efectivamente, estes empréstimos podem g</w:t>
      </w:r>
      <w:r w:rsidR="00D0116B">
        <w:rPr>
          <w:rFonts w:asciiTheme="majorHAnsi" w:hAnsiTheme="majorHAnsi" w:cs="Times New Roman"/>
          <w:sz w:val="24"/>
          <w:szCs w:val="24"/>
          <w:lang w:val="pt-BR"/>
        </w:rPr>
        <w:t xml:space="preserve">erar problemas com o regime </w:t>
      </w:r>
      <w:r w:rsidR="007335CC">
        <w:rPr>
          <w:rFonts w:asciiTheme="majorHAnsi" w:hAnsiTheme="majorHAnsi" w:cs="Times New Roman"/>
          <w:sz w:val="24"/>
          <w:szCs w:val="24"/>
          <w:lang w:val="pt-BR"/>
        </w:rPr>
        <w:t>da conservação do capital social das socieda</w:t>
      </w:r>
      <w:r w:rsidR="000C01A0">
        <w:rPr>
          <w:rFonts w:asciiTheme="majorHAnsi" w:hAnsiTheme="majorHAnsi" w:cs="Times New Roman"/>
          <w:sz w:val="24"/>
          <w:szCs w:val="24"/>
          <w:lang w:val="pt-BR"/>
        </w:rPr>
        <w:t>des participantes no sistema</w:t>
      </w:r>
      <w:r w:rsidR="007335CC">
        <w:rPr>
          <w:rFonts w:asciiTheme="majorHAnsi" w:hAnsiTheme="majorHAnsi" w:cs="Times New Roman"/>
          <w:sz w:val="24"/>
          <w:szCs w:val="24"/>
          <w:lang w:val="pt-BR"/>
        </w:rPr>
        <w:t>.</w:t>
      </w:r>
    </w:p>
    <w:p w:rsidR="007335CC" w:rsidRPr="007C572D" w:rsidRDefault="007335CC"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A discussão teve in</w:t>
      </w:r>
      <w:r w:rsidR="00D932A2">
        <w:rPr>
          <w:rFonts w:asciiTheme="majorHAnsi" w:hAnsiTheme="majorHAnsi" w:cs="Times New Roman"/>
          <w:sz w:val="24"/>
          <w:szCs w:val="24"/>
          <w:lang w:val="pt-BR"/>
        </w:rPr>
        <w:t xml:space="preserve">ício no direito alemão, onde os </w:t>
      </w:r>
      <w:r>
        <w:rPr>
          <w:rFonts w:asciiTheme="majorHAnsi" w:hAnsiTheme="majorHAnsi" w:cs="Times New Roman"/>
          <w:sz w:val="24"/>
          <w:szCs w:val="24"/>
          <w:lang w:val="pt-BR"/>
        </w:rPr>
        <w:t xml:space="preserve">estudos visavam </w:t>
      </w:r>
      <w:r w:rsidR="00902C3A">
        <w:rPr>
          <w:rFonts w:asciiTheme="majorHAnsi" w:hAnsiTheme="majorHAnsi" w:cs="Times New Roman"/>
          <w:sz w:val="24"/>
          <w:szCs w:val="24"/>
          <w:lang w:val="pt-BR"/>
        </w:rPr>
        <w:t xml:space="preserve">aferir se os empréstimos </w:t>
      </w:r>
      <w:r w:rsidR="00902C3A" w:rsidRPr="000C01A0">
        <w:rPr>
          <w:rFonts w:asciiTheme="majorHAnsi" w:hAnsiTheme="majorHAnsi" w:cs="Times New Roman"/>
          <w:i/>
          <w:sz w:val="24"/>
          <w:szCs w:val="24"/>
          <w:lang w:val="pt-BR"/>
        </w:rPr>
        <w:t>upstream</w:t>
      </w:r>
      <w:r w:rsidR="00902C3A">
        <w:rPr>
          <w:rFonts w:asciiTheme="majorHAnsi" w:hAnsiTheme="majorHAnsi" w:cs="Times New Roman"/>
          <w:sz w:val="24"/>
          <w:szCs w:val="24"/>
          <w:lang w:val="pt-BR"/>
        </w:rPr>
        <w:t xml:space="preserve"> não colidiam com a proibição de restituição antecipada do capital social aos sócios, quando aqueles afecta</w:t>
      </w:r>
      <w:r w:rsidR="00B1467B">
        <w:rPr>
          <w:rFonts w:asciiTheme="majorHAnsi" w:hAnsiTheme="majorHAnsi" w:cs="Times New Roman"/>
          <w:sz w:val="24"/>
          <w:szCs w:val="24"/>
          <w:lang w:val="pt-BR"/>
        </w:rPr>
        <w:t>sse</w:t>
      </w:r>
      <w:r w:rsidR="00902C3A">
        <w:rPr>
          <w:rFonts w:asciiTheme="majorHAnsi" w:hAnsiTheme="majorHAnsi" w:cs="Times New Roman"/>
          <w:sz w:val="24"/>
          <w:szCs w:val="24"/>
          <w:lang w:val="pt-BR"/>
        </w:rPr>
        <w:t>m todo o seu património líquido (reserva do capital social)</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A proibição normativa que está na base da problemática entre os sistemas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e a doutrina da conservação do capital social, teve a sua raiz no antigo artigo 30/1do GmbHG (reformulado pela MoMIG). Tal artigo dispunha de forma expressa que os activos da sociedade, adquiridas para preservar o capital social não podiam ser distribuídos entre os sócios e a violação desta norma, pressupunha a obrigação de devolução por parte do sócio que tivesse recebido o pagamento (1º parte do artigo 30º GmbHG e o artigo 57º do AktG) e em caso de incumprimento, os demais sócios viam-se obrigados a responder (art. 30º/3 GmbHG e 62º do AktG)</w:t>
      </w:r>
      <w:r w:rsidRPr="00E40A38">
        <w:rPr>
          <w:rStyle w:val="Refdenotaderodap"/>
          <w:rFonts w:asciiTheme="majorHAnsi" w:hAnsiTheme="majorHAnsi" w:cs="Times New Roman"/>
          <w:sz w:val="24"/>
          <w:szCs w:val="24"/>
          <w:lang w:val="pt-BR"/>
        </w:rPr>
        <w:footnoteReference w:id="60"/>
      </w:r>
      <w:r w:rsidRPr="00E40A38">
        <w:rPr>
          <w:rFonts w:asciiTheme="majorHAnsi" w:hAnsiTheme="majorHAnsi" w:cs="Times New Roman"/>
          <w:sz w:val="24"/>
          <w:szCs w:val="24"/>
          <w:lang w:val="pt-BR"/>
        </w:rPr>
        <w:t>.</w:t>
      </w:r>
    </w:p>
    <w:p w:rsidR="00E40A38" w:rsidRPr="00E40A38" w:rsidRDefault="00E40A38" w:rsidP="00E40A38">
      <w:pPr>
        <w:pStyle w:val="PargrafodaLista"/>
        <w:numPr>
          <w:ilvl w:val="0"/>
          <w:numId w:val="12"/>
        </w:numPr>
        <w:spacing w:before="0" w:after="200" w:line="360" w:lineRule="auto"/>
        <w:rPr>
          <w:rFonts w:asciiTheme="majorHAnsi" w:hAnsiTheme="majorHAnsi" w:cs="Times New Roman"/>
          <w:b/>
          <w:sz w:val="24"/>
          <w:szCs w:val="24"/>
          <w:lang w:val="pt-BR"/>
        </w:rPr>
      </w:pPr>
      <w:r w:rsidRPr="00E40A38">
        <w:rPr>
          <w:rFonts w:asciiTheme="majorHAnsi" w:hAnsiTheme="majorHAnsi" w:cs="Times New Roman"/>
          <w:b/>
          <w:sz w:val="24"/>
          <w:szCs w:val="24"/>
          <w:lang w:val="pt-BR"/>
        </w:rPr>
        <w:t>A disciplina da conservação do capital social e os empréstimos upstream – a experiência alemã.</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A nível do direito alemão inúmeros foram os debates doutrinais em torno da problemática do sistema de </w:t>
      </w:r>
      <w:r w:rsidRPr="00E40A38">
        <w:rPr>
          <w:rFonts w:asciiTheme="majorHAnsi" w:hAnsiTheme="majorHAnsi" w:cs="Times New Roman"/>
          <w:i/>
          <w:sz w:val="24"/>
          <w:szCs w:val="24"/>
          <w:lang w:val="pt-BR"/>
        </w:rPr>
        <w:t xml:space="preserve">cash pooling </w:t>
      </w:r>
      <w:r w:rsidRPr="00E40A38">
        <w:rPr>
          <w:rFonts w:asciiTheme="majorHAnsi" w:hAnsiTheme="majorHAnsi" w:cs="Times New Roman"/>
          <w:sz w:val="24"/>
          <w:szCs w:val="24"/>
          <w:lang w:val="pt-BR"/>
        </w:rPr>
        <w:t xml:space="preserve">e a doutrina da conservação do capital social, contudo, tais discussões deram origem a uma construção dogmática que determinava uma série de pressupostos (Standards) para a compatibilização entre os fluxos de liquidez, típicos do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e as regras do capital social. Esta construção foi-se impondo entre a doutrina e jurisprudência alemã, de forma geral, mas foi com a famosa sentença exarada pelo Tribunal Supremo alemão (BGH) de 2003 que foram introduzidos outros elementos para a sua compatibilização.</w:t>
      </w:r>
    </w:p>
    <w:p w:rsidR="00E40A38" w:rsidRPr="00E40A38" w:rsidRDefault="00D932A2" w:rsidP="00E40A38">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 sentença considerou que </w:t>
      </w:r>
      <w:r w:rsidR="00E40A38" w:rsidRPr="00E40A38">
        <w:rPr>
          <w:rFonts w:asciiTheme="majorHAnsi" w:hAnsiTheme="majorHAnsi" w:cs="Times New Roman"/>
          <w:sz w:val="24"/>
          <w:szCs w:val="24"/>
          <w:lang w:val="pt-BR"/>
        </w:rPr>
        <w:t>qualquer empréstimo outorgado por uma sociedade ao seu sócio (empréstimo upstream) cumpri</w:t>
      </w:r>
      <w:r>
        <w:rPr>
          <w:rFonts w:asciiTheme="majorHAnsi" w:hAnsiTheme="majorHAnsi" w:cs="Times New Roman"/>
          <w:sz w:val="24"/>
          <w:szCs w:val="24"/>
          <w:lang w:val="pt-BR"/>
        </w:rPr>
        <w:t>ri</w:t>
      </w:r>
      <w:r w:rsidR="00E40A38" w:rsidRPr="00E40A38">
        <w:rPr>
          <w:rFonts w:asciiTheme="majorHAnsi" w:hAnsiTheme="majorHAnsi" w:cs="Times New Roman"/>
          <w:sz w:val="24"/>
          <w:szCs w:val="24"/>
          <w:lang w:val="pt-BR"/>
        </w:rPr>
        <w:t>a com os requisitos do §30/1 da GmbHG, caso o direito à sua restituição fosse reconhecido na totalidade (</w:t>
      </w:r>
      <w:r w:rsidR="00E40A38" w:rsidRPr="00E40A38">
        <w:rPr>
          <w:rFonts w:asciiTheme="majorHAnsi" w:hAnsiTheme="majorHAnsi" w:cs="Times New Roman"/>
          <w:i/>
          <w:sz w:val="24"/>
          <w:szCs w:val="24"/>
          <w:lang w:val="pt-BR"/>
        </w:rPr>
        <w:t>vollwertig</w:t>
      </w:r>
      <w:r w:rsidR="00E40A38" w:rsidRPr="00E40A38">
        <w:rPr>
          <w:rFonts w:asciiTheme="majorHAnsi" w:hAnsiTheme="majorHAnsi" w:cs="Times New Roman"/>
          <w:sz w:val="24"/>
          <w:szCs w:val="24"/>
          <w:lang w:val="pt-BR"/>
        </w:rPr>
        <w:t>) e se o empréstimo em causa tivesse sido outorgado em condições de mercado (</w:t>
      </w:r>
      <w:r w:rsidR="00E40A38" w:rsidRPr="00E40A38">
        <w:rPr>
          <w:rFonts w:asciiTheme="majorHAnsi" w:hAnsiTheme="majorHAnsi" w:cs="Times New Roman"/>
          <w:i/>
          <w:sz w:val="24"/>
          <w:szCs w:val="24"/>
          <w:lang w:val="pt-BR"/>
        </w:rPr>
        <w:t>on na arm´s lenght basis</w:t>
      </w:r>
      <w:r w:rsidR="00E40A38" w:rsidRPr="00E40A38">
        <w:rPr>
          <w:rFonts w:asciiTheme="majorHAnsi" w:hAnsiTheme="majorHAnsi" w:cs="Times New Roman"/>
          <w:sz w:val="24"/>
          <w:szCs w:val="24"/>
          <w:lang w:val="pt-BR"/>
        </w:rPr>
        <w:t>)</w:t>
      </w:r>
      <w:r w:rsidR="00E40A38" w:rsidRPr="00E40A38">
        <w:rPr>
          <w:rStyle w:val="Refdenotaderodap"/>
          <w:rFonts w:asciiTheme="majorHAnsi" w:hAnsiTheme="majorHAnsi" w:cs="Times New Roman"/>
          <w:sz w:val="24"/>
          <w:szCs w:val="24"/>
          <w:lang w:val="pt-BR"/>
        </w:rPr>
        <w:footnoteReference w:id="61"/>
      </w:r>
      <w:r w:rsidR="00E40A38" w:rsidRPr="00E40A38">
        <w:rPr>
          <w:rFonts w:asciiTheme="majorHAnsi" w:hAnsiTheme="majorHAnsi" w:cs="Times New Roman"/>
          <w:sz w:val="24"/>
          <w:szCs w:val="24"/>
          <w:lang w:val="pt-BR"/>
        </w:rPr>
        <w:t>. Uma vez cumpridos tais requisitos, a operação considerar-se-ia realizada, ou seja, tal operação não incorreria em violação da doutrina de capital, - a sociedade obteria um crédito contra um sócio, equivalente ao empréstimo, sem que para isso ocorresse uma redução do património social.</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Desta forma, um empréstimo de um sócio, nos termos regulares e com plena garantia de devolução, não poderia nunca supor uma depreciação do activo, mas apenas uma troca nos elementos que a compõem, o que resultaria irrelevante, na perspectiva do §30º do GmbHG. Esta construção dogmática prevaleceu entre a doutrina e jurisprudência alemã por um bocado de anos.</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No entanto, tais pressupostos legitimadores dos sistemas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foram col</w:t>
      </w:r>
      <w:r w:rsidR="00D932A2">
        <w:rPr>
          <w:rFonts w:asciiTheme="majorHAnsi" w:hAnsiTheme="majorHAnsi" w:cs="Times New Roman"/>
          <w:sz w:val="24"/>
          <w:szCs w:val="24"/>
          <w:lang w:val="pt-BR"/>
        </w:rPr>
        <w:t xml:space="preserve">ocados em cheque, com </w:t>
      </w:r>
      <w:r w:rsidRPr="00E40A38">
        <w:rPr>
          <w:rFonts w:asciiTheme="majorHAnsi" w:hAnsiTheme="majorHAnsi" w:cs="Times New Roman"/>
          <w:sz w:val="24"/>
          <w:szCs w:val="24"/>
          <w:lang w:val="pt-BR"/>
        </w:rPr>
        <w:t xml:space="preserve">a sentença de 24 de Novembro de 2003 do BGH (a denominada BGHZ 157, 72). Nesta sentença o tribunal apresentou um novo requisito aos anteriormente citados; que a situação financeira do sócio (a sociedade-mãe) fosse “imaculada”, ou </w:t>
      </w:r>
      <w:r w:rsidR="00D932A2">
        <w:rPr>
          <w:rFonts w:asciiTheme="majorHAnsi" w:hAnsiTheme="majorHAnsi" w:cs="Times New Roman"/>
          <w:sz w:val="24"/>
          <w:szCs w:val="24"/>
          <w:lang w:val="pt-BR"/>
        </w:rPr>
        <w:t>seja, que</w:t>
      </w:r>
      <w:r w:rsidRPr="00E40A38">
        <w:rPr>
          <w:rFonts w:asciiTheme="majorHAnsi" w:hAnsiTheme="majorHAnsi" w:cs="Times New Roman"/>
          <w:sz w:val="24"/>
          <w:szCs w:val="24"/>
          <w:lang w:val="pt-BR"/>
        </w:rPr>
        <w:t xml:space="preserve"> o empréstimo fosse adequadamente garantido, caso contrário, tais operações considerar-se-iam como transferência patrimonial ilícita, por violação do §30º/1 do GmbHG.</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Tal decisão endurecia as condições em que os sistemas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poderiam funcionar e com receio de extinção, as sociedades que adoptaram este tipo de contrato, viam-se obrigados a modificá-los, limitando os empréstimos </w:t>
      </w:r>
      <w:r w:rsidRPr="00E40A38">
        <w:rPr>
          <w:rFonts w:asciiTheme="majorHAnsi" w:hAnsiTheme="majorHAnsi" w:cs="Times New Roman"/>
          <w:i/>
          <w:sz w:val="24"/>
          <w:szCs w:val="24"/>
          <w:lang w:val="pt-BR"/>
        </w:rPr>
        <w:t>upstream</w:t>
      </w:r>
      <w:r w:rsidRPr="00E40A38">
        <w:rPr>
          <w:rFonts w:asciiTheme="majorHAnsi" w:hAnsiTheme="majorHAnsi" w:cs="Times New Roman"/>
          <w:sz w:val="24"/>
          <w:szCs w:val="24"/>
          <w:lang w:val="pt-BR"/>
        </w:rPr>
        <w:t xml:space="preserve"> a quantidades que resultassem, unicamente, as reservas livremente distribuíveis. Como era de esperar, tal sentença foi alvo de duras</w:t>
      </w:r>
      <w:r w:rsidR="00D932A2">
        <w:rPr>
          <w:rFonts w:asciiTheme="majorHAnsi" w:hAnsiTheme="majorHAnsi" w:cs="Times New Roman"/>
          <w:sz w:val="24"/>
          <w:szCs w:val="24"/>
          <w:lang w:val="pt-BR"/>
        </w:rPr>
        <w:t xml:space="preserve"> críticas, </w:t>
      </w:r>
      <w:r w:rsidRPr="00E40A38">
        <w:rPr>
          <w:rFonts w:asciiTheme="majorHAnsi" w:hAnsiTheme="majorHAnsi" w:cs="Times New Roman"/>
          <w:sz w:val="24"/>
          <w:szCs w:val="24"/>
          <w:lang w:val="pt-BR"/>
        </w:rPr>
        <w:t>criticas que deram origem a uma relevante reforma ao ordenamento jurídico alemão, que teve início com a MoMIG – reforma esta que se destinou em parte, para retificar a jurisprudência do BGH sobre esta matéria, alterando o §30º do GmbHG e o §57º do AktG.</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Tal reforma veio derrogar de forma expressa a proibição de restituição antecipada das contribuições, para o caso específico dos empréstimos concedidos à sociedade-mãe no âmbito do </w:t>
      </w:r>
      <w:r w:rsidRPr="00D932A2">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no seio do grupo. Para o efeito, a MoMIG adicionou uma nova alínea ao §30.º, advertindo que a proibição do parágrafo primeiro não se aplicaria as transferências de liquidez que eram produzidas em virtude de um contrato de domínio ou de transferências de benefícios ( §291 AktG) se estiverem cobertas por uma contraprestação ou um direito de restituição completa (</w:t>
      </w:r>
      <w:r w:rsidRPr="00E40A38">
        <w:rPr>
          <w:rFonts w:asciiTheme="majorHAnsi" w:hAnsiTheme="majorHAnsi" w:cs="Times New Roman"/>
          <w:i/>
          <w:sz w:val="24"/>
          <w:szCs w:val="24"/>
          <w:lang w:val="pt-BR"/>
        </w:rPr>
        <w:t>Vollwertig</w:t>
      </w:r>
      <w:r w:rsidRPr="00E40A38">
        <w:rPr>
          <w:rFonts w:asciiTheme="majorHAnsi" w:hAnsiTheme="majorHAnsi" w:cs="Times New Roman"/>
          <w:sz w:val="24"/>
          <w:szCs w:val="24"/>
          <w:lang w:val="pt-BR"/>
        </w:rPr>
        <w:t>) por parte do sócio. Dito de forma diversa eram permitidas as transferências dos activos da sociedade aos seus sócios, caso fosse reconhecido um direito de crédito em favor da sociedade pela totalidade daquela transferência.</w:t>
      </w:r>
    </w:p>
    <w:p w:rsidR="00E40A38" w:rsidRPr="00E40A38" w:rsidRDefault="00E40A38" w:rsidP="00E40A38">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Com isso a MoMIG reiterou  interpretação que predominava a nível da doutrina e a jurisprudência sobre o §30º/1 da GmbHG relativo aos empréstimos </w:t>
      </w:r>
      <w:r w:rsidRPr="00E40A38">
        <w:rPr>
          <w:rFonts w:asciiTheme="majorHAnsi" w:hAnsiTheme="majorHAnsi" w:cs="Times New Roman"/>
          <w:i/>
          <w:sz w:val="24"/>
          <w:szCs w:val="24"/>
          <w:lang w:val="pt-BR"/>
        </w:rPr>
        <w:t>upstream</w:t>
      </w:r>
      <w:r w:rsidRPr="00E40A38">
        <w:rPr>
          <w:rFonts w:asciiTheme="majorHAnsi" w:hAnsiTheme="majorHAnsi" w:cs="Times New Roman"/>
          <w:sz w:val="24"/>
          <w:szCs w:val="24"/>
          <w:lang w:val="pt-BR"/>
        </w:rPr>
        <w:t xml:space="preserve">, antes da decisão do BGH de Novembro de 2003, banindo assim as incertezas que a doutrina daquele tribunal tinha trazido e que a doutrina maioritária considerava superadas. Actualmente, a nível do direito alemão, os empréstimos </w:t>
      </w:r>
      <w:r w:rsidRPr="00E40A38">
        <w:rPr>
          <w:rFonts w:asciiTheme="majorHAnsi" w:hAnsiTheme="majorHAnsi" w:cs="Times New Roman"/>
          <w:i/>
          <w:sz w:val="24"/>
          <w:szCs w:val="24"/>
          <w:lang w:val="pt-BR"/>
        </w:rPr>
        <w:t>upstream</w:t>
      </w:r>
      <w:r w:rsidRPr="00E40A38">
        <w:rPr>
          <w:rFonts w:asciiTheme="majorHAnsi" w:hAnsiTheme="majorHAnsi" w:cs="Times New Roman"/>
          <w:sz w:val="24"/>
          <w:szCs w:val="24"/>
          <w:lang w:val="pt-BR"/>
        </w:rPr>
        <w:t xml:space="preserve"> não violam a doutrina da conservação do capital social, caso a possibilidade de devolução na totalidade do empréstimo possa ser considerada aparentemente realizada e para tal, é necessário que se admita uma valorização  </w:t>
      </w:r>
      <w:r w:rsidRPr="00E40A38">
        <w:rPr>
          <w:rFonts w:asciiTheme="majorHAnsi" w:hAnsiTheme="majorHAnsi" w:cs="Times New Roman"/>
          <w:i/>
          <w:sz w:val="24"/>
          <w:szCs w:val="24"/>
          <w:lang w:val="pt-BR"/>
        </w:rPr>
        <w:t xml:space="preserve">ex ante </w:t>
      </w:r>
      <w:r w:rsidRPr="00E40A38">
        <w:rPr>
          <w:rFonts w:asciiTheme="majorHAnsi" w:hAnsiTheme="majorHAnsi" w:cs="Times New Roman"/>
          <w:sz w:val="24"/>
          <w:szCs w:val="24"/>
          <w:lang w:val="pt-BR"/>
        </w:rPr>
        <w:t xml:space="preserve">por parte dos administradores, quer com issso dizer que a violação da regras da conservação do capital social só serão analisadas no momento em que se outorgam os empréstimos </w:t>
      </w:r>
      <w:r w:rsidRPr="00D0116B">
        <w:rPr>
          <w:rFonts w:asciiTheme="majorHAnsi" w:hAnsiTheme="majorHAnsi" w:cs="Times New Roman"/>
          <w:i/>
          <w:sz w:val="24"/>
          <w:szCs w:val="24"/>
          <w:lang w:val="pt-BR"/>
        </w:rPr>
        <w:t>upstream</w:t>
      </w:r>
      <w:r w:rsidRPr="00E40A38">
        <w:rPr>
          <w:rFonts w:asciiTheme="majorHAnsi" w:hAnsiTheme="majorHAnsi" w:cs="Times New Roman"/>
          <w:sz w:val="24"/>
          <w:szCs w:val="24"/>
          <w:lang w:val="pt-BR"/>
        </w:rPr>
        <w:t>.</w:t>
      </w:r>
      <w:r w:rsidRPr="00E40A38">
        <w:rPr>
          <w:rStyle w:val="Refdenotaderodap"/>
          <w:rFonts w:asciiTheme="majorHAnsi" w:hAnsiTheme="majorHAnsi" w:cs="Times New Roman"/>
          <w:sz w:val="24"/>
          <w:szCs w:val="24"/>
          <w:lang w:val="pt-BR"/>
        </w:rPr>
        <w:footnoteReference w:id="62"/>
      </w:r>
    </w:p>
    <w:p w:rsidR="00E40A38" w:rsidRPr="00E40A38" w:rsidRDefault="00E40A38" w:rsidP="00E40A38">
      <w:pPr>
        <w:spacing w:line="360" w:lineRule="auto"/>
        <w:rPr>
          <w:rFonts w:asciiTheme="majorHAnsi" w:hAnsiTheme="majorHAnsi" w:cs="Times New Roman"/>
          <w:sz w:val="24"/>
          <w:szCs w:val="24"/>
          <w:lang w:val="pt-BR"/>
        </w:rPr>
      </w:pPr>
    </w:p>
    <w:p w:rsidR="00E40A38" w:rsidRPr="00720F02" w:rsidRDefault="00E40A38" w:rsidP="00720F02">
      <w:pPr>
        <w:pStyle w:val="PargrafodaLista"/>
        <w:numPr>
          <w:ilvl w:val="0"/>
          <w:numId w:val="12"/>
        </w:numPr>
        <w:spacing w:before="0" w:after="200" w:line="360" w:lineRule="auto"/>
        <w:rPr>
          <w:rFonts w:asciiTheme="majorHAnsi" w:hAnsiTheme="majorHAnsi" w:cs="Times New Roman"/>
          <w:b/>
          <w:sz w:val="24"/>
          <w:szCs w:val="24"/>
          <w:lang w:val="pt-BR"/>
        </w:rPr>
      </w:pPr>
      <w:r w:rsidRPr="00720F02">
        <w:rPr>
          <w:rFonts w:asciiTheme="majorHAnsi" w:hAnsiTheme="majorHAnsi" w:cs="Times New Roman"/>
          <w:b/>
          <w:sz w:val="24"/>
          <w:szCs w:val="24"/>
          <w:lang w:val="pt-BR"/>
        </w:rPr>
        <w:t xml:space="preserve">A disciplina da conservação do capital social e os empréstimos </w:t>
      </w:r>
      <w:r w:rsidRPr="00720F02">
        <w:rPr>
          <w:rFonts w:asciiTheme="majorHAnsi" w:hAnsiTheme="majorHAnsi" w:cs="Times New Roman"/>
          <w:b/>
          <w:i/>
          <w:sz w:val="24"/>
          <w:szCs w:val="24"/>
          <w:lang w:val="pt-BR"/>
        </w:rPr>
        <w:t>upstream</w:t>
      </w:r>
      <w:r w:rsidRPr="00720F02">
        <w:rPr>
          <w:rFonts w:asciiTheme="majorHAnsi" w:hAnsiTheme="majorHAnsi" w:cs="Times New Roman"/>
          <w:b/>
          <w:sz w:val="24"/>
          <w:szCs w:val="24"/>
          <w:lang w:val="pt-BR"/>
        </w:rPr>
        <w:t xml:space="preserve"> – no ordenamento jurídico angolano.</w:t>
      </w:r>
    </w:p>
    <w:p w:rsidR="00E40A38" w:rsidRPr="00E40A38" w:rsidRDefault="00E40A38" w:rsidP="00AF42F7">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 xml:space="preserve">A nível do ordenamento jurídico angolano, relativamente a construção dogmática elaborada pela doutrina alemã sobre a compatibilidade do sistema de </w:t>
      </w:r>
      <w:r w:rsidRPr="00E40A38">
        <w:rPr>
          <w:rFonts w:asciiTheme="majorHAnsi" w:hAnsiTheme="majorHAnsi" w:cs="Times New Roman"/>
          <w:i/>
          <w:sz w:val="24"/>
          <w:szCs w:val="24"/>
          <w:lang w:val="pt-BR"/>
        </w:rPr>
        <w:t>cash pooling</w:t>
      </w:r>
      <w:r w:rsidRPr="00E40A38">
        <w:rPr>
          <w:rFonts w:asciiTheme="majorHAnsi" w:hAnsiTheme="majorHAnsi" w:cs="Times New Roman"/>
          <w:sz w:val="24"/>
          <w:szCs w:val="24"/>
          <w:lang w:val="pt-BR"/>
        </w:rPr>
        <w:t xml:space="preserve"> com a doutrina da conservação do capital social, resulta para o nosso ordenamento jussocietário de uma norma prevista no artigo 344.º da LSC. Esta estabelece que “ é proibido a uma sociedade conceder empréstimos, pôr à disposição fundos ou prestar garantias, para que terceiros subscrevam ou, por qualquer outro meio, adquiram acções próprias”</w:t>
      </w:r>
    </w:p>
    <w:p w:rsidR="00E40A38" w:rsidRPr="00E40A38" w:rsidRDefault="00E40A38" w:rsidP="000C01A0">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Trata-se da proibição de assistência financeira e sobre o artigo, Ana Perestrelo de Oliveira entende que o que está na base de tal proibição são razões específicas e não generalizáveis, sendo certo que, tal proibição surge na sequência do artigo 339.º/1 da LSC que veda a possibilidade da sociedade subscrever acções próprias e de as adquirir fora dos casos previstos na lei, impedindo o n.º2 que a sociedade encarregue outrem de subscrever ou adquirir as sua próprias acções. Na ratio de tal proibição, está a necessidade de “assegurar materialmente os valores subjacentes à proibição de aquisição de acções próprias”, ou seja, a semelhança do que ocorre no ordenamento jurídico português, o ordenamento jussocietário angolano não possui uma regra geral aplicável à concessão de empréstimos aos accionistas, o que possui é uma regra que veda a possibilidade dos administradores das sociedades recorrerem à concesão de créditos  – o artigo 418.º da LSC.</w:t>
      </w:r>
    </w:p>
    <w:p w:rsidR="00E40A38" w:rsidRPr="00E40A38" w:rsidRDefault="00E40A38" w:rsidP="00AF42F7">
      <w:pPr>
        <w:spacing w:line="360" w:lineRule="auto"/>
        <w:rPr>
          <w:rFonts w:asciiTheme="majorHAnsi" w:hAnsiTheme="majorHAnsi" w:cs="Times New Roman"/>
          <w:sz w:val="24"/>
          <w:szCs w:val="24"/>
          <w:lang w:val="pt-BR"/>
        </w:rPr>
      </w:pPr>
      <w:r w:rsidRPr="00E40A38">
        <w:rPr>
          <w:rFonts w:asciiTheme="majorHAnsi" w:hAnsiTheme="majorHAnsi" w:cs="Times New Roman"/>
          <w:sz w:val="24"/>
          <w:szCs w:val="24"/>
          <w:lang w:val="pt-BR"/>
        </w:rPr>
        <w:t>Tal artigo assemelha-se ao artigo 43ª GmbH do direito alemão que também proibe a concessão de créditos aos administradores, por isso, questiona-se, com base na discussão levantada a nível do direito alemão, se é possivel aplicar-se por analogia o artigo 418.º da LSC aos sócios, ou seja, se é possível vedar a concessão de créditos aos sócios, recorrendo analogamente o artigo 418.º da LSC? Como afirma Ana Perestrelo de Oliveira</w:t>
      </w:r>
      <w:r w:rsidRPr="00E40A38">
        <w:rPr>
          <w:rStyle w:val="Refdenotaderodap"/>
          <w:rFonts w:asciiTheme="majorHAnsi" w:hAnsiTheme="majorHAnsi" w:cs="Times New Roman"/>
          <w:sz w:val="24"/>
          <w:szCs w:val="24"/>
          <w:lang w:val="pt-BR"/>
        </w:rPr>
        <w:footnoteReference w:id="63"/>
      </w:r>
      <w:r w:rsidRPr="00E40A38">
        <w:rPr>
          <w:rFonts w:asciiTheme="majorHAnsi" w:hAnsiTheme="majorHAnsi" w:cs="Times New Roman"/>
          <w:sz w:val="24"/>
          <w:szCs w:val="24"/>
          <w:lang w:val="pt-BR"/>
        </w:rPr>
        <w:t xml:space="preserve"> “(…) A norma não é, porém, equivalente, pois apenas proibe o empréstimo que leve à utilização de bens necessários à </w:t>
      </w:r>
      <w:r w:rsidR="00010A83">
        <w:rPr>
          <w:rFonts w:asciiTheme="majorHAnsi" w:hAnsiTheme="majorHAnsi" w:cs="Times New Roman"/>
          <w:sz w:val="24"/>
          <w:szCs w:val="24"/>
          <w:lang w:val="pt-BR"/>
        </w:rPr>
        <w:t>con</w:t>
      </w:r>
      <w:r w:rsidR="00D0116B">
        <w:rPr>
          <w:rFonts w:asciiTheme="majorHAnsi" w:hAnsiTheme="majorHAnsi" w:cs="Times New Roman"/>
          <w:sz w:val="24"/>
          <w:szCs w:val="24"/>
          <w:lang w:val="pt-BR"/>
        </w:rPr>
        <w:t xml:space="preserve">servação do capital social”, o </w:t>
      </w:r>
      <w:r w:rsidR="00010A83">
        <w:rPr>
          <w:rFonts w:asciiTheme="majorHAnsi" w:hAnsiTheme="majorHAnsi" w:cs="Times New Roman"/>
          <w:sz w:val="24"/>
          <w:szCs w:val="24"/>
          <w:lang w:val="pt-BR"/>
        </w:rPr>
        <w:t>que quer dizer que</w:t>
      </w:r>
      <w:r w:rsidRPr="00E40A38">
        <w:rPr>
          <w:rFonts w:asciiTheme="majorHAnsi" w:hAnsiTheme="majorHAnsi" w:cs="Times New Roman"/>
          <w:sz w:val="24"/>
          <w:szCs w:val="24"/>
          <w:lang w:val="pt-BR"/>
        </w:rPr>
        <w:t>, o que está subjacente no artigo 418.º “é a concretização do dever de lealdade dos administradores, que funciona como guarda avançada do património social” e não a “tutela do capital social”.</w:t>
      </w:r>
    </w:p>
    <w:p w:rsidR="00E40A38" w:rsidRPr="00E40A38" w:rsidRDefault="00E40A38" w:rsidP="00AF42F7">
      <w:pPr>
        <w:spacing w:after="0" w:line="360" w:lineRule="auto"/>
        <w:rPr>
          <w:rFonts w:asciiTheme="majorHAnsi" w:eastAsia="Batang" w:hAnsiTheme="majorHAnsi" w:cs="Times New Roman"/>
          <w:sz w:val="24"/>
          <w:szCs w:val="24"/>
          <w:lang w:val="pt-BR" w:eastAsia="pt-PT"/>
        </w:rPr>
      </w:pPr>
      <w:r w:rsidRPr="00E40A38">
        <w:rPr>
          <w:rFonts w:asciiTheme="majorHAnsi" w:hAnsiTheme="majorHAnsi" w:cs="Times New Roman"/>
          <w:sz w:val="24"/>
          <w:szCs w:val="24"/>
          <w:lang w:val="pt-BR"/>
        </w:rPr>
        <w:t xml:space="preserve">Quais então os limites que a lei societária coloca relativamente aos </w:t>
      </w:r>
      <w:r w:rsidRPr="00E40A38">
        <w:rPr>
          <w:rFonts w:asciiTheme="majorHAnsi" w:hAnsiTheme="majorHAnsi" w:cs="Times New Roman"/>
          <w:i/>
          <w:sz w:val="24"/>
          <w:szCs w:val="24"/>
          <w:lang w:val="pt-BR"/>
        </w:rPr>
        <w:t>empréstimos upstream</w:t>
      </w:r>
      <w:r w:rsidR="00010A83">
        <w:rPr>
          <w:rFonts w:asciiTheme="majorHAnsi" w:hAnsiTheme="majorHAnsi" w:cs="Times New Roman"/>
          <w:sz w:val="24"/>
          <w:szCs w:val="24"/>
          <w:lang w:val="pt-BR"/>
        </w:rPr>
        <w:t>? O</w:t>
      </w:r>
      <w:r w:rsidRPr="00E40A38">
        <w:rPr>
          <w:rFonts w:asciiTheme="majorHAnsi" w:hAnsiTheme="majorHAnsi" w:cs="Times New Roman"/>
          <w:sz w:val="24"/>
          <w:szCs w:val="24"/>
          <w:lang w:val="pt-BR"/>
        </w:rPr>
        <w:t xml:space="preserve">s empréstimos </w:t>
      </w:r>
      <w:r w:rsidRPr="00E40A38">
        <w:rPr>
          <w:rFonts w:asciiTheme="majorHAnsi" w:hAnsiTheme="majorHAnsi" w:cs="Times New Roman"/>
          <w:i/>
          <w:sz w:val="24"/>
          <w:szCs w:val="24"/>
          <w:lang w:val="pt-BR"/>
        </w:rPr>
        <w:t>upstream</w:t>
      </w:r>
      <w:r w:rsidRPr="00E40A38">
        <w:rPr>
          <w:rFonts w:asciiTheme="majorHAnsi" w:hAnsiTheme="majorHAnsi" w:cs="Times New Roman"/>
          <w:sz w:val="24"/>
          <w:szCs w:val="24"/>
          <w:lang w:val="pt-BR"/>
        </w:rPr>
        <w:t xml:space="preserve"> estão relacionados com o princípio da conservação do capital social e as limitações características do direito do grupos de sociedades. Relativamente a</w:t>
      </w:r>
      <w:r w:rsidRPr="00E40A38">
        <w:rPr>
          <w:rFonts w:asciiTheme="majorHAnsi" w:eastAsia="Batang" w:hAnsiTheme="majorHAnsi" w:cs="Times New Roman"/>
          <w:sz w:val="24"/>
          <w:szCs w:val="24"/>
          <w:lang w:val="pt-BR" w:eastAsia="pt-PT"/>
        </w:rPr>
        <w:t xml:space="preserve">o regime da conservação do capital social está consagrado na LSC, por meio do art.º 32.º e ss. Na </w:t>
      </w:r>
      <w:r w:rsidRPr="00E40A38">
        <w:rPr>
          <w:rFonts w:asciiTheme="majorHAnsi" w:eastAsia="Batang" w:hAnsiTheme="majorHAnsi" w:cs="Times New Roman"/>
          <w:i/>
          <w:sz w:val="24"/>
          <w:szCs w:val="24"/>
          <w:lang w:val="pt-BR" w:eastAsia="pt-PT"/>
        </w:rPr>
        <w:t>ratio</w:t>
      </w:r>
      <w:r w:rsidRPr="00E40A38">
        <w:rPr>
          <w:rFonts w:asciiTheme="majorHAnsi" w:eastAsia="Batang" w:hAnsiTheme="majorHAnsi" w:cs="Times New Roman"/>
          <w:sz w:val="24"/>
          <w:szCs w:val="24"/>
          <w:lang w:val="pt-BR" w:eastAsia="pt-PT"/>
        </w:rPr>
        <w:t xml:space="preserve"> de tal consagração está a necessidade de concretização da função de garantia dos </w:t>
      </w:r>
      <w:r w:rsidR="00010A83">
        <w:rPr>
          <w:rFonts w:asciiTheme="majorHAnsi" w:eastAsia="Batang" w:hAnsiTheme="majorHAnsi" w:cs="Times New Roman"/>
          <w:sz w:val="24"/>
          <w:szCs w:val="24"/>
          <w:lang w:val="pt-BR" w:eastAsia="pt-PT"/>
        </w:rPr>
        <w:t>credores, garantias estas que te</w:t>
      </w:r>
      <w:r w:rsidRPr="00E40A38">
        <w:rPr>
          <w:rFonts w:asciiTheme="majorHAnsi" w:eastAsia="Batang" w:hAnsiTheme="majorHAnsi" w:cs="Times New Roman"/>
          <w:sz w:val="24"/>
          <w:szCs w:val="24"/>
          <w:lang w:val="pt-BR" w:eastAsia="pt-PT"/>
        </w:rPr>
        <w:t>m como pedra de toque o princípio da intangibilidade do capital social.</w:t>
      </w:r>
    </w:p>
    <w:p w:rsidR="00E40A38" w:rsidRPr="00E40A38" w:rsidRDefault="00E40A38" w:rsidP="00AF42F7">
      <w:pPr>
        <w:spacing w:after="0" w:line="360" w:lineRule="auto"/>
        <w:rPr>
          <w:rFonts w:asciiTheme="majorHAnsi" w:eastAsia="Batang" w:hAnsiTheme="majorHAnsi" w:cs="Times New Roman"/>
          <w:sz w:val="24"/>
          <w:szCs w:val="24"/>
          <w:lang w:val="pt-BR" w:eastAsia="pt-PT"/>
        </w:rPr>
      </w:pPr>
      <w:r w:rsidRPr="00E40A38">
        <w:rPr>
          <w:rFonts w:asciiTheme="majorHAnsi" w:eastAsia="Batang" w:hAnsiTheme="majorHAnsi" w:cs="Times New Roman"/>
          <w:sz w:val="24"/>
          <w:szCs w:val="24"/>
          <w:lang w:val="pt-BR" w:eastAsia="pt-PT"/>
        </w:rPr>
        <w:t>Esse princípio vem consagrado no art.º 33.º da LSC que determina que “sem prejuízo do preceituado quanto à redução do capital, não podem ser distribuídos aos sócios bens da sociedade quando a situação líquida desta, tal</w:t>
      </w:r>
      <w:r w:rsidR="00D0116B">
        <w:rPr>
          <w:rFonts w:asciiTheme="majorHAnsi" w:eastAsia="Batang" w:hAnsiTheme="majorHAnsi" w:cs="Times New Roman"/>
          <w:sz w:val="24"/>
          <w:szCs w:val="24"/>
          <w:lang w:val="pt-BR" w:eastAsia="pt-PT"/>
        </w:rPr>
        <w:t xml:space="preserve"> </w:t>
      </w:r>
      <w:r w:rsidRPr="00E40A38">
        <w:rPr>
          <w:rFonts w:asciiTheme="majorHAnsi" w:eastAsia="Batang" w:hAnsiTheme="majorHAnsi" w:cs="Times New Roman"/>
          <w:sz w:val="24"/>
          <w:szCs w:val="24"/>
          <w:lang w:val="pt-BR" w:eastAsia="pt-PT"/>
        </w:rPr>
        <w:t>como resulta das contas elaboradas e aprovadas nos termos legais for inferior à soma do capital e das reservas que a lei ou o contrato não permitem distribuir aos sócios ou se tornasse inferior a esta soma em consequência da distribuição.”</w:t>
      </w:r>
    </w:p>
    <w:p w:rsidR="00E40A38" w:rsidRPr="00E40A38" w:rsidRDefault="00E40A38" w:rsidP="00E40A38">
      <w:pPr>
        <w:spacing w:after="0" w:line="360" w:lineRule="auto"/>
        <w:rPr>
          <w:rFonts w:asciiTheme="majorHAnsi" w:eastAsia="Batang" w:hAnsiTheme="majorHAnsi" w:cs="Times New Roman"/>
          <w:sz w:val="24"/>
          <w:szCs w:val="24"/>
          <w:lang w:val="pt-BR" w:eastAsia="pt-PT"/>
        </w:rPr>
      </w:pPr>
      <w:r w:rsidRPr="00E40A38">
        <w:rPr>
          <w:rFonts w:asciiTheme="majorHAnsi" w:eastAsia="Batang" w:hAnsiTheme="majorHAnsi" w:cs="Times New Roman"/>
          <w:sz w:val="24"/>
          <w:szCs w:val="24"/>
          <w:lang w:val="pt-BR" w:eastAsia="pt-PT"/>
        </w:rPr>
        <w:t xml:space="preserve">Da norma supracitada, afere-se que o regime visa limitar a distribuição dos bens aos sócios, tendo em vista a promoção e salvaguarda do capital social e, consequentemente, a protecção dos interesses dos credores sociais. O que está em causa é a protecção do património da sociedade que se distingue do património dos sócios por isso, a sua conservação, além de garantir a confiança da estabilidade económica da sociedade junto de terceiros, acautela o perigo de insolvência que a distribuição de bens aos sócios, sem qualquer limitação, poderia causar. </w:t>
      </w:r>
    </w:p>
    <w:p w:rsidR="00E40A38" w:rsidRPr="00E40A38" w:rsidRDefault="00E40A38" w:rsidP="00E40A38">
      <w:pPr>
        <w:spacing w:after="0" w:line="360" w:lineRule="auto"/>
        <w:rPr>
          <w:rFonts w:asciiTheme="majorHAnsi" w:eastAsia="Batang" w:hAnsiTheme="majorHAnsi" w:cs="Times New Roman"/>
          <w:sz w:val="24"/>
          <w:szCs w:val="24"/>
          <w:lang w:val="pt-BR" w:eastAsia="pt-PT"/>
        </w:rPr>
      </w:pPr>
      <w:r w:rsidRPr="00E40A38">
        <w:rPr>
          <w:rFonts w:asciiTheme="majorHAnsi" w:eastAsia="Batang" w:hAnsiTheme="majorHAnsi" w:cs="Times New Roman"/>
          <w:sz w:val="24"/>
          <w:szCs w:val="24"/>
          <w:lang w:val="pt-BR" w:eastAsia="pt-PT"/>
        </w:rPr>
        <w:t>Ora, a distribuição de bens, de acordo com o art. 33.º, obedece a um critério contabilístico</w:t>
      </w:r>
      <w:r w:rsidRPr="00E40A38">
        <w:rPr>
          <w:rStyle w:val="Refdenotaderodap"/>
          <w:rFonts w:asciiTheme="majorHAnsi" w:eastAsia="Batang" w:hAnsiTheme="majorHAnsi" w:cs="Times New Roman"/>
          <w:sz w:val="24"/>
          <w:szCs w:val="24"/>
          <w:lang w:val="pt-BR" w:eastAsia="pt-PT"/>
        </w:rPr>
        <w:footnoteReference w:id="64"/>
      </w:r>
      <w:r w:rsidRPr="00E40A38">
        <w:rPr>
          <w:rFonts w:asciiTheme="majorHAnsi" w:eastAsia="Batang" w:hAnsiTheme="majorHAnsi" w:cs="Times New Roman"/>
          <w:sz w:val="24"/>
          <w:szCs w:val="24"/>
          <w:lang w:val="pt-BR" w:eastAsia="pt-PT"/>
        </w:rPr>
        <w:t>, na medida em que, ao abrigo da disposição, só podem ser distribuídos aos sócios valores que tecnicamente devem ser tidos como lucros</w:t>
      </w:r>
      <w:r w:rsidRPr="00E40A38">
        <w:rPr>
          <w:rStyle w:val="Refdenotaderodap"/>
          <w:rFonts w:asciiTheme="majorHAnsi" w:eastAsia="Batang" w:hAnsiTheme="majorHAnsi" w:cs="Times New Roman"/>
          <w:sz w:val="24"/>
          <w:szCs w:val="24"/>
          <w:lang w:val="pt-BR" w:eastAsia="pt-PT"/>
        </w:rPr>
        <w:footnoteReference w:id="65"/>
      </w:r>
      <w:r w:rsidRPr="00E40A38">
        <w:rPr>
          <w:rFonts w:asciiTheme="majorHAnsi" w:eastAsia="Batang" w:hAnsiTheme="majorHAnsi" w:cs="Times New Roman"/>
          <w:sz w:val="24"/>
          <w:szCs w:val="24"/>
          <w:lang w:val="pt-BR" w:eastAsia="pt-PT"/>
        </w:rPr>
        <w:t>, havendo apenas lucros quando a situação líquida da sociedade ultrapasse o capital social e as reservas não distribuíveis</w:t>
      </w:r>
      <w:r w:rsidRPr="00E40A38">
        <w:rPr>
          <w:rStyle w:val="Refdenotaderodap"/>
          <w:rFonts w:asciiTheme="majorHAnsi" w:eastAsia="Batang" w:hAnsiTheme="majorHAnsi" w:cs="Times New Roman"/>
          <w:sz w:val="24"/>
          <w:szCs w:val="24"/>
          <w:lang w:val="pt-BR" w:eastAsia="pt-PT"/>
        </w:rPr>
        <w:footnoteReference w:id="66"/>
      </w:r>
      <w:r w:rsidRPr="00E40A38">
        <w:rPr>
          <w:rFonts w:asciiTheme="majorHAnsi" w:eastAsia="Batang" w:hAnsiTheme="majorHAnsi" w:cs="Times New Roman"/>
          <w:sz w:val="24"/>
          <w:szCs w:val="24"/>
          <w:lang w:val="pt-BR" w:eastAsia="pt-PT"/>
        </w:rPr>
        <w:t>.</w:t>
      </w:r>
    </w:p>
    <w:p w:rsidR="00D0116B" w:rsidRDefault="00E40A38" w:rsidP="0001193A">
      <w:pPr>
        <w:spacing w:after="0" w:line="360" w:lineRule="auto"/>
        <w:rPr>
          <w:rFonts w:asciiTheme="majorHAnsi" w:eastAsia="Batang" w:hAnsiTheme="majorHAnsi" w:cs="Times New Roman"/>
          <w:sz w:val="24"/>
          <w:szCs w:val="24"/>
          <w:lang w:val="pt-BR" w:eastAsia="pt-PT"/>
        </w:rPr>
      </w:pPr>
      <w:r w:rsidRPr="00E40A38">
        <w:rPr>
          <w:rFonts w:asciiTheme="majorHAnsi" w:eastAsia="Batang" w:hAnsiTheme="majorHAnsi" w:cs="Times New Roman"/>
          <w:sz w:val="24"/>
          <w:szCs w:val="24"/>
          <w:lang w:val="pt-BR" w:eastAsia="pt-PT"/>
        </w:rPr>
        <w:t>O que quer dizer que a concessão de empréstimos no seio do grupo só pode ser aceite se a mesma obedecer aos</w:t>
      </w:r>
      <w:r w:rsidR="00D0116B">
        <w:rPr>
          <w:rFonts w:asciiTheme="majorHAnsi" w:eastAsia="Batang" w:hAnsiTheme="majorHAnsi" w:cs="Times New Roman"/>
          <w:sz w:val="24"/>
          <w:szCs w:val="24"/>
          <w:lang w:val="pt-BR" w:eastAsia="pt-PT"/>
        </w:rPr>
        <w:t xml:space="preserve"> requisitos impostos pelo artigo</w:t>
      </w:r>
      <w:r w:rsidRPr="00E40A38">
        <w:rPr>
          <w:rFonts w:asciiTheme="majorHAnsi" w:eastAsia="Batang" w:hAnsiTheme="majorHAnsi" w:cs="Times New Roman"/>
          <w:sz w:val="24"/>
          <w:szCs w:val="24"/>
          <w:lang w:val="pt-BR" w:eastAsia="pt-PT"/>
        </w:rPr>
        <w:t xml:space="preserve"> acima referenciado, isto é, toda a concessão de empréstimos que não gerar um crédito de reembolso de valor equivalente corresponderá a uma “distribuição de bens para efeitos do art. 33.º da LSC, devendo para tal obedecer aos limites estabelecidos pelo art</w:t>
      </w:r>
      <w:r w:rsidRPr="00E40A38">
        <w:rPr>
          <w:rStyle w:val="Refdenotaderodap"/>
          <w:rFonts w:asciiTheme="majorHAnsi" w:eastAsia="Batang" w:hAnsiTheme="majorHAnsi" w:cs="Times New Roman"/>
          <w:sz w:val="24"/>
          <w:szCs w:val="24"/>
          <w:lang w:val="pt-BR" w:eastAsia="pt-PT"/>
        </w:rPr>
        <w:footnoteReference w:id="67"/>
      </w:r>
      <w:r w:rsidRPr="00E40A38">
        <w:rPr>
          <w:rFonts w:asciiTheme="majorHAnsi" w:eastAsia="Batang" w:hAnsiTheme="majorHAnsi" w:cs="Times New Roman"/>
          <w:sz w:val="24"/>
          <w:szCs w:val="24"/>
          <w:lang w:val="pt-BR" w:eastAsia="pt-PT"/>
        </w:rPr>
        <w:t xml:space="preserve">, ou seja, os empréstimos só poderão ser feitos com valores que não sirvam para a cobertura do capital e das reservas. </w:t>
      </w:r>
    </w:p>
    <w:p w:rsidR="00057C8D" w:rsidRDefault="00E40A38" w:rsidP="0001193A">
      <w:pPr>
        <w:spacing w:after="0" w:line="360" w:lineRule="auto"/>
        <w:rPr>
          <w:rFonts w:asciiTheme="majorHAnsi" w:eastAsia="Batang" w:hAnsiTheme="majorHAnsi" w:cs="Times New Roman"/>
          <w:sz w:val="24"/>
          <w:szCs w:val="24"/>
          <w:lang w:val="pt-BR" w:eastAsia="pt-PT"/>
        </w:rPr>
      </w:pPr>
      <w:r w:rsidRPr="00E40A38">
        <w:rPr>
          <w:rFonts w:asciiTheme="majorHAnsi" w:eastAsia="Batang" w:hAnsiTheme="majorHAnsi" w:cs="Times New Roman"/>
          <w:sz w:val="24"/>
          <w:szCs w:val="24"/>
          <w:lang w:val="pt-BR" w:eastAsia="pt-PT"/>
        </w:rPr>
        <w:t xml:space="preserve">A mesma limitação está sujeita a integração num sistema de </w:t>
      </w:r>
      <w:r w:rsidRPr="00E40A38">
        <w:rPr>
          <w:rFonts w:asciiTheme="majorHAnsi" w:eastAsia="Batang" w:hAnsiTheme="majorHAnsi" w:cs="Times New Roman"/>
          <w:i/>
          <w:sz w:val="24"/>
          <w:szCs w:val="24"/>
          <w:lang w:val="pt-BR" w:eastAsia="pt-PT"/>
        </w:rPr>
        <w:t xml:space="preserve">cash pooling, </w:t>
      </w:r>
      <w:r w:rsidRPr="00E40A38">
        <w:rPr>
          <w:rFonts w:asciiTheme="majorHAnsi" w:eastAsia="Batang" w:hAnsiTheme="majorHAnsi" w:cs="Times New Roman"/>
          <w:sz w:val="24"/>
          <w:szCs w:val="24"/>
          <w:lang w:val="pt-BR" w:eastAsia="pt-PT"/>
        </w:rPr>
        <w:t xml:space="preserve">para o efeito, é crucial que se obedeça ao critério contabilístico estabelecido pelo art. 33.ºda LSC, ou seja, é necessário que a transferência de activos da sociedade participante para a </w:t>
      </w:r>
      <w:r w:rsidRPr="00E40A38">
        <w:rPr>
          <w:rFonts w:asciiTheme="majorHAnsi" w:eastAsia="Batang" w:hAnsiTheme="majorHAnsi" w:cs="Times New Roman"/>
          <w:i/>
          <w:sz w:val="24"/>
          <w:szCs w:val="24"/>
          <w:lang w:val="pt-BR" w:eastAsia="pt-PT"/>
        </w:rPr>
        <w:t>pooler</w:t>
      </w:r>
      <w:r w:rsidRPr="00E40A38">
        <w:rPr>
          <w:rFonts w:asciiTheme="majorHAnsi" w:eastAsia="Batang" w:hAnsiTheme="majorHAnsi" w:cs="Times New Roman"/>
          <w:sz w:val="24"/>
          <w:szCs w:val="24"/>
          <w:lang w:val="pt-BR" w:eastAsia="pt-PT"/>
        </w:rPr>
        <w:t xml:space="preserve"> não seja feita com valores que sejam necessários para a cobertura do capital e das reservas. Caso não sejam obedecidos os pressupostos previstos no art. 33.º da LSC, deve o sistema de </w:t>
      </w:r>
      <w:r w:rsidRPr="00E40A38">
        <w:rPr>
          <w:rFonts w:asciiTheme="majorHAnsi" w:eastAsia="Batang" w:hAnsiTheme="majorHAnsi" w:cs="Times New Roman"/>
          <w:i/>
          <w:sz w:val="24"/>
          <w:szCs w:val="24"/>
          <w:lang w:val="pt-BR" w:eastAsia="pt-PT"/>
        </w:rPr>
        <w:t>cash pooling</w:t>
      </w:r>
      <w:r w:rsidRPr="00E40A38">
        <w:rPr>
          <w:rFonts w:asciiTheme="majorHAnsi" w:eastAsia="Batang" w:hAnsiTheme="majorHAnsi" w:cs="Times New Roman"/>
          <w:sz w:val="24"/>
          <w:szCs w:val="24"/>
          <w:lang w:val="pt-BR" w:eastAsia="pt-PT"/>
        </w:rPr>
        <w:t xml:space="preserve"> cessar, por meio de uma cláusula no contrato de centralização de tesouraria que contemple o vencimento antecipado. </w:t>
      </w:r>
    </w:p>
    <w:p w:rsidR="004B62A2" w:rsidRDefault="004B62A2" w:rsidP="00EF705A">
      <w:pPr>
        <w:spacing w:before="0" w:after="200" w:line="360" w:lineRule="auto"/>
        <w:rPr>
          <w:rFonts w:asciiTheme="majorHAnsi" w:hAnsiTheme="majorHAnsi" w:cs="Times New Roman"/>
          <w:sz w:val="24"/>
          <w:szCs w:val="24"/>
          <w:lang w:val="pt-BR"/>
        </w:rPr>
      </w:pPr>
    </w:p>
    <w:p w:rsidR="00A52501" w:rsidRPr="00A52501" w:rsidRDefault="000A19F1" w:rsidP="00720F02">
      <w:pPr>
        <w:pStyle w:val="PargrafodaLista"/>
        <w:numPr>
          <w:ilvl w:val="0"/>
          <w:numId w:val="12"/>
        </w:numPr>
        <w:spacing w:before="0" w:after="200"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 xml:space="preserve"> </w:t>
      </w:r>
      <w:r w:rsidR="00A52501" w:rsidRPr="00A52501">
        <w:rPr>
          <w:rFonts w:asciiTheme="majorHAnsi" w:hAnsiTheme="majorHAnsi" w:cs="Times New Roman"/>
          <w:b/>
          <w:sz w:val="24"/>
          <w:szCs w:val="24"/>
          <w:lang w:val="pt-BR"/>
        </w:rPr>
        <w:t xml:space="preserve">As operações de </w:t>
      </w:r>
      <w:r w:rsidR="00A52501" w:rsidRPr="00A52501">
        <w:rPr>
          <w:rFonts w:asciiTheme="majorHAnsi" w:hAnsiTheme="majorHAnsi" w:cs="Times New Roman"/>
          <w:b/>
          <w:i/>
          <w:sz w:val="24"/>
          <w:szCs w:val="24"/>
          <w:lang w:val="pt-BR"/>
        </w:rPr>
        <w:t>Cash Pooling</w:t>
      </w:r>
      <w:r w:rsidR="00A52501" w:rsidRPr="00A52501">
        <w:rPr>
          <w:rFonts w:asciiTheme="majorHAnsi" w:hAnsiTheme="majorHAnsi" w:cs="Times New Roman"/>
          <w:b/>
          <w:sz w:val="24"/>
          <w:szCs w:val="24"/>
          <w:lang w:val="pt-BR"/>
        </w:rPr>
        <w:t xml:space="preserve"> estão ou não restringidas em razão do objecto social de cada uma das sociedades parte do grupo?</w:t>
      </w:r>
    </w:p>
    <w:p w:rsidR="00A52501" w:rsidRPr="00A52501" w:rsidRDefault="00215F14" w:rsidP="00A52501">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Outra preocupação do nosso estudo cinge-se em saber se as actividades típicas do sistema de </w:t>
      </w:r>
      <w:r w:rsidRPr="00215F14">
        <w:rPr>
          <w:rFonts w:asciiTheme="majorHAnsi" w:hAnsiTheme="majorHAnsi" w:cs="Times New Roman"/>
          <w:i/>
          <w:sz w:val="24"/>
          <w:szCs w:val="24"/>
          <w:lang w:val="pt-BR"/>
        </w:rPr>
        <w:t>cash pooling</w:t>
      </w:r>
      <w:r>
        <w:rPr>
          <w:rFonts w:asciiTheme="majorHAnsi" w:hAnsiTheme="majorHAnsi" w:cs="Times New Roman"/>
          <w:sz w:val="24"/>
          <w:szCs w:val="24"/>
          <w:lang w:val="pt-BR"/>
        </w:rPr>
        <w:t xml:space="preserve"> encontram um limite no objecto social de cada sociedade participante. Assim, d</w:t>
      </w:r>
      <w:r w:rsidR="00A52501" w:rsidRPr="00A52501">
        <w:rPr>
          <w:rFonts w:asciiTheme="majorHAnsi" w:hAnsiTheme="majorHAnsi" w:cs="Times New Roman"/>
          <w:sz w:val="24"/>
          <w:szCs w:val="24"/>
          <w:lang w:val="pt-BR"/>
        </w:rPr>
        <w:t>e acordo com o art. 6.º/1 da LSC “a capacidade jurídica da sociedade compreende os direitos e as obrigações necessárias ou convenientes à prossecução do seu fim, com excepção daqueles que lhe sejam vedados por lei ou que sejam inseparáveis da personalidade singular”. O legislador societário, de acordo com o artigo acima referenciado, remete a questão para o campo da capacidade jurídica – capacidade de gozo ou de direito, tida como à medida de direitos e obrigações que a sociedade é, em abstracto, susceptível de ter. O que quer dizer que, o artigo 6.º/1, a semelhança do previsto no art. 160.º/1 do CC limita-se a estabelecer o âmbito da capacidade de gozo , cujo escopo compreeende todos os direitos e obrigações necessárias à prossecução dos seus fins sem, no entanto, ser possível efectuar-se uma interpretação a contrário sensu, ou seja, prever a limitação da capacidade de gozo das pessoas colectivas.</w:t>
      </w:r>
      <w:r w:rsidR="00A52501" w:rsidRPr="00A52501">
        <w:rPr>
          <w:rStyle w:val="Refdenotaderodap"/>
          <w:rFonts w:asciiTheme="majorHAnsi" w:hAnsiTheme="majorHAnsi" w:cs="Times New Roman"/>
          <w:sz w:val="24"/>
          <w:szCs w:val="24"/>
          <w:lang w:val="pt-BR"/>
        </w:rPr>
        <w:footnoteReference w:id="68"/>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 xml:space="preserve">Apesar de não existir uma limitação da capacidade de direito das pessoas colectivas e consequentemente, das sociedades comerciais, é a própria lei quem inviabiliza a prática de uma actividade financeira por parte desta, (fruto da sua natureza exclusivamente  financeira) sem que, previamente esteja autorizada pelas autoridades competentes. Apesar disso, o legislador nacional não estipulou qualquer norma que proiba a concessão de empréstimos entre empresas do mesmo grupo. </w:t>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Assim e como fizemos referência supra, as operações de tesouraria não são consideradas pela lei como “concessão de crédito”, quando legalmente permitidas entre sociedades que se encontrem numa relação de domínio ou de grupo. O legislador nacional ao conceder tal prerrogativa, entendeu que tais operações dentro do grupo não seriam mais do que actos de mera gestão de activos do grupo  e não do exercício de uma actividade</w:t>
      </w:r>
      <w:r w:rsidR="00215F14">
        <w:rPr>
          <w:rFonts w:asciiTheme="majorHAnsi" w:hAnsiTheme="majorHAnsi" w:cs="Times New Roman"/>
          <w:sz w:val="24"/>
          <w:szCs w:val="24"/>
          <w:lang w:val="pt-BR"/>
        </w:rPr>
        <w:t xml:space="preserve"> </w:t>
      </w:r>
      <w:r w:rsidRPr="00A52501">
        <w:rPr>
          <w:rFonts w:asciiTheme="majorHAnsi" w:hAnsiTheme="majorHAnsi" w:cs="Times New Roman"/>
          <w:sz w:val="24"/>
          <w:szCs w:val="24"/>
          <w:lang w:val="pt-BR"/>
        </w:rPr>
        <w:t xml:space="preserve">em sentido jurídico – que pela sua natureza financeira, careceria de um licenciamento apropriado. </w:t>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 xml:space="preserve">Parece-nos correcto o entendimento de que não faz qualquer sentido limitar as operações de </w:t>
      </w:r>
      <w:r w:rsidRPr="00A52501">
        <w:rPr>
          <w:rFonts w:asciiTheme="majorHAnsi" w:hAnsiTheme="majorHAnsi" w:cs="Times New Roman"/>
          <w:i/>
          <w:sz w:val="24"/>
          <w:szCs w:val="24"/>
          <w:lang w:val="pt-BR"/>
        </w:rPr>
        <w:t>cash pooling</w:t>
      </w:r>
      <w:r w:rsidRPr="00A52501">
        <w:rPr>
          <w:rFonts w:asciiTheme="majorHAnsi" w:hAnsiTheme="majorHAnsi" w:cs="Times New Roman"/>
          <w:sz w:val="24"/>
          <w:szCs w:val="24"/>
          <w:lang w:val="pt-BR"/>
        </w:rPr>
        <w:t xml:space="preserve"> ao objecto social das sociedades do grupo. Naturalmente que devido a natureza eminentemente financeira, as operações de </w:t>
      </w:r>
      <w:r w:rsidRPr="00A52501">
        <w:rPr>
          <w:rFonts w:asciiTheme="majorHAnsi" w:hAnsiTheme="majorHAnsi" w:cs="Times New Roman"/>
          <w:i/>
          <w:sz w:val="24"/>
          <w:szCs w:val="24"/>
          <w:lang w:val="pt-BR"/>
        </w:rPr>
        <w:t>cash pooling</w:t>
      </w:r>
      <w:r w:rsidRPr="00A52501">
        <w:rPr>
          <w:rFonts w:asciiTheme="majorHAnsi" w:hAnsiTheme="majorHAnsi" w:cs="Times New Roman"/>
          <w:sz w:val="24"/>
          <w:szCs w:val="24"/>
          <w:lang w:val="pt-BR"/>
        </w:rPr>
        <w:t xml:space="preserve"> não caem no âmbito do objecto social de nenhuma das sociedades do grupo, </w:t>
      </w:r>
      <w:r w:rsidR="00112593">
        <w:rPr>
          <w:rFonts w:asciiTheme="majorHAnsi" w:hAnsiTheme="majorHAnsi" w:cs="Times New Roman"/>
          <w:sz w:val="24"/>
          <w:szCs w:val="24"/>
          <w:lang w:val="pt-BR"/>
        </w:rPr>
        <w:t xml:space="preserve">e não têm de constar, uma vez que, </w:t>
      </w:r>
      <w:r w:rsidRPr="00A52501">
        <w:rPr>
          <w:rFonts w:asciiTheme="majorHAnsi" w:hAnsiTheme="majorHAnsi" w:cs="Times New Roman"/>
          <w:sz w:val="24"/>
          <w:szCs w:val="24"/>
          <w:lang w:val="pt-BR"/>
        </w:rPr>
        <w:t>tais operações não são mais do que meros actos de boa gestão dos activos da empresa, sem qualquer relação com a actividade das empresas, funcionando apenas, como consequência desta actividade.</w:t>
      </w:r>
      <w:r w:rsidRPr="00A52501">
        <w:rPr>
          <w:rStyle w:val="Refdenotaderodap"/>
          <w:rFonts w:asciiTheme="majorHAnsi" w:hAnsiTheme="majorHAnsi" w:cs="Times New Roman"/>
          <w:sz w:val="24"/>
          <w:szCs w:val="24"/>
          <w:lang w:val="pt-BR"/>
        </w:rPr>
        <w:footnoteReference w:id="69"/>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 xml:space="preserve">Situação diferente e passível de questionamento é a limitação das operações de </w:t>
      </w:r>
      <w:r w:rsidRPr="00A52501">
        <w:rPr>
          <w:rFonts w:asciiTheme="majorHAnsi" w:hAnsiTheme="majorHAnsi" w:cs="Times New Roman"/>
          <w:i/>
          <w:sz w:val="24"/>
          <w:szCs w:val="24"/>
          <w:lang w:val="pt-BR"/>
        </w:rPr>
        <w:t>cash pooling</w:t>
      </w:r>
      <w:r w:rsidRPr="00A52501">
        <w:rPr>
          <w:rFonts w:asciiTheme="majorHAnsi" w:hAnsiTheme="majorHAnsi" w:cs="Times New Roman"/>
          <w:sz w:val="24"/>
          <w:szCs w:val="24"/>
          <w:lang w:val="pt-BR"/>
        </w:rPr>
        <w:t xml:space="preserve"> em razão do objecto social da sociedade que gere, de forma centralizada os fluxos bancários das diversas empresas do grupo (holding). O grupo de sociedade pode escolher, dentre as sociedades que compoem o grupo, a que vai ser a entidade centralizadora (que em regra é a sociedade-mãe), ou constituir uma sociedade à margem do grupo, que terá a função de entidade centralizadora, responsável por gerir as contas bancárias do grupo, com vista a opt</w:t>
      </w:r>
      <w:r w:rsidR="00112593">
        <w:rPr>
          <w:rFonts w:asciiTheme="majorHAnsi" w:hAnsiTheme="majorHAnsi" w:cs="Times New Roman"/>
          <w:sz w:val="24"/>
          <w:szCs w:val="24"/>
          <w:lang w:val="pt-BR"/>
        </w:rPr>
        <w:t>i</w:t>
      </w:r>
      <w:r w:rsidRPr="00A52501">
        <w:rPr>
          <w:rFonts w:asciiTheme="majorHAnsi" w:hAnsiTheme="majorHAnsi" w:cs="Times New Roman"/>
          <w:sz w:val="24"/>
          <w:szCs w:val="24"/>
          <w:lang w:val="pt-BR"/>
        </w:rPr>
        <w:t>mizar os seus rendimentos. A questão coloca-se em relação a esta última, tendo em conta que se pretende aferir se esta sociedade, constituída com o único fim de gerir os fluxos financeiros oriundos de todas as sociedades do grupo, pode ver a sua actividade ser condicionada ou restringida, em razão do seu objecto social?</w:t>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 xml:space="preserve">A resposta não nos parece que seja imediata, pois, trata-se de uma sociedade (entidade centralizadora) que exerce uma actividade de natureza financeira, ou seja, recebe fundos das sociedades do grupo e aplica-as da forma que melhor a convier, tendo em vista a salvaguarda dos interesses do grupo. A este respeito, dispõe a lei das Instituições financeiras que tais actividades devem ser realizadas de forma exclusiva pelas instituições financeiras bancárias. Conquanto, é necessário fazer-se a distinção da actividade de </w:t>
      </w:r>
      <w:r w:rsidRPr="00A52501">
        <w:rPr>
          <w:rFonts w:asciiTheme="majorHAnsi" w:hAnsiTheme="majorHAnsi" w:cs="Times New Roman"/>
          <w:i/>
          <w:sz w:val="24"/>
          <w:szCs w:val="24"/>
          <w:lang w:val="pt-BR"/>
        </w:rPr>
        <w:t>cash pooling</w:t>
      </w:r>
      <w:r w:rsidRPr="00A52501">
        <w:rPr>
          <w:rFonts w:asciiTheme="majorHAnsi" w:hAnsiTheme="majorHAnsi" w:cs="Times New Roman"/>
          <w:sz w:val="24"/>
          <w:szCs w:val="24"/>
          <w:lang w:val="pt-BR"/>
        </w:rPr>
        <w:t xml:space="preserve"> na modalidade de </w:t>
      </w:r>
      <w:r w:rsidRPr="00A52501">
        <w:rPr>
          <w:rFonts w:asciiTheme="majorHAnsi" w:hAnsiTheme="majorHAnsi" w:cs="Times New Roman"/>
          <w:i/>
          <w:sz w:val="24"/>
          <w:szCs w:val="24"/>
          <w:lang w:val="pt-BR"/>
        </w:rPr>
        <w:t>notional</w:t>
      </w:r>
      <w:r w:rsidRPr="00A52501">
        <w:rPr>
          <w:rFonts w:asciiTheme="majorHAnsi" w:hAnsiTheme="majorHAnsi" w:cs="Times New Roman"/>
          <w:sz w:val="24"/>
          <w:szCs w:val="24"/>
          <w:lang w:val="pt-BR"/>
        </w:rPr>
        <w:t xml:space="preserve"> e na de </w:t>
      </w:r>
      <w:r w:rsidRPr="00A52501">
        <w:rPr>
          <w:rFonts w:asciiTheme="majorHAnsi" w:hAnsiTheme="majorHAnsi" w:cs="Times New Roman"/>
          <w:i/>
          <w:sz w:val="24"/>
          <w:szCs w:val="24"/>
          <w:lang w:val="pt-BR"/>
        </w:rPr>
        <w:t xml:space="preserve">zero balancing, </w:t>
      </w:r>
      <w:r w:rsidRPr="00A52501">
        <w:rPr>
          <w:rFonts w:asciiTheme="majorHAnsi" w:hAnsiTheme="majorHAnsi" w:cs="Times New Roman"/>
          <w:sz w:val="24"/>
          <w:szCs w:val="24"/>
          <w:lang w:val="pt-BR"/>
        </w:rPr>
        <w:t>com vista a aferir se, nas duas modalidades, tal act</w:t>
      </w:r>
      <w:r w:rsidR="00112593">
        <w:rPr>
          <w:rFonts w:asciiTheme="majorHAnsi" w:hAnsiTheme="majorHAnsi" w:cs="Times New Roman"/>
          <w:sz w:val="24"/>
          <w:szCs w:val="24"/>
          <w:lang w:val="pt-BR"/>
        </w:rPr>
        <w:t>i</w:t>
      </w:r>
      <w:r w:rsidRPr="00A52501">
        <w:rPr>
          <w:rFonts w:asciiTheme="majorHAnsi" w:hAnsiTheme="majorHAnsi" w:cs="Times New Roman"/>
          <w:sz w:val="24"/>
          <w:szCs w:val="24"/>
          <w:lang w:val="pt-BR"/>
        </w:rPr>
        <w:t>vidade encontra-se inviabilizada por força do princípio da exclusividade, previsto no artigo 8.º da lei das Instituições financeiras.</w:t>
      </w:r>
    </w:p>
    <w:p w:rsidR="00A52501" w:rsidRPr="00A52501"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 xml:space="preserve">Na modalidade de </w:t>
      </w:r>
      <w:r w:rsidRPr="00A52501">
        <w:rPr>
          <w:rFonts w:asciiTheme="majorHAnsi" w:hAnsiTheme="majorHAnsi" w:cs="Times New Roman"/>
          <w:i/>
          <w:sz w:val="24"/>
          <w:szCs w:val="24"/>
          <w:lang w:val="pt-BR"/>
        </w:rPr>
        <w:t xml:space="preserve">notional cash pooling </w:t>
      </w:r>
      <w:r w:rsidRPr="00A52501">
        <w:rPr>
          <w:rFonts w:asciiTheme="majorHAnsi" w:hAnsiTheme="majorHAnsi" w:cs="Times New Roman"/>
          <w:sz w:val="24"/>
          <w:szCs w:val="24"/>
          <w:lang w:val="pt-BR"/>
        </w:rPr>
        <w:t>por ocorrerem transferências meramente virtuais, a contra-parte de cada uma das empresas do grupo é a entidade bancária e, a entidade centralizadora tem apenas a função de negociar com o banco, como mera intermediária das sociedades do grupo, definindo as condições de remuneração do saldo (virtual) global e a forma de o banco executar os valores apurados, a crédito ou a débito, conforme os casos, a cada uma das empresas participantes</w:t>
      </w:r>
      <w:r w:rsidRPr="00A52501">
        <w:rPr>
          <w:rStyle w:val="Refdenotaderodap"/>
          <w:rFonts w:asciiTheme="majorHAnsi" w:hAnsiTheme="majorHAnsi" w:cs="Times New Roman"/>
          <w:sz w:val="24"/>
          <w:szCs w:val="24"/>
          <w:lang w:val="pt-BR"/>
        </w:rPr>
        <w:footnoteReference w:id="70"/>
      </w:r>
      <w:r w:rsidRPr="00A52501">
        <w:rPr>
          <w:rFonts w:asciiTheme="majorHAnsi" w:hAnsiTheme="majorHAnsi" w:cs="Times New Roman"/>
          <w:sz w:val="24"/>
          <w:szCs w:val="24"/>
          <w:lang w:val="pt-BR"/>
        </w:rPr>
        <w:t xml:space="preserve">. Desta forma, não nos parece que o centro de tesouraria exerça de facto, uma actividade financeira, sendo desnecessário a limitação das operações de </w:t>
      </w:r>
      <w:r w:rsidRPr="00A52501">
        <w:rPr>
          <w:rFonts w:asciiTheme="majorHAnsi" w:hAnsiTheme="majorHAnsi" w:cs="Times New Roman"/>
          <w:i/>
          <w:sz w:val="24"/>
          <w:szCs w:val="24"/>
          <w:lang w:val="pt-BR"/>
        </w:rPr>
        <w:t>Cash Pooling</w:t>
      </w:r>
      <w:r w:rsidRPr="00A52501">
        <w:rPr>
          <w:rFonts w:asciiTheme="majorHAnsi" w:hAnsiTheme="majorHAnsi" w:cs="Times New Roman"/>
          <w:sz w:val="24"/>
          <w:szCs w:val="24"/>
          <w:lang w:val="pt-BR"/>
        </w:rPr>
        <w:t xml:space="preserve"> em razão do objecto social.</w:t>
      </w:r>
    </w:p>
    <w:p w:rsidR="00BB5EF4" w:rsidRDefault="00A52501" w:rsidP="00A52501">
      <w:pPr>
        <w:spacing w:line="360" w:lineRule="auto"/>
        <w:rPr>
          <w:rFonts w:asciiTheme="majorHAnsi" w:hAnsiTheme="majorHAnsi" w:cs="Times New Roman"/>
          <w:sz w:val="24"/>
          <w:szCs w:val="24"/>
          <w:lang w:val="pt-BR"/>
        </w:rPr>
      </w:pPr>
      <w:r w:rsidRPr="00A52501">
        <w:rPr>
          <w:rFonts w:asciiTheme="majorHAnsi" w:hAnsiTheme="majorHAnsi" w:cs="Times New Roman"/>
          <w:sz w:val="24"/>
          <w:szCs w:val="24"/>
          <w:lang w:val="pt-BR"/>
        </w:rPr>
        <w:t>Quanto a segunda modalidade, onde ocorre uma transferência efectiva dos saldos das conta</w:t>
      </w:r>
      <w:r w:rsidR="00563C06">
        <w:rPr>
          <w:rFonts w:asciiTheme="majorHAnsi" w:hAnsiTheme="majorHAnsi" w:cs="Times New Roman"/>
          <w:sz w:val="24"/>
          <w:szCs w:val="24"/>
          <w:lang w:val="pt-BR"/>
        </w:rPr>
        <w:t xml:space="preserve">s das sociedades participantes </w:t>
      </w:r>
      <w:r w:rsidRPr="00A52501">
        <w:rPr>
          <w:rFonts w:asciiTheme="majorHAnsi" w:hAnsiTheme="majorHAnsi" w:cs="Times New Roman"/>
          <w:sz w:val="24"/>
          <w:szCs w:val="24"/>
          <w:lang w:val="pt-BR"/>
        </w:rPr>
        <w:t>para a conta global, a entidade centralizadora realiza uma actividade financeira, dai que, em princípio, a</w:t>
      </w:r>
      <w:r w:rsidR="00BB5EF4">
        <w:rPr>
          <w:rFonts w:asciiTheme="majorHAnsi" w:hAnsiTheme="majorHAnsi" w:cs="Times New Roman"/>
          <w:sz w:val="24"/>
          <w:szCs w:val="24"/>
          <w:lang w:val="pt-BR"/>
        </w:rPr>
        <w:t xml:space="preserve"> operação deveria ser limitada. Está claro que nesta modalidade, a actividade de cash pooling não deveria ser realizada, por se tratar de uma actividade exclusivamente financeira</w:t>
      </w:r>
      <w:r w:rsidR="00563C06">
        <w:rPr>
          <w:rFonts w:asciiTheme="majorHAnsi" w:hAnsiTheme="majorHAnsi" w:cs="Times New Roman"/>
          <w:sz w:val="24"/>
          <w:szCs w:val="24"/>
          <w:lang w:val="pt-BR"/>
        </w:rPr>
        <w:t xml:space="preserve">, mas como realizar a actividade de </w:t>
      </w:r>
      <w:r w:rsidR="00563C06" w:rsidRPr="00563C06">
        <w:rPr>
          <w:rFonts w:asciiTheme="majorHAnsi" w:hAnsiTheme="majorHAnsi" w:cs="Times New Roman"/>
          <w:i/>
          <w:sz w:val="24"/>
          <w:szCs w:val="24"/>
          <w:lang w:val="pt-BR"/>
        </w:rPr>
        <w:t>cash pooling</w:t>
      </w:r>
      <w:r w:rsidR="00563C06">
        <w:rPr>
          <w:rFonts w:asciiTheme="majorHAnsi" w:hAnsiTheme="majorHAnsi" w:cs="Times New Roman"/>
          <w:sz w:val="24"/>
          <w:szCs w:val="24"/>
          <w:lang w:val="pt-BR"/>
        </w:rPr>
        <w:t xml:space="preserve"> nesta modalidade?</w:t>
      </w:r>
    </w:p>
    <w:p w:rsidR="00A52501" w:rsidRPr="00A52501" w:rsidRDefault="00BB5EF4" w:rsidP="00A52501">
      <w:pPr>
        <w:spacing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 </w:t>
      </w:r>
      <w:r w:rsidR="00563C06">
        <w:rPr>
          <w:rFonts w:asciiTheme="majorHAnsi" w:hAnsiTheme="majorHAnsi" w:cs="Times New Roman"/>
          <w:sz w:val="24"/>
          <w:szCs w:val="24"/>
          <w:lang w:val="pt-BR"/>
        </w:rPr>
        <w:t xml:space="preserve">Teixeira de Abreu </w:t>
      </w:r>
      <w:r w:rsidR="00E30195">
        <w:rPr>
          <w:rFonts w:asciiTheme="majorHAnsi" w:hAnsiTheme="majorHAnsi" w:cs="Times New Roman"/>
          <w:sz w:val="24"/>
          <w:szCs w:val="24"/>
          <w:lang w:val="pt-BR"/>
        </w:rPr>
        <w:t>entende que é nesta modalidade que</w:t>
      </w:r>
      <w:r w:rsidR="00A52501" w:rsidRPr="00A52501">
        <w:rPr>
          <w:rFonts w:asciiTheme="majorHAnsi" w:hAnsiTheme="majorHAnsi" w:cs="Times New Roman"/>
          <w:sz w:val="24"/>
          <w:szCs w:val="24"/>
          <w:lang w:val="pt-BR"/>
        </w:rPr>
        <w:t xml:space="preserve"> vigora a excepção ao princípio da exclusividade, prevista na alínea d) do nº2 do artigo 8.º da Lei das Instituições financeiras, ou seja, a actividade de tesouraria, na modalidade </w:t>
      </w:r>
      <w:r w:rsidR="00A52501" w:rsidRPr="00A52501">
        <w:rPr>
          <w:rFonts w:asciiTheme="majorHAnsi" w:hAnsiTheme="majorHAnsi" w:cs="Times New Roman"/>
          <w:i/>
          <w:sz w:val="24"/>
          <w:szCs w:val="24"/>
          <w:lang w:val="pt-BR"/>
        </w:rPr>
        <w:t>zero balancing</w:t>
      </w:r>
      <w:r w:rsidR="00A52501" w:rsidRPr="00A52501">
        <w:rPr>
          <w:rFonts w:asciiTheme="majorHAnsi" w:hAnsiTheme="majorHAnsi" w:cs="Times New Roman"/>
          <w:sz w:val="24"/>
          <w:szCs w:val="24"/>
          <w:lang w:val="pt-BR"/>
        </w:rPr>
        <w:t>, por se tratar de uma actividade de natureza financeira e por força do princípio da exclusividade, só pode ser exercida se a sociedade se encontrar numa relação de domínio ou de grupo.</w:t>
      </w:r>
    </w:p>
    <w:p w:rsidR="00A52501" w:rsidRPr="00A52501" w:rsidRDefault="00A52501" w:rsidP="00A52501">
      <w:pPr>
        <w:pStyle w:val="PargrafodaLista"/>
        <w:spacing w:before="0" w:after="200" w:line="360" w:lineRule="auto"/>
        <w:rPr>
          <w:rFonts w:asciiTheme="majorHAnsi" w:hAnsiTheme="majorHAnsi" w:cs="Times New Roman"/>
          <w:sz w:val="24"/>
          <w:szCs w:val="24"/>
          <w:lang w:val="pt-BR"/>
        </w:rPr>
      </w:pPr>
    </w:p>
    <w:p w:rsidR="00057C8D" w:rsidRPr="00057C8D" w:rsidRDefault="00057C8D" w:rsidP="00720F02">
      <w:pPr>
        <w:pStyle w:val="PargrafodaLista"/>
        <w:numPr>
          <w:ilvl w:val="0"/>
          <w:numId w:val="12"/>
        </w:numPr>
        <w:spacing w:before="0" w:after="200" w:line="360" w:lineRule="auto"/>
        <w:rPr>
          <w:rFonts w:asciiTheme="majorHAnsi" w:hAnsiTheme="majorHAnsi" w:cs="Times New Roman"/>
          <w:b/>
          <w:sz w:val="24"/>
          <w:szCs w:val="24"/>
          <w:lang w:val="pt-BR"/>
        </w:rPr>
      </w:pPr>
      <w:r w:rsidRPr="00057C8D">
        <w:rPr>
          <w:rFonts w:asciiTheme="majorHAnsi" w:hAnsiTheme="majorHAnsi" w:cs="Times New Roman"/>
          <w:b/>
          <w:sz w:val="24"/>
          <w:szCs w:val="24"/>
          <w:lang w:val="pt-BR"/>
        </w:rPr>
        <w:t xml:space="preserve">É possível a sociedade-mãe forçar a subsidiária a concluir um acordo de </w:t>
      </w:r>
      <w:r w:rsidRPr="00057C8D">
        <w:rPr>
          <w:rFonts w:asciiTheme="majorHAnsi" w:hAnsiTheme="majorHAnsi" w:cs="Times New Roman"/>
          <w:b/>
          <w:i/>
          <w:sz w:val="24"/>
          <w:szCs w:val="24"/>
          <w:lang w:val="pt-BR"/>
        </w:rPr>
        <w:t>cash pooling</w:t>
      </w:r>
      <w:r w:rsidRPr="00057C8D">
        <w:rPr>
          <w:rFonts w:asciiTheme="majorHAnsi" w:hAnsiTheme="majorHAnsi" w:cs="Times New Roman"/>
          <w:b/>
          <w:sz w:val="24"/>
          <w:szCs w:val="24"/>
          <w:lang w:val="pt-BR"/>
        </w:rPr>
        <w:t xml:space="preserve"> ao abrigo dos artigos 475. º e 491. º, ambos da LSC?</w:t>
      </w:r>
    </w:p>
    <w:p w:rsidR="00057C8D" w:rsidRPr="00057C8D" w:rsidRDefault="00057C8D" w:rsidP="00057C8D">
      <w:pPr>
        <w:spacing w:line="360" w:lineRule="auto"/>
        <w:rPr>
          <w:rFonts w:asciiTheme="majorHAnsi" w:hAnsiTheme="majorHAnsi" w:cs="Times New Roman"/>
          <w:sz w:val="24"/>
          <w:szCs w:val="24"/>
          <w:lang w:val="pt-BR"/>
        </w:rPr>
      </w:pPr>
      <w:r w:rsidRPr="00057C8D">
        <w:rPr>
          <w:rFonts w:asciiTheme="majorHAnsi" w:hAnsiTheme="majorHAnsi" w:cs="Times New Roman"/>
          <w:sz w:val="24"/>
          <w:szCs w:val="24"/>
          <w:lang w:val="pt-BR"/>
        </w:rPr>
        <w:t>Relativamente ao artigo 475.º da LSC que dispõe sobre o direito de dar instruções nos grupos de base factual, ou seja, nas sociedades que se encontram em relação de domínio. Importa, antes de tentarmos responder a questão acima colocada, fazer referência a alguns aspectos importantes sobre o regime jurídico desta modalidade de grupo de sociedade.</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hAnsiTheme="majorHAnsi" w:cs="Times New Roman"/>
          <w:sz w:val="24"/>
          <w:szCs w:val="24"/>
          <w:lang w:val="pt-BR"/>
        </w:rPr>
        <w:t xml:space="preserve">Assim, </w:t>
      </w:r>
      <w:r w:rsidRPr="00057C8D">
        <w:rPr>
          <w:rFonts w:asciiTheme="majorHAnsi" w:eastAsia="Malgun Gothic" w:hAnsiTheme="majorHAnsi" w:cs="Times New Roman"/>
          <w:sz w:val="24"/>
          <w:szCs w:val="24"/>
          <w:lang w:val="pt-BR"/>
        </w:rPr>
        <w:t xml:space="preserve">o ordenamento jurídico angolano, a semelhança do que acontece com ordenamento jurídico caboverdiano (vide artigos 515º a 524º do CEC) consagrou o regime jurídico para as relações de grupo de base factual. Pelo que em Angola, os grupos de sociedades apresentam três modalidades, a saber; sociedades em relação de domínio (grupo de facto), sociedades em relação de grupo paritário e sociedades em relação de subordinação. </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O artigo 469. º, nº. 1 apresenta a definição de relação de domínio, que tem como element</w:t>
      </w:r>
      <w:r w:rsidR="009B214C">
        <w:rPr>
          <w:rFonts w:asciiTheme="majorHAnsi" w:eastAsia="Malgun Gothic" w:hAnsiTheme="majorHAnsi" w:cs="Times New Roman"/>
          <w:sz w:val="24"/>
          <w:szCs w:val="24"/>
          <w:lang w:val="pt-BR"/>
        </w:rPr>
        <w:t>o caracterizador</w:t>
      </w:r>
      <w:r w:rsidRPr="00057C8D">
        <w:rPr>
          <w:rFonts w:asciiTheme="majorHAnsi" w:eastAsia="Malgun Gothic" w:hAnsiTheme="majorHAnsi" w:cs="Times New Roman"/>
          <w:sz w:val="24"/>
          <w:szCs w:val="24"/>
          <w:lang w:val="pt-BR"/>
        </w:rPr>
        <w:t xml:space="preserve"> a influência dominante definida por Ana Perestrelo de Oliveira como “a susceptibilidade ou potencialidade de uma sociedade (dita dominante) impor, com intensidade variável, decisões ou comportamentos a outra sociedade (dominada); traduz um poder direccional sobre a sociedade dominada – que releva independentemente do respectivo exercício efectivo - a identificar casuisticamente, com recurso a um critério material, mas com o concomitante auxílio de padrões formais.”</w:t>
      </w:r>
      <w:r w:rsidRPr="00057C8D">
        <w:rPr>
          <w:rStyle w:val="Refdenotaderodap"/>
          <w:rFonts w:asciiTheme="majorHAnsi" w:eastAsia="Malgun Gothic" w:hAnsiTheme="majorHAnsi" w:cs="Times New Roman"/>
          <w:sz w:val="24"/>
          <w:szCs w:val="24"/>
          <w:lang w:val="pt-BR"/>
        </w:rPr>
        <w:footnoteReference w:id="71"/>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 xml:space="preserve">Trata-se de um conceito indeterminado, </w:t>
      </w:r>
      <w:r w:rsidR="009B214C">
        <w:rPr>
          <w:rFonts w:asciiTheme="majorHAnsi" w:eastAsia="Malgun Gothic" w:hAnsiTheme="majorHAnsi" w:cs="Times New Roman"/>
          <w:sz w:val="24"/>
          <w:szCs w:val="24"/>
          <w:lang w:val="pt-BR"/>
        </w:rPr>
        <w:t xml:space="preserve">mas a existência permite a presunção de que existe um </w:t>
      </w:r>
      <w:r w:rsidRPr="00057C8D">
        <w:rPr>
          <w:rFonts w:asciiTheme="majorHAnsi" w:eastAsia="Malgun Gothic" w:hAnsiTheme="majorHAnsi" w:cs="Times New Roman"/>
          <w:sz w:val="24"/>
          <w:szCs w:val="24"/>
          <w:lang w:val="pt-BR"/>
        </w:rPr>
        <w:t>grupo de sociedad</w:t>
      </w:r>
      <w:r w:rsidR="009B214C">
        <w:rPr>
          <w:rFonts w:asciiTheme="majorHAnsi" w:eastAsia="Malgun Gothic" w:hAnsiTheme="majorHAnsi" w:cs="Times New Roman"/>
          <w:sz w:val="24"/>
          <w:szCs w:val="24"/>
          <w:lang w:val="pt-BR"/>
        </w:rPr>
        <w:t>es, além dos casos em que existe</w:t>
      </w:r>
      <w:r w:rsidRPr="00057C8D">
        <w:rPr>
          <w:rFonts w:asciiTheme="majorHAnsi" w:eastAsia="Malgun Gothic" w:hAnsiTheme="majorHAnsi" w:cs="Times New Roman"/>
          <w:sz w:val="24"/>
          <w:szCs w:val="24"/>
          <w:lang w:val="pt-BR"/>
        </w:rPr>
        <w:t xml:space="preserve"> um contrato de subordinação ou contrato de grupo paritário. Por se tratar de um conceito indeterminado o legislador estabeleceu meras presunções</w:t>
      </w:r>
      <w:r w:rsidR="009B214C">
        <w:rPr>
          <w:rFonts w:asciiTheme="majorHAnsi" w:eastAsia="Malgun Gothic" w:hAnsiTheme="majorHAnsi" w:cs="Times New Roman"/>
          <w:sz w:val="24"/>
          <w:szCs w:val="24"/>
          <w:lang w:val="pt-BR"/>
        </w:rPr>
        <w:t xml:space="preserve"> </w:t>
      </w:r>
      <w:r w:rsidRPr="00057C8D">
        <w:rPr>
          <w:rFonts w:asciiTheme="majorHAnsi" w:eastAsia="Malgun Gothic" w:hAnsiTheme="majorHAnsi" w:cs="Times New Roman"/>
          <w:sz w:val="24"/>
          <w:szCs w:val="24"/>
          <w:lang w:val="pt-BR"/>
        </w:rPr>
        <w:t>de dependência ou domínio</w:t>
      </w:r>
      <w:r w:rsidR="009B214C">
        <w:rPr>
          <w:rFonts w:asciiTheme="majorHAnsi" w:eastAsia="Malgun Gothic" w:hAnsiTheme="majorHAnsi" w:cs="Times New Roman"/>
          <w:sz w:val="24"/>
          <w:szCs w:val="24"/>
          <w:lang w:val="pt-BR"/>
        </w:rPr>
        <w:t xml:space="preserve">. Tais presunções não são taxativas, uma vez que; ter </w:t>
      </w:r>
      <w:r w:rsidRPr="00057C8D">
        <w:rPr>
          <w:rFonts w:asciiTheme="majorHAnsi" w:eastAsia="Malgun Gothic" w:hAnsiTheme="majorHAnsi" w:cs="Times New Roman"/>
          <w:sz w:val="24"/>
          <w:szCs w:val="24"/>
          <w:lang w:val="pt-BR"/>
        </w:rPr>
        <w:t xml:space="preserve">a mesma política de produção, comercial, financeira, laboral e de investimento; uma interdependência administrativa das sociedades (que se traduz, por exemplo, na racionalização dos recursos disponíveis e o aproveitamento do potencial sinergético do grupo) e uma interdependência de pessoal, são factores que </w:t>
      </w:r>
      <w:r w:rsidR="009B214C">
        <w:rPr>
          <w:rFonts w:asciiTheme="majorHAnsi" w:eastAsia="Malgun Gothic" w:hAnsiTheme="majorHAnsi" w:cs="Times New Roman"/>
          <w:sz w:val="24"/>
          <w:szCs w:val="24"/>
          <w:lang w:val="pt-BR"/>
        </w:rPr>
        <w:t xml:space="preserve">também </w:t>
      </w:r>
      <w:r w:rsidRPr="00057C8D">
        <w:rPr>
          <w:rFonts w:asciiTheme="majorHAnsi" w:eastAsia="Malgun Gothic" w:hAnsiTheme="majorHAnsi" w:cs="Times New Roman"/>
          <w:sz w:val="24"/>
          <w:szCs w:val="24"/>
          <w:lang w:val="pt-BR"/>
        </w:rPr>
        <w:t>denotam a existência de uma verdadeira direcção unitária e, consequentemente de um grupo.</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Apesar da possibilidade de encontrarmos outros instrumentos que permitam aferir a existência de influência dominante e ser hoje consensual o entendimento da desnecessidade da sociedade exercer de facto influência dominante para que se considere que exista uma relação de domínio, bastando, para efeitos da lei, que existam condições objectivas para o exercício de uma influencia dominante, acompanhamos o entendimento de Rui Pereira Dias sobre a necessidade desta influência, tida como dominante, ser estável, institucionalizada, sem duração temporal mínima, com relativa certeza ou segurança, directa ou indirecta e que detenha instrumentos jurídicos de controlo que o permitem influenciar o destino das sociedades em que participa</w:t>
      </w:r>
      <w:r w:rsidRPr="00057C8D">
        <w:rPr>
          <w:rStyle w:val="Refdenotaderodap"/>
          <w:rFonts w:asciiTheme="majorHAnsi" w:eastAsia="Malgun Gothic" w:hAnsiTheme="majorHAnsi" w:cs="Times New Roman"/>
          <w:sz w:val="24"/>
          <w:szCs w:val="24"/>
          <w:lang w:val="pt-BR"/>
        </w:rPr>
        <w:footnoteReference w:id="72"/>
      </w:r>
      <w:r w:rsidRPr="00057C8D">
        <w:rPr>
          <w:rFonts w:asciiTheme="majorHAnsi" w:eastAsia="Malgun Gothic" w:hAnsiTheme="majorHAnsi" w:cs="Times New Roman"/>
          <w:sz w:val="24"/>
          <w:szCs w:val="24"/>
          <w:lang w:val="pt-BR"/>
        </w:rPr>
        <w:t xml:space="preserve">. </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Importa, para efeitos do nosso trabalho analisar de forma menos pormenorizada o regime jurídico das relações de domínio e reter as consequências que a LSC impõe as relações de domínio. A semelhança do que acontece com as sociedades em relação de participação recíprocas</w:t>
      </w:r>
      <w:r w:rsidRPr="00057C8D">
        <w:rPr>
          <w:rStyle w:val="Refdenotaderodap"/>
          <w:rFonts w:asciiTheme="majorHAnsi" w:eastAsia="Malgun Gothic" w:hAnsiTheme="majorHAnsi" w:cs="Times New Roman"/>
          <w:sz w:val="24"/>
          <w:szCs w:val="24"/>
          <w:lang w:val="pt-BR"/>
        </w:rPr>
        <w:footnoteReference w:id="73"/>
      </w:r>
      <w:r w:rsidRPr="00057C8D">
        <w:rPr>
          <w:rFonts w:asciiTheme="majorHAnsi" w:eastAsia="Malgun Gothic" w:hAnsiTheme="majorHAnsi" w:cs="Times New Roman"/>
          <w:sz w:val="24"/>
          <w:szCs w:val="24"/>
          <w:lang w:val="pt-BR"/>
        </w:rPr>
        <w:t>, o artigo 470º fixa a obrigatorieda</w:t>
      </w:r>
      <w:r w:rsidR="00AF42F7">
        <w:rPr>
          <w:rFonts w:asciiTheme="majorHAnsi" w:eastAsia="Malgun Gothic" w:hAnsiTheme="majorHAnsi" w:cs="Times New Roman"/>
          <w:sz w:val="24"/>
          <w:szCs w:val="24"/>
          <w:lang w:val="pt-BR"/>
        </w:rPr>
        <w:t xml:space="preserve">de da sociedade dominada como a </w:t>
      </w:r>
      <w:r w:rsidRPr="00057C8D">
        <w:rPr>
          <w:rFonts w:asciiTheme="majorHAnsi" w:eastAsia="Malgun Gothic" w:hAnsiTheme="majorHAnsi" w:cs="Times New Roman"/>
          <w:sz w:val="24"/>
          <w:szCs w:val="24"/>
          <w:lang w:val="pt-BR"/>
        </w:rPr>
        <w:t>dominante sempre que se encontrarem em situações previstas pelas presunçõe</w:t>
      </w:r>
      <w:r w:rsidR="00AF42F7">
        <w:rPr>
          <w:rFonts w:asciiTheme="majorHAnsi" w:eastAsia="Malgun Gothic" w:hAnsiTheme="majorHAnsi" w:cs="Times New Roman"/>
          <w:sz w:val="24"/>
          <w:szCs w:val="24"/>
          <w:lang w:val="pt-BR"/>
        </w:rPr>
        <w:t>s iuris tantum do 469.º nº 2,</w:t>
      </w:r>
      <w:r w:rsidRPr="00057C8D">
        <w:rPr>
          <w:rFonts w:asciiTheme="majorHAnsi" w:eastAsia="Malgun Gothic" w:hAnsiTheme="majorHAnsi" w:cs="Times New Roman"/>
          <w:sz w:val="24"/>
          <w:szCs w:val="24"/>
          <w:lang w:val="pt-BR"/>
        </w:rPr>
        <w:t xml:space="preserve"> informar à contraparte sobre a situação de domínio.</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Como consequência pelo incumprimento da obrigação, a lei proíbe a sociedade dependente de adquirir acções ou quotas da sociedade dominante, (salvo se for uma aquisição á título gratuito, às adjudicadas em processo de execução e as aquisições em partilha de património da sociedade em que esta seja sócia), bem como fere com nulidade, todas as aquisições de acções ou quotas que não cumpriram com o disposto no artigo 470. º.</w:t>
      </w:r>
      <w:r w:rsidRPr="00057C8D">
        <w:rPr>
          <w:rStyle w:val="Refdenotaderodap"/>
          <w:rFonts w:asciiTheme="majorHAnsi" w:eastAsia="Malgun Gothic" w:hAnsiTheme="majorHAnsi" w:cs="Times New Roman"/>
          <w:sz w:val="24"/>
          <w:szCs w:val="24"/>
          <w:lang w:val="pt-BR"/>
        </w:rPr>
        <w:footnoteReference w:id="74"/>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 xml:space="preserve">Tal proibição justifica-se pela necessidade de assegurar à conservação do capital social da sociedade dominada, vedando à sociedade dominante a possibilidade de ultrapassar as limitações legais à aquisição de quotas ou acções próprias, utilizando para tal uma sociedade dependente. </w:t>
      </w:r>
      <w:r w:rsidRPr="00057C8D">
        <w:rPr>
          <w:rStyle w:val="Refdenotaderodap"/>
          <w:rFonts w:asciiTheme="majorHAnsi" w:eastAsia="Malgun Gothic" w:hAnsiTheme="majorHAnsi" w:cs="Times New Roman"/>
          <w:sz w:val="24"/>
          <w:szCs w:val="24"/>
          <w:lang w:val="pt-BR"/>
        </w:rPr>
        <w:footnoteReference w:id="75"/>
      </w:r>
      <w:r w:rsidRPr="00057C8D">
        <w:rPr>
          <w:rFonts w:asciiTheme="majorHAnsi" w:eastAsia="Malgun Gothic" w:hAnsiTheme="majorHAnsi" w:cs="Times New Roman"/>
          <w:sz w:val="24"/>
          <w:szCs w:val="24"/>
          <w:lang w:val="pt-BR"/>
        </w:rPr>
        <w:t>.</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O legislador societário elencou um conjunto de deveres e obrigações à sociedade dominante no artigo 472º da LSC, no entanto da análise do mesmo artigo, podemos perceber que o legislador foi pouco feliz ao estabelecer algumas limitações à actuação da sociedade dominante – senão vejamos; no nº1 do artigo 472º o legislador exige que a sociedade dominante, por exercer o controlo sobre a dominada, na realização das actividades do grupo promova a realização do objecto social da sociedade dominada e como tal, estabelece no nº. 2 do mesmo artigo, as situações que constituem verdadeiras violações a este dever, máxime alíneas b), d) e f).</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 xml:space="preserve">Ocorre que o legislador no artigo 475º consagra o direito de dar instruções, inclusive desvantajosas, à sociedade dominada pela sociedade dominante. O direito de dar instruções outorgado à sociedade dominante é justificado pelo princípio da correlação poder-responsabilidade - que pressupõe a transferência total ou parcial, do poder de direcção da sociedade dominada para a sociedade dominante, justificado por este poder de dar instruções, consagrado no artigo 475º. – que pressupõe um acréscimo dos deveres e da responsabilidade dos órgãos da administração da sociedade dominante e, consequente diminuição e responsabilidades dos órgãos da sociedade dominada. </w:t>
      </w:r>
      <w:r w:rsidRPr="00057C8D">
        <w:rPr>
          <w:rStyle w:val="Refdenotaderodap"/>
          <w:rFonts w:asciiTheme="majorHAnsi" w:eastAsia="Malgun Gothic" w:hAnsiTheme="majorHAnsi" w:cs="Times New Roman"/>
          <w:sz w:val="24"/>
          <w:szCs w:val="24"/>
          <w:lang w:val="pt-BR"/>
        </w:rPr>
        <w:footnoteReference w:id="76"/>
      </w:r>
      <w:r w:rsidRPr="00057C8D">
        <w:rPr>
          <w:rFonts w:asciiTheme="majorHAnsi" w:eastAsia="Malgun Gothic" w:hAnsiTheme="majorHAnsi" w:cs="Times New Roman"/>
          <w:sz w:val="24"/>
          <w:szCs w:val="24"/>
          <w:lang w:val="pt-BR"/>
        </w:rPr>
        <w:t>Pelo que, não se compreende de que forma é garantido este direito de baixar instruções, inclusive desvantajosas, outorgada à sociedade dominante quando o legislador proíbe a sociedade dominante de tomar decisões que lesem o interesse da denominada, quando proíbe a sociedade dominante de celebrar contratos com a dominada que beneficiem terceiros. Naturalmente, “o legislador está a tirar com uma mão o que deu com a outra”.</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Razão pela qual, acompanhamos o defendido por Gilberto Luther, relativamente aos deveres elencados no artigo 472º “(...) são teleológica e irremediavelmente, inconciliáveis com direito de dar instruções do artigo 475. º, sendo que este último é a razão de ser quer do sistema especial de responsabilidade pelas perdas da sociedade dominante, com destaque para a responsabilidade pelas perdas da sociedade dominada, quer a responsabilidade para com os credores da sociedade dominada (..)”</w:t>
      </w:r>
      <w:r w:rsidRPr="00057C8D">
        <w:rPr>
          <w:rStyle w:val="Refdenotaderodap"/>
          <w:rFonts w:asciiTheme="majorHAnsi" w:eastAsia="Malgun Gothic" w:hAnsiTheme="majorHAnsi" w:cs="Times New Roman"/>
          <w:sz w:val="24"/>
          <w:szCs w:val="24"/>
          <w:lang w:val="pt-BR"/>
        </w:rPr>
        <w:footnoteReference w:id="77"/>
      </w:r>
      <w:r w:rsidRPr="00057C8D">
        <w:rPr>
          <w:rFonts w:asciiTheme="majorHAnsi" w:eastAsia="Malgun Gothic" w:hAnsiTheme="majorHAnsi" w:cs="Times New Roman"/>
          <w:sz w:val="24"/>
          <w:szCs w:val="24"/>
          <w:lang w:val="pt-BR"/>
        </w:rPr>
        <w:t>, por isso, seja necessário fazer-se uma interpretação correctiva do respectivo artigo.</w:t>
      </w:r>
    </w:p>
    <w:p w:rsidR="00057C8D" w:rsidRPr="00057C8D" w:rsidRDefault="0015797B" w:rsidP="00057C8D">
      <w:pPr>
        <w:spacing w:line="360" w:lineRule="auto"/>
        <w:rPr>
          <w:rFonts w:asciiTheme="majorHAnsi" w:eastAsia="Malgun Gothic" w:hAnsiTheme="majorHAnsi" w:cs="Times New Roman"/>
          <w:sz w:val="24"/>
          <w:szCs w:val="24"/>
          <w:lang w:val="pt-BR"/>
        </w:rPr>
      </w:pPr>
      <w:r>
        <w:rPr>
          <w:rFonts w:asciiTheme="majorHAnsi" w:eastAsia="Malgun Gothic" w:hAnsiTheme="majorHAnsi" w:cs="Times New Roman"/>
          <w:sz w:val="24"/>
          <w:szCs w:val="24"/>
          <w:lang w:val="pt-BR"/>
        </w:rPr>
        <w:t>Feito o aparte e d</w:t>
      </w:r>
      <w:r w:rsidR="00057C8D" w:rsidRPr="00057C8D">
        <w:rPr>
          <w:rFonts w:asciiTheme="majorHAnsi" w:eastAsia="Malgun Gothic" w:hAnsiTheme="majorHAnsi" w:cs="Times New Roman"/>
          <w:sz w:val="24"/>
          <w:szCs w:val="24"/>
          <w:lang w:val="pt-BR"/>
        </w:rPr>
        <w:t xml:space="preserve">e regresso a questão inicialmente colocada, vimos que o legislador nacional no artigo 475.º/4 estabeleceu um limite ao poder de emitir instruções, quando esteja em causa transferências de bens do activo da sociedade dominada para as outras sociedades do grupo, na medida em que tais transferências só serão permitidas se existir uma justa contrapartida. A questão que se coloca é de saber se esta “justa contrapartida” reserva-se apenas à sociedade dominada? Se existe uma necessidade de autonomizar esta regra? E se é possível com estes limites, estabelecer-se um contrato de </w:t>
      </w:r>
      <w:r w:rsidRPr="0015797B">
        <w:rPr>
          <w:rFonts w:asciiTheme="majorHAnsi" w:eastAsia="Malgun Gothic" w:hAnsiTheme="majorHAnsi" w:cs="Times New Roman"/>
          <w:i/>
          <w:sz w:val="24"/>
          <w:szCs w:val="24"/>
          <w:lang w:val="pt-BR"/>
        </w:rPr>
        <w:t>cash pooling</w:t>
      </w:r>
      <w:r>
        <w:rPr>
          <w:rFonts w:asciiTheme="majorHAnsi" w:eastAsia="Malgun Gothic" w:hAnsiTheme="majorHAnsi" w:cs="Times New Roman"/>
          <w:sz w:val="24"/>
          <w:szCs w:val="24"/>
          <w:lang w:val="pt-BR"/>
        </w:rPr>
        <w:t>?</w:t>
      </w:r>
      <w:r w:rsidR="00057C8D" w:rsidRPr="00057C8D">
        <w:rPr>
          <w:rFonts w:asciiTheme="majorHAnsi" w:eastAsia="Malgun Gothic" w:hAnsiTheme="majorHAnsi" w:cs="Times New Roman"/>
          <w:sz w:val="24"/>
          <w:szCs w:val="24"/>
          <w:lang w:val="pt-BR"/>
        </w:rPr>
        <w:t xml:space="preserve"> </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Relativamente a imposição normativa, entende o autor Countinho de Abreu que a mesma consubstancia-se na “confirmação das regras delimitadoras da capacidade jurídica das sociedades, previstas no art. 6.º da LSC. Entende ainda que a “justa contrapartida” não tem de ser necessariamente para a sociedade dominada que transfere os bens, podendo ser para qualquer sociedade do grupo, dai não existir qualquer necessidade de se autonomizar tal regra.</w:t>
      </w:r>
    </w:p>
    <w:p w:rsidR="00057C8D" w:rsidRPr="00057C8D" w:rsidRDefault="00057C8D" w:rsidP="00057C8D">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 xml:space="preserve">Quanto a questão de se saber se a sociedade dominante pode dar instruções vinculativas à sociedade dominada para participar numa estrutura da </w:t>
      </w:r>
      <w:r w:rsidRPr="00057C8D">
        <w:rPr>
          <w:rFonts w:asciiTheme="majorHAnsi" w:eastAsia="Malgun Gothic" w:hAnsiTheme="majorHAnsi" w:cs="Times New Roman"/>
          <w:i/>
          <w:sz w:val="24"/>
          <w:szCs w:val="24"/>
          <w:lang w:val="pt-BR"/>
        </w:rPr>
        <w:t>Cash Pooling</w:t>
      </w:r>
      <w:r w:rsidRPr="00057C8D">
        <w:rPr>
          <w:rFonts w:asciiTheme="majorHAnsi" w:eastAsia="Malgun Gothic" w:hAnsiTheme="majorHAnsi" w:cs="Times New Roman"/>
          <w:sz w:val="24"/>
          <w:szCs w:val="24"/>
          <w:lang w:val="pt-BR"/>
        </w:rPr>
        <w:t xml:space="preserve"> o autor defende que “(…) a participação de uma subsidiária numa estrutura de </w:t>
      </w:r>
      <w:r w:rsidRPr="00057C8D">
        <w:rPr>
          <w:rFonts w:asciiTheme="majorHAnsi" w:eastAsia="Malgun Gothic" w:hAnsiTheme="majorHAnsi" w:cs="Times New Roman"/>
          <w:i/>
          <w:sz w:val="24"/>
          <w:szCs w:val="24"/>
          <w:lang w:val="pt-BR"/>
        </w:rPr>
        <w:t>cash-pooling</w:t>
      </w:r>
      <w:r w:rsidRPr="00057C8D">
        <w:rPr>
          <w:rFonts w:asciiTheme="majorHAnsi" w:eastAsia="Malgun Gothic" w:hAnsiTheme="majorHAnsi" w:cs="Times New Roman"/>
          <w:sz w:val="24"/>
          <w:szCs w:val="24"/>
          <w:lang w:val="pt-BR"/>
        </w:rPr>
        <w:t xml:space="preserve"> não é necessáriamente imposta, hierarquicamente, pela sociedade-mãe à subsidiária. Pode muito bem ser decidido, por mote próprio, pela sociedade-filha, sob recomendação ou não da sociedade-mãe (..)”. todavia, o autor chama atenção pelo facto das instruções vinculativas não</w:t>
      </w:r>
      <w:r w:rsidR="0015797B">
        <w:rPr>
          <w:rFonts w:asciiTheme="majorHAnsi" w:eastAsia="Malgun Gothic" w:hAnsiTheme="majorHAnsi" w:cs="Times New Roman"/>
          <w:sz w:val="24"/>
          <w:szCs w:val="24"/>
          <w:lang w:val="pt-BR"/>
        </w:rPr>
        <w:t xml:space="preserve"> carecerem de uma forma</w:t>
      </w:r>
      <w:r w:rsidRPr="00057C8D">
        <w:rPr>
          <w:rFonts w:asciiTheme="majorHAnsi" w:eastAsia="Malgun Gothic" w:hAnsiTheme="majorHAnsi" w:cs="Times New Roman"/>
          <w:sz w:val="24"/>
          <w:szCs w:val="24"/>
          <w:lang w:val="pt-BR"/>
        </w:rPr>
        <w:t xml:space="preserve">, por isso, sempre que forem dadas, devem ser documentadas em acta. </w:t>
      </w:r>
    </w:p>
    <w:p w:rsidR="00057C8D" w:rsidRDefault="00057C8D" w:rsidP="009B214C">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Ana Perestrelo de Oliveira, a semelhança de Coutinho de Abreu entende que a “justa contrapartida” pode constituir uma vantagem tanto para a sociedade directora como para qualquer sociedade do grupo. Pensar de forma diversa, afectaria a eficiência dos recursos e consequentemente diminuiria a rentabilidade do grupo. Entende ainda  como desnecessária e injustificada a autonomização da regra, prevista no artigo 475.º nº4 e</w:t>
      </w:r>
      <w:r w:rsidR="0015797B">
        <w:rPr>
          <w:rFonts w:asciiTheme="majorHAnsi" w:eastAsia="Malgun Gothic" w:hAnsiTheme="majorHAnsi" w:cs="Times New Roman"/>
          <w:sz w:val="24"/>
          <w:szCs w:val="24"/>
          <w:lang w:val="pt-BR"/>
        </w:rPr>
        <w:t xml:space="preserve"> 4</w:t>
      </w:r>
      <w:r w:rsidR="00BD5E37">
        <w:rPr>
          <w:rFonts w:asciiTheme="majorHAnsi" w:eastAsia="Malgun Gothic" w:hAnsiTheme="majorHAnsi" w:cs="Times New Roman"/>
          <w:sz w:val="24"/>
          <w:szCs w:val="24"/>
          <w:lang w:val="pt-BR"/>
        </w:rPr>
        <w:t xml:space="preserve">91.º, </w:t>
      </w:r>
      <w:r w:rsidRPr="00057C8D">
        <w:rPr>
          <w:rFonts w:asciiTheme="majorHAnsi" w:eastAsia="Malgun Gothic" w:hAnsiTheme="majorHAnsi" w:cs="Times New Roman"/>
          <w:sz w:val="24"/>
          <w:szCs w:val="24"/>
          <w:lang w:val="pt-BR"/>
        </w:rPr>
        <w:t xml:space="preserve"> conclui dizendo que “(…) a sociedade-mãe pode exercer o seu poder de direcção de forma a obrigar a sociedade-filha a integrar um sistema de </w:t>
      </w:r>
      <w:r w:rsidRPr="00057C8D">
        <w:rPr>
          <w:rFonts w:asciiTheme="majorHAnsi" w:eastAsia="Malgun Gothic" w:hAnsiTheme="majorHAnsi" w:cs="Times New Roman"/>
          <w:i/>
          <w:sz w:val="24"/>
          <w:szCs w:val="24"/>
          <w:lang w:val="pt-BR"/>
        </w:rPr>
        <w:t>cash management</w:t>
      </w:r>
      <w:r w:rsidRPr="00057C8D">
        <w:rPr>
          <w:rFonts w:asciiTheme="majorHAnsi" w:eastAsia="Malgun Gothic" w:hAnsiTheme="majorHAnsi" w:cs="Times New Roman"/>
          <w:sz w:val="24"/>
          <w:szCs w:val="24"/>
          <w:lang w:val="pt-BR"/>
        </w:rPr>
        <w:t xml:space="preserve"> centralizado” e apresenta como única limitação à implementação deste sistema, se “privar as sociedades subordinadas de liquidez financeira indispensável ao seu próprio funcionamento”.</w:t>
      </w:r>
      <w:r w:rsidRPr="00057C8D">
        <w:rPr>
          <w:rStyle w:val="Refdenotaderodap"/>
          <w:rFonts w:asciiTheme="majorHAnsi" w:eastAsia="Malgun Gothic" w:hAnsiTheme="majorHAnsi" w:cs="Times New Roman"/>
          <w:sz w:val="24"/>
          <w:szCs w:val="24"/>
          <w:lang w:val="pt-BR"/>
        </w:rPr>
        <w:footnoteReference w:id="78"/>
      </w:r>
    </w:p>
    <w:p w:rsidR="00057C8D" w:rsidRPr="00057C8D" w:rsidRDefault="00057C8D" w:rsidP="009B214C">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Facto é, que os interesses prosseguidos pela sociedade dominante, visam, via de regra, alcançar resultados positivos para a satisfação das necessidade do grupo como um todo, dai que, para atingir tal desiderato, em alguns casos, os interesses colidam com os interesses das sociedades dominadas. A pensar nisso, o legislador nacional permitiu que fossem emitidas instruções vinculativas e até desvantajosas às sociedades dominadas/subordinadas, tendo sempre em conta que se trata de um poder/dever, na medida em que a sociedade directora responde sempre pelos prejuizos que der causa a sociedade dominada.</w:t>
      </w:r>
    </w:p>
    <w:p w:rsidR="00BD5E37" w:rsidRPr="003B7A45" w:rsidRDefault="00057C8D" w:rsidP="003B7A45">
      <w:pPr>
        <w:spacing w:line="360" w:lineRule="auto"/>
        <w:rPr>
          <w:rFonts w:asciiTheme="majorHAnsi" w:eastAsia="Malgun Gothic" w:hAnsiTheme="majorHAnsi" w:cs="Times New Roman"/>
          <w:sz w:val="24"/>
          <w:szCs w:val="24"/>
          <w:lang w:val="pt-BR"/>
        </w:rPr>
      </w:pPr>
      <w:r w:rsidRPr="00057C8D">
        <w:rPr>
          <w:rFonts w:asciiTheme="majorHAnsi" w:eastAsia="Malgun Gothic" w:hAnsiTheme="majorHAnsi" w:cs="Times New Roman"/>
          <w:sz w:val="24"/>
          <w:szCs w:val="24"/>
          <w:lang w:val="pt-BR"/>
        </w:rPr>
        <w:t>Parece-nos claro que dentro deste poder outorgado à sociedade directora, a mesma pode recomendar e até mesmo emitir ordens por formas a obrigar a sociedade-filha a integrar um sistema de</w:t>
      </w:r>
      <w:r w:rsidRPr="00057C8D">
        <w:rPr>
          <w:rFonts w:asciiTheme="majorHAnsi" w:eastAsia="Malgun Gothic" w:hAnsiTheme="majorHAnsi" w:cs="Times New Roman"/>
          <w:i/>
          <w:sz w:val="24"/>
          <w:szCs w:val="24"/>
          <w:lang w:val="pt-BR"/>
        </w:rPr>
        <w:t xml:space="preserve"> cash pooling. </w:t>
      </w:r>
    </w:p>
    <w:p w:rsidR="0001193A" w:rsidRDefault="003829D3" w:rsidP="00720F02">
      <w:pPr>
        <w:pStyle w:val="PargrafodaLista"/>
        <w:numPr>
          <w:ilvl w:val="0"/>
          <w:numId w:val="12"/>
        </w:numPr>
        <w:spacing w:before="0" w:after="200" w:line="360" w:lineRule="auto"/>
        <w:rPr>
          <w:rFonts w:asciiTheme="majorHAnsi" w:hAnsiTheme="majorHAnsi" w:cs="Times New Roman"/>
          <w:b/>
          <w:sz w:val="24"/>
          <w:szCs w:val="24"/>
          <w:lang w:val="pt-BR"/>
        </w:rPr>
      </w:pPr>
      <w:r>
        <w:rPr>
          <w:rFonts w:asciiTheme="majorHAnsi" w:hAnsiTheme="majorHAnsi" w:cs="Times New Roman"/>
          <w:b/>
          <w:sz w:val="24"/>
          <w:szCs w:val="24"/>
          <w:lang w:val="pt-BR"/>
        </w:rPr>
        <w:t xml:space="preserve"> </w:t>
      </w:r>
      <w:r w:rsidR="00B5741D" w:rsidRPr="00B5741D">
        <w:rPr>
          <w:rFonts w:asciiTheme="majorHAnsi" w:hAnsiTheme="majorHAnsi" w:cs="Times New Roman"/>
          <w:b/>
          <w:sz w:val="24"/>
          <w:szCs w:val="24"/>
          <w:lang w:val="pt-BR"/>
        </w:rPr>
        <w:t>A eventual confusão de patrimónios</w:t>
      </w:r>
    </w:p>
    <w:p w:rsidR="00DD4A04" w:rsidRDefault="00B5741D" w:rsidP="00B5741D">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Uma gestão abusiva por parte da entidade centralizadora pode acarretar danos patrimoniais para a</w:t>
      </w:r>
      <w:r w:rsidR="003829D3">
        <w:rPr>
          <w:rFonts w:asciiTheme="majorHAnsi" w:hAnsiTheme="majorHAnsi" w:cs="Times New Roman"/>
          <w:sz w:val="24"/>
          <w:szCs w:val="24"/>
          <w:lang w:val="pt-BR"/>
        </w:rPr>
        <w:t>s</w:t>
      </w:r>
      <w:r>
        <w:rPr>
          <w:rFonts w:asciiTheme="majorHAnsi" w:hAnsiTheme="majorHAnsi" w:cs="Times New Roman"/>
          <w:sz w:val="24"/>
          <w:szCs w:val="24"/>
          <w:lang w:val="pt-BR"/>
        </w:rPr>
        <w:t xml:space="preserve"> sociedades participantes no sistema de </w:t>
      </w:r>
      <w:r w:rsidRPr="00B5741D">
        <w:rPr>
          <w:rFonts w:asciiTheme="majorHAnsi" w:hAnsiTheme="majorHAnsi" w:cs="Times New Roman"/>
          <w:i/>
          <w:sz w:val="24"/>
          <w:szCs w:val="24"/>
          <w:lang w:val="pt-BR"/>
        </w:rPr>
        <w:t>cash pooling</w:t>
      </w:r>
      <w:r w:rsidR="003829D3">
        <w:rPr>
          <w:rFonts w:asciiTheme="majorHAnsi" w:hAnsiTheme="majorHAnsi" w:cs="Times New Roman"/>
          <w:sz w:val="24"/>
          <w:szCs w:val="24"/>
          <w:lang w:val="pt-BR"/>
        </w:rPr>
        <w:t>.</w:t>
      </w:r>
      <w:r w:rsidR="003829D3">
        <w:rPr>
          <w:rFonts w:asciiTheme="majorHAnsi" w:hAnsiTheme="majorHAnsi" w:cs="Times New Roman"/>
          <w:i/>
          <w:sz w:val="24"/>
          <w:szCs w:val="24"/>
          <w:lang w:val="pt-BR"/>
        </w:rPr>
        <w:t xml:space="preserve"> </w:t>
      </w:r>
      <w:r w:rsidR="003829D3">
        <w:rPr>
          <w:rFonts w:asciiTheme="majorHAnsi" w:hAnsiTheme="majorHAnsi" w:cs="Times New Roman"/>
          <w:sz w:val="24"/>
          <w:szCs w:val="24"/>
          <w:lang w:val="pt-BR"/>
        </w:rPr>
        <w:t xml:space="preserve">Quando isso acontece, ou seja, quando a má gestão provoca danos patrimoniais para as sociedades, para os sócios e para os seus credores sociais das sociedades participantes, podem estes, responsabilizar os administradores da sociedade </w:t>
      </w:r>
      <w:r w:rsidR="003829D3" w:rsidRPr="00DD4A04">
        <w:rPr>
          <w:rFonts w:asciiTheme="majorHAnsi" w:hAnsiTheme="majorHAnsi" w:cs="Times New Roman"/>
          <w:i/>
          <w:sz w:val="24"/>
          <w:szCs w:val="24"/>
          <w:lang w:val="pt-BR"/>
        </w:rPr>
        <w:t>pooler</w:t>
      </w:r>
      <w:r w:rsidR="00DD4A04">
        <w:rPr>
          <w:rFonts w:asciiTheme="majorHAnsi" w:hAnsiTheme="majorHAnsi" w:cs="Times New Roman"/>
          <w:sz w:val="24"/>
          <w:szCs w:val="24"/>
          <w:lang w:val="pt-BR"/>
        </w:rPr>
        <w:t>, nos termos previstos na LSC.</w:t>
      </w:r>
      <w:r w:rsidR="00234A40">
        <w:rPr>
          <w:rFonts w:asciiTheme="majorHAnsi" w:hAnsiTheme="majorHAnsi" w:cs="Times New Roman"/>
          <w:sz w:val="24"/>
          <w:szCs w:val="24"/>
          <w:lang w:val="pt-BR"/>
        </w:rPr>
        <w:t xml:space="preserve"> </w:t>
      </w:r>
      <w:r w:rsidR="00991166">
        <w:rPr>
          <w:rFonts w:asciiTheme="majorHAnsi" w:hAnsiTheme="majorHAnsi" w:cs="Times New Roman"/>
          <w:sz w:val="24"/>
          <w:szCs w:val="24"/>
          <w:lang w:val="pt-BR"/>
        </w:rPr>
        <w:t xml:space="preserve">Ora, </w:t>
      </w:r>
      <w:r w:rsidR="00DD4A04">
        <w:rPr>
          <w:rFonts w:asciiTheme="majorHAnsi" w:hAnsiTheme="majorHAnsi" w:cs="Times New Roman"/>
          <w:sz w:val="24"/>
          <w:szCs w:val="24"/>
          <w:lang w:val="pt-BR"/>
        </w:rPr>
        <w:t xml:space="preserve">uma gestão correcta do sistema de </w:t>
      </w:r>
      <w:r w:rsidR="00DD4A04" w:rsidRPr="00DD4A04">
        <w:rPr>
          <w:rFonts w:asciiTheme="majorHAnsi" w:hAnsiTheme="majorHAnsi" w:cs="Times New Roman"/>
          <w:i/>
          <w:sz w:val="24"/>
          <w:szCs w:val="24"/>
          <w:lang w:val="pt-BR"/>
        </w:rPr>
        <w:t>cash pooling</w:t>
      </w:r>
      <w:r w:rsidR="00DD4A04">
        <w:rPr>
          <w:rFonts w:asciiTheme="majorHAnsi" w:hAnsiTheme="majorHAnsi" w:cs="Times New Roman"/>
          <w:sz w:val="24"/>
          <w:szCs w:val="24"/>
          <w:lang w:val="pt-BR"/>
        </w:rPr>
        <w:t xml:space="preserve">  </w:t>
      </w:r>
      <w:r w:rsidR="00991166">
        <w:rPr>
          <w:rFonts w:asciiTheme="majorHAnsi" w:hAnsiTheme="majorHAnsi" w:cs="Times New Roman"/>
          <w:sz w:val="24"/>
          <w:szCs w:val="24"/>
          <w:lang w:val="pt-BR"/>
        </w:rPr>
        <w:t>pressupõe que se efectue uma correcta contabilidade da tesouraria</w:t>
      </w:r>
      <w:r w:rsidR="00CC6F12">
        <w:rPr>
          <w:rFonts w:asciiTheme="majorHAnsi" w:hAnsiTheme="majorHAnsi" w:cs="Times New Roman"/>
          <w:sz w:val="24"/>
          <w:szCs w:val="24"/>
          <w:lang w:val="pt-BR"/>
        </w:rPr>
        <w:t xml:space="preserve">, que se traduz na necessidade da entidade centralizadora manter em sua tesouraria todos os dados de todas as operações de tesouraria feitas, garantir a liquidez do grupo e assegurar que os activos transferidos para a </w:t>
      </w:r>
      <w:r w:rsidR="00CC6F12" w:rsidRPr="00BD5E37">
        <w:rPr>
          <w:rFonts w:asciiTheme="majorHAnsi" w:hAnsiTheme="majorHAnsi" w:cs="Times New Roman"/>
          <w:i/>
          <w:sz w:val="24"/>
          <w:szCs w:val="24"/>
          <w:lang w:val="pt-BR"/>
        </w:rPr>
        <w:t>pooler</w:t>
      </w:r>
      <w:r w:rsidR="00CC6F12">
        <w:rPr>
          <w:rFonts w:asciiTheme="majorHAnsi" w:hAnsiTheme="majorHAnsi" w:cs="Times New Roman"/>
          <w:sz w:val="24"/>
          <w:szCs w:val="24"/>
          <w:lang w:val="pt-BR"/>
        </w:rPr>
        <w:t xml:space="preserve"> sejam utilizadas para cubrir as necessidades do grupo. </w:t>
      </w:r>
    </w:p>
    <w:p w:rsidR="00DC1A3F" w:rsidRDefault="00CC6F12"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Segundo Alessandra Daccò, a nível do direito francês tem-se entendido que só se verifica confusão de patrimónios quando </w:t>
      </w:r>
      <w:r w:rsidR="009D27D5">
        <w:rPr>
          <w:rFonts w:asciiTheme="majorHAnsi" w:hAnsiTheme="majorHAnsi" w:cs="Times New Roman"/>
          <w:sz w:val="24"/>
          <w:szCs w:val="24"/>
          <w:lang w:val="pt-BR"/>
        </w:rPr>
        <w:t xml:space="preserve">i) as partes (entidade centralizadora e as sociedades participantes) não efectuam uma correcta manutenção da tesouraria e ii) quando as diversas operações de tesouraria não se encontram reflectidas na contabilidade </w:t>
      </w:r>
      <w:r w:rsidR="0060556B">
        <w:rPr>
          <w:rFonts w:asciiTheme="majorHAnsi" w:hAnsiTheme="majorHAnsi" w:cs="Times New Roman"/>
          <w:sz w:val="24"/>
          <w:szCs w:val="24"/>
          <w:lang w:val="pt-BR"/>
        </w:rPr>
        <w:t xml:space="preserve">do grupo. </w:t>
      </w:r>
      <w:r w:rsidR="00A4634D">
        <w:rPr>
          <w:rFonts w:asciiTheme="majorHAnsi" w:hAnsiTheme="majorHAnsi" w:cs="Times New Roman"/>
          <w:sz w:val="24"/>
          <w:szCs w:val="24"/>
          <w:lang w:val="pt-BR"/>
        </w:rPr>
        <w:t xml:space="preserve"> </w:t>
      </w:r>
    </w:p>
    <w:p w:rsidR="003D4949" w:rsidRDefault="00A4634D"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Questiona-se se nas situações em que seja comprovado a existência de uma confusão de patrimónios, deve-se efectuar o levan</w:t>
      </w:r>
      <w:r w:rsidR="003B7A45">
        <w:rPr>
          <w:rFonts w:asciiTheme="majorHAnsi" w:hAnsiTheme="majorHAnsi" w:cs="Times New Roman"/>
          <w:sz w:val="24"/>
          <w:szCs w:val="24"/>
          <w:lang w:val="pt-BR"/>
        </w:rPr>
        <w:t>tamente da personalidade do grupo</w:t>
      </w:r>
      <w:r w:rsidR="003D4949">
        <w:rPr>
          <w:rFonts w:asciiTheme="majorHAnsi" w:hAnsiTheme="majorHAnsi" w:cs="Times New Roman"/>
          <w:sz w:val="24"/>
          <w:szCs w:val="24"/>
          <w:lang w:val="pt-BR"/>
        </w:rPr>
        <w:t xml:space="preserve">? Sobre o assunto, Ana Perestrelo </w:t>
      </w:r>
      <w:r w:rsidR="002E3597">
        <w:rPr>
          <w:rFonts w:asciiTheme="majorHAnsi" w:hAnsiTheme="majorHAnsi" w:cs="Times New Roman"/>
          <w:sz w:val="24"/>
          <w:szCs w:val="24"/>
          <w:lang w:val="pt-BR"/>
        </w:rPr>
        <w:t xml:space="preserve">chama atenção para necessidade de analisar se efectivamente seja necessário recorrer a este instituto, quando se trate de um grupo de sociedades, isso porque, o grupo deve ser visto como uma “verdadeira unidade: unidade económica, </w:t>
      </w:r>
      <w:r w:rsidR="00313FA8">
        <w:rPr>
          <w:rFonts w:asciiTheme="majorHAnsi" w:hAnsiTheme="majorHAnsi" w:cs="Times New Roman"/>
          <w:sz w:val="24"/>
          <w:szCs w:val="24"/>
          <w:lang w:val="pt-BR"/>
        </w:rPr>
        <w:t>comercial e financeira”</w:t>
      </w:r>
      <w:r w:rsidR="008A71B6">
        <w:rPr>
          <w:rFonts w:asciiTheme="majorHAnsi" w:hAnsiTheme="majorHAnsi" w:cs="Times New Roman"/>
          <w:sz w:val="24"/>
          <w:szCs w:val="24"/>
          <w:lang w:val="pt-BR"/>
        </w:rPr>
        <w:t xml:space="preserve"> e que dentro de determinados limites, é legítima a unidade de direcção</w:t>
      </w:r>
      <w:r w:rsidR="006267A8">
        <w:rPr>
          <w:rFonts w:asciiTheme="majorHAnsi" w:hAnsiTheme="majorHAnsi" w:cs="Times New Roman"/>
          <w:sz w:val="24"/>
          <w:szCs w:val="24"/>
          <w:lang w:val="pt-BR"/>
        </w:rPr>
        <w:t>. E</w:t>
      </w:r>
      <w:r w:rsidR="003D4949">
        <w:rPr>
          <w:rFonts w:asciiTheme="majorHAnsi" w:hAnsiTheme="majorHAnsi" w:cs="Times New Roman"/>
          <w:sz w:val="24"/>
          <w:szCs w:val="24"/>
          <w:lang w:val="pt-BR"/>
        </w:rPr>
        <w:t>ntende</w:t>
      </w:r>
      <w:r w:rsidR="006267A8">
        <w:rPr>
          <w:rFonts w:asciiTheme="majorHAnsi" w:hAnsiTheme="majorHAnsi" w:cs="Times New Roman"/>
          <w:sz w:val="24"/>
          <w:szCs w:val="24"/>
          <w:lang w:val="pt-BR"/>
        </w:rPr>
        <w:t xml:space="preserve"> a autora</w:t>
      </w:r>
      <w:r w:rsidR="003D4949">
        <w:rPr>
          <w:rFonts w:asciiTheme="majorHAnsi" w:hAnsiTheme="majorHAnsi" w:cs="Times New Roman"/>
          <w:sz w:val="24"/>
          <w:szCs w:val="24"/>
          <w:lang w:val="pt-BR"/>
        </w:rPr>
        <w:t xml:space="preserve"> que “sempre que se verifique confusão de patrimónios é mais simples, mais justo e mais económico haver processo de insolvência do grupo”. </w:t>
      </w:r>
    </w:p>
    <w:p w:rsidR="006267A8" w:rsidRDefault="006267A8"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Ora, o instituto do levantamento de personalidade colectiva ou desconsideração da personalidade jurídica é um instituto que foi concebido, com vista a evitar que, sob a capa da personalidade jurídica colectiva, sejam prosseguidos interesses individuais, em detrimento dos interesses de terceiros, prejudicando desta forma, o disposto legal. </w:t>
      </w:r>
      <w:r w:rsidR="00BE613A">
        <w:rPr>
          <w:rStyle w:val="Refdenotaderodap"/>
          <w:rFonts w:asciiTheme="majorHAnsi" w:hAnsiTheme="majorHAnsi" w:cs="Times New Roman"/>
          <w:sz w:val="24"/>
          <w:szCs w:val="24"/>
          <w:lang w:val="pt-BR"/>
        </w:rPr>
        <w:footnoteReference w:id="79"/>
      </w:r>
    </w:p>
    <w:p w:rsidR="006267A8" w:rsidRDefault="006267A8"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Este instituto tem natureza subsidiária</w:t>
      </w:r>
      <w:r w:rsidR="008A37A7">
        <w:rPr>
          <w:rFonts w:asciiTheme="majorHAnsi" w:hAnsiTheme="majorHAnsi" w:cs="Times New Roman"/>
          <w:sz w:val="24"/>
          <w:szCs w:val="24"/>
          <w:lang w:val="pt-BR"/>
        </w:rPr>
        <w:t xml:space="preserve">, na medida em que ele só é </w:t>
      </w:r>
      <w:r w:rsidR="00536E1E">
        <w:rPr>
          <w:rFonts w:asciiTheme="majorHAnsi" w:hAnsiTheme="majorHAnsi" w:cs="Times New Roman"/>
          <w:sz w:val="24"/>
          <w:szCs w:val="24"/>
          <w:lang w:val="pt-BR"/>
        </w:rPr>
        <w:t>aplicado, nas situações em que os mecanismos de tutela dos credores sociais se tornam ineficazes.  N</w:t>
      </w:r>
      <w:r w:rsidR="008A37A7">
        <w:rPr>
          <w:rFonts w:asciiTheme="majorHAnsi" w:hAnsiTheme="majorHAnsi" w:cs="Times New Roman"/>
          <w:sz w:val="24"/>
          <w:szCs w:val="24"/>
          <w:lang w:val="pt-BR"/>
        </w:rPr>
        <w:t xml:space="preserve">estas situações poderá se justificar o recurso à aplicação da técnica da desconsideração da personalidade jurídica, que obedece a apertados pressupostos, </w:t>
      </w:r>
      <w:r w:rsidR="008A71B6">
        <w:rPr>
          <w:rFonts w:asciiTheme="majorHAnsi" w:hAnsiTheme="majorHAnsi" w:cs="Times New Roman"/>
          <w:sz w:val="24"/>
          <w:szCs w:val="24"/>
          <w:lang w:val="pt-BR"/>
        </w:rPr>
        <w:t>principalmente</w:t>
      </w:r>
      <w:r w:rsidR="008A37A7">
        <w:rPr>
          <w:rFonts w:asciiTheme="majorHAnsi" w:hAnsiTheme="majorHAnsi" w:cs="Times New Roman"/>
          <w:sz w:val="24"/>
          <w:szCs w:val="24"/>
          <w:lang w:val="pt-BR"/>
        </w:rPr>
        <w:t xml:space="preserve"> a nível do abuso de direito, uma vez que, o instituto surgiu para dar resposta aos abusos da pessoa colectiva.</w:t>
      </w:r>
      <w:r w:rsidR="008A37A7">
        <w:rPr>
          <w:rStyle w:val="Refdenotaderodap"/>
          <w:rFonts w:asciiTheme="majorHAnsi" w:hAnsiTheme="majorHAnsi" w:cs="Times New Roman"/>
          <w:sz w:val="24"/>
          <w:szCs w:val="24"/>
          <w:lang w:val="pt-BR"/>
        </w:rPr>
        <w:footnoteReference w:id="80"/>
      </w:r>
    </w:p>
    <w:p w:rsidR="005A584B" w:rsidRDefault="009C7E77"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No seio de um grupo, por estar em causa</w:t>
      </w:r>
      <w:r w:rsidR="008A37A7">
        <w:rPr>
          <w:rFonts w:asciiTheme="majorHAnsi" w:hAnsiTheme="majorHAnsi" w:cs="Times New Roman"/>
          <w:sz w:val="24"/>
          <w:szCs w:val="24"/>
          <w:lang w:val="pt-BR"/>
        </w:rPr>
        <w:t xml:space="preserve"> de uma relação especial</w:t>
      </w:r>
      <w:r w:rsidR="00404903">
        <w:rPr>
          <w:rFonts w:asciiTheme="majorHAnsi" w:hAnsiTheme="majorHAnsi" w:cs="Times New Roman"/>
          <w:sz w:val="24"/>
          <w:szCs w:val="24"/>
          <w:lang w:val="pt-BR"/>
        </w:rPr>
        <w:t xml:space="preserve">, </w:t>
      </w:r>
      <w:r>
        <w:rPr>
          <w:rFonts w:asciiTheme="majorHAnsi" w:hAnsiTheme="majorHAnsi" w:cs="Times New Roman"/>
          <w:sz w:val="24"/>
          <w:szCs w:val="24"/>
          <w:lang w:val="pt-BR"/>
        </w:rPr>
        <w:t xml:space="preserve">entende a autora </w:t>
      </w:r>
      <w:r w:rsidR="00A2622D">
        <w:rPr>
          <w:rFonts w:asciiTheme="majorHAnsi" w:hAnsiTheme="majorHAnsi" w:cs="Times New Roman"/>
          <w:sz w:val="24"/>
          <w:szCs w:val="24"/>
          <w:lang w:val="pt-BR"/>
        </w:rPr>
        <w:t xml:space="preserve">Maria de Fátima Ribeiro que se </w:t>
      </w:r>
      <w:r w:rsidR="00404903">
        <w:rPr>
          <w:rFonts w:asciiTheme="majorHAnsi" w:hAnsiTheme="majorHAnsi" w:cs="Times New Roman"/>
          <w:sz w:val="24"/>
          <w:szCs w:val="24"/>
          <w:lang w:val="pt-BR"/>
        </w:rPr>
        <w:t>“permitem, normalmente, a manutenção</w:t>
      </w:r>
      <w:r w:rsidR="008A71B6">
        <w:rPr>
          <w:rFonts w:asciiTheme="majorHAnsi" w:hAnsiTheme="majorHAnsi" w:cs="Times New Roman"/>
          <w:sz w:val="24"/>
          <w:szCs w:val="24"/>
          <w:lang w:val="pt-BR"/>
        </w:rPr>
        <w:t xml:space="preserve"> </w:t>
      </w:r>
      <w:r w:rsidR="00404903">
        <w:rPr>
          <w:rFonts w:asciiTheme="majorHAnsi" w:hAnsiTheme="majorHAnsi" w:cs="Times New Roman"/>
          <w:sz w:val="24"/>
          <w:szCs w:val="24"/>
          <w:lang w:val="pt-BR"/>
        </w:rPr>
        <w:t>da independência jurídica entre cada um dos membros desses grupos, mas a sua constituição visa garantir uma direcção económica comum (…). O facto de uma sociedade se encontrar integrada num grupo altera a sua situação patrimonial, dado que o eventual sacrifício do seu interesse social ao interesse do grupo vai gerar na esfera deste último vantagens que só muito dificilmente poderão ser quantificadas, a troco de um sacrifício pela qual a sociedade poder não ser, em concreto, compensada. Os grupos de sociedades caracterizam-se ainda por uma típica permeabilidade do património das sociedades do grupo. A garantia patrimonial dos credores de uma sociedade de grupo vê-se assim ameaçada</w:t>
      </w:r>
      <w:r w:rsidR="00536E1E">
        <w:rPr>
          <w:rFonts w:asciiTheme="majorHAnsi" w:hAnsiTheme="majorHAnsi" w:cs="Times New Roman"/>
          <w:sz w:val="24"/>
          <w:szCs w:val="24"/>
          <w:lang w:val="pt-BR"/>
        </w:rPr>
        <w:t>”</w:t>
      </w:r>
      <w:r w:rsidR="00404903">
        <w:rPr>
          <w:rStyle w:val="Refdenotaderodap"/>
          <w:rFonts w:asciiTheme="majorHAnsi" w:hAnsiTheme="majorHAnsi" w:cs="Times New Roman"/>
          <w:sz w:val="24"/>
          <w:szCs w:val="24"/>
          <w:lang w:val="pt-BR"/>
        </w:rPr>
        <w:footnoteReference w:id="81"/>
      </w:r>
    </w:p>
    <w:p w:rsidR="00BC002F" w:rsidRDefault="00A2622D"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Dai que, n</w:t>
      </w:r>
      <w:r w:rsidR="005A584B">
        <w:rPr>
          <w:rFonts w:asciiTheme="majorHAnsi" w:hAnsiTheme="majorHAnsi" w:cs="Times New Roman"/>
          <w:sz w:val="24"/>
          <w:szCs w:val="24"/>
          <w:lang w:val="pt-BR"/>
        </w:rPr>
        <w:t>os grupos,</w:t>
      </w:r>
      <w:r w:rsidR="00536E1E">
        <w:rPr>
          <w:rFonts w:asciiTheme="majorHAnsi" w:hAnsiTheme="majorHAnsi" w:cs="Times New Roman"/>
          <w:sz w:val="24"/>
          <w:szCs w:val="24"/>
          <w:lang w:val="pt-BR"/>
        </w:rPr>
        <w:t xml:space="preserve"> o instituto é chamado, </w:t>
      </w:r>
      <w:r w:rsidR="005A584B">
        <w:rPr>
          <w:rFonts w:asciiTheme="majorHAnsi" w:hAnsiTheme="majorHAnsi" w:cs="Times New Roman"/>
          <w:sz w:val="24"/>
          <w:szCs w:val="24"/>
          <w:lang w:val="pt-BR"/>
        </w:rPr>
        <w:t>nas situações em que haja subcapitalização da sociedade e descapitalização provocada ou havendo</w:t>
      </w:r>
      <w:r w:rsidR="00916C8C">
        <w:rPr>
          <w:rFonts w:asciiTheme="majorHAnsi" w:hAnsiTheme="majorHAnsi" w:cs="Times New Roman"/>
          <w:sz w:val="24"/>
          <w:szCs w:val="24"/>
          <w:lang w:val="pt-BR"/>
        </w:rPr>
        <w:t xml:space="preserve"> confusão de esferas jurídicas ou </w:t>
      </w:r>
      <w:r w:rsidR="005A584B">
        <w:rPr>
          <w:rFonts w:asciiTheme="majorHAnsi" w:hAnsiTheme="majorHAnsi" w:cs="Times New Roman"/>
          <w:sz w:val="24"/>
          <w:szCs w:val="24"/>
          <w:lang w:val="pt-BR"/>
        </w:rPr>
        <w:t xml:space="preserve">confusão de patrimónios e domínio qualificado de uma sociedade sobre a outra. </w:t>
      </w:r>
      <w:r w:rsidR="005A584B">
        <w:rPr>
          <w:rStyle w:val="Refdenotaderodap"/>
          <w:rFonts w:asciiTheme="majorHAnsi" w:hAnsiTheme="majorHAnsi" w:cs="Times New Roman"/>
          <w:sz w:val="24"/>
          <w:szCs w:val="24"/>
          <w:lang w:val="pt-BR"/>
        </w:rPr>
        <w:footnoteReference w:id="82"/>
      </w:r>
    </w:p>
    <w:p w:rsidR="0046328A" w:rsidRDefault="00BC002F"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 xml:space="preserve">Atentemos para o ponto da nossa discussão, - a confusão de </w:t>
      </w:r>
      <w:r w:rsidR="00916C8C">
        <w:rPr>
          <w:rFonts w:asciiTheme="majorHAnsi" w:hAnsiTheme="majorHAnsi" w:cs="Times New Roman"/>
          <w:sz w:val="24"/>
          <w:szCs w:val="24"/>
          <w:lang w:val="pt-BR"/>
        </w:rPr>
        <w:t xml:space="preserve">esferas jurídicas </w:t>
      </w:r>
      <w:r w:rsidR="001C1AEA">
        <w:rPr>
          <w:rFonts w:asciiTheme="majorHAnsi" w:hAnsiTheme="majorHAnsi" w:cs="Times New Roman"/>
          <w:sz w:val="24"/>
          <w:szCs w:val="24"/>
          <w:lang w:val="pt-BR"/>
        </w:rPr>
        <w:t>–</w:t>
      </w:r>
      <w:r w:rsidR="00916C8C">
        <w:rPr>
          <w:rFonts w:asciiTheme="majorHAnsi" w:hAnsiTheme="majorHAnsi" w:cs="Times New Roman"/>
          <w:sz w:val="24"/>
          <w:szCs w:val="24"/>
          <w:lang w:val="pt-BR"/>
        </w:rPr>
        <w:t xml:space="preserve"> </w:t>
      </w:r>
      <w:r w:rsidR="001C1AEA">
        <w:rPr>
          <w:rFonts w:asciiTheme="majorHAnsi" w:hAnsiTheme="majorHAnsi" w:cs="Times New Roman"/>
          <w:sz w:val="24"/>
          <w:szCs w:val="24"/>
          <w:lang w:val="pt-BR"/>
        </w:rPr>
        <w:t>que ocorre quando, “por inobservância de certas regras societárias ou, mesmo, por decorrência puramente objectivas, não fique claro, na prática, a separação entre o património da sociedade e a do sócio ou dos sócios ou entre o património da sociedade directora e o das sociedades subordinadas, com desrespeito à regras societárias, nomeadamente contabilísticas”</w:t>
      </w:r>
      <w:r w:rsidR="0046328A">
        <w:rPr>
          <w:rFonts w:asciiTheme="majorHAnsi" w:hAnsiTheme="majorHAnsi" w:cs="Times New Roman"/>
          <w:sz w:val="24"/>
          <w:szCs w:val="24"/>
          <w:lang w:val="pt-BR"/>
        </w:rPr>
        <w:t xml:space="preserve">. </w:t>
      </w:r>
    </w:p>
    <w:p w:rsidR="00BC002F" w:rsidRDefault="0046328A"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Ora, a nível dos grupos, onde há uma relação de domínio a sociedade-mãe é detentora do poder de direcção e como tal, tem o poder de emitir instruções à sociedade-filha, mesmo que sejam desvantajosas, bastanto para o efeito, fazer prova de que essa instrução, apesar de ser desvantajosa, trouxe benefícios quer para a sociedade-mãe ou para qualquer sociedade do grupo</w:t>
      </w:r>
      <w:r w:rsidR="004876CC">
        <w:rPr>
          <w:rFonts w:asciiTheme="majorHAnsi" w:hAnsiTheme="majorHAnsi" w:cs="Times New Roman"/>
          <w:sz w:val="24"/>
          <w:szCs w:val="24"/>
          <w:lang w:val="pt-BR"/>
        </w:rPr>
        <w:t xml:space="preserve">. Como contrapartida, a sociedade-mãe deverá responder por todas as perdas da sociedade subordinada. </w:t>
      </w:r>
      <w:r w:rsidR="00BC002F">
        <w:rPr>
          <w:rFonts w:asciiTheme="majorHAnsi" w:hAnsiTheme="majorHAnsi" w:cs="Times New Roman"/>
          <w:sz w:val="24"/>
          <w:szCs w:val="24"/>
          <w:lang w:val="pt-BR"/>
        </w:rPr>
        <w:t xml:space="preserve"> </w:t>
      </w:r>
    </w:p>
    <w:p w:rsidR="00BD55DD" w:rsidRDefault="00EB2A4E"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É dentro deste poder outorgado à</w:t>
      </w:r>
      <w:r w:rsidR="00BD55DD">
        <w:rPr>
          <w:rFonts w:asciiTheme="majorHAnsi" w:hAnsiTheme="majorHAnsi" w:cs="Times New Roman"/>
          <w:sz w:val="24"/>
          <w:szCs w:val="24"/>
          <w:lang w:val="pt-BR"/>
        </w:rPr>
        <w:t xml:space="preserve"> sociedade directora, que esta pode actuar de forma abusiva, actuando com vista a salvaguardar os seus interesses e prejudicando os interesses do grupo. Nas palavras de Coutinho de Abreu “(…) não é permitido aos sócios agravar ou despoletar a crise, descapitalizando a sociedade, liquidando-a “a frio”</w:t>
      </w:r>
      <w:r w:rsidR="006468A4">
        <w:rPr>
          <w:rFonts w:asciiTheme="majorHAnsi" w:hAnsiTheme="majorHAnsi" w:cs="Times New Roman"/>
          <w:sz w:val="24"/>
          <w:szCs w:val="24"/>
          <w:lang w:val="pt-BR"/>
        </w:rPr>
        <w:t xml:space="preserve"> ou inanindo-a em detrimento dos credores sociais. Menos ainda, quando eles continuam a mesma actividade em outra sociedade; quando em vez de (re)investirem na sociedade em crise, investem noutra ou descapitalizam (mais) a primeira, desacautelando direitos e interesses dos credores desta. Havendo abuso de direito (abuso institucional) há ilícito. Se houver também culpa dos sócios, dano para os credores e nexo de causalidade entre ele e o comportamento ilícito e culposo, temos os pressupostos para responsabilizar os sócios para com os credores sociais – apesar de ser a sociedade devedora e pese embora o princípio da separação (derrogado). </w:t>
      </w:r>
      <w:r w:rsidR="006468A4">
        <w:rPr>
          <w:rStyle w:val="Refdenotaderodap"/>
          <w:rFonts w:asciiTheme="majorHAnsi" w:hAnsiTheme="majorHAnsi" w:cs="Times New Roman"/>
          <w:sz w:val="24"/>
          <w:szCs w:val="24"/>
          <w:lang w:val="pt-BR"/>
        </w:rPr>
        <w:footnoteReference w:id="83"/>
      </w:r>
    </w:p>
    <w:p w:rsidR="004876CC" w:rsidRDefault="008A71B6"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É dentro desta perspectiva que entendemos que a nível do direito angolano ocorre a responsabilização por meio da desconsideração da personalidade jurídica da sociedade dominante quando se verifica a existência dos pressupostos acima referenciados, ou seja, quando ocorre uma “subv</w:t>
      </w:r>
      <w:r w:rsidR="00B52A34">
        <w:rPr>
          <w:rFonts w:asciiTheme="majorHAnsi" w:hAnsiTheme="majorHAnsi" w:cs="Times New Roman"/>
          <w:sz w:val="24"/>
          <w:szCs w:val="24"/>
          <w:lang w:val="pt-BR"/>
        </w:rPr>
        <w:t xml:space="preserve">ersão do interesse do grupo, o que </w:t>
      </w:r>
      <w:r w:rsidR="00EB2A4E">
        <w:rPr>
          <w:rFonts w:asciiTheme="majorHAnsi" w:hAnsiTheme="majorHAnsi" w:cs="Times New Roman"/>
          <w:sz w:val="24"/>
          <w:szCs w:val="24"/>
          <w:lang w:val="pt-BR"/>
        </w:rPr>
        <w:t xml:space="preserve">significa dizer, que, </w:t>
      </w:r>
      <w:r>
        <w:rPr>
          <w:rFonts w:asciiTheme="majorHAnsi" w:hAnsiTheme="majorHAnsi" w:cs="Times New Roman"/>
          <w:sz w:val="24"/>
          <w:szCs w:val="24"/>
          <w:lang w:val="pt-BR"/>
        </w:rPr>
        <w:t>sempre que</w:t>
      </w:r>
      <w:r w:rsidR="00EB2A4E">
        <w:rPr>
          <w:rFonts w:asciiTheme="majorHAnsi" w:hAnsiTheme="majorHAnsi" w:cs="Times New Roman"/>
          <w:sz w:val="24"/>
          <w:szCs w:val="24"/>
          <w:lang w:val="pt-BR"/>
        </w:rPr>
        <w:t xml:space="preserve"> determinada actuação não for</w:t>
      </w:r>
      <w:r>
        <w:rPr>
          <w:rFonts w:asciiTheme="majorHAnsi" w:hAnsiTheme="majorHAnsi" w:cs="Times New Roman"/>
          <w:sz w:val="24"/>
          <w:szCs w:val="24"/>
          <w:lang w:val="pt-BR"/>
        </w:rPr>
        <w:t xml:space="preserve"> praticada no inter</w:t>
      </w:r>
      <w:r w:rsidR="00EC34D6">
        <w:rPr>
          <w:rFonts w:asciiTheme="majorHAnsi" w:hAnsiTheme="majorHAnsi" w:cs="Times New Roman"/>
          <w:sz w:val="24"/>
          <w:szCs w:val="24"/>
          <w:lang w:val="pt-BR"/>
        </w:rPr>
        <w:t xml:space="preserve">esse do grupo e que cause danos, nomeadamente aos credores </w:t>
      </w:r>
      <w:r w:rsidR="00AD6200">
        <w:rPr>
          <w:rFonts w:asciiTheme="majorHAnsi" w:hAnsiTheme="majorHAnsi" w:cs="Times New Roman"/>
          <w:sz w:val="24"/>
          <w:szCs w:val="24"/>
          <w:lang w:val="pt-BR"/>
        </w:rPr>
        <w:t xml:space="preserve">ou aos trabalhadores, danos esses que se não mostram salvaguardados por previsão legal específica, nomeadamente pelos artigos </w:t>
      </w:r>
      <w:r w:rsidR="00B52A34">
        <w:rPr>
          <w:rFonts w:asciiTheme="majorHAnsi" w:hAnsiTheme="majorHAnsi" w:cs="Times New Roman"/>
          <w:sz w:val="24"/>
          <w:szCs w:val="24"/>
          <w:lang w:val="pt-BR"/>
        </w:rPr>
        <w:t>487.º e 490.º, ambos da LSC.”</w:t>
      </w:r>
    </w:p>
    <w:p w:rsidR="005609B7" w:rsidRDefault="00EB2A4E" w:rsidP="003D4949">
      <w:pPr>
        <w:spacing w:before="0" w:after="200" w:line="360" w:lineRule="auto"/>
        <w:rPr>
          <w:rFonts w:asciiTheme="majorHAnsi" w:hAnsiTheme="majorHAnsi" w:cs="Times New Roman"/>
          <w:sz w:val="24"/>
          <w:szCs w:val="24"/>
          <w:lang w:val="pt-BR"/>
        </w:rPr>
      </w:pPr>
      <w:r>
        <w:rPr>
          <w:rFonts w:asciiTheme="majorHAnsi" w:hAnsiTheme="majorHAnsi" w:cs="Times New Roman"/>
          <w:sz w:val="24"/>
          <w:szCs w:val="24"/>
          <w:lang w:val="pt-BR"/>
        </w:rPr>
        <w:t>Em suma, fruto desta</w:t>
      </w:r>
      <w:r w:rsidR="00B52A34">
        <w:rPr>
          <w:rFonts w:asciiTheme="majorHAnsi" w:hAnsiTheme="majorHAnsi" w:cs="Times New Roman"/>
          <w:sz w:val="24"/>
          <w:szCs w:val="24"/>
          <w:lang w:val="pt-BR"/>
        </w:rPr>
        <w:t xml:space="preserve"> relação esp</w:t>
      </w:r>
      <w:r>
        <w:rPr>
          <w:rFonts w:asciiTheme="majorHAnsi" w:hAnsiTheme="majorHAnsi" w:cs="Times New Roman"/>
          <w:sz w:val="24"/>
          <w:szCs w:val="24"/>
          <w:lang w:val="pt-BR"/>
        </w:rPr>
        <w:t>e</w:t>
      </w:r>
      <w:r w:rsidR="00B52A34">
        <w:rPr>
          <w:rFonts w:asciiTheme="majorHAnsi" w:hAnsiTheme="majorHAnsi" w:cs="Times New Roman"/>
          <w:sz w:val="24"/>
          <w:szCs w:val="24"/>
          <w:lang w:val="pt-BR"/>
        </w:rPr>
        <w:t xml:space="preserve">cial de grupo e pelo facto </w:t>
      </w:r>
      <w:r w:rsidR="00EB0F51">
        <w:rPr>
          <w:rFonts w:asciiTheme="majorHAnsi" w:hAnsiTheme="majorHAnsi" w:cs="Times New Roman"/>
          <w:sz w:val="24"/>
          <w:szCs w:val="24"/>
          <w:lang w:val="pt-BR"/>
        </w:rPr>
        <w:t xml:space="preserve">de existir no seio do grupo uma unidade de </w:t>
      </w:r>
      <w:r>
        <w:rPr>
          <w:rFonts w:asciiTheme="majorHAnsi" w:hAnsiTheme="majorHAnsi" w:cs="Times New Roman"/>
          <w:sz w:val="24"/>
          <w:szCs w:val="24"/>
          <w:lang w:val="pt-BR"/>
        </w:rPr>
        <w:t>direção,</w:t>
      </w:r>
      <w:r w:rsidR="00EB0F51">
        <w:rPr>
          <w:rFonts w:asciiTheme="majorHAnsi" w:hAnsiTheme="majorHAnsi" w:cs="Times New Roman"/>
          <w:sz w:val="24"/>
          <w:szCs w:val="24"/>
          <w:lang w:val="pt-BR"/>
        </w:rPr>
        <w:t xml:space="preserve"> a aplicação do instituto de levantamento da personalidade jurídica, só poderá ser usado a título excepcional, ou seja, nas situações em que se comprova a existência de uma situação de abudo de direito por parte da sociedade directora. </w:t>
      </w:r>
    </w:p>
    <w:p w:rsidR="00750A9F" w:rsidRDefault="00750A9F" w:rsidP="003D4949">
      <w:pPr>
        <w:spacing w:before="0" w:after="200" w:line="360" w:lineRule="auto"/>
        <w:rPr>
          <w:rFonts w:asciiTheme="majorHAnsi" w:hAnsiTheme="majorHAnsi" w:cs="Times New Roman"/>
          <w:sz w:val="24"/>
          <w:szCs w:val="24"/>
          <w:lang w:val="pt-BR"/>
        </w:rPr>
      </w:pPr>
    </w:p>
    <w:p w:rsidR="00750A9F" w:rsidRDefault="00750A9F" w:rsidP="003D4949">
      <w:pPr>
        <w:spacing w:before="0" w:after="200" w:line="360" w:lineRule="auto"/>
        <w:rPr>
          <w:rFonts w:asciiTheme="majorHAnsi" w:hAnsiTheme="majorHAnsi" w:cs="Times New Roman"/>
          <w:sz w:val="24"/>
          <w:szCs w:val="24"/>
          <w:lang w:val="pt-BR"/>
        </w:rPr>
      </w:pPr>
    </w:p>
    <w:p w:rsidR="005609B7" w:rsidRPr="005609B7" w:rsidRDefault="00EB2A4E" w:rsidP="00720F02">
      <w:pPr>
        <w:pStyle w:val="PargrafodaLista"/>
        <w:numPr>
          <w:ilvl w:val="0"/>
          <w:numId w:val="12"/>
        </w:numPr>
        <w:spacing w:before="0" w:after="0" w:line="360" w:lineRule="auto"/>
        <w:rPr>
          <w:rFonts w:asciiTheme="majorHAnsi" w:eastAsia="Batang" w:hAnsiTheme="majorHAnsi" w:cs="Times New Roman"/>
          <w:sz w:val="24"/>
          <w:szCs w:val="24"/>
          <w:lang w:val="pt-BR" w:eastAsia="pt-PT"/>
        </w:rPr>
      </w:pPr>
      <w:r>
        <w:rPr>
          <w:rFonts w:asciiTheme="majorHAnsi" w:hAnsiTheme="majorHAnsi" w:cs="Times New Roman"/>
          <w:b/>
          <w:sz w:val="24"/>
          <w:szCs w:val="24"/>
          <w:lang w:val="pt-BR"/>
        </w:rPr>
        <w:t xml:space="preserve"> </w:t>
      </w:r>
      <w:r w:rsidR="005609B7" w:rsidRPr="005609B7">
        <w:rPr>
          <w:rFonts w:asciiTheme="majorHAnsi" w:hAnsiTheme="majorHAnsi" w:cs="Times New Roman"/>
          <w:b/>
          <w:sz w:val="24"/>
          <w:szCs w:val="24"/>
          <w:lang w:val="pt-BR"/>
        </w:rPr>
        <w:t>A situação dos administradores das sociedades dependentes, relativamente ao património da mesma.</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Segundo Engrácia Antunes “a integração de uma sociedade num grupo de sociedades constitui uma fonte de inevitáveis e graves perigos, quer para si própria enquanto unidade económica quer para aqueles actores que entre eles gravitam, máxime os respectivos sócios e credores sociais”. Facto é que a inserção num grupo de sociedade deve ser ponderada, desde logo porque há uma perda da autonomia </w:t>
      </w:r>
      <w:r w:rsidR="0014543C" w:rsidRPr="005609B7">
        <w:rPr>
          <w:rFonts w:asciiTheme="majorHAnsi" w:eastAsia="Batang" w:hAnsiTheme="majorHAnsi" w:cs="Times New Roman"/>
          <w:sz w:val="24"/>
          <w:szCs w:val="24"/>
          <w:lang w:val="pt-BR" w:eastAsia="pt-PT"/>
        </w:rPr>
        <w:t>ec</w:t>
      </w:r>
      <w:r w:rsidR="0014543C">
        <w:rPr>
          <w:rFonts w:asciiTheme="majorHAnsi" w:eastAsia="Batang" w:hAnsiTheme="majorHAnsi" w:cs="Times New Roman"/>
          <w:sz w:val="24"/>
          <w:szCs w:val="24"/>
          <w:lang w:val="pt-BR" w:eastAsia="pt-PT"/>
        </w:rPr>
        <w:t xml:space="preserve">onômica-patrimonial, pois </w:t>
      </w:r>
      <w:r w:rsidRPr="005609B7">
        <w:rPr>
          <w:rFonts w:asciiTheme="majorHAnsi" w:eastAsia="Batang" w:hAnsiTheme="majorHAnsi" w:cs="Times New Roman"/>
          <w:sz w:val="24"/>
          <w:szCs w:val="24"/>
          <w:lang w:val="pt-BR" w:eastAsia="pt-PT"/>
        </w:rPr>
        <w:t>“a lógica patrimonial que acompanha a direcção económica unitária deixa de ser para a sociedade e da sua rentabilidade individual para passar a ser antes, a do seu contributo para a sobrevivencia e o sucesso globais do próprio grupo” (Antunes, 2002,p.124).</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É debaixo deste fogo cruzado que se encontram os administradores das sociedades dominadas, que estão obrigados, por um lado a actuar, tendo em vista a promoção e salvaguarda dos interesses da sociedade que administram e por outro, têm a obrigação de obedecer as instruções emitidas pelos administradores da sociedade-mãe, mesmo que sejam desvantajosas.</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Resta saber como irão salvaguardar os interesses da sociedade que administram quando são obrigados, por força das instruções emitidas pelos administradores da sociedade-mãe a transferir os lucros da sociedade filha para a sociedade mãe? Como protegerão o património da sociedade que administram quando lhes é imposto o banco com a qual deve negociar os empréstimos, domiciliar os depósitos e outros serviços afins, nem sempre em condições favoráveis; na dilação dos prazos ou limitação da distribuição dos dividendos, mediante a decisão de formação de reservas ou de realização de suprimentos</w:t>
      </w:r>
      <w:r w:rsidRPr="005609B7">
        <w:rPr>
          <w:rStyle w:val="Refdenotaderodap"/>
          <w:rFonts w:asciiTheme="majorHAnsi" w:eastAsia="Batang" w:hAnsiTheme="majorHAnsi" w:cs="Times New Roman"/>
          <w:sz w:val="24"/>
          <w:szCs w:val="24"/>
          <w:lang w:val="pt-BR" w:eastAsia="pt-PT"/>
        </w:rPr>
        <w:footnoteReference w:id="84"/>
      </w:r>
      <w:r w:rsidRPr="005609B7">
        <w:rPr>
          <w:rFonts w:asciiTheme="majorHAnsi" w:eastAsia="Batang" w:hAnsiTheme="majorHAnsi" w:cs="Times New Roman"/>
          <w:sz w:val="24"/>
          <w:szCs w:val="24"/>
          <w:lang w:val="pt-BR" w:eastAsia="pt-PT"/>
        </w:rPr>
        <w:t>.</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A situação dos administradores das sociedades dominadas torna-se ainda menos traquila quando o grupo se encontra em um cenário de </w:t>
      </w:r>
      <w:r w:rsidRPr="005609B7">
        <w:rPr>
          <w:rFonts w:asciiTheme="majorHAnsi" w:eastAsia="Batang" w:hAnsiTheme="majorHAnsi" w:cs="Times New Roman"/>
          <w:i/>
          <w:sz w:val="24"/>
          <w:szCs w:val="24"/>
          <w:lang w:val="pt-BR" w:eastAsia="pt-PT"/>
        </w:rPr>
        <w:t>cash pooling</w:t>
      </w:r>
      <w:r w:rsidRPr="005609B7">
        <w:rPr>
          <w:rFonts w:asciiTheme="majorHAnsi" w:eastAsia="Batang" w:hAnsiTheme="majorHAnsi" w:cs="Times New Roman"/>
          <w:sz w:val="24"/>
          <w:szCs w:val="24"/>
          <w:lang w:val="pt-BR" w:eastAsia="pt-PT"/>
        </w:rPr>
        <w:t>, na medida em que diariamente lhe é imposto a necessidade de ter saldos positivos em suas contas, de transferir activos para a conta da sociedade responsável pela gestão da tesouraria do grupo (</w:t>
      </w:r>
      <w:r w:rsidRPr="00EB0F51">
        <w:rPr>
          <w:rFonts w:asciiTheme="majorHAnsi" w:eastAsia="Batang" w:hAnsiTheme="majorHAnsi" w:cs="Times New Roman"/>
          <w:i/>
          <w:sz w:val="24"/>
          <w:szCs w:val="24"/>
          <w:lang w:val="pt-BR" w:eastAsia="pt-PT"/>
        </w:rPr>
        <w:t>pooler</w:t>
      </w:r>
      <w:r w:rsidRPr="005609B7">
        <w:rPr>
          <w:rFonts w:asciiTheme="majorHAnsi" w:eastAsia="Batang" w:hAnsiTheme="majorHAnsi" w:cs="Times New Roman"/>
          <w:sz w:val="24"/>
          <w:szCs w:val="24"/>
          <w:lang w:val="pt-BR" w:eastAsia="pt-PT"/>
        </w:rPr>
        <w:t>), quando lhe é imposto a decisão sobre a gestão dos activos da sua sociedade, sem que tenha em sua esfera o poder de actuar por formas a proteger o património.</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Neste contexto, importa saber quais seriam os mecanismos que os administradores das sociedades dominadas poderiam lançar mão, para defender os interesses da sociedade que administram? Será que podem responsabilizar a sociedade directora por condutas ilícitas que ponham em causa a solvabilidade do património da sociedade dominada?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De acordo com o artigo 475.º devem os administradores da sociedade directora adoptar, relativamente ao grupo, a diligência exigida por lei para a sua própria sociedade, quer com isso dizer, que a lei exige do administrador da sociedade directora, o mesmo padrão de conduta que se exige de qualquer administrador de uma sociedade. Assim, o legislador optou por não adoptar o critério previsto no nº2 do artigo 487.º do CC – o critério de um bom pai de família, impondo aos administradores uma regra mais rigorosa; “não se exige do gestor uma actuação própria de um homem médio, mas sim uma actuação própria de um gestor criterioso e ordenado.</w:t>
      </w:r>
      <w:r w:rsidRPr="005609B7">
        <w:rPr>
          <w:rStyle w:val="Refdenotaderodap"/>
          <w:rFonts w:asciiTheme="majorHAnsi" w:eastAsia="Batang" w:hAnsiTheme="majorHAnsi" w:cs="Times New Roman"/>
          <w:sz w:val="24"/>
          <w:szCs w:val="24"/>
          <w:lang w:val="pt-BR" w:eastAsia="pt-PT"/>
        </w:rPr>
        <w:footnoteReference w:id="85"/>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Sobre o assunto, Raul Ventura entende que se exige “um gestor dotado de certas qualidades”</w:t>
      </w:r>
      <w:r w:rsidRPr="005609B7">
        <w:rPr>
          <w:rStyle w:val="Refdenotaderodap"/>
          <w:rFonts w:asciiTheme="majorHAnsi" w:eastAsia="Batang" w:hAnsiTheme="majorHAnsi" w:cs="Times New Roman"/>
          <w:sz w:val="24"/>
          <w:szCs w:val="24"/>
          <w:lang w:val="pt-BR" w:eastAsia="pt-PT"/>
        </w:rPr>
        <w:footnoteReference w:id="86"/>
      </w:r>
      <w:r w:rsidRPr="005609B7">
        <w:rPr>
          <w:rFonts w:asciiTheme="majorHAnsi" w:eastAsia="Batang" w:hAnsiTheme="majorHAnsi" w:cs="Times New Roman"/>
          <w:sz w:val="24"/>
          <w:szCs w:val="24"/>
          <w:lang w:val="pt-BR" w:eastAsia="pt-PT"/>
        </w:rPr>
        <w:t>, um “administrador qualificado e medianamente disponível, competente tecnicamente e conhecedor da actividade (…)”</w:t>
      </w:r>
      <w:r w:rsidRPr="005609B7">
        <w:rPr>
          <w:rStyle w:val="Refdenotaderodap"/>
          <w:rFonts w:asciiTheme="majorHAnsi" w:eastAsia="Batang" w:hAnsiTheme="majorHAnsi" w:cs="Times New Roman"/>
          <w:sz w:val="24"/>
          <w:szCs w:val="24"/>
          <w:lang w:val="pt-BR" w:eastAsia="pt-PT"/>
        </w:rPr>
        <w:footnoteReference w:id="87"/>
      </w:r>
      <w:r w:rsidRPr="005609B7">
        <w:rPr>
          <w:rFonts w:asciiTheme="majorHAnsi" w:eastAsia="Batang" w:hAnsiTheme="majorHAnsi" w:cs="Times New Roman"/>
          <w:sz w:val="24"/>
          <w:szCs w:val="24"/>
          <w:lang w:val="pt-BR" w:eastAsia="pt-PT"/>
        </w:rPr>
        <w:t>. Ora, para o legislador societário, o que releva são administradores zelosos, cuidadosos e aplicados, dai que, caso não se  adopte esta conduta padrão e o incumprimento gerar a prática de um facto ilícito, com resultados que lesam os interesses da sociedade o administrador será obrigado a ressarcir os danos causados.</w:t>
      </w:r>
      <w:r w:rsidRPr="005609B7">
        <w:rPr>
          <w:rStyle w:val="Refdenotaderodap"/>
          <w:rFonts w:asciiTheme="majorHAnsi" w:eastAsia="Batang" w:hAnsiTheme="majorHAnsi" w:cs="Times New Roman"/>
          <w:sz w:val="24"/>
          <w:szCs w:val="24"/>
          <w:lang w:val="pt-BR" w:eastAsia="pt-PT"/>
        </w:rPr>
        <w:footnoteReference w:id="88"/>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Além dos deveres de cuidado é ainda imposto ao administrador da sociedade directora, que actue no interesse da sociedade, tendo em conta os interesses dos trabalhadores. Trata-se do cumprimento do dever de lealdade, que se concetiza de forma objectiva na “proibição de causar danos (princípio geral </w:t>
      </w:r>
      <w:r w:rsidRPr="00241BB5">
        <w:rPr>
          <w:rFonts w:asciiTheme="majorHAnsi" w:eastAsia="Batang" w:hAnsiTheme="majorHAnsi" w:cs="Times New Roman"/>
          <w:i/>
          <w:sz w:val="24"/>
          <w:szCs w:val="24"/>
          <w:lang w:val="pt-BR" w:eastAsia="pt-PT"/>
        </w:rPr>
        <w:t>neminem laedere</w:t>
      </w:r>
      <w:r w:rsidRPr="005609B7">
        <w:rPr>
          <w:rFonts w:asciiTheme="majorHAnsi" w:eastAsia="Batang" w:hAnsiTheme="majorHAnsi" w:cs="Times New Roman"/>
          <w:sz w:val="24"/>
          <w:szCs w:val="24"/>
          <w:lang w:val="pt-BR" w:eastAsia="pt-PT"/>
        </w:rPr>
        <w:t>)”.</w:t>
      </w:r>
      <w:r w:rsidRPr="005609B7">
        <w:rPr>
          <w:rStyle w:val="Refdenotaderodap"/>
          <w:rFonts w:asciiTheme="majorHAnsi" w:eastAsia="Batang" w:hAnsiTheme="majorHAnsi" w:cs="Times New Roman"/>
          <w:sz w:val="24"/>
          <w:szCs w:val="24"/>
          <w:lang w:val="pt-BR" w:eastAsia="pt-PT"/>
        </w:rPr>
        <w:footnoteReference w:id="89"/>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Nas palavras de Ana Perestrelo de Oliveira “(…) nos deveres de lealdade demarca-se um conteúdo passivo e um conteúdo activo; no primeiro caso, trata-se de um dever de omitir, no segundo de um dever de prossecução do fim ou do interesse social”.</w:t>
      </w:r>
      <w:r w:rsidRPr="005609B7">
        <w:rPr>
          <w:rStyle w:val="Refdenotaderodap"/>
          <w:rFonts w:asciiTheme="majorHAnsi" w:eastAsia="Batang" w:hAnsiTheme="majorHAnsi" w:cs="Times New Roman"/>
          <w:sz w:val="24"/>
          <w:szCs w:val="24"/>
          <w:lang w:val="pt-BR" w:eastAsia="pt-PT"/>
        </w:rPr>
        <w:footnoteReference w:id="90"/>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 lealdade</w:t>
      </w:r>
      <w:r w:rsidR="00241BB5">
        <w:rPr>
          <w:rFonts w:asciiTheme="majorHAnsi" w:eastAsia="Batang" w:hAnsiTheme="majorHAnsi" w:cs="Times New Roman"/>
          <w:sz w:val="24"/>
          <w:szCs w:val="24"/>
          <w:lang w:val="pt-BR" w:eastAsia="pt-PT"/>
        </w:rPr>
        <w:t>,</w:t>
      </w:r>
      <w:r w:rsidRPr="005609B7">
        <w:rPr>
          <w:rFonts w:asciiTheme="majorHAnsi" w:eastAsia="Batang" w:hAnsiTheme="majorHAnsi" w:cs="Times New Roman"/>
          <w:sz w:val="24"/>
          <w:szCs w:val="24"/>
          <w:lang w:val="pt-BR" w:eastAsia="pt-PT"/>
        </w:rPr>
        <w:t xml:space="preserve"> originariamente</w:t>
      </w:r>
      <w:r w:rsidR="00241BB5">
        <w:rPr>
          <w:rFonts w:asciiTheme="majorHAnsi" w:eastAsia="Batang" w:hAnsiTheme="majorHAnsi" w:cs="Times New Roman"/>
          <w:sz w:val="24"/>
          <w:szCs w:val="24"/>
          <w:lang w:val="pt-BR" w:eastAsia="pt-PT"/>
        </w:rPr>
        <w:t>,</w:t>
      </w:r>
      <w:r w:rsidRPr="005609B7">
        <w:rPr>
          <w:rFonts w:asciiTheme="majorHAnsi" w:eastAsia="Batang" w:hAnsiTheme="majorHAnsi" w:cs="Times New Roman"/>
          <w:sz w:val="24"/>
          <w:szCs w:val="24"/>
          <w:lang w:val="pt-BR" w:eastAsia="pt-PT"/>
        </w:rPr>
        <w:t xml:space="preserve"> surge ligada à boa fé, concretamente na sua vertente da tutela de confiança</w:t>
      </w:r>
      <w:r w:rsidRPr="005609B7">
        <w:rPr>
          <w:rStyle w:val="Refdenotaderodap"/>
          <w:rFonts w:asciiTheme="majorHAnsi" w:eastAsia="Batang" w:hAnsiTheme="majorHAnsi" w:cs="Times New Roman"/>
          <w:sz w:val="24"/>
          <w:szCs w:val="24"/>
          <w:lang w:val="pt-BR" w:eastAsia="pt-PT"/>
        </w:rPr>
        <w:footnoteReference w:id="91"/>
      </w:r>
      <w:r w:rsidRPr="005609B7">
        <w:rPr>
          <w:rFonts w:asciiTheme="majorHAnsi" w:eastAsia="Batang" w:hAnsiTheme="majorHAnsi" w:cs="Times New Roman"/>
          <w:sz w:val="24"/>
          <w:szCs w:val="24"/>
          <w:lang w:val="pt-BR" w:eastAsia="pt-PT"/>
        </w:rPr>
        <w:t xml:space="preserve">, assumindo diferentes formas de acordo com os sujeitos em causa. Relativamente aos administradores em geral, a questão do dever de lealdade requer maior atenção, na medida em que, por estes estarem a gerir interesses de terceiros, encontram-se numa “posição cujo exercício pode ser prejudicial ou para o qual não há prevenção ou controlo suficiente” </w:t>
      </w:r>
      <w:r w:rsidRPr="005609B7">
        <w:rPr>
          <w:rStyle w:val="Refdenotaderodap"/>
          <w:rFonts w:asciiTheme="majorHAnsi" w:eastAsia="Batang" w:hAnsiTheme="majorHAnsi" w:cs="Times New Roman"/>
          <w:sz w:val="24"/>
          <w:szCs w:val="24"/>
          <w:lang w:val="pt-BR" w:eastAsia="pt-PT"/>
        </w:rPr>
        <w:footnoteReference w:id="92"/>
      </w:r>
      <w:r w:rsidRPr="005609B7">
        <w:rPr>
          <w:rFonts w:asciiTheme="majorHAnsi" w:eastAsia="Batang" w:hAnsiTheme="majorHAnsi" w:cs="Times New Roman"/>
          <w:sz w:val="24"/>
          <w:szCs w:val="24"/>
          <w:lang w:val="pt-BR" w:eastAsia="pt-PT"/>
        </w:rPr>
        <w:t>, dai que é exigido dos administradores maior zelo e adopção de uma conduta em conformidade aos dítames do artigo 69.º da LSC. Importa saber como estes deveres se concretizam na perspectiva da sociedade directora, para que consigamos aferir se o não cumprimento dos deveres que estão adstritos os administradores da sociedade directora poderá gerar responsabilidade civil.</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Os deveres de cuidade e de lealdade previstos no artigo 69.º concretizam-se a nível dos grupos de sociedades por meio do artigo 476.º da LSC. Ana Perestrelo de Oliveira distingue os deveres dos administradores da sociedade directora em deveres principais e deveres secundários; os primeiros concretizam-se nos deveres de administrar e no dever de representar.</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O dever de administrar resulta, em termos gerais, do dever dos administradores “se ocuparem positivamente da gestão da sociedade”, </w:t>
      </w:r>
      <w:r w:rsidRPr="005609B7">
        <w:rPr>
          <w:rStyle w:val="Refdenotaderodap"/>
          <w:rFonts w:asciiTheme="majorHAnsi" w:eastAsia="Batang" w:hAnsiTheme="majorHAnsi" w:cs="Times New Roman"/>
          <w:sz w:val="24"/>
          <w:szCs w:val="24"/>
          <w:lang w:val="pt-BR" w:eastAsia="pt-PT"/>
        </w:rPr>
        <w:footnoteReference w:id="93"/>
      </w:r>
      <w:r w:rsidRPr="005609B7">
        <w:rPr>
          <w:rFonts w:asciiTheme="majorHAnsi" w:eastAsia="Batang" w:hAnsiTheme="majorHAnsi" w:cs="Times New Roman"/>
          <w:sz w:val="24"/>
          <w:szCs w:val="24"/>
          <w:lang w:val="pt-BR" w:eastAsia="pt-PT"/>
        </w:rPr>
        <w:t>quer com isso dizer que, aos administradores recai o dever de praticarem todos os actos tendentes a realização do fim e do objecto sociail da sociedade</w:t>
      </w:r>
      <w:r w:rsidRPr="005609B7">
        <w:rPr>
          <w:rStyle w:val="Refdenotaderodap"/>
          <w:rFonts w:asciiTheme="majorHAnsi" w:eastAsia="Batang" w:hAnsiTheme="majorHAnsi" w:cs="Times New Roman"/>
          <w:sz w:val="24"/>
          <w:szCs w:val="24"/>
          <w:lang w:val="pt-BR" w:eastAsia="pt-PT"/>
        </w:rPr>
        <w:footnoteReference w:id="94"/>
      </w:r>
      <w:r w:rsidRPr="005609B7">
        <w:rPr>
          <w:rFonts w:asciiTheme="majorHAnsi" w:eastAsia="Batang" w:hAnsiTheme="majorHAnsi" w:cs="Times New Roman"/>
          <w:sz w:val="24"/>
          <w:szCs w:val="24"/>
          <w:lang w:val="pt-BR" w:eastAsia="pt-PT"/>
        </w:rPr>
        <w:t xml:space="preserve">. Em tese, os administradores do grupo, na sua relação com a sociedade-mãe estão adstritos ao dever de praticarem vários actos que visam a promoção da integração do grupo, que se traduz na obrigratoriedade de “promover a unificação, sob o ponto de vista económico das diversas sociedades que compoem o grupo”, levando a cada uma a realizarem as suas actividades no sentido de salvaguardar o interesse do grupo </w:t>
      </w:r>
      <w:r w:rsidRPr="005609B7">
        <w:rPr>
          <w:rStyle w:val="Refdenotaderodap"/>
          <w:rFonts w:asciiTheme="majorHAnsi" w:eastAsia="Batang" w:hAnsiTheme="majorHAnsi" w:cs="Times New Roman"/>
          <w:sz w:val="24"/>
          <w:szCs w:val="24"/>
          <w:lang w:val="pt-BR" w:eastAsia="pt-PT"/>
        </w:rPr>
        <w:footnoteReference w:id="95"/>
      </w:r>
      <w:r w:rsidRPr="005609B7">
        <w:rPr>
          <w:rFonts w:asciiTheme="majorHAnsi" w:eastAsia="Batang" w:hAnsiTheme="majorHAnsi" w:cs="Times New Roman"/>
          <w:sz w:val="24"/>
          <w:szCs w:val="24"/>
          <w:lang w:val="pt-BR" w:eastAsia="pt-PT"/>
        </w:rPr>
        <w:t xml:space="preserve">.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Para atingirem tal desiderato, devem os administradores desenvolver uma estratégia de grupo; que passa por traçar campos de negócios estratégicos, definir os objectivos financeiros a prosseguir (tais como os rendimentos de capital pretendidos , o grau de endividamente e a política de lucros), e os padrões de conduta a adoptar, em relação aos credores, trabalhadores, clientes e fornecedores. Devem ainda estabelecer uma estrutura e organização do grupo eficientes, que seja capaz de garantir uma direcção tecnicamente capaz de garantir a prossecução dos fins do grupo e que possa tomar rédea da direcção financeira do mesmo (ou seja, que estabeleça as provisões de capital e das estruturas financeiras das sociedades integrantes do grupo). E por fim, têm ainda os administradores da sociedade directora o dever de ocupar as posições cimeiras de liderança do grupo; que passa por garantir que os sujeitos afectos ao grupo sejam tecnicamente capazes de exercerem as suas funções, que sejam colocados nos lugares adequados e garantir que as funções das sociedades-filhas estejam a ser cumpridos para o sentido em que foram delegadas. Em suma deverão os administradores efectuar a supervisão geral do grupo.</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Quanto ao dever de representar, a problemática surge em saber se em face do direito das sociedades  directoras, de emitirem instruções vinculativas e até desvantajosas ganha a sociedade directora a prorrogativa de representar as sociedades-filhas? A resposta é claramente negativa e isso justifica-se, por um lado por existir a necessidade de salvaguardar o direito, (tido como inalienável) dos órgãos da administração da sociedade-filha de examinar as instruções emitidas pela sociedade directora e dentro dos limites estabelecidos pela LSC recusar o seu cumprimento. Por outro lado, a impossibilidade de representar a sociedade dominada justifica-se pela obrigação do exercício pessoal das funções de administração para qualquer administrador e quanto ao administrador da sociedade dominada, há uma exigência da não transferência dos poderes a eles outorgados, mesmo que seja a sociedade-mãe.</w:t>
      </w:r>
      <w:r w:rsidRPr="005609B7">
        <w:rPr>
          <w:rStyle w:val="Refdenotaderodap"/>
          <w:rFonts w:asciiTheme="majorHAnsi" w:eastAsia="Batang" w:hAnsiTheme="majorHAnsi" w:cs="Times New Roman"/>
          <w:sz w:val="24"/>
          <w:szCs w:val="24"/>
          <w:lang w:val="pt-BR" w:eastAsia="pt-PT"/>
        </w:rPr>
        <w:footnoteReference w:id="96"/>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Não é possível que a sociedade directora represente a sociedade dominada pelas razões </w:t>
      </w:r>
      <w:r w:rsidR="00AE4D67">
        <w:rPr>
          <w:rFonts w:asciiTheme="majorHAnsi" w:eastAsia="Batang" w:hAnsiTheme="majorHAnsi" w:cs="Times New Roman"/>
          <w:sz w:val="24"/>
          <w:szCs w:val="24"/>
          <w:lang w:val="pt-BR" w:eastAsia="pt-PT"/>
        </w:rPr>
        <w:t xml:space="preserve">acima referenciadas, no entanto </w:t>
      </w:r>
      <w:r w:rsidRPr="005609B7">
        <w:rPr>
          <w:rFonts w:asciiTheme="majorHAnsi" w:eastAsia="Batang" w:hAnsiTheme="majorHAnsi" w:cs="Times New Roman"/>
          <w:sz w:val="24"/>
          <w:szCs w:val="24"/>
          <w:lang w:val="pt-BR" w:eastAsia="pt-PT"/>
        </w:rPr>
        <w:t xml:space="preserve">abre-se uma </w:t>
      </w:r>
      <w:r w:rsidR="00AE4D67">
        <w:rPr>
          <w:rFonts w:asciiTheme="majorHAnsi" w:eastAsia="Batang" w:hAnsiTheme="majorHAnsi" w:cs="Times New Roman"/>
          <w:sz w:val="24"/>
          <w:szCs w:val="24"/>
          <w:lang w:val="pt-BR" w:eastAsia="pt-PT"/>
        </w:rPr>
        <w:t>“</w:t>
      </w:r>
      <w:r w:rsidRPr="005609B7">
        <w:rPr>
          <w:rFonts w:asciiTheme="majorHAnsi" w:eastAsia="Batang" w:hAnsiTheme="majorHAnsi" w:cs="Times New Roman"/>
          <w:sz w:val="24"/>
          <w:szCs w:val="24"/>
          <w:lang w:val="pt-BR" w:eastAsia="pt-PT"/>
        </w:rPr>
        <w:t>porta</w:t>
      </w:r>
      <w:r w:rsidR="00AE4D67">
        <w:rPr>
          <w:rFonts w:asciiTheme="majorHAnsi" w:eastAsia="Batang" w:hAnsiTheme="majorHAnsi" w:cs="Times New Roman"/>
          <w:sz w:val="24"/>
          <w:szCs w:val="24"/>
          <w:lang w:val="pt-BR" w:eastAsia="pt-PT"/>
        </w:rPr>
        <w:t>”</w:t>
      </w:r>
      <w:r w:rsidRPr="005609B7">
        <w:rPr>
          <w:rFonts w:asciiTheme="majorHAnsi" w:eastAsia="Batang" w:hAnsiTheme="majorHAnsi" w:cs="Times New Roman"/>
          <w:sz w:val="24"/>
          <w:szCs w:val="24"/>
          <w:lang w:val="pt-BR" w:eastAsia="pt-PT"/>
        </w:rPr>
        <w:t xml:space="preserve"> para a prática de actos concretos, ou seja, é possível que sejam atribuidos poderes de representação a sociedade-mãe para que, de forma específica, prátique actos ligados a gestão social da sociedade subordinada. Defende esta posição Engrácia Antunes, e segundo o autor, é ainda permitido que a sociedade directora possa “emitir instruções vinculantes aos membros do órgão de administração da sociedade subordinada  relativamente ao exercício dos seus poderes de representativos que sejam pressupostos ou pertinentes à implementação e execução de directivas recebidas sobre matérias de gestão social.”</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Esta prorrogativa é também permitida a terceiros alheios ao grupo, ou seja, é possível que um terceiro, que não seja parte de qualquer sociedade do grupo lhe seja delegado (por meio de um contrato de mandato) o poder de emitir instruções, desde que estas instruções sejam concretas. Resta saber, de que forma o delegado e o delegante podem ser responsabilizados em caso de violação dos deveres de cuidado e de lealdade no exercício destas funções.</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Sobre o assunto, Ana Perestrelo de Oliveira entende que “(…) em geral, a responsabilidade dos administradores pela gestão fica limitada aos administradores delegados, deixando de atingir os administradores não executivos. Estes só respondem pelo incumprimento do dever de vigilância geral. Já na delegação imprópria, o mesmo não sucede, todos os administradores têm a mesma responsabilidade que têm na ausência de um encargo especial”.</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Em termos práticos, os administradores da sociedade directora (titular do direito de emitir instruções) estão adstritos, ao abrigo do artigo 69.º e 476.º, relativamente ao grupo, no dever de actuarem em obediência aos deveres de diligência, que pressupõe a defesa dos interesses do grupo. Quando este delega o poder de emitir instruções, responde pela escolha e supervisão do delegado (culpa in eligendo e culpa in vigilando), todavia esta culpa não é objectiva.</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Quanto ao delegado, este responde nos termos gerais do art. 476.º, responde pelo incumprimento do dever de vigilância que está obrigado, relativamente ao grupo.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Quanto aos “deveres secundários” importa distinguir de que forma são concretizados os deveres de lealdade e os deveres de cuidado na perspectiva da sociedade directora, para que possamos posteriormente perceber, de que forma esta pode ser responsabilidade junto da sociedade subordinada. Em síntese, relativamente aos deveres de lealdade, estes exigem dos administradores a “resolu</w:t>
      </w:r>
      <w:r w:rsidR="00AE4D67">
        <w:rPr>
          <w:rFonts w:asciiTheme="majorHAnsi" w:eastAsia="Batang" w:hAnsiTheme="majorHAnsi" w:cs="Times New Roman"/>
          <w:sz w:val="24"/>
          <w:szCs w:val="24"/>
          <w:lang w:val="pt-BR" w:eastAsia="pt-PT"/>
        </w:rPr>
        <w:t xml:space="preserve">ção de conflito de interesses”. </w:t>
      </w:r>
      <w:r w:rsidRPr="005609B7">
        <w:rPr>
          <w:rFonts w:asciiTheme="majorHAnsi" w:eastAsia="Batang" w:hAnsiTheme="majorHAnsi" w:cs="Times New Roman"/>
          <w:sz w:val="24"/>
          <w:szCs w:val="24"/>
          <w:lang w:val="pt-BR" w:eastAsia="pt-PT"/>
        </w:rPr>
        <w:t>Nas palavras de Paulo Câmara “os deveres de lealdade servem como cláusula geral a obrigar a uma gestão adequada de conflito de interesses”.</w:t>
      </w:r>
      <w:r w:rsidRPr="005609B7">
        <w:rPr>
          <w:rStyle w:val="Refdenotaderodap"/>
          <w:rFonts w:asciiTheme="majorHAnsi" w:eastAsia="Batang" w:hAnsiTheme="majorHAnsi" w:cs="Times New Roman"/>
          <w:sz w:val="24"/>
          <w:szCs w:val="24"/>
          <w:lang w:val="pt-BR" w:eastAsia="pt-PT"/>
        </w:rPr>
        <w:footnoteReference w:id="97"/>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Ana Perestrelo de Oliveira defende que “não obstante a lealdade não ser um instrumento de prossecução do interesse social, a mesma terá um importante papel como “critério de compensação de interesses””, </w:t>
      </w:r>
      <w:r w:rsidRPr="005609B7">
        <w:rPr>
          <w:rStyle w:val="Refdenotaderodap"/>
          <w:rFonts w:asciiTheme="majorHAnsi" w:eastAsia="Batang" w:hAnsiTheme="majorHAnsi" w:cs="Times New Roman"/>
          <w:sz w:val="24"/>
          <w:szCs w:val="24"/>
          <w:lang w:val="pt-BR" w:eastAsia="pt-PT"/>
        </w:rPr>
        <w:footnoteReference w:id="98"/>
      </w:r>
      <w:r w:rsidRPr="005609B7">
        <w:rPr>
          <w:rFonts w:asciiTheme="majorHAnsi" w:eastAsia="Batang" w:hAnsiTheme="majorHAnsi" w:cs="Times New Roman"/>
          <w:sz w:val="24"/>
          <w:szCs w:val="24"/>
          <w:lang w:val="pt-BR" w:eastAsia="pt-PT"/>
        </w:rPr>
        <w:t>quer significar que, numa situação de conflito de interesses a lealdade auxiliará na tarefa da sua organização ou composição, por formas a  “se encontrar o equilibrio correcto dos diversos interesses”</w:t>
      </w:r>
      <w:r w:rsidRPr="005609B7">
        <w:rPr>
          <w:rStyle w:val="Refdenotaderodap"/>
          <w:rFonts w:asciiTheme="majorHAnsi" w:eastAsia="Batang" w:hAnsiTheme="majorHAnsi" w:cs="Times New Roman"/>
          <w:sz w:val="24"/>
          <w:szCs w:val="24"/>
          <w:lang w:val="pt-BR" w:eastAsia="pt-PT"/>
        </w:rPr>
        <w:footnoteReference w:id="99"/>
      </w:r>
      <w:r w:rsidRPr="005609B7">
        <w:rPr>
          <w:rFonts w:asciiTheme="majorHAnsi" w:eastAsia="Batang" w:hAnsiTheme="majorHAnsi" w:cs="Times New Roman"/>
          <w:sz w:val="24"/>
          <w:szCs w:val="24"/>
          <w:lang w:val="pt-BR" w:eastAsia="pt-PT"/>
        </w:rPr>
        <w:t>.</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O dever de lealdade concretiza-se também na proibição da concorrência dos administradores para com a sociedade, que pressupõe a não divulgação de segredos societários; do aproveitamente, em benefício próprio ou de terceiros, de oportunidades societárias de negócioe da prossecução do seu interesse próprio em detrimento da sociedade, em situações de conflitos de interesse.</w:t>
      </w:r>
      <w:r w:rsidRPr="005609B7">
        <w:rPr>
          <w:rStyle w:val="Refdenotaderodap"/>
          <w:rFonts w:asciiTheme="majorHAnsi" w:eastAsia="Batang" w:hAnsiTheme="majorHAnsi" w:cs="Times New Roman"/>
          <w:sz w:val="24"/>
          <w:szCs w:val="24"/>
          <w:lang w:val="pt-BR" w:eastAsia="pt-PT"/>
        </w:rPr>
        <w:footnoteReference w:id="100"/>
      </w:r>
      <w:r w:rsidRPr="005609B7">
        <w:rPr>
          <w:rFonts w:asciiTheme="majorHAnsi" w:eastAsia="Batang" w:hAnsiTheme="majorHAnsi" w:cs="Times New Roman"/>
          <w:sz w:val="24"/>
          <w:szCs w:val="24"/>
          <w:lang w:val="pt-BR" w:eastAsia="pt-PT"/>
        </w:rPr>
        <w:t xml:space="preserve"> Este dever é particularmente importante, pois permite “evitar  situações futuras de conflitos de interesses dos administrador”, na medida em que, “o uso, pelo administrador concorrente, de informações privilegiadas que lhe advenham da relação de proximidade com a sociedade” </w:t>
      </w:r>
      <w:r w:rsidRPr="005609B7">
        <w:rPr>
          <w:rStyle w:val="Refdenotaderodap"/>
          <w:rFonts w:asciiTheme="majorHAnsi" w:eastAsia="Batang" w:hAnsiTheme="majorHAnsi" w:cs="Times New Roman"/>
          <w:sz w:val="24"/>
          <w:szCs w:val="24"/>
          <w:lang w:val="pt-BR" w:eastAsia="pt-PT"/>
        </w:rPr>
        <w:footnoteReference w:id="101"/>
      </w:r>
      <w:r w:rsidRPr="005609B7">
        <w:rPr>
          <w:rFonts w:asciiTheme="majorHAnsi" w:eastAsia="Batang" w:hAnsiTheme="majorHAnsi" w:cs="Times New Roman"/>
          <w:sz w:val="24"/>
          <w:szCs w:val="24"/>
          <w:lang w:val="pt-BR" w:eastAsia="pt-PT"/>
        </w:rPr>
        <w:t>pode gerar este tipo de conflito. Ana Perestrelo de Oliveira entende que esta obrigação de não concorrência deve estender-se a todas as sociedades integrantes do grupo</w:t>
      </w:r>
      <w:r w:rsidRPr="005609B7">
        <w:rPr>
          <w:rStyle w:val="Refdenotaderodap"/>
          <w:rFonts w:asciiTheme="majorHAnsi" w:eastAsia="Batang" w:hAnsiTheme="majorHAnsi" w:cs="Times New Roman"/>
          <w:sz w:val="24"/>
          <w:szCs w:val="24"/>
          <w:lang w:val="pt-BR" w:eastAsia="pt-PT"/>
        </w:rPr>
        <w:footnoteReference w:id="102"/>
      </w:r>
      <w:r w:rsidRPr="005609B7">
        <w:rPr>
          <w:rFonts w:asciiTheme="majorHAnsi" w:eastAsia="Batang" w:hAnsiTheme="majorHAnsi" w:cs="Times New Roman"/>
          <w:sz w:val="24"/>
          <w:szCs w:val="24"/>
          <w:lang w:val="pt-BR" w:eastAsia="pt-PT"/>
        </w:rPr>
        <w:t xml:space="preserve"> e há quem vai mais longe, como é o caso do autor João Calvão da Silva que considera que haverá ainda violação do dever de lealdade “por parte de quem sabe que a sociedade tem sido defraudada e não denuncia esse facto”</w:t>
      </w:r>
      <w:r w:rsidRPr="005609B7">
        <w:rPr>
          <w:rStyle w:val="Refdenotaderodap"/>
          <w:rFonts w:asciiTheme="majorHAnsi" w:eastAsia="Batang" w:hAnsiTheme="majorHAnsi" w:cs="Times New Roman"/>
          <w:sz w:val="24"/>
          <w:szCs w:val="24"/>
          <w:lang w:val="pt-BR" w:eastAsia="pt-PT"/>
        </w:rPr>
        <w:footnoteReference w:id="103"/>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Relativamente aos deveres de cuidado, importa realçar que o primeiro dever por nós apresentado é de importância incontornável, na medida em que, por meio dele, podemos efectivamente chamar a responsabilidade da sociedade directora, caso emita uma instrução à sociedade subordinada que coloca em risco a sua vida económica. Trata-se do dever de vigilãncia e investigação em geral – que se concretiza na obrigação dos administradores da sociedade directora incetarem um conjuntos de medidas, com vista a tomarem conhecimento da actividade desenvolvida por cada sociedade integrante do grupo. De acordo com o artigo 69.º este dever desdobra-se em duas vertentes, por um lado, o dever de realizar a “vigilância” e por outro, a necessidade de investigação.</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Ao abrigo deste dever, os administradores, em termos gerais estão obrigados a prestar “atenção à evolução económica-financeira da sociedade e ao desempenho de quem gere”</w:t>
      </w:r>
      <w:r w:rsidRPr="005609B7">
        <w:rPr>
          <w:rStyle w:val="Refdenotaderodap"/>
          <w:rFonts w:asciiTheme="majorHAnsi" w:eastAsia="Batang" w:hAnsiTheme="majorHAnsi" w:cs="Times New Roman"/>
          <w:sz w:val="24"/>
          <w:szCs w:val="24"/>
          <w:lang w:val="pt-BR" w:eastAsia="pt-PT"/>
        </w:rPr>
        <w:footnoteReference w:id="104"/>
      </w:r>
      <w:r w:rsidRPr="005609B7">
        <w:rPr>
          <w:rFonts w:asciiTheme="majorHAnsi" w:eastAsia="Batang" w:hAnsiTheme="majorHAnsi" w:cs="Times New Roman"/>
          <w:sz w:val="24"/>
          <w:szCs w:val="24"/>
          <w:lang w:val="pt-BR" w:eastAsia="pt-PT"/>
        </w:rPr>
        <w:t>, sendo que para isso, devem diariamente obter in</w:t>
      </w:r>
      <w:r w:rsidR="00AE4D67">
        <w:rPr>
          <w:rFonts w:asciiTheme="majorHAnsi" w:eastAsia="Batang" w:hAnsiTheme="majorHAnsi" w:cs="Times New Roman"/>
          <w:sz w:val="24"/>
          <w:szCs w:val="24"/>
          <w:lang w:val="pt-BR" w:eastAsia="pt-PT"/>
        </w:rPr>
        <w:t>formações sobre a situação econô</w:t>
      </w:r>
      <w:r w:rsidR="00AE4D67" w:rsidRPr="005609B7">
        <w:rPr>
          <w:rFonts w:asciiTheme="majorHAnsi" w:eastAsia="Batang" w:hAnsiTheme="majorHAnsi" w:cs="Times New Roman"/>
          <w:sz w:val="24"/>
          <w:szCs w:val="24"/>
          <w:lang w:val="pt-BR" w:eastAsia="pt-PT"/>
        </w:rPr>
        <w:t>mico-financeira</w:t>
      </w:r>
      <w:r w:rsidRPr="005609B7">
        <w:rPr>
          <w:rFonts w:asciiTheme="majorHAnsi" w:eastAsia="Batang" w:hAnsiTheme="majorHAnsi" w:cs="Times New Roman"/>
          <w:sz w:val="24"/>
          <w:szCs w:val="24"/>
          <w:lang w:val="pt-BR" w:eastAsia="pt-PT"/>
        </w:rPr>
        <w:t xml:space="preserve"> da sociedade. A nível do grupo, devem os administradores da sociedade-mãe vigiar a situação económica do grupo, devendo para o efeito, tomar conhecimento das condições em que a mesma se encontra.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Questionamo-nos qual seja o sentido prático deste dever? Parece-nos que a obrigatoriedade de efectuar vigilância e investigação que impende sobre os administradores é de importãncia incontornável, uma vez que  a falta de informação sobre a situação económica das sociedades que integram o grupo, pode afectar a actividade do grupo e pode até colocar em cheque a sobrevivência do mesmo.</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Depreende-se a partir daqui, que a sociedade directora tendo o dever de efectuar uma investigação e de obter informações da situação económica da sociedade subordinada, saberá de forma prévia se pode ou não vincular o grupo a um sistema de </w:t>
      </w:r>
      <w:r w:rsidRPr="005609B7">
        <w:rPr>
          <w:rFonts w:asciiTheme="majorHAnsi" w:eastAsia="Batang" w:hAnsiTheme="majorHAnsi" w:cs="Times New Roman"/>
          <w:i/>
          <w:sz w:val="24"/>
          <w:szCs w:val="24"/>
          <w:lang w:val="pt-BR" w:eastAsia="pt-PT"/>
        </w:rPr>
        <w:t>cash pooling</w:t>
      </w:r>
      <w:r w:rsidRPr="005609B7">
        <w:rPr>
          <w:rFonts w:asciiTheme="majorHAnsi" w:eastAsia="Batang" w:hAnsiTheme="majorHAnsi" w:cs="Times New Roman"/>
          <w:sz w:val="24"/>
          <w:szCs w:val="24"/>
          <w:lang w:val="pt-BR" w:eastAsia="pt-PT"/>
        </w:rPr>
        <w:t xml:space="preserve">, se pode ou não obrigar a sociedade subordinada a efectuar transferências para a </w:t>
      </w:r>
      <w:r w:rsidRPr="005609B7">
        <w:rPr>
          <w:rFonts w:asciiTheme="majorHAnsi" w:eastAsia="Batang" w:hAnsiTheme="majorHAnsi" w:cs="Times New Roman"/>
          <w:i/>
          <w:sz w:val="24"/>
          <w:szCs w:val="24"/>
          <w:lang w:val="pt-BR" w:eastAsia="pt-PT"/>
        </w:rPr>
        <w:t>pooler</w:t>
      </w:r>
      <w:r w:rsidRPr="005609B7">
        <w:rPr>
          <w:rFonts w:asciiTheme="majorHAnsi" w:eastAsia="Batang" w:hAnsiTheme="majorHAnsi" w:cs="Times New Roman"/>
          <w:sz w:val="24"/>
          <w:szCs w:val="24"/>
          <w:lang w:val="pt-BR" w:eastAsia="pt-PT"/>
        </w:rPr>
        <w:t xml:space="preserve">, quando esta transferência poderá implicar falta de liquidez da sociedade subordinada. Resta saber, em que moldes a sociedade directora poderá ser responsabilizada pelo omissão desse dever. Por outra, sendo certo que os administradores não podem ser responsabilizados por todos os riscos inerentes a tomada de decisão no exercício das suas actividades, poderá, por exemplo a tomada de decisão de ordenar a transferência de activos da sociedade subordinada para a </w:t>
      </w:r>
      <w:r w:rsidRPr="00EB0F51">
        <w:rPr>
          <w:rFonts w:asciiTheme="majorHAnsi" w:eastAsia="Batang" w:hAnsiTheme="majorHAnsi" w:cs="Times New Roman"/>
          <w:i/>
          <w:sz w:val="24"/>
          <w:szCs w:val="24"/>
          <w:lang w:val="pt-BR" w:eastAsia="pt-PT"/>
        </w:rPr>
        <w:t>pooler</w:t>
      </w:r>
      <w:r w:rsidRPr="005609B7">
        <w:rPr>
          <w:rFonts w:asciiTheme="majorHAnsi" w:eastAsia="Batang" w:hAnsiTheme="majorHAnsi" w:cs="Times New Roman"/>
          <w:sz w:val="24"/>
          <w:szCs w:val="24"/>
          <w:lang w:val="pt-BR" w:eastAsia="pt-PT"/>
        </w:rPr>
        <w:t xml:space="preserve">, quando esta se encontre numa situação económica deficitária ser entendida como um risco causado pelo exercício da actividade de administrar?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 resposta a esta questão remete-nos para outras obrigações imputadas aos administradores, nomeadamente o cumprimento do dever de preparar adequadamente as decisões de gestão e o dever de tomar decisões de gestão substancialmente razoáveis. Senão vejamos, a actividade empresarial envolve uma série de riscos, o denominado risco empresarial. Tendo em conta este factor é dado aos administradores um certo poder discricionário, ou seja, pelo facto de não ser possível que os mesmos possam prever todas as consequências que poderão advir da tomada de decisões é permitido que os administradores tomem decisões arriscadas. Pedro Caetano Nunes entende que “a adopção de decisões arriscadas pode gerar lucro e progresso empresarial. O risco empresarial é um elemento estruturante das economias de mercado” dai que, na perspectiva do autor não faz qualquer sentido impedir que os administradores tomem decisões mais arriscadas, sendo certo que estas são necessárias para a manutenção da empresa no mercado.</w:t>
      </w:r>
      <w:r w:rsidRPr="005609B7">
        <w:rPr>
          <w:rStyle w:val="Refdenotaderodap"/>
          <w:rFonts w:asciiTheme="majorHAnsi" w:eastAsia="Batang" w:hAnsiTheme="majorHAnsi" w:cs="Times New Roman"/>
          <w:sz w:val="24"/>
          <w:szCs w:val="24"/>
          <w:lang w:val="pt-BR" w:eastAsia="pt-PT"/>
        </w:rPr>
        <w:footnoteReference w:id="105"/>
      </w:r>
      <w:r w:rsidRPr="005609B7">
        <w:rPr>
          <w:rFonts w:asciiTheme="majorHAnsi" w:eastAsia="Batang" w:hAnsiTheme="majorHAnsi" w:cs="Times New Roman"/>
          <w:sz w:val="24"/>
          <w:szCs w:val="24"/>
          <w:lang w:val="pt-BR" w:eastAsia="pt-PT"/>
        </w:rPr>
        <w:t xml:space="preserve"> Da mesma visão é o autor Joerg Freiling que entende que actualmente o mundo dos negócios tem se apresentado bastante complexo e turbulento e para que as empresas consigam sobreviver, exige-se dos administradores, a tomada de decisões inovadoras, que garantam a permanência da sociedade no mercado e mantenham a competitividade, no entanto chama a atenção para a necessidade de ponderação na tomada das decisões, isso porque além do risco de falha, cada medida tomada pode despertar o concorrente.</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Facto é que, os administradores disponhem de um fluxo significativo de informações sobre as sociedades do grupo e o facto de deerem este poder de adquirir as informações sobre a situação económica de cada sociedade participante no grupo funcionará como um poder-dever, ou seja, exigira dos administradores na tomada de decisão ponderação e alguma razoabilidade no tratamento desta informação, com vista a tomada de uma decisão, tendo como base as melhores escolhas, para isso é necessários que os administradores recorram aos melhores trabalhadores do sector e até a consultores externos, caso se mostre necessário.</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Os administradores no âmbito da sua gestão devem tomar decisões tidas como as mais razoáveis, tendo em conta a situação em causa, o tempo disponível e à informação obtida. Coutinho de Abreu estabelece critérios para que na prática se possa aferir se a decisão tomada pode ou não ser tida como razoável; 1) decisões que não dissipem (ou esbanjem) o património social, 2) decisões que evitem riscos desmedidos. Quer com isso dizer que na tomada de decisão, os administradores devem evitar tomar decisões que coloquem em risco a liquidez da sociedade.</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 nível do grupo, a situação torna-se mais complicada porque a actividade dos administradores da sociedade directora visa a satisfação de um interesse próprio. O que se discute a nível da doutrina é se este interesse é o interesse do grupo ou o interesse da sociedade-mãe. A generalidade da doutrina tem defendido a existência de um interesse do grupo, maxime José Engrácia Antunes que defende “a existência de um interesse do grupo que, só encontra limite nas situações em que as instruções emitidas colocam em risco a sobrevivência da sociedade subordinada”</w:t>
      </w:r>
      <w:r w:rsidRPr="005609B7">
        <w:rPr>
          <w:rStyle w:val="Refdenotaderodap"/>
          <w:rFonts w:asciiTheme="majorHAnsi" w:eastAsia="Batang" w:hAnsiTheme="majorHAnsi" w:cs="Times New Roman"/>
          <w:sz w:val="24"/>
          <w:szCs w:val="24"/>
          <w:lang w:val="pt-BR" w:eastAsia="pt-PT"/>
        </w:rPr>
        <w:footnoteReference w:id="106"/>
      </w:r>
      <w:r w:rsidRPr="005609B7">
        <w:rPr>
          <w:rFonts w:asciiTheme="majorHAnsi" w:eastAsia="Batang" w:hAnsiTheme="majorHAnsi" w:cs="Times New Roman"/>
          <w:sz w:val="24"/>
          <w:szCs w:val="24"/>
          <w:lang w:val="pt-BR" w:eastAsia="pt-PT"/>
        </w:rPr>
        <w:t>. Outra parte da doutrina tem defendido a inexistência de um interesse do grupo, defendendo que existe apenas o interesse da sociedade directora. É o caso de Ana Perestrelo de Oliveira que entende que “não é possível identificar um interesse supra social, distinto dos interesses das sociedades componentes do grupo”, fruto da falta de personalidade jurídica do grupo, na medida em que cada sociedade parte do grupo mantém a sua personalidade jurídica e também porque inexiste um interesse comum aos membros do grupo por não haver uma coincidência de fins, dai que, “o interesse do grupo não pode senão coincidir com o interesse da sociedade directora em obter êxito económico do grupo”</w:t>
      </w:r>
      <w:r w:rsidRPr="005609B7">
        <w:rPr>
          <w:rStyle w:val="Refdenotaderodap"/>
          <w:rFonts w:asciiTheme="majorHAnsi" w:eastAsia="Batang" w:hAnsiTheme="majorHAnsi" w:cs="Times New Roman"/>
          <w:sz w:val="24"/>
          <w:szCs w:val="24"/>
          <w:lang w:val="pt-BR" w:eastAsia="pt-PT"/>
        </w:rPr>
        <w:footnoteReference w:id="107"/>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Claramente que concordamos com o defendido por Ana Perestrelo de Oliveira, pois torna-se bastante complexo defender-se que existe um interesse do grupo, quando este está deprovido de personalidade jurídica. Por ser assim, o interesse que é em primeira mão defendido é o interesse de quem detém o poder de direcção e mesmo nos casos em que há um contrato de subordinação, o mesmo só vem provar, (pelas suas características) que o interesse salvaguardado neste tipo de contrato é no limite o interesse da sociedade directora, isso porque a transferência da gestão da sociedade subordinada para a sociedade directora, acaba por funcionar como um instrumento para a salvaguarda de um interesse , - o da sociedade directora.</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No entanto por estarem dentro de um grupo, há um conjunto de deveres a que todas as sociedades estão adstritas, não quer com isso dizer que os administradores da sociedade directora ao emitirem instruções visam a salvaguarda dos interesses do grupo, mas sim, da sociedade-mãe. Podem, no entanto, estes interesses coincidirem, mas a priori o interesse defendido é o da sociedade-mãe.</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E tendo em conta que o interesse salvaguardado é o da sociedade directora justificará a emissão de uma instrução à sociedade subordinada que coloque em risco a sobrevivência desta última? Entendemos que a resposta continua a ser negativa, pois apesar desta actuar com vista a satisfação do seu interesse, ela encontra um limite, o de não emitir instruções a sociedade sempre que estas coloquem em risco a sobrevivência da sociedade subordinada, dai que, não nos parece razoável entender que a emissão de uma instrução que ordene a transferência de activos da sociedade subordinada para a </w:t>
      </w:r>
      <w:r w:rsidRPr="005609B7">
        <w:rPr>
          <w:rFonts w:asciiTheme="majorHAnsi" w:eastAsia="Batang" w:hAnsiTheme="majorHAnsi" w:cs="Times New Roman"/>
          <w:i/>
          <w:sz w:val="24"/>
          <w:szCs w:val="24"/>
          <w:lang w:val="pt-BR" w:eastAsia="pt-PT"/>
        </w:rPr>
        <w:t>pooler</w:t>
      </w:r>
      <w:r w:rsidRPr="005609B7">
        <w:rPr>
          <w:rFonts w:asciiTheme="majorHAnsi" w:eastAsia="Batang" w:hAnsiTheme="majorHAnsi" w:cs="Times New Roman"/>
          <w:sz w:val="24"/>
          <w:szCs w:val="24"/>
          <w:lang w:val="pt-BR" w:eastAsia="pt-PT"/>
        </w:rPr>
        <w:t xml:space="preserve"> quando esta se encontra numa situação económica deficitária possa ser tida como uma decisão razoável, porque, apesar do facto da actividade empresarial ser caracterizada como uma actividade de risco e mesmo os administradores terem a prerrogativa de tomar decisões arriscadas, e de poder emitir instruções visando a salvaguarda dos seus interesses, a tomada desta decisão coloca em causa a subsistência da sociedade subordinada.</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Quando isso acontece, quais então os mecanismos que os administradores da sociedade subordinada podem lançar mão para que possam responsabilizar a sociedade directora? Importa antes de mais perceber qual a natureza jurídica da responsabilidade dos administradores da sociedade directora pelos danos causados pelas instruções emitidas a sociedade subordinada. Pelo facto da sociedade directora ser detentora do poder de direcção e o exercício deste poder concretizar-se por meio da emissão de instruções, tem-se entendido que a responsabilidade “perante a sociedade directora por instruções dadas ao órgão de administração da sociedade subordinada não é, uma responsabilidade por danos sofridos por outrém, mas por danos suportados na esfera jurídica da própria sociedade directora”.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Ora, não há dúvidas de que existem vínculos de caracter obrigacional entre  os administradores da sociedade directora e a mesma sociedade. Assim existe um mecanismo de responsabilização de carácter obrigacional daqueles administradores para com a sociedade, resta saber se a natureza da responsabilidade dos administradores da sociedade directora para com a sociedade subordinada, fruto da inexistência de um contrato entre a subordinada e os administradores da sociedade directora pode ser considerada como uma responsabilidade de natureza delitual? Ana Perestrelo defende que não, entende a autora que “(…) a responsabilidade destes sujeitos existe, também perante a sociedade subordinada, em resultado, exclusivamente, da relação jurídica concreta por eles estabelecida com a sociedade directora, da qual emergem deveres, </w:t>
      </w:r>
      <w:r w:rsidRPr="005609B7">
        <w:rPr>
          <w:rFonts w:asciiTheme="majorHAnsi" w:eastAsia="Batang" w:hAnsiTheme="majorHAnsi" w:cs="Times New Roman"/>
          <w:i/>
          <w:sz w:val="24"/>
          <w:szCs w:val="24"/>
          <w:lang w:val="pt-BR" w:eastAsia="pt-PT"/>
        </w:rPr>
        <w:t>maxime</w:t>
      </w:r>
      <w:r w:rsidRPr="005609B7">
        <w:rPr>
          <w:rFonts w:asciiTheme="majorHAnsi" w:eastAsia="Batang" w:hAnsiTheme="majorHAnsi" w:cs="Times New Roman"/>
          <w:sz w:val="24"/>
          <w:szCs w:val="24"/>
          <w:lang w:val="pt-BR" w:eastAsia="pt-PT"/>
        </w:rPr>
        <w:t xml:space="preserve"> o dever de diligência, cuja relevância se reporta não só no ao plano da relação com esta última sociedade, mas também da relação com as diversas sociedades do grupo, apesar de com estas não estabelecerem uma relação uma relação juríca directa”</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Dai que, a mesma defende que o que está em causa é uma “responsabilidade fundada na violação de deveres específicos e não apenas do dever geral de respeito, o que indicia o respectivo carácter obrigacional”.</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Quais então os mecanismos que os administradores podem fazer uso para a defesa dos interesses da sociedade subordinada? O nosso legislador estabeleceu diversas formas de responsabilizar os administradores da sociedade directora, em caso de violação de deveres especificos de cuidado e de lealdade e teve como base o artigo 492.º/1 que determina que “</w:t>
      </w:r>
      <w:r w:rsidRPr="005609B7">
        <w:rPr>
          <w:rFonts w:asciiTheme="majorHAnsi" w:eastAsia="Batang" w:hAnsiTheme="majorHAnsi" w:cs="Times New Roman"/>
          <w:i/>
          <w:sz w:val="24"/>
          <w:szCs w:val="24"/>
          <w:lang w:val="pt-BR" w:eastAsia="pt-PT"/>
        </w:rPr>
        <w:t>os membros do órgão de administração da sociedade directora devem adaptar, relativamente ao grupo, a diligência exigida por lei quanto à administração da sua própria sociedade, nos termos dos artigos 72.º a 77.º desta lei com as necessárias adaptações”</w:t>
      </w:r>
      <w:r w:rsidRPr="005609B7">
        <w:rPr>
          <w:rFonts w:asciiTheme="majorHAnsi" w:eastAsia="Batang" w:hAnsiTheme="majorHAnsi" w:cs="Times New Roman"/>
          <w:sz w:val="24"/>
          <w:szCs w:val="24"/>
          <w:lang w:val="pt-BR" w:eastAsia="pt-PT"/>
        </w:rPr>
        <w:t xml:space="preserve">. É a partir desta remissão que encontramos a prerrogativa de ser intentada pela sociedade subordinada uma acção social ou </w:t>
      </w:r>
      <w:r w:rsidRPr="005609B7">
        <w:rPr>
          <w:rFonts w:asciiTheme="majorHAnsi" w:eastAsia="Batang" w:hAnsiTheme="majorHAnsi" w:cs="Times New Roman"/>
          <w:i/>
          <w:sz w:val="24"/>
          <w:szCs w:val="24"/>
          <w:lang w:val="pt-BR" w:eastAsia="pt-PT"/>
        </w:rPr>
        <w:t>uti universi</w:t>
      </w:r>
      <w:r w:rsidRPr="005609B7">
        <w:rPr>
          <w:rFonts w:asciiTheme="majorHAnsi" w:eastAsia="Batang" w:hAnsiTheme="majorHAnsi" w:cs="Times New Roman"/>
          <w:sz w:val="24"/>
          <w:szCs w:val="24"/>
          <w:lang w:val="pt-BR" w:eastAsia="pt-PT"/>
        </w:rPr>
        <w:t xml:space="preserve">, nos termos do artigo 80.º da LSC ou uma acção individual ou </w:t>
      </w:r>
      <w:r w:rsidRPr="005609B7">
        <w:rPr>
          <w:rFonts w:asciiTheme="majorHAnsi" w:eastAsia="Batang" w:hAnsiTheme="majorHAnsi" w:cs="Times New Roman"/>
          <w:i/>
          <w:sz w:val="24"/>
          <w:szCs w:val="24"/>
          <w:lang w:val="pt-BR" w:eastAsia="pt-PT"/>
        </w:rPr>
        <w:t>uti singuli</w:t>
      </w:r>
      <w:r w:rsidRPr="005609B7">
        <w:rPr>
          <w:rFonts w:asciiTheme="majorHAnsi" w:eastAsia="Batang" w:hAnsiTheme="majorHAnsi" w:cs="Times New Roman"/>
          <w:sz w:val="24"/>
          <w:szCs w:val="24"/>
          <w:lang w:val="pt-BR" w:eastAsia="pt-PT"/>
        </w:rPr>
        <w:t xml:space="preserve"> que pode ser intentada por qualquer </w:t>
      </w:r>
      <w:r w:rsidRPr="005609B7">
        <w:rPr>
          <w:rFonts w:asciiTheme="majorHAnsi" w:eastAsia="Batang" w:hAnsiTheme="majorHAnsi" w:cs="Times New Roman"/>
          <w:i/>
          <w:sz w:val="24"/>
          <w:szCs w:val="24"/>
          <w:lang w:val="pt-BR" w:eastAsia="pt-PT"/>
        </w:rPr>
        <w:t>sócio livre da sociedade subordinada</w:t>
      </w:r>
      <w:r w:rsidRPr="005609B7">
        <w:rPr>
          <w:rFonts w:asciiTheme="majorHAnsi" w:eastAsia="Batang" w:hAnsiTheme="majorHAnsi" w:cs="Times New Roman"/>
          <w:sz w:val="24"/>
          <w:szCs w:val="24"/>
          <w:lang w:val="pt-BR" w:eastAsia="pt-PT"/>
        </w:rPr>
        <w:t>, vimos aqui que a nível do grupo não se exige uma minorida do capital social, ou seja, não se exige que o sócio ou o conjunto de sócio, detenha no mínimo 10% do capital social, para ter legitimidade de intentar a acção. É ainda possível que a acção seja intentada pelos credores sociais em sub-rogação à sociedade, nos termos do artigo 83.º da LSC.</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Apesar destas prerrogativas, estes dois tipos de acções encontram algumas restrições para a sua concretização; para intentar a acção social ou uti universi a lei exige uma deliberação aprovada por maioria simples, onde consta a decisão de se responsabilizar civilmente os administradores. No entanto, a grande dificuldade está em deliberar neste sentido, muitas vezes pelo facto dos admnistradores serem os sócios maioritários e detentores do poder de deliberação em função dos seus interesses, outras vezes, porque os administradores são pessoas que têm uma relação de proximidade com os sócios que os nomearam. E a acção individual ou </w:t>
      </w:r>
      <w:r w:rsidRPr="005609B7">
        <w:rPr>
          <w:rFonts w:asciiTheme="majorHAnsi" w:eastAsia="Batang" w:hAnsiTheme="majorHAnsi" w:cs="Times New Roman"/>
          <w:i/>
          <w:sz w:val="24"/>
          <w:szCs w:val="24"/>
          <w:lang w:val="pt-BR" w:eastAsia="pt-PT"/>
        </w:rPr>
        <w:t>uti singuli</w:t>
      </w:r>
      <w:r w:rsidRPr="005609B7">
        <w:rPr>
          <w:rFonts w:asciiTheme="majorHAnsi" w:eastAsia="Batang" w:hAnsiTheme="majorHAnsi" w:cs="Times New Roman"/>
          <w:sz w:val="24"/>
          <w:szCs w:val="24"/>
          <w:lang w:val="pt-BR" w:eastAsia="pt-PT"/>
        </w:rPr>
        <w:t>, não prevê qualquer compensação para o sócio que intentou acção, sendo certo que o valor indemnizatório é revertido para a sociedade, o que em termos práticos desmotiva o sócio para actuar em conformidade.</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Acrescido a estas dificuldades práticas, encontramos a dificuldade de concretização de alguns dos pressupostos de responsabilidade civil, no seio dos grupos, senão vejamos; tratando-se de uma responsabilidade de natureza obrigacional como vimos, os pressupostos para aferir a responsabilidade são os previstor nos termos gerais; ilicitude, culpa, o dano e o nexo de causalidade. Em regra, há poucas especificidades na concretização destes pressupostos a nível do grupo de sociedades, no entanto chamamos atenção  para o dano e para o nexo de causalidade.</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Quanto ao primeiro, a problemática surge no facto do mesmo não poder ser aferido de forma  isolada. A respeito, Girgado Perandones afirma que “há que ter em atenção que a sua valoração não pode efectuar-se de forma isolada, tendo em conta uma actuação concreta, deve antes realizar-se de forma mais ampla, considerando, no seu conjunto, as relações que se estabelecem entre sociedade directora e subordinada. De acordo com este critério, os prejuizos  que uma actuação concreta pode causar (por exemplo, no caso de uma compra e venda abaixo do valor real), podem ser compensadas com outras medidas benéficas (…) deste modo, a existência do dano deve ser confrontada com “aquelas vantagens compensatórias” que a integração na empresa de grupo proporciona às suas filiais”</w:t>
      </w:r>
      <w:r w:rsidRPr="005609B7">
        <w:rPr>
          <w:rStyle w:val="Refdenotaderodap"/>
          <w:rFonts w:asciiTheme="majorHAnsi" w:eastAsia="Batang" w:hAnsiTheme="majorHAnsi" w:cs="Times New Roman"/>
          <w:sz w:val="24"/>
          <w:szCs w:val="24"/>
          <w:lang w:val="pt-BR" w:eastAsia="pt-PT"/>
        </w:rPr>
        <w:footnoteReference w:id="108"/>
      </w:r>
      <w:r w:rsidRPr="005609B7">
        <w:rPr>
          <w:rFonts w:asciiTheme="majorHAnsi" w:eastAsia="Batang" w:hAnsiTheme="majorHAnsi" w:cs="Times New Roman"/>
          <w:sz w:val="24"/>
          <w:szCs w:val="24"/>
          <w:lang w:val="pt-BR" w:eastAsia="pt-PT"/>
        </w:rPr>
        <w:t xml:space="preserve">.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Assim, para que se possa provar a existência do dano à sociedade subordinada é necessário que se prove a violação de um dever por parte dos administradores da sociedade directora, o que em tese é bastante complexo, primeiro porque os administradores estão munidos de uma certa discricionariedade no exercício da sua gestão, o que o concede a estes a prerrogativa de emitir instruções desvantajosas, mas que podem ser facilmente justificáveis e compensadas, por meio da adpoção de outras medidas vantajosas, por outra, se pensarmos num grupo que adoptou o sistema de</w:t>
      </w:r>
      <w:r w:rsidRPr="005609B7">
        <w:rPr>
          <w:rFonts w:asciiTheme="majorHAnsi" w:eastAsia="Batang" w:hAnsiTheme="majorHAnsi" w:cs="Times New Roman"/>
          <w:i/>
          <w:sz w:val="24"/>
          <w:szCs w:val="24"/>
          <w:lang w:val="pt-BR" w:eastAsia="pt-PT"/>
        </w:rPr>
        <w:t xml:space="preserve"> cash pooling</w:t>
      </w:r>
      <w:r w:rsidRPr="005609B7">
        <w:rPr>
          <w:rFonts w:asciiTheme="majorHAnsi" w:eastAsia="Batang" w:hAnsiTheme="majorHAnsi" w:cs="Times New Roman"/>
          <w:sz w:val="24"/>
          <w:szCs w:val="24"/>
          <w:lang w:val="pt-BR" w:eastAsia="pt-PT"/>
        </w:rPr>
        <w:t>, fruto da necessidade diária de compensar saldos devedores com saldos credores e de tomar decisões com vista a melhorar a posição do grupo, torna-se ainda mais penosa a tarefa de quem pretende provar a existência de um dano e a consequente obrigação de indemnizar.</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Outra dificuldade encontramos na concretização do nexo de causalidade entre o facto ilícito do administrador e o dano. Para que se dê lugar ao direito de indeminizar exige-se que haja o nexo de causalidade entre as instruções dadas aos administradores das sociedades subordinadas e o dano causado por essas instruções. É o caso da emissão de uma instrução que visa a privação temporária de liquidez de uma sociedade participante, apesar de ser uma medida desvantajosa, o facto de existirem vantagens compensatórias para a sociedade que ficou privada desta liquidez, torna complexo aferir-se na prática a existência do nexo de causalidade.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Outro argumento que milita em favor desta dificuldade de concretização deste pressuposto são os factores externos, alheios a vontade dos administradores (a actuação das empresas concorrentes, o próprio ambiente de mercado) que acabam por, em termos concretos constituirem verdadeiras causas de exclusão da responsabilidade dos administradores da sociedade directora e uma “pedra de tropeço” para quem queira provar a existência do nexo de causalidade.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É uma situação bastante complexo, ainda bem que  os administradores das sociedades dominadas têm uma prerrogativa legal; a LSC </w:t>
      </w:r>
      <w:r w:rsidRPr="005609B7">
        <w:rPr>
          <w:rStyle w:val="Refdenotaderodap"/>
          <w:rFonts w:asciiTheme="majorHAnsi" w:eastAsia="Batang" w:hAnsiTheme="majorHAnsi" w:cs="Times New Roman"/>
          <w:sz w:val="24"/>
          <w:szCs w:val="24"/>
          <w:lang w:val="pt-BR" w:eastAsia="pt-PT"/>
        </w:rPr>
        <w:footnoteReference w:id="109"/>
      </w:r>
      <w:r w:rsidRPr="005609B7">
        <w:rPr>
          <w:rFonts w:asciiTheme="majorHAnsi" w:eastAsia="Batang" w:hAnsiTheme="majorHAnsi" w:cs="Times New Roman"/>
          <w:sz w:val="24"/>
          <w:szCs w:val="24"/>
          <w:lang w:val="pt-BR" w:eastAsia="pt-PT"/>
        </w:rPr>
        <w:t xml:space="preserve">afasta a responsabilidade dos mesmos, quer pelas acções, quer pelas omissões que são realizadas por orientação das sociedades directoras, ou seja, a disposição acaba por afastar a ilicitude dos actos e omissões dos administradores da sociedade dominada. Não quer com isso dizer que os administradores da sociedade dominada têm legitimidade para actuarem em juizo próprio, pois, de acordo com o número dois do artigo referenciado que dispõe que “sem prejuízo do disposto no número anterior e no artigo 475.º, os membros do órgão de administração da sociedade dominada não podem, em prejuízo desta, favorecer a sociedade dominante ou outra sociedade sujeita à mesma relação de domínio, respondendo perante a sociedade dominada e seus sócios pelas perdas e danos que resultem da violação deste dever”. </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Da análise deste número, podemos depreender que; a existir omissão do dever de diligência por parte dos administradores da sociedade dominada, fruto de uma instrução emitida pela sociedade directora, não poderão os administradores serem responsabilizados e deverá a sociedade directora responder directamente perante a sociedade dominada, seus sócios e credores sociais, nos termos dos artigos 69.º, 77.º, 78.º e 82.º a 84.º da LSC.</w:t>
      </w: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Por outro lado, se a violação do dever legal de diligência ocorrer porque os administradores favorecerem indevidamente a sociedade directora ou qualquer outra sociedade do grupo, então serão os administradores da sociedade dominada a responder pela sua sociedade, seus sócios e credores sociais. Nesta situação, recairá sobre eles o ónus de provar que actuaram em conformidade com as orientações da sociedade directora.</w:t>
      </w:r>
    </w:p>
    <w:p w:rsid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É caso para se dizer que a obrigação de indemnizar só pode ocorrer se estiverem preenchidos os pressupostos de responsabilidade civil dos administradores. Dai tendermos a concordar com a autora Ana Perestrelo de Oliveira que chama atenção para a necessidade de uma revisão dogmática e a busca por novas soluções que permitam facilmente se verificar, a nível probatório a existência tanto do dano como do nexo de causalidade entre as instruções emitidas pelos administradores da sociedade directora a sociedade subordinada e o dano causado a esta última. </w:t>
      </w:r>
      <w:r w:rsidRPr="005609B7">
        <w:rPr>
          <w:rStyle w:val="Refdenotaderodap"/>
          <w:rFonts w:asciiTheme="majorHAnsi" w:eastAsia="Batang" w:hAnsiTheme="majorHAnsi" w:cs="Times New Roman"/>
          <w:sz w:val="24"/>
          <w:szCs w:val="24"/>
          <w:lang w:val="pt-BR" w:eastAsia="pt-PT"/>
        </w:rPr>
        <w:footnoteReference w:id="110"/>
      </w:r>
    </w:p>
    <w:p w:rsidR="00261E6E" w:rsidRDefault="00261E6E" w:rsidP="005609B7">
      <w:pPr>
        <w:spacing w:after="0" w:line="360" w:lineRule="auto"/>
        <w:rPr>
          <w:rFonts w:asciiTheme="majorHAnsi" w:eastAsia="Batang" w:hAnsiTheme="majorHAnsi" w:cs="Times New Roman"/>
          <w:sz w:val="24"/>
          <w:szCs w:val="24"/>
          <w:lang w:val="pt-BR" w:eastAsia="pt-PT"/>
        </w:rPr>
      </w:pPr>
    </w:p>
    <w:p w:rsidR="00261E6E" w:rsidRDefault="00261E6E"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750A9F" w:rsidRDefault="00750A9F" w:rsidP="005609B7">
      <w:pPr>
        <w:spacing w:after="0" w:line="360" w:lineRule="auto"/>
        <w:rPr>
          <w:rFonts w:asciiTheme="majorHAnsi" w:eastAsia="Batang" w:hAnsiTheme="majorHAnsi" w:cs="Times New Roman"/>
          <w:sz w:val="24"/>
          <w:szCs w:val="24"/>
          <w:lang w:val="pt-BR" w:eastAsia="pt-PT"/>
        </w:rPr>
      </w:pPr>
    </w:p>
    <w:p w:rsidR="00380199" w:rsidRDefault="00380199" w:rsidP="005609B7">
      <w:pPr>
        <w:spacing w:after="0" w:line="360" w:lineRule="auto"/>
        <w:rPr>
          <w:rFonts w:asciiTheme="majorHAnsi" w:eastAsia="Batang" w:hAnsiTheme="majorHAnsi" w:cs="Times New Roman"/>
          <w:sz w:val="24"/>
          <w:szCs w:val="24"/>
          <w:lang w:val="pt-BR" w:eastAsia="pt-PT"/>
        </w:rPr>
      </w:pPr>
    </w:p>
    <w:p w:rsidR="00B21670" w:rsidRDefault="00B21670" w:rsidP="008D6AFD">
      <w:pPr>
        <w:pStyle w:val="SemEspaamento1"/>
        <w:rPr>
          <w:rFonts w:asciiTheme="majorHAnsi" w:eastAsia="Batang" w:hAnsiTheme="majorHAnsi"/>
          <w:b w:val="0"/>
          <w:caps w:val="0"/>
          <w:lang w:val="pt-BR" w:eastAsia="pt-PT"/>
        </w:rPr>
      </w:pPr>
    </w:p>
    <w:p w:rsidR="008D6AFD" w:rsidRPr="00750A9F" w:rsidRDefault="00380199" w:rsidP="008D6AFD">
      <w:pPr>
        <w:pStyle w:val="SemEspaamento1"/>
        <w:rPr>
          <w:b w:val="0"/>
          <w:sz w:val="32"/>
        </w:rPr>
      </w:pPr>
      <w:r w:rsidRPr="00750A9F">
        <w:rPr>
          <w:b w:val="0"/>
          <w:sz w:val="32"/>
        </w:rPr>
        <w:t>conclusões gerais</w:t>
      </w:r>
    </w:p>
    <w:p w:rsidR="000867DF" w:rsidRDefault="000867DF" w:rsidP="00300466">
      <w:pPr>
        <w:pStyle w:val="SemEspaamento1"/>
        <w:spacing w:line="360" w:lineRule="auto"/>
        <w:rPr>
          <w:b w:val="0"/>
          <w:caps w:val="0"/>
        </w:rPr>
      </w:pPr>
      <w:r>
        <w:rPr>
          <w:b w:val="0"/>
          <w:caps w:val="0"/>
        </w:rPr>
        <w:t xml:space="preserve">Ao descrevermos de forma sintética a nossa trajectória, diríamos que estivemos até aqui a tratar da figura do </w:t>
      </w:r>
      <w:r w:rsidRPr="000867DF">
        <w:rPr>
          <w:b w:val="0"/>
          <w:i/>
          <w:caps w:val="0"/>
        </w:rPr>
        <w:t>cash pooling</w:t>
      </w:r>
      <w:r>
        <w:rPr>
          <w:b w:val="0"/>
          <w:caps w:val="0"/>
        </w:rPr>
        <w:t xml:space="preserve"> e dos diferentes contornos em que essa realidade se apresenta na vertente societária. </w:t>
      </w:r>
    </w:p>
    <w:p w:rsidR="000867DF" w:rsidRDefault="000867DF" w:rsidP="00300466">
      <w:pPr>
        <w:pStyle w:val="SemEspaamento1"/>
        <w:spacing w:line="360" w:lineRule="auto"/>
        <w:rPr>
          <w:b w:val="0"/>
          <w:caps w:val="0"/>
        </w:rPr>
      </w:pPr>
      <w:r>
        <w:rPr>
          <w:b w:val="0"/>
          <w:caps w:val="0"/>
        </w:rPr>
        <w:t xml:space="preserve">A nossa preocupação, assentou, sobretudo, na necessidade de demonstrar que, não obstante a inexistência de um regime unitário e sistematizado sobre o </w:t>
      </w:r>
      <w:r w:rsidRPr="000867DF">
        <w:rPr>
          <w:b w:val="0"/>
          <w:i/>
          <w:caps w:val="0"/>
        </w:rPr>
        <w:t>cash pooling</w:t>
      </w:r>
      <w:r w:rsidR="00300466">
        <w:rPr>
          <w:b w:val="0"/>
          <w:caps w:val="0"/>
        </w:rPr>
        <w:t xml:space="preserve"> e, apesar de ser a LIF a permitir as operações de gestão de centralização de tesouraria nos grupos, a LSC contém várias normas gerais e específicas que acautelam problemas neste domínio</w:t>
      </w:r>
      <w:r w:rsidR="00126FB4">
        <w:rPr>
          <w:b w:val="0"/>
          <w:caps w:val="0"/>
        </w:rPr>
        <w:t xml:space="preserve"> e que apresentam soluções que, dentro da nossa realidade económica, </w:t>
      </w:r>
      <w:r w:rsidR="00B42BF8">
        <w:rPr>
          <w:b w:val="0"/>
          <w:caps w:val="0"/>
        </w:rPr>
        <w:t>não fogem muito das adoptadas em outras paradas.</w:t>
      </w:r>
    </w:p>
    <w:p w:rsidR="000A4EC5" w:rsidRDefault="000A4EC5" w:rsidP="00300466">
      <w:pPr>
        <w:pStyle w:val="SemEspaamento1"/>
        <w:spacing w:line="360" w:lineRule="auto"/>
        <w:rPr>
          <w:b w:val="0"/>
          <w:caps w:val="0"/>
        </w:rPr>
      </w:pPr>
      <w:r>
        <w:rPr>
          <w:b w:val="0"/>
          <w:caps w:val="0"/>
        </w:rPr>
        <w:t xml:space="preserve">Em síntese, podemos dizer que o </w:t>
      </w:r>
      <w:r w:rsidRPr="000A4EC5">
        <w:rPr>
          <w:b w:val="0"/>
          <w:i/>
          <w:caps w:val="0"/>
        </w:rPr>
        <w:t>cash pooling</w:t>
      </w:r>
      <w:r>
        <w:rPr>
          <w:b w:val="0"/>
          <w:caps w:val="0"/>
        </w:rPr>
        <w:t xml:space="preserve"> é um mecanismo alternativo de financiamento, que em regra, é utilizado pelos grupos de sociedades, para fazer face aos elevados custos, típicos dos emprésticos feitos pelas entidades de crédito (bancos). A escolha das modalidades de </w:t>
      </w:r>
      <w:r w:rsidRPr="000A4EC5">
        <w:rPr>
          <w:b w:val="0"/>
          <w:i/>
          <w:caps w:val="0"/>
        </w:rPr>
        <w:t>cash pooling</w:t>
      </w:r>
      <w:r>
        <w:rPr>
          <w:b w:val="0"/>
          <w:caps w:val="0"/>
        </w:rPr>
        <w:t xml:space="preserve"> pelos grupos de sociedades, depende, na maior parte das vezes de características do próprio grupo, pelo que a </w:t>
      </w:r>
      <w:r w:rsidR="006E4628">
        <w:rPr>
          <w:b w:val="0"/>
          <w:caps w:val="0"/>
        </w:rPr>
        <w:t>sua escolha, deve ser ponderada, em função das caracteristicas financeiras e do tipo de contrato adoptado pelo grupo.</w:t>
      </w:r>
    </w:p>
    <w:p w:rsidR="00122E79" w:rsidRDefault="00122E79" w:rsidP="00300466">
      <w:pPr>
        <w:pStyle w:val="SemEspaamento1"/>
        <w:spacing w:line="360" w:lineRule="auto"/>
        <w:rPr>
          <w:b w:val="0"/>
          <w:caps w:val="0"/>
        </w:rPr>
      </w:pPr>
      <w:r>
        <w:rPr>
          <w:b w:val="0"/>
          <w:caps w:val="0"/>
        </w:rPr>
        <w:t xml:space="preserve">Em Angola, a implementação do sistema é permitido por meio da alínea d) do n.º 2 do artigo 8.º da LIF, que não considera as operações de </w:t>
      </w:r>
      <w:r w:rsidRPr="00122E79">
        <w:rPr>
          <w:b w:val="0"/>
          <w:i/>
          <w:caps w:val="0"/>
        </w:rPr>
        <w:t>cash pooling</w:t>
      </w:r>
      <w:r>
        <w:rPr>
          <w:b w:val="0"/>
          <w:i/>
          <w:caps w:val="0"/>
        </w:rPr>
        <w:t xml:space="preserve"> como </w:t>
      </w:r>
      <w:r w:rsidRPr="00066BD6">
        <w:rPr>
          <w:b w:val="0"/>
          <w:caps w:val="0"/>
        </w:rPr>
        <w:t>operações de cr</w:t>
      </w:r>
      <w:r w:rsidR="00066BD6">
        <w:rPr>
          <w:b w:val="0"/>
          <w:caps w:val="0"/>
        </w:rPr>
        <w:t xml:space="preserve">édito. Verificamos ainda que elas também não encontram limitações por não terem no seu objecto social a prática de actos de natureza </w:t>
      </w:r>
      <w:r w:rsidR="005701D8">
        <w:rPr>
          <w:b w:val="0"/>
          <w:caps w:val="0"/>
        </w:rPr>
        <w:t xml:space="preserve">exclusivamente </w:t>
      </w:r>
      <w:r w:rsidR="00066BD6">
        <w:rPr>
          <w:b w:val="0"/>
          <w:caps w:val="0"/>
        </w:rPr>
        <w:t>financeira</w:t>
      </w:r>
      <w:r w:rsidR="005701D8">
        <w:rPr>
          <w:b w:val="0"/>
          <w:caps w:val="0"/>
        </w:rPr>
        <w:t xml:space="preserve">, uma vez que, as operações de </w:t>
      </w:r>
      <w:r w:rsidR="005701D8" w:rsidRPr="005701D8">
        <w:rPr>
          <w:b w:val="0"/>
          <w:i/>
          <w:caps w:val="0"/>
        </w:rPr>
        <w:t>cash pooling</w:t>
      </w:r>
      <w:r w:rsidR="005701D8">
        <w:rPr>
          <w:b w:val="0"/>
          <w:caps w:val="0"/>
        </w:rPr>
        <w:t>, são meros actos de gestão, típicos das actividades do grupo.</w:t>
      </w:r>
    </w:p>
    <w:p w:rsidR="005701D8" w:rsidRDefault="005701D8" w:rsidP="00300466">
      <w:pPr>
        <w:pStyle w:val="SemEspaamento1"/>
        <w:spacing w:line="360" w:lineRule="auto"/>
        <w:rPr>
          <w:b w:val="0"/>
          <w:caps w:val="0"/>
        </w:rPr>
      </w:pPr>
      <w:r>
        <w:rPr>
          <w:b w:val="0"/>
          <w:caps w:val="0"/>
        </w:rPr>
        <w:t>A</w:t>
      </w:r>
      <w:r w:rsidR="000D148B">
        <w:rPr>
          <w:b w:val="0"/>
          <w:caps w:val="0"/>
        </w:rPr>
        <w:t xml:space="preserve"> inserção </w:t>
      </w:r>
      <w:r>
        <w:rPr>
          <w:b w:val="0"/>
          <w:caps w:val="0"/>
        </w:rPr>
        <w:t xml:space="preserve">do </w:t>
      </w:r>
      <w:r w:rsidRPr="005701D8">
        <w:rPr>
          <w:b w:val="0"/>
          <w:i/>
          <w:caps w:val="0"/>
        </w:rPr>
        <w:t>cash pooling</w:t>
      </w:r>
      <w:r>
        <w:rPr>
          <w:b w:val="0"/>
          <w:caps w:val="0"/>
        </w:rPr>
        <w:t xml:space="preserve"> encontra limites; não pode ser implementado quando coloca em causa</w:t>
      </w:r>
      <w:r w:rsidR="000D148B">
        <w:rPr>
          <w:b w:val="0"/>
          <w:caps w:val="0"/>
        </w:rPr>
        <w:t>,</w:t>
      </w:r>
      <w:r>
        <w:rPr>
          <w:b w:val="0"/>
          <w:caps w:val="0"/>
        </w:rPr>
        <w:t xml:space="preserve"> a liquidez do grupo, ou </w:t>
      </w:r>
      <w:r w:rsidR="000D148B">
        <w:rPr>
          <w:b w:val="0"/>
          <w:caps w:val="0"/>
        </w:rPr>
        <w:t xml:space="preserve">de qualquer uma </w:t>
      </w:r>
      <w:r>
        <w:rPr>
          <w:b w:val="0"/>
          <w:caps w:val="0"/>
        </w:rPr>
        <w:t>das sociedades subo</w:t>
      </w:r>
      <w:r w:rsidR="000D148B">
        <w:rPr>
          <w:b w:val="0"/>
          <w:caps w:val="0"/>
        </w:rPr>
        <w:t>rdinadas, quando a sua gestão é feita de maneira leviana pela sociedade directora e com isso, gerar  confusão de patrimónios. A solução para isso passaria por levantar a personalidade do grupo e com isso, responsabilizar as sociedades ou os sócios, culpados pela delapidação do património da sociedade subordinada.</w:t>
      </w:r>
    </w:p>
    <w:p w:rsidR="000D148B" w:rsidRDefault="000D148B" w:rsidP="00300466">
      <w:pPr>
        <w:pStyle w:val="SemEspaamento1"/>
        <w:spacing w:line="360" w:lineRule="auto"/>
        <w:rPr>
          <w:b w:val="0"/>
          <w:caps w:val="0"/>
        </w:rPr>
      </w:pPr>
      <w:r>
        <w:rPr>
          <w:b w:val="0"/>
          <w:caps w:val="0"/>
        </w:rPr>
        <w:t xml:space="preserve">É ainda possível responsabilizar os administradores das entidades centralizadores, pelos actos praticados, enquanto responsáveis pela gestão centralizada do grupo, seja por violação dos deveres gerais, típicos de qualquer administrador, seja por violação de deveres concretos. </w:t>
      </w:r>
    </w:p>
    <w:p w:rsidR="000D148B" w:rsidRDefault="000D148B" w:rsidP="00300466">
      <w:pPr>
        <w:pStyle w:val="SemEspaamento1"/>
        <w:spacing w:line="360" w:lineRule="auto"/>
        <w:rPr>
          <w:b w:val="0"/>
          <w:caps w:val="0"/>
        </w:rPr>
      </w:pPr>
      <w:r>
        <w:rPr>
          <w:b w:val="0"/>
          <w:caps w:val="0"/>
        </w:rPr>
        <w:t xml:space="preserve">Ainda assim, recomendamos que a implementação do sistema de </w:t>
      </w:r>
      <w:r w:rsidRPr="00433E30">
        <w:rPr>
          <w:b w:val="0"/>
          <w:i/>
          <w:caps w:val="0"/>
        </w:rPr>
        <w:t>cash pooling</w:t>
      </w:r>
      <w:r>
        <w:rPr>
          <w:b w:val="0"/>
          <w:caps w:val="0"/>
        </w:rPr>
        <w:t xml:space="preserve"> em Angola seja feito, tendo em conta as debilidades legislativas, relativamente aos grupos de sociedades, as debilidades </w:t>
      </w:r>
      <w:r w:rsidR="00433E30">
        <w:rPr>
          <w:b w:val="0"/>
          <w:caps w:val="0"/>
        </w:rPr>
        <w:t xml:space="preserve">do regime fiscal. Assim, concluímos que, mesmo não sendo expressa, a inserção do </w:t>
      </w:r>
      <w:r w:rsidR="00433E30" w:rsidRPr="00433E30">
        <w:rPr>
          <w:b w:val="0"/>
          <w:i/>
          <w:caps w:val="0"/>
        </w:rPr>
        <w:t>cash pooling</w:t>
      </w:r>
      <w:r w:rsidR="00B21670">
        <w:rPr>
          <w:b w:val="0"/>
          <w:caps w:val="0"/>
        </w:rPr>
        <w:t xml:space="preserve"> não deve ser adoptada por grupos de sociedades que não tenham capacidade financeira para suportar as constantes transferências financeiras.</w:t>
      </w:r>
    </w:p>
    <w:p w:rsidR="00B21670" w:rsidRPr="00B21670" w:rsidRDefault="00B21670" w:rsidP="00300466">
      <w:pPr>
        <w:pStyle w:val="SemEspaamento1"/>
        <w:spacing w:line="360" w:lineRule="auto"/>
        <w:rPr>
          <w:b w:val="0"/>
          <w:caps w:val="0"/>
        </w:rPr>
      </w:pPr>
    </w:p>
    <w:p w:rsidR="000D148B" w:rsidRDefault="000D148B" w:rsidP="00300466">
      <w:pPr>
        <w:pStyle w:val="SemEspaamento1"/>
        <w:spacing w:line="360" w:lineRule="auto"/>
        <w:rPr>
          <w:b w:val="0"/>
          <w:caps w:val="0"/>
        </w:rPr>
      </w:pPr>
    </w:p>
    <w:p w:rsidR="000D148B" w:rsidRPr="005701D8" w:rsidRDefault="000D148B" w:rsidP="00300466">
      <w:pPr>
        <w:pStyle w:val="SemEspaamento1"/>
        <w:spacing w:line="360" w:lineRule="auto"/>
        <w:rPr>
          <w:b w:val="0"/>
          <w:caps w:val="0"/>
        </w:rPr>
      </w:pPr>
    </w:p>
    <w:p w:rsidR="006E4628" w:rsidRPr="00122E79" w:rsidRDefault="006E4628" w:rsidP="00300466">
      <w:pPr>
        <w:pStyle w:val="SemEspaamento1"/>
        <w:spacing w:line="360" w:lineRule="auto"/>
        <w:rPr>
          <w:b w:val="0"/>
          <w:i/>
          <w:caps w:val="0"/>
        </w:rPr>
      </w:pPr>
    </w:p>
    <w:p w:rsidR="006E4628" w:rsidRPr="00122E79" w:rsidRDefault="006E4628" w:rsidP="00300466">
      <w:pPr>
        <w:pStyle w:val="SemEspaamento1"/>
        <w:spacing w:line="360" w:lineRule="auto"/>
        <w:rPr>
          <w:b w:val="0"/>
          <w:i/>
          <w:caps w:val="0"/>
        </w:rPr>
      </w:pPr>
    </w:p>
    <w:p w:rsidR="006E4628" w:rsidRPr="00122E79" w:rsidRDefault="006E4628" w:rsidP="00300466">
      <w:pPr>
        <w:pStyle w:val="SemEspaamento1"/>
        <w:spacing w:line="360" w:lineRule="auto"/>
        <w:rPr>
          <w:b w:val="0"/>
          <w:i/>
          <w:caps w:val="0"/>
        </w:rPr>
      </w:pPr>
    </w:p>
    <w:p w:rsidR="006E4628" w:rsidRDefault="006E4628" w:rsidP="00300466">
      <w:pPr>
        <w:pStyle w:val="SemEspaamento1"/>
        <w:spacing w:line="360" w:lineRule="auto"/>
        <w:rPr>
          <w:b w:val="0"/>
          <w:caps w:val="0"/>
        </w:rPr>
      </w:pPr>
    </w:p>
    <w:p w:rsidR="000A4EC5" w:rsidRDefault="000A4EC5" w:rsidP="00300466">
      <w:pPr>
        <w:pStyle w:val="SemEspaamento1"/>
        <w:spacing w:line="360" w:lineRule="auto"/>
        <w:rPr>
          <w:b w:val="0"/>
          <w:caps w:val="0"/>
        </w:rPr>
      </w:pPr>
    </w:p>
    <w:p w:rsidR="007F0959" w:rsidRDefault="007F0959" w:rsidP="00300466">
      <w:pPr>
        <w:pStyle w:val="SemEspaamento1"/>
        <w:spacing w:line="360" w:lineRule="auto"/>
        <w:rPr>
          <w:b w:val="0"/>
          <w:caps w:val="0"/>
        </w:rPr>
      </w:pPr>
    </w:p>
    <w:p w:rsidR="00126FB4" w:rsidRDefault="00126FB4" w:rsidP="00300466">
      <w:pPr>
        <w:pStyle w:val="SemEspaamento1"/>
        <w:spacing w:line="360" w:lineRule="auto"/>
        <w:rPr>
          <w:b w:val="0"/>
          <w:caps w:val="0"/>
        </w:rPr>
      </w:pPr>
    </w:p>
    <w:p w:rsidR="00126FB4" w:rsidRDefault="00126FB4" w:rsidP="00300466">
      <w:pPr>
        <w:pStyle w:val="SemEspaamento1"/>
        <w:spacing w:line="360" w:lineRule="auto"/>
        <w:rPr>
          <w:b w:val="0"/>
          <w:caps w:val="0"/>
        </w:rPr>
      </w:pPr>
    </w:p>
    <w:p w:rsidR="00B42BF8" w:rsidRPr="000867DF" w:rsidRDefault="008E6386" w:rsidP="00300466">
      <w:pPr>
        <w:pStyle w:val="SemEspaamento1"/>
        <w:spacing w:line="360" w:lineRule="auto"/>
        <w:rPr>
          <w:b w:val="0"/>
        </w:rPr>
      </w:pPr>
      <w:r>
        <w:rPr>
          <w:b w:val="0"/>
          <w:caps w:val="0"/>
        </w:rPr>
        <w:t xml:space="preserve"> </w:t>
      </w:r>
    </w:p>
    <w:p w:rsidR="008D6AFD" w:rsidRPr="008D6AFD" w:rsidRDefault="008D6AFD" w:rsidP="008D6AFD">
      <w:pPr>
        <w:pStyle w:val="SemEspaamento1"/>
        <w:rPr>
          <w:rFonts w:asciiTheme="majorHAnsi" w:hAnsiTheme="majorHAnsi"/>
          <w:b w:val="0"/>
        </w:rPr>
      </w:pPr>
    </w:p>
    <w:p w:rsidR="005609B7" w:rsidRPr="005609B7" w:rsidRDefault="005609B7" w:rsidP="005609B7">
      <w:pPr>
        <w:spacing w:after="0" w:line="360" w:lineRule="auto"/>
        <w:rPr>
          <w:rFonts w:asciiTheme="majorHAnsi" w:eastAsia="Batang" w:hAnsiTheme="majorHAnsi" w:cs="Times New Roman"/>
          <w:sz w:val="24"/>
          <w:szCs w:val="24"/>
          <w:lang w:val="pt-BR" w:eastAsia="pt-PT"/>
        </w:rPr>
      </w:pPr>
      <w:r w:rsidRPr="005609B7">
        <w:rPr>
          <w:rFonts w:asciiTheme="majorHAnsi" w:eastAsia="Batang" w:hAnsiTheme="majorHAnsi" w:cs="Times New Roman"/>
          <w:sz w:val="24"/>
          <w:szCs w:val="24"/>
          <w:lang w:val="pt-BR" w:eastAsia="pt-PT"/>
        </w:rPr>
        <w:t xml:space="preserve">                                                                                                                                                                                                                                                                                                                                                                                                                                                                                                                                                                                                  </w:t>
      </w:r>
    </w:p>
    <w:p w:rsidR="005609B7" w:rsidRPr="005609B7" w:rsidRDefault="005609B7" w:rsidP="005609B7">
      <w:pPr>
        <w:spacing w:before="0" w:after="200" w:line="360" w:lineRule="auto"/>
        <w:rPr>
          <w:rFonts w:asciiTheme="majorHAnsi" w:hAnsiTheme="majorHAnsi" w:cs="Times New Roman"/>
          <w:sz w:val="24"/>
          <w:szCs w:val="24"/>
          <w:lang w:val="pt-BR"/>
        </w:rPr>
      </w:pPr>
    </w:p>
    <w:p w:rsidR="003D4949" w:rsidRPr="005609B7" w:rsidRDefault="003D4949" w:rsidP="005609B7">
      <w:pPr>
        <w:spacing w:before="0" w:after="200" w:line="360" w:lineRule="auto"/>
        <w:rPr>
          <w:rFonts w:asciiTheme="majorHAnsi" w:hAnsiTheme="majorHAnsi" w:cs="Times New Roman"/>
          <w:sz w:val="24"/>
          <w:szCs w:val="24"/>
          <w:lang w:val="pt-BR"/>
        </w:rPr>
      </w:pPr>
    </w:p>
    <w:p w:rsidR="00CC6F12" w:rsidRPr="005609B7" w:rsidRDefault="00CC6F12" w:rsidP="005609B7">
      <w:pPr>
        <w:spacing w:before="0" w:after="200" w:line="360" w:lineRule="auto"/>
        <w:rPr>
          <w:rFonts w:asciiTheme="majorHAnsi" w:hAnsiTheme="majorHAnsi" w:cs="Times New Roman"/>
          <w:sz w:val="24"/>
          <w:szCs w:val="24"/>
          <w:lang w:val="pt-BR"/>
        </w:rPr>
      </w:pPr>
    </w:p>
    <w:p w:rsidR="00E40A38" w:rsidRPr="005609B7" w:rsidRDefault="00E40A38" w:rsidP="005609B7">
      <w:pPr>
        <w:spacing w:line="360" w:lineRule="auto"/>
        <w:rPr>
          <w:rFonts w:asciiTheme="majorHAnsi" w:hAnsiTheme="majorHAnsi" w:cs="Times New Roman"/>
          <w:sz w:val="24"/>
          <w:szCs w:val="24"/>
          <w:lang w:val="pt-BR"/>
        </w:rPr>
      </w:pPr>
    </w:p>
    <w:p w:rsidR="00CC50AE" w:rsidRDefault="00CC50AE" w:rsidP="005609B7">
      <w:pPr>
        <w:spacing w:line="360" w:lineRule="auto"/>
        <w:rPr>
          <w:rFonts w:asciiTheme="majorHAnsi" w:hAnsiTheme="majorHAnsi"/>
          <w:sz w:val="24"/>
          <w:szCs w:val="24"/>
          <w:lang w:val="pt-BR"/>
        </w:rPr>
      </w:pPr>
    </w:p>
    <w:p w:rsidR="00380199" w:rsidRDefault="00380199" w:rsidP="005609B7">
      <w:pPr>
        <w:spacing w:line="360" w:lineRule="auto"/>
        <w:rPr>
          <w:rFonts w:asciiTheme="majorHAnsi" w:hAnsiTheme="majorHAnsi"/>
          <w:sz w:val="24"/>
          <w:szCs w:val="24"/>
          <w:lang w:val="pt-BR"/>
        </w:rPr>
      </w:pPr>
    </w:p>
    <w:p w:rsidR="00380199" w:rsidRDefault="00380199" w:rsidP="005609B7">
      <w:pPr>
        <w:spacing w:line="360" w:lineRule="auto"/>
        <w:rPr>
          <w:rFonts w:asciiTheme="majorHAnsi" w:hAnsiTheme="majorHAnsi"/>
          <w:sz w:val="24"/>
          <w:szCs w:val="24"/>
          <w:lang w:val="pt-BR"/>
        </w:rPr>
      </w:pPr>
    </w:p>
    <w:p w:rsidR="00380199" w:rsidRDefault="00380199" w:rsidP="005609B7">
      <w:pPr>
        <w:spacing w:line="360" w:lineRule="auto"/>
        <w:rPr>
          <w:rFonts w:asciiTheme="majorHAnsi" w:hAnsiTheme="majorHAnsi"/>
          <w:sz w:val="24"/>
          <w:szCs w:val="24"/>
          <w:lang w:val="pt-BR"/>
        </w:rPr>
      </w:pPr>
    </w:p>
    <w:p w:rsidR="00750A9F" w:rsidRDefault="00750A9F" w:rsidP="005609B7">
      <w:pPr>
        <w:spacing w:line="360" w:lineRule="auto"/>
        <w:rPr>
          <w:rFonts w:asciiTheme="majorHAnsi" w:hAnsiTheme="majorHAnsi"/>
          <w:sz w:val="32"/>
        </w:rPr>
      </w:pPr>
    </w:p>
    <w:p w:rsidR="00750A9F" w:rsidRDefault="00750A9F" w:rsidP="005609B7">
      <w:pPr>
        <w:spacing w:line="360" w:lineRule="auto"/>
        <w:rPr>
          <w:rFonts w:asciiTheme="majorHAnsi" w:hAnsiTheme="majorHAnsi"/>
          <w:sz w:val="32"/>
        </w:rPr>
      </w:pPr>
    </w:p>
    <w:p w:rsidR="00750A9F" w:rsidRDefault="00750A9F" w:rsidP="005609B7">
      <w:pPr>
        <w:spacing w:line="360" w:lineRule="auto"/>
        <w:rPr>
          <w:rFonts w:asciiTheme="majorHAnsi" w:hAnsiTheme="majorHAnsi"/>
          <w:sz w:val="32"/>
        </w:rPr>
      </w:pPr>
    </w:p>
    <w:p w:rsidR="00750A9F" w:rsidRDefault="00750A9F" w:rsidP="005609B7">
      <w:pPr>
        <w:spacing w:line="360" w:lineRule="auto"/>
        <w:rPr>
          <w:rFonts w:asciiTheme="majorHAnsi" w:hAnsiTheme="majorHAnsi"/>
          <w:sz w:val="32"/>
        </w:rPr>
      </w:pPr>
    </w:p>
    <w:p w:rsidR="00380199" w:rsidRDefault="00380199" w:rsidP="005609B7">
      <w:pPr>
        <w:spacing w:line="360" w:lineRule="auto"/>
        <w:rPr>
          <w:rFonts w:asciiTheme="majorHAnsi" w:hAnsiTheme="majorHAnsi"/>
          <w:b/>
          <w:sz w:val="32"/>
        </w:rPr>
      </w:pPr>
      <w:r w:rsidRPr="00750A9F">
        <w:rPr>
          <w:rFonts w:asciiTheme="majorHAnsi" w:hAnsiTheme="majorHAnsi"/>
          <w:b/>
          <w:sz w:val="32"/>
        </w:rPr>
        <w:t>Bibliografia</w:t>
      </w:r>
    </w:p>
    <w:p w:rsidR="00750A9F" w:rsidRPr="00750A9F" w:rsidRDefault="00750A9F" w:rsidP="00750A9F">
      <w:pPr>
        <w:rPr>
          <w:rFonts w:asciiTheme="majorHAnsi" w:eastAsia="Batang" w:hAnsiTheme="majorHAnsi" w:cs="Times New Roman"/>
          <w:sz w:val="24"/>
          <w:szCs w:val="24"/>
        </w:rPr>
      </w:pPr>
      <w:r w:rsidRPr="00661DDC">
        <w:rPr>
          <w:rFonts w:asciiTheme="majorHAnsi" w:eastAsia="Batang" w:hAnsiTheme="majorHAnsi" w:cs="Times New Roman"/>
          <w:sz w:val="24"/>
          <w:szCs w:val="24"/>
        </w:rPr>
        <w:t>ABREU, J.M Coutinho de</w:t>
      </w:r>
      <w:r>
        <w:rPr>
          <w:rFonts w:asciiTheme="majorHAnsi" w:eastAsia="Batang" w:hAnsiTheme="majorHAnsi" w:cs="Times New Roman"/>
          <w:sz w:val="24"/>
          <w:szCs w:val="24"/>
        </w:rPr>
        <w:t xml:space="preserve">, </w:t>
      </w:r>
      <w:r w:rsidRPr="00661DDC">
        <w:rPr>
          <w:rFonts w:asciiTheme="majorHAnsi" w:eastAsia="Batang" w:hAnsiTheme="majorHAnsi" w:cs="Times New Roman"/>
          <w:i/>
          <w:sz w:val="24"/>
          <w:szCs w:val="24"/>
        </w:rPr>
        <w:t>Grupos de sociedades; aquisições tendentes ao domínio total/ Alexandre Soveral,</w:t>
      </w:r>
      <w:r w:rsidR="00661DDC">
        <w:rPr>
          <w:rFonts w:asciiTheme="majorHAnsi" w:eastAsia="Batang" w:hAnsiTheme="majorHAnsi" w:cs="Times New Roman"/>
          <w:sz w:val="24"/>
          <w:szCs w:val="24"/>
        </w:rPr>
        <w:t xml:space="preserve"> A</w:t>
      </w:r>
      <w:r w:rsidRPr="00750A9F">
        <w:rPr>
          <w:rFonts w:asciiTheme="majorHAnsi" w:eastAsia="Batang" w:hAnsiTheme="majorHAnsi" w:cs="Times New Roman"/>
          <w:sz w:val="24"/>
          <w:szCs w:val="24"/>
        </w:rPr>
        <w:t>lmedina, 2003.</w:t>
      </w:r>
    </w:p>
    <w:p w:rsidR="00750A9F" w:rsidRPr="00750A9F" w:rsidRDefault="00750A9F" w:rsidP="00750A9F">
      <w:pPr>
        <w:rPr>
          <w:rFonts w:asciiTheme="majorHAnsi" w:eastAsia="Batang" w:hAnsiTheme="majorHAnsi" w:cs="Times New Roman"/>
          <w:sz w:val="24"/>
          <w:szCs w:val="24"/>
        </w:rPr>
      </w:pPr>
      <w:r w:rsidRPr="00661DDC">
        <w:rPr>
          <w:rFonts w:asciiTheme="majorHAnsi" w:eastAsia="Batang" w:hAnsiTheme="majorHAnsi" w:cs="Times New Roman"/>
          <w:sz w:val="24"/>
          <w:szCs w:val="24"/>
        </w:rPr>
        <w:t>ABREU, J.M Coutinho de</w:t>
      </w:r>
      <w:r w:rsidR="00661DDC">
        <w:rPr>
          <w:rFonts w:asciiTheme="majorHAnsi" w:eastAsia="Batang" w:hAnsiTheme="majorHAnsi" w:cs="Times New Roman"/>
          <w:sz w:val="24"/>
          <w:szCs w:val="24"/>
        </w:rPr>
        <w:t>,</w:t>
      </w:r>
      <w:r w:rsidRPr="00750A9F">
        <w:rPr>
          <w:rFonts w:asciiTheme="majorHAnsi" w:eastAsia="Batang" w:hAnsiTheme="majorHAnsi" w:cs="Times New Roman"/>
          <w:sz w:val="24"/>
          <w:szCs w:val="24"/>
        </w:rPr>
        <w:t xml:space="preserve"> </w:t>
      </w:r>
      <w:r w:rsidRPr="00661DDC">
        <w:rPr>
          <w:rFonts w:asciiTheme="majorHAnsi" w:eastAsia="Batang" w:hAnsiTheme="majorHAnsi" w:cs="Times New Roman"/>
          <w:i/>
          <w:sz w:val="24"/>
          <w:szCs w:val="24"/>
        </w:rPr>
        <w:t>Codigo das sociedades comerciais em comentários</w:t>
      </w:r>
      <w:r w:rsidR="00661DDC">
        <w:rPr>
          <w:rFonts w:asciiTheme="majorHAnsi" w:eastAsia="Batang" w:hAnsiTheme="majorHAnsi" w:cs="Times New Roman"/>
          <w:sz w:val="24"/>
          <w:szCs w:val="24"/>
        </w:rPr>
        <w:t xml:space="preserve">, Coimbra, </w:t>
      </w:r>
      <w:r w:rsidRPr="00750A9F">
        <w:rPr>
          <w:rFonts w:asciiTheme="majorHAnsi" w:eastAsia="Batang" w:hAnsiTheme="majorHAnsi" w:cs="Times New Roman"/>
          <w:sz w:val="24"/>
          <w:szCs w:val="24"/>
        </w:rPr>
        <w:t>Almedina, 2010</w:t>
      </w:r>
    </w:p>
    <w:p w:rsidR="00750A9F" w:rsidRPr="00750A9F" w:rsidRDefault="00750A9F" w:rsidP="00750A9F">
      <w:pPr>
        <w:rPr>
          <w:rFonts w:asciiTheme="majorHAnsi" w:eastAsia="Batang" w:hAnsiTheme="majorHAnsi" w:cs="Times New Roman"/>
          <w:sz w:val="24"/>
          <w:szCs w:val="24"/>
        </w:rPr>
      </w:pPr>
      <w:r w:rsidRPr="00661DDC">
        <w:rPr>
          <w:rFonts w:asciiTheme="majorHAnsi" w:eastAsia="Batang" w:hAnsiTheme="majorHAnsi" w:cs="Times New Roman"/>
          <w:sz w:val="24"/>
          <w:szCs w:val="24"/>
        </w:rPr>
        <w:t>ABREU, J.M Coutinho de</w:t>
      </w:r>
      <w:r w:rsidR="00661DDC">
        <w:rPr>
          <w:rFonts w:asciiTheme="majorHAnsi" w:eastAsia="Batang" w:hAnsiTheme="majorHAnsi" w:cs="Times New Roman"/>
          <w:sz w:val="24"/>
          <w:szCs w:val="24"/>
        </w:rPr>
        <w:t>,</w:t>
      </w:r>
      <w:r w:rsidRPr="00750A9F">
        <w:rPr>
          <w:rFonts w:asciiTheme="majorHAnsi" w:eastAsia="Batang" w:hAnsiTheme="majorHAnsi" w:cs="Times New Roman"/>
          <w:sz w:val="24"/>
          <w:szCs w:val="24"/>
        </w:rPr>
        <w:t xml:space="preserve"> </w:t>
      </w:r>
      <w:r w:rsidRPr="00661DDC">
        <w:rPr>
          <w:rFonts w:asciiTheme="majorHAnsi" w:eastAsia="Batang" w:hAnsiTheme="majorHAnsi" w:cs="Times New Roman"/>
          <w:i/>
          <w:sz w:val="24"/>
          <w:szCs w:val="24"/>
        </w:rPr>
        <w:t>da Empresarialidade (as empresas no direito)</w:t>
      </w:r>
      <w:r w:rsidR="00661DDC">
        <w:rPr>
          <w:rFonts w:asciiTheme="majorHAnsi" w:eastAsia="Batang" w:hAnsiTheme="majorHAnsi" w:cs="Times New Roman"/>
          <w:sz w:val="24"/>
          <w:szCs w:val="24"/>
        </w:rPr>
        <w:t>, Coimbra, A</w:t>
      </w:r>
      <w:r w:rsidRPr="00750A9F">
        <w:rPr>
          <w:rFonts w:asciiTheme="majorHAnsi" w:eastAsia="Batang" w:hAnsiTheme="majorHAnsi" w:cs="Times New Roman"/>
          <w:sz w:val="24"/>
          <w:szCs w:val="24"/>
        </w:rPr>
        <w:t>lmedina, 1999.</w:t>
      </w:r>
    </w:p>
    <w:p w:rsidR="00750A9F" w:rsidRPr="00750A9F" w:rsidRDefault="00750A9F" w:rsidP="00750A9F">
      <w:pPr>
        <w:rPr>
          <w:rFonts w:asciiTheme="majorHAnsi" w:eastAsia="Batang" w:hAnsiTheme="majorHAnsi" w:cs="Times New Roman"/>
          <w:sz w:val="24"/>
          <w:szCs w:val="24"/>
        </w:rPr>
      </w:pPr>
      <w:r w:rsidRPr="00661DDC">
        <w:rPr>
          <w:rFonts w:asciiTheme="majorHAnsi" w:eastAsia="Batang" w:hAnsiTheme="majorHAnsi" w:cs="Times New Roman"/>
          <w:sz w:val="24"/>
          <w:szCs w:val="24"/>
        </w:rPr>
        <w:t>ABREU, J.M Coutinho de/Ramos, Maria Elisabeth</w:t>
      </w:r>
      <w:r w:rsidR="00661DDC">
        <w:rPr>
          <w:rFonts w:asciiTheme="majorHAnsi" w:eastAsia="Batang" w:hAnsiTheme="majorHAnsi" w:cs="Times New Roman"/>
          <w:sz w:val="24"/>
          <w:szCs w:val="24"/>
        </w:rPr>
        <w:t xml:space="preserve">, </w:t>
      </w:r>
      <w:r w:rsidR="00661DDC" w:rsidRPr="00661DDC">
        <w:rPr>
          <w:rFonts w:asciiTheme="majorHAnsi" w:eastAsia="Batang" w:hAnsiTheme="majorHAnsi" w:cs="Times New Roman"/>
          <w:i/>
          <w:sz w:val="24"/>
          <w:szCs w:val="24"/>
        </w:rPr>
        <w:t>R</w:t>
      </w:r>
      <w:r w:rsidRPr="00661DDC">
        <w:rPr>
          <w:rFonts w:asciiTheme="majorHAnsi" w:eastAsia="Batang" w:hAnsiTheme="majorHAnsi" w:cs="Times New Roman"/>
          <w:i/>
          <w:sz w:val="24"/>
          <w:szCs w:val="24"/>
        </w:rPr>
        <w:t>esponsabilidade Civil nas sociedades em relação de domínio,</w:t>
      </w:r>
      <w:r w:rsidRPr="00750A9F">
        <w:rPr>
          <w:rFonts w:asciiTheme="majorHAnsi" w:eastAsia="Batang" w:hAnsiTheme="majorHAnsi" w:cs="Times New Roman"/>
          <w:sz w:val="24"/>
          <w:szCs w:val="24"/>
        </w:rPr>
        <w:t xml:space="preserve"> in Scientia Ivridica, Revista de Direito comparado português e Brasileiro, Braga, 2012</w:t>
      </w:r>
      <w:r w:rsidR="00661DDC">
        <w:rPr>
          <w:rFonts w:asciiTheme="majorHAnsi" w:eastAsia="Batang" w:hAnsiTheme="majorHAnsi" w:cs="Times New Roman"/>
          <w:sz w:val="24"/>
          <w:szCs w:val="24"/>
        </w:rPr>
        <w:t>.</w:t>
      </w:r>
    </w:p>
    <w:p w:rsidR="00750A9F" w:rsidRPr="00750A9F" w:rsidRDefault="00750A9F" w:rsidP="00750A9F">
      <w:pPr>
        <w:rPr>
          <w:rFonts w:asciiTheme="majorHAnsi" w:eastAsia="Batang" w:hAnsiTheme="majorHAnsi" w:cs="Times New Roman"/>
          <w:sz w:val="24"/>
          <w:szCs w:val="24"/>
        </w:rPr>
      </w:pPr>
      <w:r w:rsidRPr="00661DDC">
        <w:rPr>
          <w:rFonts w:asciiTheme="majorHAnsi" w:eastAsia="Batang" w:hAnsiTheme="majorHAnsi" w:cs="Times New Roman"/>
          <w:sz w:val="24"/>
          <w:szCs w:val="24"/>
        </w:rPr>
        <w:t>ABREU, J.M Coutinho de/ Martins, Alexandre Soveral</w:t>
      </w:r>
      <w:r w:rsidR="00661DDC" w:rsidRPr="00661DDC">
        <w:rPr>
          <w:rFonts w:asciiTheme="majorHAnsi" w:eastAsia="Batang" w:hAnsiTheme="majorHAnsi" w:cs="Times New Roman"/>
          <w:sz w:val="24"/>
          <w:szCs w:val="24"/>
        </w:rPr>
        <w:t>,</w:t>
      </w:r>
      <w:r w:rsidR="00661DDC">
        <w:rPr>
          <w:rFonts w:asciiTheme="majorHAnsi" w:eastAsia="Batang" w:hAnsiTheme="majorHAnsi" w:cs="Times New Roman"/>
          <w:sz w:val="24"/>
          <w:szCs w:val="24"/>
        </w:rPr>
        <w:t xml:space="preserve"> </w:t>
      </w:r>
      <w:r w:rsidRPr="00661DDC">
        <w:rPr>
          <w:rFonts w:asciiTheme="majorHAnsi" w:eastAsia="Batang" w:hAnsiTheme="majorHAnsi" w:cs="Times New Roman"/>
          <w:i/>
          <w:sz w:val="24"/>
          <w:szCs w:val="24"/>
        </w:rPr>
        <w:t>Grupos de sociedades; aquisições tendentes ao domínio total</w:t>
      </w:r>
      <w:r w:rsidRPr="00750A9F">
        <w:rPr>
          <w:rFonts w:asciiTheme="majorHAnsi" w:eastAsia="Batang" w:hAnsiTheme="majorHAnsi" w:cs="Times New Roman"/>
          <w:sz w:val="24"/>
          <w:szCs w:val="24"/>
        </w:rPr>
        <w:t>, Coimbra; Almedina, 2003</w:t>
      </w:r>
      <w:r w:rsidR="00661DDC">
        <w:rPr>
          <w:rFonts w:asciiTheme="majorHAnsi" w:eastAsia="Batang" w:hAnsiTheme="majorHAnsi" w:cs="Times New Roman"/>
          <w:sz w:val="24"/>
          <w:szCs w:val="24"/>
        </w:rPr>
        <w:t>.</w:t>
      </w:r>
    </w:p>
    <w:p w:rsidR="00750A9F" w:rsidRPr="00750A9F" w:rsidRDefault="00750A9F" w:rsidP="00750A9F">
      <w:pPr>
        <w:spacing w:line="360" w:lineRule="auto"/>
        <w:rPr>
          <w:rFonts w:asciiTheme="majorHAnsi" w:eastAsia="Batang" w:hAnsiTheme="majorHAnsi" w:cs="Times New Roman"/>
          <w:sz w:val="24"/>
          <w:szCs w:val="24"/>
          <w:lang w:val="pt-BR"/>
        </w:rPr>
      </w:pPr>
      <w:r w:rsidRPr="009C6A75">
        <w:rPr>
          <w:rFonts w:asciiTheme="majorHAnsi" w:eastAsia="Batang" w:hAnsiTheme="majorHAnsi" w:cs="Times New Roman"/>
          <w:sz w:val="24"/>
          <w:szCs w:val="24"/>
          <w:lang w:val="pt-BR"/>
        </w:rPr>
        <w:t>ALBUQUERQUE, Pedro de</w:t>
      </w:r>
      <w:r w:rsidR="009C6A75">
        <w:rPr>
          <w:rFonts w:asciiTheme="majorHAnsi" w:eastAsia="Batang" w:hAnsiTheme="majorHAnsi" w:cs="Times New Roman"/>
          <w:sz w:val="24"/>
          <w:szCs w:val="24"/>
          <w:lang w:val="pt-BR"/>
        </w:rPr>
        <w:t xml:space="preserve">, </w:t>
      </w:r>
      <w:r w:rsidRPr="00661DDC">
        <w:rPr>
          <w:rFonts w:asciiTheme="majorHAnsi" w:eastAsia="Batang" w:hAnsiTheme="majorHAnsi" w:cs="Times New Roman"/>
          <w:i/>
          <w:sz w:val="24"/>
          <w:szCs w:val="24"/>
          <w:lang w:val="pt-BR"/>
        </w:rPr>
        <w:t>a vinculação de sociedades comerciais por garantia de dívidas de terceiros</w:t>
      </w:r>
      <w:r w:rsidRPr="00750A9F">
        <w:rPr>
          <w:rFonts w:asciiTheme="majorHAnsi" w:eastAsia="Batang" w:hAnsiTheme="majorHAnsi" w:cs="Times New Roman"/>
          <w:sz w:val="24"/>
          <w:szCs w:val="24"/>
          <w:lang w:val="pt-BR"/>
        </w:rPr>
        <w:t>.</w:t>
      </w:r>
    </w:p>
    <w:p w:rsidR="00750A9F" w:rsidRPr="00750A9F" w:rsidRDefault="00750A9F" w:rsidP="00B85CDD">
      <w:pPr>
        <w:rPr>
          <w:rFonts w:asciiTheme="majorHAnsi" w:eastAsia="Batang" w:hAnsiTheme="majorHAnsi" w:cs="Times New Roman"/>
          <w:sz w:val="24"/>
          <w:szCs w:val="24"/>
        </w:rPr>
      </w:pPr>
      <w:r w:rsidRPr="009C6A75">
        <w:rPr>
          <w:rFonts w:asciiTheme="majorHAnsi" w:eastAsia="Batang" w:hAnsiTheme="majorHAnsi" w:cs="Times New Roman"/>
          <w:sz w:val="24"/>
          <w:szCs w:val="24"/>
        </w:rPr>
        <w:t>ALMEIDA, António Pereira de</w:t>
      </w:r>
      <w:r w:rsidR="00B85CDD">
        <w:rPr>
          <w:rFonts w:asciiTheme="majorHAnsi" w:eastAsia="Batang" w:hAnsiTheme="majorHAnsi" w:cs="Times New Roman"/>
          <w:sz w:val="24"/>
          <w:szCs w:val="24"/>
        </w:rPr>
        <w:t>,</w:t>
      </w:r>
      <w:r w:rsidRPr="00750A9F">
        <w:rPr>
          <w:rFonts w:asciiTheme="majorHAnsi" w:eastAsia="Batang" w:hAnsiTheme="majorHAnsi" w:cs="Times New Roman"/>
          <w:sz w:val="24"/>
          <w:szCs w:val="24"/>
        </w:rPr>
        <w:t xml:space="preserve"> </w:t>
      </w:r>
      <w:r w:rsidRPr="009C6A75">
        <w:rPr>
          <w:rFonts w:asciiTheme="majorHAnsi" w:eastAsia="Batang" w:hAnsiTheme="majorHAnsi" w:cs="Times New Roman"/>
          <w:i/>
          <w:sz w:val="24"/>
          <w:szCs w:val="24"/>
        </w:rPr>
        <w:t>Direito Angolano das sociedades come</w:t>
      </w:r>
      <w:r w:rsidR="00B85CDD" w:rsidRPr="009C6A75">
        <w:rPr>
          <w:rFonts w:asciiTheme="majorHAnsi" w:eastAsia="Batang" w:hAnsiTheme="majorHAnsi" w:cs="Times New Roman"/>
          <w:i/>
          <w:sz w:val="24"/>
          <w:szCs w:val="24"/>
        </w:rPr>
        <w:t>rciais</w:t>
      </w:r>
      <w:r w:rsidR="00B85CDD">
        <w:rPr>
          <w:rFonts w:asciiTheme="majorHAnsi" w:eastAsia="Batang" w:hAnsiTheme="majorHAnsi" w:cs="Times New Roman"/>
          <w:sz w:val="24"/>
          <w:szCs w:val="24"/>
        </w:rPr>
        <w:t xml:space="preserve">, Coimbra, </w:t>
      </w:r>
      <w:r w:rsidRPr="00750A9F">
        <w:rPr>
          <w:rFonts w:asciiTheme="majorHAnsi" w:eastAsia="Batang" w:hAnsiTheme="majorHAnsi" w:cs="Times New Roman"/>
          <w:sz w:val="24"/>
          <w:szCs w:val="24"/>
        </w:rPr>
        <w:t>Coimbra editora, 2010, ISBN 978-972.</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ANTUNES, José Engrácia</w:t>
      </w:r>
      <w:r w:rsidR="00B85CDD" w:rsidRPr="009C6A75">
        <w:rPr>
          <w:rFonts w:asciiTheme="majorHAnsi" w:eastAsia="Batang" w:hAnsiTheme="majorHAnsi" w:cs="Times New Roman"/>
          <w:sz w:val="24"/>
          <w:szCs w:val="24"/>
        </w:rPr>
        <w:t>,</w:t>
      </w:r>
      <w:r w:rsidR="00B85CDD">
        <w:rPr>
          <w:rFonts w:asciiTheme="majorHAnsi" w:eastAsia="Batang" w:hAnsiTheme="majorHAnsi" w:cs="Times New Roman"/>
          <w:sz w:val="24"/>
          <w:szCs w:val="24"/>
        </w:rPr>
        <w:t xml:space="preserve"> </w:t>
      </w:r>
      <w:r w:rsidRPr="009C6A75">
        <w:rPr>
          <w:rFonts w:asciiTheme="majorHAnsi" w:eastAsia="Batang" w:hAnsiTheme="majorHAnsi" w:cs="Times New Roman"/>
          <w:i/>
          <w:sz w:val="24"/>
          <w:szCs w:val="24"/>
        </w:rPr>
        <w:t>Capital Próprio, reservas leg</w:t>
      </w:r>
      <w:r w:rsidR="00B85CDD" w:rsidRPr="009C6A75">
        <w:rPr>
          <w:rFonts w:asciiTheme="majorHAnsi" w:eastAsia="Batang" w:hAnsiTheme="majorHAnsi" w:cs="Times New Roman"/>
          <w:i/>
          <w:sz w:val="24"/>
          <w:szCs w:val="24"/>
        </w:rPr>
        <w:t>ais especiais e perdas sociais</w:t>
      </w:r>
      <w:r w:rsidR="00B85CDD">
        <w:rPr>
          <w:rFonts w:asciiTheme="majorHAnsi" w:eastAsia="Batang" w:hAnsiTheme="majorHAnsi" w:cs="Times New Roman"/>
          <w:sz w:val="24"/>
          <w:szCs w:val="24"/>
        </w:rPr>
        <w:t xml:space="preserve">, </w:t>
      </w:r>
      <w:r w:rsidRPr="00750A9F">
        <w:rPr>
          <w:rFonts w:asciiTheme="majorHAnsi" w:eastAsia="Batang" w:hAnsiTheme="majorHAnsi" w:cs="Times New Roman"/>
          <w:sz w:val="24"/>
          <w:szCs w:val="24"/>
        </w:rPr>
        <w:t>Scientia jurídica, Braga. Jan/mar, 2008, p. 93-116.</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ANTUNES, José Engrácia</w:t>
      </w:r>
      <w:r w:rsidR="009C6A75">
        <w:rPr>
          <w:rFonts w:asciiTheme="majorHAnsi" w:eastAsia="Batang" w:hAnsiTheme="majorHAnsi" w:cs="Times New Roman"/>
          <w:sz w:val="24"/>
          <w:szCs w:val="24"/>
        </w:rPr>
        <w:t xml:space="preserve">, </w:t>
      </w:r>
      <w:r w:rsidRPr="009C6A75">
        <w:rPr>
          <w:rFonts w:asciiTheme="majorHAnsi" w:eastAsia="Batang" w:hAnsiTheme="majorHAnsi" w:cs="Times New Roman"/>
          <w:i/>
          <w:sz w:val="24"/>
          <w:szCs w:val="24"/>
        </w:rPr>
        <w:t>os podere</w:t>
      </w:r>
      <w:r w:rsidR="009C6A75">
        <w:rPr>
          <w:rFonts w:asciiTheme="majorHAnsi" w:eastAsia="Batang" w:hAnsiTheme="majorHAnsi" w:cs="Times New Roman"/>
          <w:i/>
          <w:sz w:val="24"/>
          <w:szCs w:val="24"/>
        </w:rPr>
        <w:t>s nos grupos de sociedades: o pa</w:t>
      </w:r>
      <w:r w:rsidRPr="009C6A75">
        <w:rPr>
          <w:rFonts w:asciiTheme="majorHAnsi" w:eastAsia="Batang" w:hAnsiTheme="majorHAnsi" w:cs="Times New Roman"/>
          <w:i/>
          <w:sz w:val="24"/>
          <w:szCs w:val="24"/>
        </w:rPr>
        <w:t>pel dos accionistas e dos administradores na formação e na direcção da empresa de grupo/ in problemas do direito das sociedades/ Ale</w:t>
      </w:r>
      <w:r w:rsidR="00B85CDD" w:rsidRPr="009C6A75">
        <w:rPr>
          <w:rFonts w:asciiTheme="majorHAnsi" w:eastAsia="Batang" w:hAnsiTheme="majorHAnsi" w:cs="Times New Roman"/>
          <w:i/>
          <w:sz w:val="24"/>
          <w:szCs w:val="24"/>
        </w:rPr>
        <w:t>xandre Soveral Martins</w:t>
      </w:r>
      <w:r w:rsidR="00B85CDD">
        <w:rPr>
          <w:rFonts w:asciiTheme="majorHAnsi" w:eastAsia="Batang" w:hAnsiTheme="majorHAnsi" w:cs="Times New Roman"/>
          <w:sz w:val="24"/>
          <w:szCs w:val="24"/>
        </w:rPr>
        <w:t>, Coimbra, A</w:t>
      </w:r>
      <w:r w:rsidRPr="00750A9F">
        <w:rPr>
          <w:rFonts w:asciiTheme="majorHAnsi" w:eastAsia="Batang" w:hAnsiTheme="majorHAnsi" w:cs="Times New Roman"/>
          <w:sz w:val="24"/>
          <w:szCs w:val="24"/>
        </w:rPr>
        <w:t>lmedina, p. 153-165.</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ANTUNES, José Engrácia</w:t>
      </w:r>
      <w:r w:rsidR="00B85CDD">
        <w:rPr>
          <w:rFonts w:asciiTheme="majorHAnsi" w:eastAsia="Batang" w:hAnsiTheme="majorHAnsi" w:cs="Times New Roman"/>
          <w:sz w:val="24"/>
          <w:szCs w:val="24"/>
        </w:rPr>
        <w:t xml:space="preserve">, </w:t>
      </w:r>
      <w:r w:rsidR="00B85CDD" w:rsidRPr="009C6A75">
        <w:rPr>
          <w:rFonts w:asciiTheme="majorHAnsi" w:eastAsia="Batang" w:hAnsiTheme="majorHAnsi" w:cs="Times New Roman"/>
          <w:i/>
          <w:sz w:val="24"/>
          <w:szCs w:val="24"/>
        </w:rPr>
        <w:t>O</w:t>
      </w:r>
      <w:r w:rsidRPr="009C6A75">
        <w:rPr>
          <w:rFonts w:asciiTheme="majorHAnsi" w:eastAsia="Batang" w:hAnsiTheme="majorHAnsi" w:cs="Times New Roman"/>
          <w:i/>
          <w:sz w:val="24"/>
          <w:szCs w:val="24"/>
        </w:rPr>
        <w:t>s grupos de sociedades: estrutura e organização jurídi</w:t>
      </w:r>
      <w:r w:rsidR="00B85CDD" w:rsidRPr="009C6A75">
        <w:rPr>
          <w:rFonts w:asciiTheme="majorHAnsi" w:eastAsia="Batang" w:hAnsiTheme="majorHAnsi" w:cs="Times New Roman"/>
          <w:i/>
          <w:sz w:val="24"/>
          <w:szCs w:val="24"/>
        </w:rPr>
        <w:t>ca da empresa plurisocietária</w:t>
      </w:r>
      <w:r w:rsidR="00B85CDD">
        <w:rPr>
          <w:rFonts w:asciiTheme="majorHAnsi" w:eastAsia="Batang" w:hAnsiTheme="majorHAnsi" w:cs="Times New Roman"/>
          <w:sz w:val="24"/>
          <w:szCs w:val="24"/>
        </w:rPr>
        <w:t>, Almedina, 2ed.</w:t>
      </w:r>
      <w:r w:rsidRPr="00750A9F">
        <w:rPr>
          <w:rFonts w:asciiTheme="majorHAnsi" w:eastAsia="Batang" w:hAnsiTheme="majorHAnsi" w:cs="Times New Roman"/>
          <w:sz w:val="24"/>
          <w:szCs w:val="24"/>
        </w:rPr>
        <w:t>, 2002</w:t>
      </w:r>
      <w:r w:rsidR="009C6A75">
        <w:rPr>
          <w:rFonts w:asciiTheme="majorHAnsi" w:eastAsia="Batang" w:hAnsiTheme="majorHAnsi" w:cs="Times New Roman"/>
          <w:sz w:val="24"/>
          <w:szCs w:val="24"/>
        </w:rPr>
        <w:t>.</w:t>
      </w:r>
      <w:r w:rsidRPr="00750A9F">
        <w:rPr>
          <w:rFonts w:asciiTheme="majorHAnsi" w:eastAsia="Batang" w:hAnsiTheme="majorHAnsi" w:cs="Times New Roman"/>
          <w:sz w:val="24"/>
          <w:szCs w:val="24"/>
        </w:rPr>
        <w:t xml:space="preserve"> </w:t>
      </w:r>
    </w:p>
    <w:p w:rsidR="00750A9F" w:rsidRPr="00750A9F" w:rsidRDefault="00B85CDD"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ANTUNES, José Engrácia</w:t>
      </w:r>
      <w:r w:rsidRPr="009C6A75">
        <w:rPr>
          <w:rFonts w:asciiTheme="majorHAnsi" w:eastAsia="Batang" w:hAnsiTheme="majorHAnsi" w:cs="Times New Roman"/>
          <w:i/>
          <w:sz w:val="24"/>
          <w:szCs w:val="24"/>
        </w:rPr>
        <w:t xml:space="preserve">, </w:t>
      </w:r>
      <w:r w:rsidR="00750A9F" w:rsidRPr="009C6A75">
        <w:rPr>
          <w:rFonts w:asciiTheme="majorHAnsi" w:eastAsia="Batang" w:hAnsiTheme="majorHAnsi" w:cs="Times New Roman"/>
          <w:i/>
          <w:sz w:val="24"/>
          <w:szCs w:val="24"/>
        </w:rPr>
        <w:t>A supervisão</w:t>
      </w:r>
      <w:r w:rsidRPr="009C6A75">
        <w:rPr>
          <w:rFonts w:asciiTheme="majorHAnsi" w:eastAsia="Batang" w:hAnsiTheme="majorHAnsi" w:cs="Times New Roman"/>
          <w:i/>
          <w:sz w:val="24"/>
          <w:szCs w:val="24"/>
        </w:rPr>
        <w:t xml:space="preserve"> </w:t>
      </w:r>
      <w:r w:rsidR="00750A9F" w:rsidRPr="009C6A75">
        <w:rPr>
          <w:rFonts w:asciiTheme="majorHAnsi" w:eastAsia="Batang" w:hAnsiTheme="majorHAnsi" w:cs="Times New Roman"/>
          <w:i/>
          <w:sz w:val="24"/>
          <w:szCs w:val="24"/>
        </w:rPr>
        <w:t>consolidad</w:t>
      </w:r>
      <w:r w:rsidRPr="009C6A75">
        <w:rPr>
          <w:rFonts w:asciiTheme="majorHAnsi" w:eastAsia="Batang" w:hAnsiTheme="majorHAnsi" w:cs="Times New Roman"/>
          <w:i/>
          <w:sz w:val="24"/>
          <w:szCs w:val="24"/>
        </w:rPr>
        <w:t>a dos grupos financeiros</w:t>
      </w:r>
      <w:r>
        <w:rPr>
          <w:rFonts w:asciiTheme="majorHAnsi" w:eastAsia="Batang" w:hAnsiTheme="majorHAnsi" w:cs="Times New Roman"/>
          <w:sz w:val="24"/>
          <w:szCs w:val="24"/>
        </w:rPr>
        <w:t>, Porto,</w:t>
      </w:r>
      <w:r w:rsidR="00750A9F" w:rsidRPr="00750A9F">
        <w:rPr>
          <w:rFonts w:asciiTheme="majorHAnsi" w:eastAsia="Batang" w:hAnsiTheme="majorHAnsi" w:cs="Times New Roman"/>
          <w:sz w:val="24"/>
          <w:szCs w:val="24"/>
        </w:rPr>
        <w:t xml:space="preserve"> Publicações Universidade Católica, 2000, </w:t>
      </w:r>
      <w:r>
        <w:rPr>
          <w:rFonts w:asciiTheme="majorHAnsi" w:eastAsia="Batang" w:hAnsiTheme="majorHAnsi" w:cs="Times New Roman"/>
          <w:sz w:val="24"/>
          <w:szCs w:val="24"/>
        </w:rPr>
        <w:t xml:space="preserve">p. </w:t>
      </w:r>
      <w:r w:rsidR="00750A9F" w:rsidRPr="00750A9F">
        <w:rPr>
          <w:rFonts w:asciiTheme="majorHAnsi" w:eastAsia="Batang" w:hAnsiTheme="majorHAnsi" w:cs="Times New Roman"/>
          <w:sz w:val="24"/>
          <w:szCs w:val="24"/>
        </w:rPr>
        <w:t xml:space="preserve">15. </w:t>
      </w:r>
    </w:p>
    <w:p w:rsidR="00750A9F" w:rsidRPr="009C6A75"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ASCENÇÃO , José de Oliveira</w:t>
      </w:r>
      <w:r w:rsidR="009C6A75">
        <w:rPr>
          <w:rFonts w:asciiTheme="majorHAnsi" w:eastAsia="Batang" w:hAnsiTheme="majorHAnsi" w:cs="Times New Roman"/>
          <w:b/>
          <w:sz w:val="24"/>
          <w:szCs w:val="24"/>
        </w:rPr>
        <w:t xml:space="preserve">, </w:t>
      </w:r>
      <w:r w:rsidRPr="009C6A75">
        <w:rPr>
          <w:rFonts w:asciiTheme="majorHAnsi" w:eastAsia="Batang" w:hAnsiTheme="majorHAnsi" w:cs="Times New Roman"/>
          <w:i/>
          <w:sz w:val="24"/>
          <w:szCs w:val="24"/>
        </w:rPr>
        <w:t>Direito comercial</w:t>
      </w:r>
      <w:r w:rsidRPr="00750A9F">
        <w:rPr>
          <w:rFonts w:asciiTheme="majorHAnsi" w:eastAsia="Batang" w:hAnsiTheme="majorHAnsi" w:cs="Times New Roman"/>
          <w:sz w:val="24"/>
          <w:szCs w:val="24"/>
        </w:rPr>
        <w:t xml:space="preserve"> – volum</w:t>
      </w:r>
      <w:r w:rsidR="009C6A75">
        <w:rPr>
          <w:rFonts w:asciiTheme="majorHAnsi" w:eastAsia="Batang" w:hAnsiTheme="majorHAnsi" w:cs="Times New Roman"/>
          <w:sz w:val="24"/>
          <w:szCs w:val="24"/>
        </w:rPr>
        <w:t xml:space="preserve">e IV, Lisboa, </w:t>
      </w:r>
      <w:r w:rsidRPr="00750A9F">
        <w:rPr>
          <w:rFonts w:asciiTheme="majorHAnsi" w:eastAsia="Batang" w:hAnsiTheme="majorHAnsi" w:cs="Times New Roman"/>
          <w:sz w:val="24"/>
          <w:szCs w:val="24"/>
        </w:rPr>
        <w:t>dislivro, 2000.</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BAPTISTA, João Valbom</w:t>
      </w:r>
      <w:r w:rsidR="009C6A75">
        <w:rPr>
          <w:rFonts w:asciiTheme="majorHAnsi" w:eastAsia="Batang" w:hAnsiTheme="majorHAnsi" w:cs="Times New Roman"/>
          <w:sz w:val="24"/>
          <w:szCs w:val="24"/>
        </w:rPr>
        <w:t xml:space="preserve">, </w:t>
      </w:r>
      <w:r w:rsidR="009C6A75" w:rsidRPr="009C6A75">
        <w:rPr>
          <w:rFonts w:asciiTheme="majorHAnsi" w:eastAsia="Batang" w:hAnsiTheme="majorHAnsi" w:cs="Times New Roman"/>
          <w:i/>
          <w:sz w:val="24"/>
          <w:szCs w:val="24"/>
        </w:rPr>
        <w:t>O</w:t>
      </w:r>
      <w:r w:rsidRPr="009C6A75">
        <w:rPr>
          <w:rFonts w:asciiTheme="majorHAnsi" w:eastAsia="Batang" w:hAnsiTheme="majorHAnsi" w:cs="Times New Roman"/>
          <w:i/>
          <w:sz w:val="24"/>
          <w:szCs w:val="24"/>
        </w:rPr>
        <w:t>s grupos societários de facto; a confiança como fundamento da responsabilidade das sociedades dominantes perante credores das sociedades dependentes</w:t>
      </w:r>
      <w:r w:rsidR="009C6A75">
        <w:rPr>
          <w:rFonts w:asciiTheme="majorHAnsi" w:eastAsia="Batang" w:hAnsiTheme="majorHAnsi" w:cs="Times New Roman"/>
          <w:sz w:val="24"/>
          <w:szCs w:val="24"/>
        </w:rPr>
        <w:t xml:space="preserve">, </w:t>
      </w:r>
      <w:r w:rsidRPr="00750A9F">
        <w:rPr>
          <w:rFonts w:asciiTheme="majorHAnsi" w:eastAsia="Batang" w:hAnsiTheme="majorHAnsi" w:cs="Times New Roman"/>
          <w:sz w:val="24"/>
          <w:szCs w:val="24"/>
        </w:rPr>
        <w:t>Estudos em Homenagem ao Professor Doutor Alberto Xavier.</w:t>
      </w:r>
    </w:p>
    <w:p w:rsidR="00750A9F" w:rsidRPr="00750A9F" w:rsidRDefault="009C6A75"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CARREIRA, Medina</w:t>
      </w:r>
      <w:r>
        <w:rPr>
          <w:rFonts w:asciiTheme="majorHAnsi" w:eastAsia="Batang" w:hAnsiTheme="majorHAnsi" w:cs="Times New Roman"/>
          <w:b/>
          <w:sz w:val="24"/>
          <w:szCs w:val="24"/>
        </w:rPr>
        <w:t xml:space="preserve">, </w:t>
      </w:r>
      <w:r w:rsidR="00750A9F" w:rsidRPr="00750A9F">
        <w:rPr>
          <w:rFonts w:asciiTheme="majorHAnsi" w:eastAsia="Batang" w:hAnsiTheme="majorHAnsi" w:cs="Times New Roman"/>
          <w:sz w:val="24"/>
          <w:szCs w:val="24"/>
        </w:rPr>
        <w:t xml:space="preserve">Concentração de </w:t>
      </w:r>
      <w:r w:rsidR="00B85CDD">
        <w:rPr>
          <w:rFonts w:asciiTheme="majorHAnsi" w:eastAsia="Batang" w:hAnsiTheme="majorHAnsi" w:cs="Times New Roman"/>
          <w:sz w:val="24"/>
          <w:szCs w:val="24"/>
        </w:rPr>
        <w:t>Empresas e grupos de sociedades, a</w:t>
      </w:r>
      <w:r w:rsidR="00750A9F" w:rsidRPr="00750A9F">
        <w:rPr>
          <w:rFonts w:asciiTheme="majorHAnsi" w:eastAsia="Batang" w:hAnsiTheme="majorHAnsi" w:cs="Times New Roman"/>
          <w:sz w:val="24"/>
          <w:szCs w:val="24"/>
        </w:rPr>
        <w:t>spectos históricos, económicos e jurídicos. Porto, Asa, 1992.</w:t>
      </w:r>
    </w:p>
    <w:p w:rsidR="00750A9F" w:rsidRPr="00750A9F" w:rsidRDefault="009C6A75" w:rsidP="00750A9F">
      <w:pPr>
        <w:rPr>
          <w:rFonts w:asciiTheme="majorHAnsi" w:eastAsia="Batang" w:hAnsiTheme="majorHAnsi" w:cs="Times New Roman"/>
          <w:sz w:val="24"/>
          <w:szCs w:val="24"/>
        </w:rPr>
      </w:pPr>
      <w:r>
        <w:rPr>
          <w:rFonts w:asciiTheme="majorHAnsi" w:eastAsia="Batang" w:hAnsiTheme="majorHAnsi" w:cs="Times New Roman"/>
          <w:sz w:val="24"/>
          <w:szCs w:val="24"/>
        </w:rPr>
        <w:t xml:space="preserve">CORDEIRO, António Menezes, </w:t>
      </w:r>
      <w:r w:rsidR="00B85CDD" w:rsidRPr="009C6A75">
        <w:rPr>
          <w:rFonts w:asciiTheme="majorHAnsi" w:eastAsia="Batang" w:hAnsiTheme="majorHAnsi" w:cs="Times New Roman"/>
          <w:i/>
          <w:sz w:val="24"/>
          <w:szCs w:val="24"/>
        </w:rPr>
        <w:t>Código das sociedades C</w:t>
      </w:r>
      <w:r w:rsidR="00750A9F" w:rsidRPr="009C6A75">
        <w:rPr>
          <w:rFonts w:asciiTheme="majorHAnsi" w:eastAsia="Batang" w:hAnsiTheme="majorHAnsi" w:cs="Times New Roman"/>
          <w:i/>
          <w:sz w:val="24"/>
          <w:szCs w:val="24"/>
        </w:rPr>
        <w:t>omerciais Anotado</w:t>
      </w:r>
      <w:r w:rsidR="00750A9F" w:rsidRPr="00750A9F">
        <w:rPr>
          <w:rFonts w:asciiTheme="majorHAnsi" w:eastAsia="Batang" w:hAnsiTheme="majorHAnsi" w:cs="Times New Roman"/>
          <w:sz w:val="24"/>
          <w:szCs w:val="24"/>
        </w:rPr>
        <w:t>, 2ª ed. Lisboa, Almedina, 2011.</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CORDEIRO, António Menezes</w:t>
      </w:r>
      <w:r w:rsidR="009C6A75" w:rsidRPr="009C6A75">
        <w:rPr>
          <w:rFonts w:asciiTheme="majorHAnsi" w:eastAsia="Batang" w:hAnsiTheme="majorHAnsi" w:cs="Times New Roman"/>
          <w:sz w:val="24"/>
          <w:szCs w:val="24"/>
        </w:rPr>
        <w:t>,</w:t>
      </w:r>
      <w:r w:rsidR="009C6A75">
        <w:rPr>
          <w:rFonts w:asciiTheme="majorHAnsi" w:eastAsia="Batang" w:hAnsiTheme="majorHAnsi" w:cs="Times New Roman"/>
          <w:b/>
          <w:sz w:val="24"/>
          <w:szCs w:val="24"/>
        </w:rPr>
        <w:t xml:space="preserve"> </w:t>
      </w:r>
      <w:r w:rsidRPr="00750A9F">
        <w:rPr>
          <w:rFonts w:asciiTheme="majorHAnsi" w:eastAsia="Batang" w:hAnsiTheme="majorHAnsi" w:cs="Times New Roman"/>
          <w:sz w:val="24"/>
          <w:szCs w:val="24"/>
        </w:rPr>
        <w:t>Manual de Direito das sociedades. 2ed. 2 vols Coimbra: Almedina, 2007.</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CORREIA, Luís Brito</w:t>
      </w:r>
      <w:r w:rsidR="009C6A75">
        <w:rPr>
          <w:rFonts w:asciiTheme="majorHAnsi" w:eastAsia="Batang" w:hAnsiTheme="majorHAnsi" w:cs="Times New Roman"/>
          <w:sz w:val="24"/>
          <w:szCs w:val="24"/>
        </w:rPr>
        <w:t xml:space="preserve">, </w:t>
      </w:r>
      <w:r w:rsidRPr="00750A9F">
        <w:rPr>
          <w:rFonts w:asciiTheme="majorHAnsi" w:eastAsia="Batang" w:hAnsiTheme="majorHAnsi" w:cs="Times New Roman"/>
          <w:sz w:val="24"/>
          <w:szCs w:val="24"/>
        </w:rPr>
        <w:t>grupos de sociedades, in Novas Perspectivas do Direito Comercial, Almedina Coimbra, 1988.</w:t>
      </w:r>
    </w:p>
    <w:p w:rsidR="00750A9F" w:rsidRPr="00750A9F"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CORREIA, Luís Brito</w:t>
      </w:r>
      <w:r w:rsidRPr="009C6A75">
        <w:rPr>
          <w:rFonts w:asciiTheme="majorHAnsi" w:eastAsia="Batang" w:hAnsiTheme="majorHAnsi" w:cs="Times New Roman"/>
          <w:b/>
          <w:i/>
          <w:sz w:val="24"/>
          <w:szCs w:val="24"/>
        </w:rPr>
        <w:t xml:space="preserve">, </w:t>
      </w:r>
      <w:r w:rsidRPr="009C6A75">
        <w:rPr>
          <w:rFonts w:asciiTheme="majorHAnsi" w:eastAsia="Batang" w:hAnsiTheme="majorHAnsi" w:cs="Times New Roman"/>
          <w:i/>
          <w:sz w:val="24"/>
          <w:szCs w:val="24"/>
        </w:rPr>
        <w:t>Os administradores de sociedades anónimas</w:t>
      </w:r>
      <w:r w:rsidRPr="00750A9F">
        <w:rPr>
          <w:rFonts w:asciiTheme="majorHAnsi" w:eastAsia="Batang" w:hAnsiTheme="majorHAnsi" w:cs="Times New Roman"/>
          <w:sz w:val="24"/>
          <w:szCs w:val="24"/>
        </w:rPr>
        <w:t xml:space="preserve">, 1993, </w:t>
      </w:r>
      <w:r w:rsidR="009C6A75" w:rsidRPr="00750A9F">
        <w:rPr>
          <w:rFonts w:asciiTheme="majorHAnsi" w:eastAsia="Batang" w:hAnsiTheme="majorHAnsi" w:cs="Times New Roman"/>
          <w:sz w:val="24"/>
          <w:szCs w:val="24"/>
        </w:rPr>
        <w:t>Almedina.</w:t>
      </w:r>
    </w:p>
    <w:p w:rsidR="00750A9F" w:rsidRPr="00155C49"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DIAS, Gabriela Figueiredo</w:t>
      </w:r>
      <w:r w:rsidR="009C6A75">
        <w:rPr>
          <w:rFonts w:asciiTheme="majorHAnsi" w:eastAsia="Batang" w:hAnsiTheme="majorHAnsi" w:cs="Times New Roman"/>
          <w:b/>
          <w:sz w:val="24"/>
          <w:szCs w:val="24"/>
        </w:rPr>
        <w:t xml:space="preserve">, </w:t>
      </w:r>
      <w:r w:rsidRPr="009C6A75">
        <w:rPr>
          <w:rFonts w:asciiTheme="majorHAnsi" w:eastAsia="Batang" w:hAnsiTheme="majorHAnsi" w:cs="Times New Roman"/>
          <w:i/>
          <w:sz w:val="24"/>
          <w:szCs w:val="24"/>
        </w:rPr>
        <w:t>Financiamento e governo das sociedades (debt governance): o terceiro poder/ Gabriela Figueire</w:t>
      </w:r>
      <w:r w:rsidR="00B85CDD" w:rsidRPr="009C6A75">
        <w:rPr>
          <w:rFonts w:asciiTheme="majorHAnsi" w:eastAsia="Batang" w:hAnsiTheme="majorHAnsi" w:cs="Times New Roman"/>
          <w:i/>
          <w:sz w:val="24"/>
          <w:szCs w:val="24"/>
        </w:rPr>
        <w:t xml:space="preserve"> </w:t>
      </w:r>
      <w:r w:rsidRPr="009C6A75">
        <w:rPr>
          <w:rFonts w:asciiTheme="majorHAnsi" w:eastAsia="Batang" w:hAnsiTheme="majorHAnsi" w:cs="Times New Roman"/>
          <w:i/>
          <w:sz w:val="24"/>
          <w:szCs w:val="24"/>
        </w:rPr>
        <w:t>do Dias in: III Congresso Direito das sociedade</w:t>
      </w:r>
      <w:r w:rsidR="009C6A75">
        <w:rPr>
          <w:rFonts w:asciiTheme="majorHAnsi" w:eastAsia="Batang" w:hAnsiTheme="majorHAnsi" w:cs="Times New Roman"/>
          <w:i/>
          <w:sz w:val="24"/>
          <w:szCs w:val="24"/>
        </w:rPr>
        <w:t xml:space="preserve">s em Revista, </w:t>
      </w:r>
      <w:r w:rsidRPr="00155C49">
        <w:rPr>
          <w:rFonts w:asciiTheme="majorHAnsi" w:eastAsia="Batang" w:hAnsiTheme="majorHAnsi" w:cs="Times New Roman"/>
          <w:sz w:val="24"/>
          <w:szCs w:val="24"/>
        </w:rPr>
        <w:t>Coimbra, Almedina, 2014, p. 359-383.</w:t>
      </w:r>
    </w:p>
    <w:p w:rsidR="00750A9F" w:rsidRPr="00163C49" w:rsidRDefault="00B85CDD" w:rsidP="00750A9F">
      <w:pPr>
        <w:rPr>
          <w:rFonts w:asciiTheme="majorHAnsi" w:eastAsia="Batang" w:hAnsiTheme="majorHAnsi" w:cs="Times New Roman"/>
          <w:sz w:val="24"/>
          <w:szCs w:val="24"/>
          <w:lang w:val="en-US"/>
        </w:rPr>
      </w:pPr>
      <w:r w:rsidRPr="009C6A75">
        <w:rPr>
          <w:rFonts w:asciiTheme="majorHAnsi" w:eastAsia="Batang" w:hAnsiTheme="majorHAnsi" w:cs="Times New Roman"/>
          <w:sz w:val="24"/>
          <w:szCs w:val="24"/>
          <w:lang w:val="en-US"/>
        </w:rPr>
        <w:t>DINE, JANET</w:t>
      </w:r>
      <w:r>
        <w:rPr>
          <w:rFonts w:asciiTheme="majorHAnsi" w:eastAsia="Batang" w:hAnsiTheme="majorHAnsi" w:cs="Times New Roman"/>
          <w:b/>
          <w:sz w:val="24"/>
          <w:szCs w:val="24"/>
          <w:lang w:val="en-US"/>
        </w:rPr>
        <w:t xml:space="preserve">, </w:t>
      </w:r>
      <w:r w:rsidR="00750A9F" w:rsidRPr="00126FB4">
        <w:rPr>
          <w:rFonts w:asciiTheme="majorHAnsi" w:eastAsia="Batang" w:hAnsiTheme="majorHAnsi" w:cs="Times New Roman"/>
          <w:i/>
          <w:sz w:val="24"/>
          <w:szCs w:val="24"/>
          <w:lang w:val="en-US"/>
        </w:rPr>
        <w:t>The Governance of corporate Groups</w:t>
      </w:r>
      <w:r w:rsidR="00126FB4">
        <w:rPr>
          <w:rFonts w:asciiTheme="majorHAnsi" w:eastAsia="Batang" w:hAnsiTheme="majorHAnsi" w:cs="Times New Roman"/>
          <w:sz w:val="24"/>
          <w:szCs w:val="24"/>
          <w:lang w:val="en-US"/>
        </w:rPr>
        <w:t xml:space="preserve">, </w:t>
      </w:r>
      <w:r w:rsidR="00750A9F" w:rsidRPr="00750A9F">
        <w:rPr>
          <w:rFonts w:asciiTheme="majorHAnsi" w:eastAsia="Batang" w:hAnsiTheme="majorHAnsi" w:cs="Times New Roman"/>
          <w:sz w:val="24"/>
          <w:szCs w:val="24"/>
          <w:lang w:val="en-US"/>
        </w:rPr>
        <w:t>Cambridge University Press, 2000.</w:t>
      </w:r>
    </w:p>
    <w:p w:rsidR="00750A9F" w:rsidRPr="00750A9F" w:rsidRDefault="00163C49"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DUARTE, Rui Pinto</w:t>
      </w:r>
      <w:r>
        <w:rPr>
          <w:rFonts w:asciiTheme="majorHAnsi" w:eastAsia="Batang" w:hAnsiTheme="majorHAnsi" w:cs="Times New Roman"/>
          <w:b/>
          <w:sz w:val="24"/>
          <w:szCs w:val="24"/>
        </w:rPr>
        <w:t xml:space="preserve">, </w:t>
      </w:r>
      <w:r w:rsidR="00750A9F" w:rsidRPr="00750A9F">
        <w:rPr>
          <w:rFonts w:asciiTheme="majorHAnsi" w:eastAsia="Batang" w:hAnsiTheme="majorHAnsi" w:cs="Times New Roman"/>
          <w:sz w:val="24"/>
          <w:szCs w:val="24"/>
        </w:rPr>
        <w:t>Suprimentos, prestações acessórias e prestações suplimentares, in problemas do Direito das sociedades (nº 1 da Colecção) IDET, 2ª Coimbra: Almedina, 2008.</w:t>
      </w:r>
    </w:p>
    <w:p w:rsidR="00750A9F" w:rsidRDefault="00163C49"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DOMINGOS, Paulo de Tarço</w:t>
      </w:r>
      <w:r>
        <w:rPr>
          <w:rFonts w:asciiTheme="majorHAnsi" w:eastAsia="Batang" w:hAnsiTheme="majorHAnsi" w:cs="Times New Roman"/>
          <w:b/>
          <w:sz w:val="24"/>
          <w:szCs w:val="24"/>
        </w:rPr>
        <w:t xml:space="preserve">, </w:t>
      </w:r>
      <w:r w:rsidR="00750A9F" w:rsidRPr="00163C49">
        <w:rPr>
          <w:rFonts w:asciiTheme="majorHAnsi" w:eastAsia="Batang" w:hAnsiTheme="majorHAnsi" w:cs="Times New Roman"/>
          <w:i/>
          <w:sz w:val="24"/>
          <w:szCs w:val="24"/>
        </w:rPr>
        <w:t>O capital social como entrave ao financiamento das sociedades: os novos conceitos e regime de capital social introduzidos pelo DL 64/2009 são solução, Direito das sociedades em revista</w:t>
      </w:r>
      <w:r w:rsidR="00750A9F" w:rsidRPr="00750A9F">
        <w:rPr>
          <w:rFonts w:asciiTheme="majorHAnsi" w:eastAsia="Batang" w:hAnsiTheme="majorHAnsi" w:cs="Times New Roman"/>
          <w:sz w:val="24"/>
          <w:szCs w:val="24"/>
        </w:rPr>
        <w:t>, Coimbra, p. 175 -200.</w:t>
      </w:r>
    </w:p>
    <w:p w:rsidR="009C6A75" w:rsidRPr="009C6A75" w:rsidRDefault="009C6A75" w:rsidP="00750A9F">
      <w:pPr>
        <w:rPr>
          <w:rFonts w:asciiTheme="majorHAnsi" w:eastAsia="Batang" w:hAnsiTheme="majorHAnsi" w:cs="Times New Roman"/>
          <w:sz w:val="24"/>
          <w:szCs w:val="24"/>
        </w:rPr>
      </w:pPr>
    </w:p>
    <w:p w:rsidR="00750A9F" w:rsidRPr="009C6A75"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EL FUTURO DEL DERECHO SOCIETÁRIO DE GRUPOS EM EL ÂMB</w:t>
      </w:r>
      <w:r w:rsidR="00163C49" w:rsidRPr="009C6A75">
        <w:rPr>
          <w:rFonts w:asciiTheme="majorHAnsi" w:eastAsia="Batang" w:hAnsiTheme="majorHAnsi" w:cs="Times New Roman"/>
          <w:sz w:val="24"/>
          <w:szCs w:val="24"/>
        </w:rPr>
        <w:t xml:space="preserve">ITO COMUNITÁRIO, </w:t>
      </w:r>
      <w:r w:rsidRPr="009C6A75">
        <w:rPr>
          <w:rFonts w:asciiTheme="majorHAnsi" w:eastAsia="Batang" w:hAnsiTheme="majorHAnsi" w:cs="Times New Roman"/>
          <w:sz w:val="24"/>
          <w:szCs w:val="24"/>
        </w:rPr>
        <w:t>Estudios de Derecho mercantil europeo, coord. Elena F. Pérez Carrilho.</w:t>
      </w:r>
    </w:p>
    <w:p w:rsidR="00750A9F" w:rsidRPr="009C6A75" w:rsidRDefault="00750A9F" w:rsidP="00750A9F">
      <w:pPr>
        <w:rPr>
          <w:rFonts w:asciiTheme="majorHAnsi" w:eastAsia="Batang" w:hAnsiTheme="majorHAnsi" w:cs="Times New Roman"/>
          <w:sz w:val="24"/>
          <w:szCs w:val="24"/>
        </w:rPr>
      </w:pPr>
      <w:r w:rsidRPr="009C6A75">
        <w:rPr>
          <w:rFonts w:asciiTheme="majorHAnsi" w:eastAsia="Batang" w:hAnsiTheme="majorHAnsi" w:cs="Times New Roman"/>
          <w:sz w:val="24"/>
          <w:szCs w:val="24"/>
        </w:rPr>
        <w:t>ESTUDOS DE DIREITO DAS SOCIEDADES – Pedro Maia. Maria Elisabeth Ramos, Alexandre Soveral Martins, Paulo Tarso Domingues, J M, Coutinho de Abreu, 9º edição, Almedina, 2008.</w:t>
      </w:r>
    </w:p>
    <w:p w:rsidR="00750A9F" w:rsidRPr="00750A9F" w:rsidRDefault="00163C49" w:rsidP="00750A9F">
      <w:pPr>
        <w:rPr>
          <w:rFonts w:asciiTheme="majorHAnsi" w:eastAsia="Batang" w:hAnsiTheme="majorHAnsi" w:cs="Times New Roman"/>
          <w:sz w:val="24"/>
          <w:szCs w:val="24"/>
        </w:rPr>
      </w:pPr>
      <w:r w:rsidRPr="00163C49">
        <w:rPr>
          <w:rFonts w:asciiTheme="majorHAnsi" w:eastAsia="Batang" w:hAnsiTheme="majorHAnsi" w:cs="Times New Roman"/>
          <w:sz w:val="24"/>
          <w:szCs w:val="24"/>
        </w:rPr>
        <w:t>FIGUEIRA, Eliseu,</w:t>
      </w:r>
      <w:r>
        <w:rPr>
          <w:rFonts w:asciiTheme="majorHAnsi" w:eastAsia="Batang" w:hAnsiTheme="majorHAnsi" w:cs="Times New Roman"/>
          <w:b/>
          <w:sz w:val="24"/>
          <w:szCs w:val="24"/>
        </w:rPr>
        <w:t xml:space="preserve"> </w:t>
      </w:r>
      <w:r w:rsidR="00750A9F" w:rsidRPr="00163C49">
        <w:rPr>
          <w:rFonts w:asciiTheme="majorHAnsi" w:eastAsia="Batang" w:hAnsiTheme="majorHAnsi" w:cs="Times New Roman"/>
          <w:i/>
          <w:sz w:val="24"/>
          <w:szCs w:val="24"/>
        </w:rPr>
        <w:t>Disciplina jurídica dos grupos de sociedades, in colectânea de jurisprudência</w:t>
      </w:r>
      <w:r w:rsidR="00750A9F" w:rsidRPr="00750A9F">
        <w:rPr>
          <w:rFonts w:asciiTheme="majorHAnsi" w:eastAsia="Batang" w:hAnsiTheme="majorHAnsi" w:cs="Times New Roman"/>
          <w:sz w:val="24"/>
          <w:szCs w:val="24"/>
        </w:rPr>
        <w:t xml:space="preserve">, ano XV, </w:t>
      </w:r>
      <w:r w:rsidRPr="00750A9F">
        <w:rPr>
          <w:rFonts w:asciiTheme="majorHAnsi" w:eastAsia="Batang" w:hAnsiTheme="majorHAnsi" w:cs="Times New Roman"/>
          <w:sz w:val="24"/>
          <w:szCs w:val="24"/>
        </w:rPr>
        <w:t>Lisboa</w:t>
      </w:r>
      <w:r w:rsidR="00750A9F" w:rsidRPr="00750A9F">
        <w:rPr>
          <w:rFonts w:asciiTheme="majorHAnsi" w:eastAsia="Batang" w:hAnsiTheme="majorHAnsi" w:cs="Times New Roman"/>
          <w:sz w:val="24"/>
          <w:szCs w:val="24"/>
        </w:rPr>
        <w:t xml:space="preserve"> (1990) tomo 4.</w:t>
      </w:r>
    </w:p>
    <w:p w:rsidR="00750A9F" w:rsidRPr="00750A9F" w:rsidRDefault="00750A9F" w:rsidP="00750A9F">
      <w:pPr>
        <w:rPr>
          <w:rFonts w:asciiTheme="majorHAnsi" w:eastAsia="Batang" w:hAnsiTheme="majorHAnsi" w:cs="Times New Roman"/>
          <w:sz w:val="24"/>
          <w:szCs w:val="24"/>
        </w:rPr>
      </w:pPr>
      <w:r w:rsidRPr="00163C49">
        <w:rPr>
          <w:rFonts w:asciiTheme="majorHAnsi" w:eastAsia="Batang" w:hAnsiTheme="majorHAnsi" w:cs="Times New Roman"/>
          <w:sz w:val="24"/>
          <w:szCs w:val="24"/>
        </w:rPr>
        <w:t>FILIPE, Pedro José</w:t>
      </w:r>
      <w:r w:rsidR="00163C49">
        <w:rPr>
          <w:rFonts w:asciiTheme="majorHAnsi" w:eastAsia="Batang" w:hAnsiTheme="majorHAnsi" w:cs="Times New Roman"/>
          <w:b/>
          <w:sz w:val="24"/>
          <w:szCs w:val="24"/>
        </w:rPr>
        <w:t xml:space="preserve">, </w:t>
      </w:r>
      <w:r w:rsidR="00163C49" w:rsidRPr="00163C49">
        <w:rPr>
          <w:rFonts w:asciiTheme="majorHAnsi" w:eastAsia="Batang" w:hAnsiTheme="majorHAnsi" w:cs="Times New Roman"/>
          <w:i/>
          <w:sz w:val="24"/>
          <w:szCs w:val="24"/>
        </w:rPr>
        <w:t>G</w:t>
      </w:r>
      <w:r w:rsidRPr="00163C49">
        <w:rPr>
          <w:rFonts w:asciiTheme="majorHAnsi" w:eastAsia="Batang" w:hAnsiTheme="majorHAnsi" w:cs="Times New Roman"/>
          <w:i/>
          <w:sz w:val="24"/>
          <w:szCs w:val="24"/>
        </w:rPr>
        <w:t>rupos de sociedades à luz da realidade jurídica Angolana, análises e perspectivas</w:t>
      </w:r>
      <w:r w:rsidRPr="00750A9F">
        <w:rPr>
          <w:rFonts w:asciiTheme="majorHAnsi" w:eastAsia="Batang" w:hAnsiTheme="majorHAnsi" w:cs="Times New Roman"/>
          <w:sz w:val="24"/>
          <w:szCs w:val="24"/>
        </w:rPr>
        <w:t>, Almedina, 2016.</w:t>
      </w:r>
    </w:p>
    <w:p w:rsidR="00750A9F" w:rsidRPr="00750A9F" w:rsidRDefault="00750A9F" w:rsidP="00750A9F">
      <w:pPr>
        <w:rPr>
          <w:rFonts w:asciiTheme="majorHAnsi" w:eastAsia="Batang" w:hAnsiTheme="majorHAnsi" w:cs="Times New Roman"/>
          <w:sz w:val="24"/>
          <w:szCs w:val="24"/>
        </w:rPr>
      </w:pPr>
      <w:r w:rsidRPr="00163C49">
        <w:rPr>
          <w:rFonts w:asciiTheme="majorHAnsi" w:eastAsia="Batang" w:hAnsiTheme="majorHAnsi" w:cs="Times New Roman"/>
          <w:sz w:val="24"/>
          <w:szCs w:val="24"/>
        </w:rPr>
        <w:t xml:space="preserve">FUENTES, Mónica, </w:t>
      </w:r>
      <w:r w:rsidRPr="00163C49">
        <w:rPr>
          <w:rFonts w:asciiTheme="majorHAnsi" w:eastAsia="Batang" w:hAnsiTheme="majorHAnsi" w:cs="Times New Roman"/>
          <w:i/>
          <w:sz w:val="24"/>
          <w:szCs w:val="24"/>
        </w:rPr>
        <w:t>El Contrato de “Cash Pooling”</w:t>
      </w:r>
      <w:r w:rsidRPr="00163C49">
        <w:rPr>
          <w:rFonts w:asciiTheme="majorHAnsi" w:eastAsia="Batang" w:hAnsiTheme="majorHAnsi" w:cs="Times New Roman"/>
          <w:sz w:val="24"/>
          <w:szCs w:val="24"/>
        </w:rPr>
        <w:t xml:space="preserve"> Revista</w:t>
      </w:r>
      <w:r w:rsidR="00163C49">
        <w:rPr>
          <w:rFonts w:asciiTheme="majorHAnsi" w:eastAsia="Batang" w:hAnsiTheme="majorHAnsi" w:cs="Times New Roman"/>
          <w:sz w:val="24"/>
          <w:szCs w:val="24"/>
        </w:rPr>
        <w:t xml:space="preserve"> </w:t>
      </w:r>
      <w:r w:rsidRPr="00163C49">
        <w:rPr>
          <w:rFonts w:asciiTheme="majorHAnsi" w:eastAsia="Batang" w:hAnsiTheme="majorHAnsi" w:cs="Times New Roman"/>
          <w:sz w:val="24"/>
          <w:szCs w:val="24"/>
        </w:rPr>
        <w:t>de Derecho Mercantil , num. 291 Enero – Marzo</w:t>
      </w:r>
      <w:r w:rsidRPr="00750A9F">
        <w:rPr>
          <w:rFonts w:asciiTheme="majorHAnsi" w:eastAsia="Batang" w:hAnsiTheme="majorHAnsi" w:cs="Times New Roman"/>
          <w:sz w:val="24"/>
          <w:szCs w:val="24"/>
        </w:rPr>
        <w:t>, 2014.</w:t>
      </w:r>
    </w:p>
    <w:p w:rsidR="00750A9F" w:rsidRPr="00750A9F" w:rsidRDefault="00750A9F" w:rsidP="00750A9F">
      <w:pPr>
        <w:rPr>
          <w:rFonts w:asciiTheme="majorHAnsi" w:eastAsia="Batang" w:hAnsiTheme="majorHAnsi" w:cs="Times New Roman"/>
          <w:sz w:val="24"/>
          <w:szCs w:val="24"/>
        </w:rPr>
      </w:pPr>
      <w:r w:rsidRPr="00163C49">
        <w:rPr>
          <w:rFonts w:asciiTheme="majorHAnsi" w:eastAsia="Batang" w:hAnsiTheme="majorHAnsi" w:cs="Times New Roman"/>
          <w:sz w:val="24"/>
          <w:szCs w:val="24"/>
        </w:rPr>
        <w:t>GOMES, Fátima</w:t>
      </w:r>
      <w:r w:rsidR="00163C49">
        <w:rPr>
          <w:rFonts w:asciiTheme="majorHAnsi" w:eastAsia="Batang" w:hAnsiTheme="majorHAnsi" w:cs="Times New Roman"/>
          <w:b/>
          <w:sz w:val="24"/>
          <w:szCs w:val="24"/>
        </w:rPr>
        <w:t xml:space="preserve">, </w:t>
      </w:r>
      <w:r w:rsidRPr="00163C49">
        <w:rPr>
          <w:rFonts w:asciiTheme="majorHAnsi" w:eastAsia="Batang" w:hAnsiTheme="majorHAnsi" w:cs="Times New Roman"/>
          <w:i/>
          <w:sz w:val="24"/>
          <w:szCs w:val="24"/>
        </w:rPr>
        <w:t>Considerações introdutórias à problemática jurídica dos grupos de sociedades/Fátima Gomes Direito e justiça</w:t>
      </w:r>
      <w:r w:rsidR="00163C49">
        <w:rPr>
          <w:rFonts w:asciiTheme="majorHAnsi" w:eastAsia="Batang" w:hAnsiTheme="majorHAnsi" w:cs="Times New Roman"/>
          <w:sz w:val="24"/>
          <w:szCs w:val="24"/>
        </w:rPr>
        <w:t xml:space="preserve">, Lisboa, p. 355-392, </w:t>
      </w:r>
      <w:r w:rsidRPr="00750A9F">
        <w:rPr>
          <w:rFonts w:asciiTheme="majorHAnsi" w:eastAsia="Batang" w:hAnsiTheme="majorHAnsi" w:cs="Times New Roman"/>
          <w:sz w:val="24"/>
          <w:szCs w:val="24"/>
        </w:rPr>
        <w:t>estudos em memória do professor Doutor Paulo M. Sendin.</w:t>
      </w:r>
    </w:p>
    <w:p w:rsidR="00750A9F" w:rsidRPr="00750A9F" w:rsidRDefault="00750A9F" w:rsidP="00750A9F">
      <w:pPr>
        <w:rPr>
          <w:rFonts w:asciiTheme="majorHAnsi" w:eastAsia="Batang" w:hAnsiTheme="majorHAnsi" w:cs="Times New Roman"/>
          <w:sz w:val="24"/>
          <w:szCs w:val="24"/>
        </w:rPr>
      </w:pPr>
      <w:r w:rsidRPr="0080254F">
        <w:rPr>
          <w:rFonts w:asciiTheme="majorHAnsi" w:eastAsia="Batang" w:hAnsiTheme="majorHAnsi" w:cs="Times New Roman"/>
          <w:sz w:val="24"/>
          <w:szCs w:val="24"/>
        </w:rPr>
        <w:t>GOMES, José Ferreira</w:t>
      </w:r>
      <w:r w:rsidR="0080254F" w:rsidRPr="0080254F">
        <w:rPr>
          <w:rFonts w:asciiTheme="majorHAnsi" w:eastAsia="Batang" w:hAnsiTheme="majorHAnsi" w:cs="Times New Roman"/>
          <w:sz w:val="24"/>
          <w:szCs w:val="24"/>
        </w:rPr>
        <w:t>,</w:t>
      </w:r>
      <w:r w:rsidR="0080254F">
        <w:rPr>
          <w:rFonts w:asciiTheme="majorHAnsi" w:eastAsia="Batang" w:hAnsiTheme="majorHAnsi" w:cs="Times New Roman"/>
          <w:b/>
          <w:sz w:val="24"/>
          <w:szCs w:val="24"/>
        </w:rPr>
        <w:t xml:space="preserve"> </w:t>
      </w:r>
      <w:r w:rsidRPr="0080254F">
        <w:rPr>
          <w:rFonts w:asciiTheme="majorHAnsi" w:eastAsia="Batang" w:hAnsiTheme="majorHAnsi" w:cs="Times New Roman"/>
          <w:i/>
          <w:sz w:val="24"/>
          <w:szCs w:val="24"/>
        </w:rPr>
        <w:t>O governo dos grupos de sociedades; O governo das organizações, a vocação universal do corporate governance</w:t>
      </w:r>
      <w:r w:rsidRPr="00750A9F">
        <w:rPr>
          <w:rFonts w:asciiTheme="majorHAnsi" w:eastAsia="Batang" w:hAnsiTheme="majorHAnsi" w:cs="Times New Roman"/>
          <w:sz w:val="24"/>
          <w:szCs w:val="24"/>
        </w:rPr>
        <w:t xml:space="preserve">, Almedina, 2011, p.125 – 166. </w:t>
      </w:r>
    </w:p>
    <w:p w:rsidR="00750A9F" w:rsidRPr="00750A9F" w:rsidRDefault="0080254F" w:rsidP="00750A9F">
      <w:pPr>
        <w:rPr>
          <w:rFonts w:asciiTheme="majorHAnsi" w:eastAsia="Batang" w:hAnsiTheme="majorHAnsi" w:cs="Times New Roman"/>
          <w:sz w:val="24"/>
          <w:szCs w:val="24"/>
        </w:rPr>
      </w:pPr>
      <w:r w:rsidRPr="0080254F">
        <w:rPr>
          <w:rFonts w:asciiTheme="majorHAnsi" w:eastAsia="Batang" w:hAnsiTheme="majorHAnsi" w:cs="Times New Roman"/>
          <w:sz w:val="24"/>
          <w:szCs w:val="24"/>
        </w:rPr>
        <w:t>GUINÉ, Orlando Vogler,</w:t>
      </w:r>
      <w:r>
        <w:rPr>
          <w:rFonts w:asciiTheme="majorHAnsi" w:eastAsia="Batang" w:hAnsiTheme="majorHAnsi" w:cs="Times New Roman"/>
          <w:b/>
          <w:sz w:val="24"/>
          <w:szCs w:val="24"/>
        </w:rPr>
        <w:t xml:space="preserve"> </w:t>
      </w:r>
      <w:r w:rsidR="00750A9F" w:rsidRPr="00750A9F">
        <w:rPr>
          <w:rFonts w:asciiTheme="majorHAnsi" w:eastAsia="Batang" w:hAnsiTheme="majorHAnsi" w:cs="Times New Roman"/>
          <w:sz w:val="24"/>
          <w:szCs w:val="24"/>
        </w:rPr>
        <w:t>financiamento de sociedades por meio de valores mobiliários hibridos: entre acções e as obrigações / congresso de Direito das sociedades em Revista, Almedina; coordenada por Pedro País Vasconcelos, J.M Coutinho de Abreu, Rui Pinto Duarte, Almedina, 2011 – p, 75-93.</w:t>
      </w:r>
    </w:p>
    <w:p w:rsidR="00750A9F" w:rsidRPr="0080254F" w:rsidRDefault="00750A9F" w:rsidP="00750A9F">
      <w:pPr>
        <w:rPr>
          <w:rFonts w:asciiTheme="majorHAnsi" w:eastAsia="Batang" w:hAnsiTheme="majorHAnsi" w:cs="Times New Roman"/>
          <w:sz w:val="24"/>
          <w:szCs w:val="24"/>
          <w:lang w:val="en-US"/>
        </w:rPr>
      </w:pPr>
      <w:r w:rsidRPr="0080254F">
        <w:rPr>
          <w:rFonts w:asciiTheme="majorHAnsi" w:eastAsia="Batang" w:hAnsiTheme="majorHAnsi" w:cs="Times New Roman"/>
          <w:sz w:val="24"/>
          <w:szCs w:val="24"/>
          <w:lang w:val="en-US"/>
        </w:rPr>
        <w:t>JENSEN, Michel C. /</w:t>
      </w:r>
      <w:r w:rsidR="0080254F" w:rsidRPr="0080254F">
        <w:rPr>
          <w:rFonts w:asciiTheme="majorHAnsi" w:eastAsia="Batang" w:hAnsiTheme="majorHAnsi" w:cs="Times New Roman"/>
          <w:sz w:val="24"/>
          <w:szCs w:val="24"/>
          <w:lang w:val="en-US"/>
        </w:rPr>
        <w:t xml:space="preserve">Smith Cliffford W, </w:t>
      </w:r>
      <w:r w:rsidRPr="0080254F">
        <w:rPr>
          <w:rFonts w:asciiTheme="majorHAnsi" w:eastAsia="Batang" w:hAnsiTheme="majorHAnsi" w:cs="Times New Roman"/>
          <w:sz w:val="24"/>
          <w:szCs w:val="24"/>
          <w:lang w:val="en-US"/>
        </w:rPr>
        <w:t>the modern Theory of Corporate finance; a historial overview, Havard</w:t>
      </w:r>
      <w:r w:rsidR="0080254F" w:rsidRPr="0080254F">
        <w:rPr>
          <w:rFonts w:asciiTheme="majorHAnsi" w:eastAsia="Batang" w:hAnsiTheme="majorHAnsi" w:cs="Times New Roman"/>
          <w:sz w:val="24"/>
          <w:szCs w:val="24"/>
          <w:lang w:val="en-US"/>
        </w:rPr>
        <w:t xml:space="preserve"> </w:t>
      </w:r>
      <w:r w:rsidRPr="0080254F">
        <w:rPr>
          <w:rFonts w:asciiTheme="majorHAnsi" w:eastAsia="Batang" w:hAnsiTheme="majorHAnsi" w:cs="Times New Roman"/>
          <w:sz w:val="24"/>
          <w:szCs w:val="24"/>
          <w:lang w:val="en-US"/>
        </w:rPr>
        <w:t>bussiness School, new york, 1984</w:t>
      </w:r>
    </w:p>
    <w:p w:rsidR="00750A9F" w:rsidRPr="00750A9F" w:rsidRDefault="00750A9F" w:rsidP="00750A9F">
      <w:pPr>
        <w:rPr>
          <w:rFonts w:asciiTheme="majorHAnsi" w:eastAsia="Batang" w:hAnsiTheme="majorHAnsi" w:cs="Times New Roman"/>
          <w:sz w:val="24"/>
          <w:szCs w:val="24"/>
        </w:rPr>
      </w:pPr>
      <w:r w:rsidRPr="0080254F">
        <w:rPr>
          <w:rFonts w:asciiTheme="majorHAnsi" w:eastAsia="Batang" w:hAnsiTheme="majorHAnsi" w:cs="Times New Roman"/>
          <w:sz w:val="24"/>
          <w:szCs w:val="24"/>
        </w:rPr>
        <w:t>JUSTO, A. Santos</w:t>
      </w:r>
      <w:r w:rsidR="0080254F">
        <w:rPr>
          <w:rFonts w:asciiTheme="majorHAnsi" w:eastAsia="Batang" w:hAnsiTheme="majorHAnsi" w:cs="Times New Roman"/>
          <w:sz w:val="24"/>
          <w:szCs w:val="24"/>
        </w:rPr>
        <w:t xml:space="preserve">, </w:t>
      </w:r>
      <w:r w:rsidRPr="0080254F">
        <w:rPr>
          <w:rFonts w:asciiTheme="majorHAnsi" w:eastAsia="Batang" w:hAnsiTheme="majorHAnsi" w:cs="Times New Roman"/>
          <w:i/>
          <w:sz w:val="24"/>
          <w:szCs w:val="24"/>
        </w:rPr>
        <w:t>Introdução ao Estudo do Direito</w:t>
      </w:r>
      <w:r w:rsidR="0080254F">
        <w:rPr>
          <w:rFonts w:asciiTheme="majorHAnsi" w:eastAsia="Batang" w:hAnsiTheme="majorHAnsi" w:cs="Times New Roman"/>
          <w:sz w:val="24"/>
          <w:szCs w:val="24"/>
        </w:rPr>
        <w:t xml:space="preserve">, 3ª ed., </w:t>
      </w:r>
      <w:r w:rsidRPr="00750A9F">
        <w:rPr>
          <w:rFonts w:asciiTheme="majorHAnsi" w:eastAsia="Batang" w:hAnsiTheme="majorHAnsi" w:cs="Times New Roman"/>
          <w:sz w:val="24"/>
          <w:szCs w:val="24"/>
        </w:rPr>
        <w:t>Coimbra Editora, 2006.</w:t>
      </w:r>
    </w:p>
    <w:p w:rsidR="00750A9F" w:rsidRPr="00750A9F" w:rsidRDefault="00750A9F" w:rsidP="00750A9F">
      <w:pPr>
        <w:rPr>
          <w:rFonts w:asciiTheme="majorHAnsi" w:eastAsia="Batang" w:hAnsiTheme="majorHAnsi" w:cs="Times New Roman"/>
          <w:sz w:val="24"/>
          <w:szCs w:val="24"/>
        </w:rPr>
      </w:pPr>
      <w:r w:rsidRPr="0080254F">
        <w:rPr>
          <w:rFonts w:asciiTheme="majorHAnsi" w:eastAsia="Batang" w:hAnsiTheme="majorHAnsi" w:cs="Times New Roman"/>
          <w:sz w:val="24"/>
          <w:szCs w:val="24"/>
        </w:rPr>
        <w:t>LEMME, Giuliano</w:t>
      </w:r>
      <w:r w:rsidRPr="00750A9F">
        <w:rPr>
          <w:rFonts w:asciiTheme="majorHAnsi" w:eastAsia="Batang" w:hAnsiTheme="majorHAnsi" w:cs="Times New Roman"/>
          <w:b/>
          <w:sz w:val="24"/>
          <w:szCs w:val="24"/>
        </w:rPr>
        <w:t xml:space="preserve">, </w:t>
      </w:r>
      <w:r w:rsidRPr="00750A9F">
        <w:rPr>
          <w:rFonts w:asciiTheme="majorHAnsi" w:eastAsia="Batang" w:hAnsiTheme="majorHAnsi" w:cs="Times New Roman"/>
          <w:sz w:val="24"/>
          <w:szCs w:val="24"/>
        </w:rPr>
        <w:t>Il «Governo» del grupo, CEDAM, 1997.</w:t>
      </w:r>
    </w:p>
    <w:p w:rsidR="00750A9F" w:rsidRPr="00750A9F" w:rsidRDefault="00750A9F" w:rsidP="00750A9F">
      <w:pPr>
        <w:rPr>
          <w:rFonts w:asciiTheme="majorHAnsi" w:eastAsia="Batang" w:hAnsiTheme="majorHAnsi" w:cs="Times New Roman"/>
          <w:sz w:val="24"/>
          <w:szCs w:val="24"/>
        </w:rPr>
      </w:pPr>
      <w:r w:rsidRPr="0080254F">
        <w:rPr>
          <w:rFonts w:asciiTheme="majorHAnsi" w:eastAsia="Batang" w:hAnsiTheme="majorHAnsi" w:cs="Times New Roman"/>
          <w:sz w:val="24"/>
          <w:szCs w:val="24"/>
        </w:rPr>
        <w:t>LUTHER, Gilberto</w:t>
      </w:r>
      <w:r w:rsidR="0080254F">
        <w:rPr>
          <w:rFonts w:asciiTheme="majorHAnsi" w:eastAsia="Batang" w:hAnsiTheme="majorHAnsi" w:cs="Times New Roman"/>
          <w:b/>
          <w:sz w:val="24"/>
          <w:szCs w:val="24"/>
        </w:rPr>
        <w:t xml:space="preserve">, </w:t>
      </w:r>
      <w:r w:rsidRPr="0080254F">
        <w:rPr>
          <w:rFonts w:asciiTheme="majorHAnsi" w:eastAsia="Batang" w:hAnsiTheme="majorHAnsi" w:cs="Times New Roman"/>
          <w:i/>
          <w:sz w:val="24"/>
          <w:szCs w:val="24"/>
        </w:rPr>
        <w:t>A responsabilidade solidária do sócio e o Direito de dar instruções nos grupos de sociedades</w:t>
      </w:r>
      <w:r w:rsidR="0080254F">
        <w:rPr>
          <w:rFonts w:asciiTheme="majorHAnsi" w:eastAsia="Batang" w:hAnsiTheme="majorHAnsi" w:cs="Times New Roman"/>
          <w:sz w:val="24"/>
          <w:szCs w:val="24"/>
        </w:rPr>
        <w:t xml:space="preserve">, </w:t>
      </w:r>
      <w:r w:rsidRPr="00750A9F">
        <w:rPr>
          <w:rFonts w:asciiTheme="majorHAnsi" w:eastAsia="Batang" w:hAnsiTheme="majorHAnsi" w:cs="Times New Roman"/>
          <w:sz w:val="24"/>
          <w:szCs w:val="24"/>
        </w:rPr>
        <w:t>Luand</w:t>
      </w:r>
      <w:r w:rsidR="0080254F">
        <w:rPr>
          <w:rFonts w:asciiTheme="majorHAnsi" w:eastAsia="Batang" w:hAnsiTheme="majorHAnsi" w:cs="Times New Roman"/>
          <w:sz w:val="24"/>
          <w:szCs w:val="24"/>
        </w:rPr>
        <w:t>a, C</w:t>
      </w:r>
      <w:r w:rsidRPr="00750A9F">
        <w:rPr>
          <w:rFonts w:asciiTheme="majorHAnsi" w:eastAsia="Batang" w:hAnsiTheme="majorHAnsi" w:cs="Times New Roman"/>
          <w:sz w:val="24"/>
          <w:szCs w:val="24"/>
        </w:rPr>
        <w:t>asa das ideias, 2012.</w:t>
      </w:r>
    </w:p>
    <w:p w:rsidR="00750A9F" w:rsidRPr="006E69E7" w:rsidRDefault="006E69E7" w:rsidP="00750A9F">
      <w:pPr>
        <w:rPr>
          <w:rFonts w:asciiTheme="majorHAnsi" w:eastAsia="Batang" w:hAnsiTheme="majorHAnsi" w:cs="Times New Roman"/>
          <w:sz w:val="24"/>
          <w:szCs w:val="24"/>
        </w:rPr>
      </w:pPr>
      <w:r>
        <w:rPr>
          <w:rFonts w:asciiTheme="majorHAnsi" w:eastAsia="Batang" w:hAnsiTheme="majorHAnsi" w:cs="Times New Roman"/>
          <w:sz w:val="24"/>
          <w:szCs w:val="24"/>
        </w:rPr>
        <w:t xml:space="preserve">OLIVEIRA, Ana Perestelo, </w:t>
      </w:r>
      <w:r w:rsidRPr="006E69E7">
        <w:rPr>
          <w:rFonts w:asciiTheme="majorHAnsi" w:eastAsia="Batang" w:hAnsiTheme="majorHAnsi" w:cs="Times New Roman"/>
          <w:i/>
          <w:sz w:val="24"/>
          <w:szCs w:val="24"/>
        </w:rPr>
        <w:t>A</w:t>
      </w:r>
      <w:r w:rsidR="00750A9F" w:rsidRPr="006E69E7">
        <w:rPr>
          <w:rFonts w:asciiTheme="majorHAnsi" w:eastAsia="Batang" w:hAnsiTheme="majorHAnsi" w:cs="Times New Roman"/>
          <w:i/>
          <w:sz w:val="24"/>
          <w:szCs w:val="24"/>
        </w:rPr>
        <w:t>inda sobre a liquidação conjunta de sociedades em relação de domínio e os poderes do administrador da insolvência: a jurisprudência recente dos tribunais nacionais, Revistade direito das sociedades</w:t>
      </w:r>
      <w:r w:rsidR="00750A9F" w:rsidRPr="006E69E7">
        <w:rPr>
          <w:rFonts w:asciiTheme="majorHAnsi" w:eastAsia="Batang" w:hAnsiTheme="majorHAnsi" w:cs="Times New Roman"/>
          <w:sz w:val="24"/>
          <w:szCs w:val="24"/>
        </w:rPr>
        <w:t>, Coimbra, p. 713-733</w:t>
      </w:r>
      <w:r w:rsidRPr="006E69E7">
        <w:rPr>
          <w:rFonts w:asciiTheme="majorHAnsi" w:eastAsia="Batang" w:hAnsiTheme="majorHAnsi" w:cs="Times New Roman"/>
          <w:sz w:val="24"/>
          <w:szCs w:val="24"/>
        </w:rPr>
        <w:t>.</w:t>
      </w:r>
    </w:p>
    <w:p w:rsidR="00750A9F" w:rsidRPr="00750A9F" w:rsidRDefault="006E69E7" w:rsidP="00750A9F">
      <w:pPr>
        <w:rPr>
          <w:rFonts w:asciiTheme="majorHAnsi" w:eastAsia="Batang" w:hAnsiTheme="majorHAnsi" w:cs="Times New Roman"/>
          <w:sz w:val="24"/>
          <w:szCs w:val="24"/>
        </w:rPr>
      </w:pPr>
      <w:r w:rsidRPr="006E69E7">
        <w:rPr>
          <w:rFonts w:asciiTheme="majorHAnsi" w:eastAsia="Batang" w:hAnsiTheme="majorHAnsi" w:cs="Times New Roman"/>
          <w:sz w:val="24"/>
          <w:szCs w:val="24"/>
        </w:rPr>
        <w:t>OLIVEIRA, Ana Perestelo,</w:t>
      </w:r>
      <w:r>
        <w:rPr>
          <w:rFonts w:asciiTheme="majorHAnsi" w:eastAsia="Batang" w:hAnsiTheme="majorHAnsi" w:cs="Times New Roman"/>
          <w:b/>
          <w:sz w:val="24"/>
          <w:szCs w:val="24"/>
        </w:rPr>
        <w:t xml:space="preserve"> </w:t>
      </w:r>
      <w:r w:rsidR="00750A9F" w:rsidRPr="006E69E7">
        <w:rPr>
          <w:rFonts w:asciiTheme="majorHAnsi" w:eastAsia="Batang" w:hAnsiTheme="majorHAnsi" w:cs="Times New Roman"/>
          <w:i/>
          <w:sz w:val="24"/>
          <w:szCs w:val="24"/>
        </w:rPr>
        <w:t>Manual de</w:t>
      </w:r>
      <w:r w:rsidRPr="006E69E7">
        <w:rPr>
          <w:rFonts w:asciiTheme="majorHAnsi" w:eastAsia="Batang" w:hAnsiTheme="majorHAnsi" w:cs="Times New Roman"/>
          <w:i/>
          <w:sz w:val="24"/>
          <w:szCs w:val="24"/>
        </w:rPr>
        <w:t xml:space="preserve"> </w:t>
      </w:r>
      <w:r w:rsidR="00750A9F" w:rsidRPr="006E69E7">
        <w:rPr>
          <w:rFonts w:asciiTheme="majorHAnsi" w:eastAsia="Batang" w:hAnsiTheme="majorHAnsi" w:cs="Times New Roman"/>
          <w:i/>
          <w:sz w:val="24"/>
          <w:szCs w:val="24"/>
        </w:rPr>
        <w:t>Corporate Finance</w:t>
      </w:r>
      <w:r w:rsidR="00750A9F" w:rsidRPr="00750A9F">
        <w:rPr>
          <w:rFonts w:asciiTheme="majorHAnsi" w:eastAsia="Batang" w:hAnsiTheme="majorHAnsi" w:cs="Times New Roman"/>
          <w:sz w:val="24"/>
          <w:szCs w:val="24"/>
        </w:rPr>
        <w:t>, 2ª ed, Almedina, 2015</w:t>
      </w:r>
    </w:p>
    <w:p w:rsidR="00750A9F" w:rsidRPr="00750A9F" w:rsidRDefault="006E69E7" w:rsidP="00750A9F">
      <w:pPr>
        <w:rPr>
          <w:rFonts w:asciiTheme="majorHAnsi" w:eastAsia="Batang" w:hAnsiTheme="majorHAnsi" w:cs="Times New Roman"/>
          <w:sz w:val="24"/>
          <w:szCs w:val="24"/>
        </w:rPr>
      </w:pPr>
      <w:r>
        <w:rPr>
          <w:rFonts w:asciiTheme="majorHAnsi" w:eastAsia="Batang" w:hAnsiTheme="majorHAnsi" w:cs="Times New Roman"/>
          <w:sz w:val="24"/>
          <w:szCs w:val="24"/>
        </w:rPr>
        <w:t xml:space="preserve">OLIVEIRA, Ana Perestelo, </w:t>
      </w:r>
      <w:r w:rsidRPr="006E69E7">
        <w:rPr>
          <w:rFonts w:asciiTheme="majorHAnsi" w:eastAsia="Batang" w:hAnsiTheme="majorHAnsi" w:cs="Times New Roman"/>
          <w:i/>
          <w:sz w:val="24"/>
          <w:szCs w:val="24"/>
        </w:rPr>
        <w:t>G</w:t>
      </w:r>
      <w:r w:rsidR="00750A9F" w:rsidRPr="006E69E7">
        <w:rPr>
          <w:rFonts w:asciiTheme="majorHAnsi" w:eastAsia="Batang" w:hAnsiTheme="majorHAnsi" w:cs="Times New Roman"/>
          <w:i/>
          <w:sz w:val="24"/>
          <w:szCs w:val="24"/>
        </w:rPr>
        <w:t>rupos de sociedades e deveres de lealdade: por um critério Unitário de solução</w:t>
      </w:r>
      <w:r w:rsidRPr="006E69E7">
        <w:rPr>
          <w:rFonts w:asciiTheme="majorHAnsi" w:eastAsia="Batang" w:hAnsiTheme="majorHAnsi" w:cs="Times New Roman"/>
          <w:i/>
          <w:sz w:val="24"/>
          <w:szCs w:val="24"/>
        </w:rPr>
        <w:t xml:space="preserve"> do “conflito do grupo”, </w:t>
      </w:r>
      <w:r>
        <w:rPr>
          <w:rFonts w:asciiTheme="majorHAnsi" w:eastAsia="Batang" w:hAnsiTheme="majorHAnsi" w:cs="Times New Roman"/>
          <w:sz w:val="24"/>
          <w:szCs w:val="24"/>
        </w:rPr>
        <w:t>Coimbra, A</w:t>
      </w:r>
      <w:r w:rsidR="00750A9F" w:rsidRPr="00750A9F">
        <w:rPr>
          <w:rFonts w:asciiTheme="majorHAnsi" w:eastAsia="Batang" w:hAnsiTheme="majorHAnsi" w:cs="Times New Roman"/>
          <w:sz w:val="24"/>
          <w:szCs w:val="24"/>
        </w:rPr>
        <w:t>lmedina, 2012 .</w:t>
      </w:r>
    </w:p>
    <w:p w:rsidR="00750A9F" w:rsidRPr="006E69E7" w:rsidRDefault="006E69E7" w:rsidP="00750A9F">
      <w:pPr>
        <w:rPr>
          <w:rFonts w:asciiTheme="majorHAnsi" w:eastAsia="Batang" w:hAnsiTheme="majorHAnsi" w:cs="Times New Roman"/>
          <w:sz w:val="24"/>
          <w:szCs w:val="24"/>
        </w:rPr>
      </w:pPr>
      <w:r>
        <w:rPr>
          <w:rFonts w:asciiTheme="majorHAnsi" w:eastAsia="Batang" w:hAnsiTheme="majorHAnsi" w:cs="Times New Roman"/>
          <w:sz w:val="24"/>
          <w:szCs w:val="24"/>
        </w:rPr>
        <w:t xml:space="preserve">OLIVEIRA, Ana Perestelo, </w:t>
      </w:r>
      <w:r w:rsidR="00750A9F" w:rsidRPr="006E69E7">
        <w:rPr>
          <w:rFonts w:asciiTheme="majorHAnsi" w:eastAsia="Batang" w:hAnsiTheme="majorHAnsi" w:cs="Times New Roman"/>
          <w:i/>
          <w:sz w:val="24"/>
          <w:szCs w:val="24"/>
        </w:rPr>
        <w:t>Manual de Grupos de Sociedades</w:t>
      </w:r>
      <w:r>
        <w:rPr>
          <w:rFonts w:asciiTheme="majorHAnsi" w:eastAsia="Batang" w:hAnsiTheme="majorHAnsi" w:cs="Times New Roman"/>
          <w:sz w:val="24"/>
          <w:szCs w:val="24"/>
        </w:rPr>
        <w:t>, A</w:t>
      </w:r>
      <w:r w:rsidR="00750A9F" w:rsidRPr="006E69E7">
        <w:rPr>
          <w:rFonts w:asciiTheme="majorHAnsi" w:eastAsia="Batang" w:hAnsiTheme="majorHAnsi" w:cs="Times New Roman"/>
          <w:sz w:val="24"/>
          <w:szCs w:val="24"/>
        </w:rPr>
        <w:t>lmedina, 2016.</w:t>
      </w:r>
    </w:p>
    <w:p w:rsidR="00750A9F" w:rsidRPr="006E69E7" w:rsidRDefault="00750A9F" w:rsidP="00750A9F">
      <w:pPr>
        <w:spacing w:line="360" w:lineRule="auto"/>
        <w:rPr>
          <w:rFonts w:asciiTheme="majorHAnsi" w:eastAsia="Batang" w:hAnsiTheme="majorHAnsi" w:cs="Times New Roman"/>
          <w:sz w:val="24"/>
          <w:szCs w:val="24"/>
          <w:lang w:val="pt-BR"/>
        </w:rPr>
      </w:pPr>
      <w:r w:rsidRPr="006E69E7">
        <w:rPr>
          <w:rFonts w:asciiTheme="majorHAnsi" w:eastAsia="Batang" w:hAnsiTheme="majorHAnsi" w:cs="Times New Roman"/>
          <w:sz w:val="24"/>
          <w:szCs w:val="24"/>
          <w:lang w:val="pt-BR"/>
        </w:rPr>
        <w:t>CASTRO, Osório</w:t>
      </w:r>
      <w:r w:rsidR="006E69E7">
        <w:rPr>
          <w:rFonts w:asciiTheme="majorHAnsi" w:eastAsia="Batang" w:hAnsiTheme="majorHAnsi" w:cs="Times New Roman"/>
          <w:sz w:val="24"/>
          <w:szCs w:val="24"/>
          <w:lang w:val="pt-BR"/>
        </w:rPr>
        <w:t xml:space="preserve">, </w:t>
      </w:r>
      <w:r w:rsidR="006E69E7" w:rsidRPr="006E69E7">
        <w:rPr>
          <w:rFonts w:asciiTheme="majorHAnsi" w:eastAsia="Batang" w:hAnsiTheme="majorHAnsi" w:cs="Times New Roman"/>
          <w:i/>
          <w:sz w:val="24"/>
          <w:szCs w:val="24"/>
          <w:lang w:val="pt-BR"/>
        </w:rPr>
        <w:t>D</w:t>
      </w:r>
      <w:r w:rsidRPr="006E69E7">
        <w:rPr>
          <w:rFonts w:asciiTheme="majorHAnsi" w:eastAsia="Batang" w:hAnsiTheme="majorHAnsi" w:cs="Times New Roman"/>
          <w:i/>
          <w:sz w:val="24"/>
          <w:szCs w:val="24"/>
          <w:lang w:val="pt-BR"/>
        </w:rPr>
        <w:t>a prestação de garantias por sociedades a dívidas de outras entidades</w:t>
      </w:r>
      <w:r w:rsidRPr="006E69E7">
        <w:rPr>
          <w:rFonts w:asciiTheme="majorHAnsi" w:eastAsia="Batang" w:hAnsiTheme="majorHAnsi" w:cs="Times New Roman"/>
          <w:sz w:val="24"/>
          <w:szCs w:val="24"/>
          <w:lang w:val="pt-BR"/>
        </w:rPr>
        <w:t>, ROA 56.</w:t>
      </w:r>
    </w:p>
    <w:p w:rsidR="00750A9F" w:rsidRPr="008C715D" w:rsidRDefault="00750A9F" w:rsidP="00750A9F">
      <w:pPr>
        <w:rPr>
          <w:rFonts w:ascii="Times New Roman" w:eastAsia="Batang" w:hAnsi="Times New Roman" w:cs="Times New Roman"/>
          <w:sz w:val="24"/>
          <w:szCs w:val="24"/>
        </w:rPr>
      </w:pPr>
      <w:r w:rsidRPr="00163C49">
        <w:rPr>
          <w:rFonts w:ascii="Times New Roman" w:eastAsia="Batang" w:hAnsi="Times New Roman" w:cs="Times New Roman"/>
          <w:sz w:val="24"/>
          <w:szCs w:val="24"/>
        </w:rPr>
        <w:t xml:space="preserve">VAZ, Teresa Sapiro </w:t>
      </w:r>
      <w:r w:rsidR="006E69E7" w:rsidRPr="00163C49">
        <w:rPr>
          <w:rFonts w:ascii="Times New Roman" w:eastAsia="Batang" w:hAnsi="Times New Roman" w:cs="Times New Roman"/>
          <w:sz w:val="24"/>
          <w:szCs w:val="24"/>
        </w:rPr>
        <w:t>Anselmo</w:t>
      </w:r>
      <w:r w:rsidR="006E69E7">
        <w:rPr>
          <w:rFonts w:ascii="Times New Roman" w:eastAsia="Batang" w:hAnsi="Times New Roman" w:cs="Times New Roman"/>
          <w:b/>
          <w:sz w:val="24"/>
          <w:szCs w:val="24"/>
        </w:rPr>
        <w:t xml:space="preserve">,  </w:t>
      </w:r>
      <w:r w:rsidRPr="006E69E7">
        <w:rPr>
          <w:rFonts w:ascii="Times New Roman" w:eastAsia="Batang" w:hAnsi="Times New Roman" w:cs="Times New Roman"/>
          <w:i/>
          <w:sz w:val="24"/>
          <w:szCs w:val="24"/>
        </w:rPr>
        <w:t>A responsabilidade do Accionista Controlador, relatório para a disciplina de Direito Comercia</w:t>
      </w:r>
      <w:r w:rsidRPr="008C715D">
        <w:rPr>
          <w:rFonts w:ascii="Times New Roman" w:eastAsia="Batang" w:hAnsi="Times New Roman" w:cs="Times New Roman"/>
          <w:sz w:val="24"/>
          <w:szCs w:val="24"/>
        </w:rPr>
        <w:t>l do Curso de Mestrado Em Direito da Universidade Católica Portuguesa, Outubro de 1994, p. 5 a 12.</w:t>
      </w:r>
    </w:p>
    <w:p w:rsidR="00750A9F" w:rsidRPr="008C715D" w:rsidRDefault="00750A9F" w:rsidP="00750A9F">
      <w:pPr>
        <w:rPr>
          <w:rFonts w:ascii="Times New Roman" w:eastAsia="Batang" w:hAnsi="Times New Roman" w:cs="Times New Roman"/>
          <w:sz w:val="24"/>
          <w:szCs w:val="24"/>
        </w:rPr>
      </w:pPr>
      <w:r w:rsidRPr="00163C49">
        <w:rPr>
          <w:rFonts w:ascii="Times New Roman" w:eastAsia="Batang" w:hAnsi="Times New Roman" w:cs="Times New Roman"/>
          <w:sz w:val="24"/>
          <w:szCs w:val="24"/>
        </w:rPr>
        <w:t>TRIGO, Maria da Graça</w:t>
      </w:r>
      <w:r w:rsidR="00163C49">
        <w:rPr>
          <w:rFonts w:ascii="Times New Roman" w:eastAsia="Batang" w:hAnsi="Times New Roman" w:cs="Times New Roman"/>
          <w:sz w:val="24"/>
          <w:szCs w:val="24"/>
        </w:rPr>
        <w:t xml:space="preserve">, </w:t>
      </w:r>
      <w:r w:rsidRPr="00163C49">
        <w:rPr>
          <w:rFonts w:ascii="Times New Roman" w:eastAsia="Batang" w:hAnsi="Times New Roman" w:cs="Times New Roman"/>
          <w:i/>
          <w:sz w:val="24"/>
          <w:szCs w:val="24"/>
        </w:rPr>
        <w:t>Grupos de sociedades, in “O Direito”</w:t>
      </w:r>
      <w:r w:rsidRPr="008C715D">
        <w:rPr>
          <w:rFonts w:ascii="Times New Roman" w:eastAsia="Batang" w:hAnsi="Times New Roman" w:cs="Times New Roman"/>
          <w:sz w:val="24"/>
          <w:szCs w:val="24"/>
        </w:rPr>
        <w:t>, Ano 123º, 1991, Tomo I.</w:t>
      </w:r>
    </w:p>
    <w:p w:rsidR="00750A9F" w:rsidRDefault="00750A9F" w:rsidP="00750A9F">
      <w:pPr>
        <w:rPr>
          <w:rFonts w:ascii="Times New Roman" w:eastAsia="Batang" w:hAnsi="Times New Roman" w:cs="Times New Roman"/>
          <w:b/>
          <w:sz w:val="24"/>
          <w:szCs w:val="24"/>
        </w:rPr>
      </w:pPr>
    </w:p>
    <w:p w:rsidR="006E69E7" w:rsidRPr="008C715D" w:rsidRDefault="006E69E7" w:rsidP="00750A9F">
      <w:pPr>
        <w:rPr>
          <w:rFonts w:ascii="Times New Roman" w:eastAsia="Batang" w:hAnsi="Times New Roman" w:cs="Times New Roman"/>
          <w:b/>
          <w:sz w:val="24"/>
          <w:szCs w:val="24"/>
        </w:rPr>
      </w:pPr>
    </w:p>
    <w:p w:rsidR="00750A9F" w:rsidRPr="008C715D" w:rsidRDefault="00750A9F" w:rsidP="00750A9F">
      <w:pPr>
        <w:rPr>
          <w:rFonts w:ascii="Times New Roman" w:eastAsia="Batang" w:hAnsi="Times New Roman" w:cs="Times New Roman"/>
          <w:b/>
          <w:sz w:val="24"/>
          <w:szCs w:val="24"/>
          <w:lang w:val="pt-BR"/>
        </w:rPr>
      </w:pPr>
      <w:r w:rsidRPr="008C715D">
        <w:rPr>
          <w:rFonts w:ascii="Times New Roman" w:eastAsia="Batang" w:hAnsi="Times New Roman" w:cs="Times New Roman"/>
          <w:b/>
          <w:sz w:val="24"/>
          <w:szCs w:val="24"/>
          <w:lang w:val="pt-BR"/>
        </w:rPr>
        <w:t xml:space="preserve">ACÓRDÃOS </w:t>
      </w:r>
    </w:p>
    <w:p w:rsidR="00750A9F" w:rsidRPr="008C715D" w:rsidRDefault="00750A9F" w:rsidP="00750A9F">
      <w:pPr>
        <w:rPr>
          <w:rFonts w:ascii="Times New Roman" w:eastAsia="Batang" w:hAnsi="Times New Roman" w:cs="Times New Roman"/>
          <w:sz w:val="24"/>
          <w:szCs w:val="24"/>
          <w:lang w:val="pt-BR"/>
        </w:rPr>
      </w:pPr>
      <w:r w:rsidRPr="008C715D">
        <w:rPr>
          <w:rFonts w:ascii="Times New Roman" w:eastAsia="Batang" w:hAnsi="Times New Roman" w:cs="Times New Roman"/>
          <w:sz w:val="24"/>
          <w:szCs w:val="24"/>
          <w:lang w:val="pt-BR"/>
        </w:rPr>
        <w:t>Todos os acórdãos escolhidos espelham a realidade portuguesa, por falta de casos jurisprudenciais em Angola.</w:t>
      </w:r>
    </w:p>
    <w:p w:rsidR="00750A9F" w:rsidRPr="008C715D" w:rsidRDefault="00750A9F" w:rsidP="00750A9F">
      <w:pPr>
        <w:pStyle w:val="PargrafodaLista"/>
        <w:numPr>
          <w:ilvl w:val="0"/>
          <w:numId w:val="18"/>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Acórdão do CAAD, Processo n.º 55/2012 – T, IRC – Cash pooling, 24 de dezembro de 2012;</w:t>
      </w:r>
    </w:p>
    <w:p w:rsidR="00750A9F" w:rsidRPr="008C715D" w:rsidRDefault="00750A9F" w:rsidP="00750A9F">
      <w:pPr>
        <w:pStyle w:val="PargrafodaLista"/>
        <w:numPr>
          <w:ilvl w:val="0"/>
          <w:numId w:val="18"/>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 xml:space="preserve"> Acórdão do CAAD, Processo n.º 76/2013 – T, IS – Cash pooling, 25 de Novembro de 2013. Acórdão do CAAD, </w:t>
      </w:r>
    </w:p>
    <w:p w:rsidR="00750A9F" w:rsidRPr="008C715D" w:rsidRDefault="00750A9F" w:rsidP="00750A9F">
      <w:pPr>
        <w:pStyle w:val="PargrafodaLista"/>
        <w:numPr>
          <w:ilvl w:val="0"/>
          <w:numId w:val="18"/>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 xml:space="preserve">Processo n.º 160/2013 – T, IRC – Cash pooling – “cash pooling” e regime dos preços de transferência, de 30 de janeiro de 2014. </w:t>
      </w:r>
    </w:p>
    <w:p w:rsidR="00750A9F" w:rsidRPr="008C715D" w:rsidRDefault="00750A9F" w:rsidP="00750A9F">
      <w:pPr>
        <w:pStyle w:val="PargrafodaLista"/>
        <w:numPr>
          <w:ilvl w:val="0"/>
          <w:numId w:val="18"/>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Acórdão do Tribunal Constitucional 252/2005,</w:t>
      </w:r>
      <w:r w:rsidR="00163C49">
        <w:rPr>
          <w:rFonts w:ascii="Times New Roman" w:eastAsia="Batang" w:hAnsi="Times New Roman" w:cs="Times New Roman"/>
          <w:sz w:val="24"/>
          <w:szCs w:val="24"/>
        </w:rPr>
        <w:t xml:space="preserve"> </w:t>
      </w:r>
      <w:r w:rsidRPr="008C715D">
        <w:rPr>
          <w:rFonts w:ascii="Times New Roman" w:eastAsia="Batang" w:hAnsi="Times New Roman" w:cs="Times New Roman"/>
          <w:sz w:val="24"/>
          <w:szCs w:val="24"/>
        </w:rPr>
        <w:t>de 23 de Junho | D.R. n.º119 Série II. (Princípio da plena concorrência).</w:t>
      </w:r>
    </w:p>
    <w:p w:rsidR="00750A9F" w:rsidRDefault="00750A9F" w:rsidP="00750A9F">
      <w:pPr>
        <w:spacing w:line="360" w:lineRule="auto"/>
        <w:rPr>
          <w:rFonts w:ascii="Batang" w:eastAsia="Batang" w:hAnsi="Batang"/>
          <w:b/>
          <w:sz w:val="24"/>
          <w:szCs w:val="24"/>
        </w:rPr>
      </w:pPr>
    </w:p>
    <w:p w:rsidR="00750A9F" w:rsidRPr="008C715D" w:rsidRDefault="00750A9F" w:rsidP="00750A9F">
      <w:pPr>
        <w:spacing w:line="360" w:lineRule="auto"/>
        <w:rPr>
          <w:rFonts w:ascii="Times New Roman" w:hAnsi="Times New Roman" w:cs="Times New Roman"/>
          <w:sz w:val="24"/>
          <w:szCs w:val="24"/>
        </w:rPr>
      </w:pPr>
      <w:r w:rsidRPr="008C715D">
        <w:rPr>
          <w:rFonts w:ascii="Times New Roman" w:eastAsia="Batang" w:hAnsi="Times New Roman" w:cs="Times New Roman"/>
          <w:b/>
          <w:sz w:val="24"/>
          <w:szCs w:val="24"/>
        </w:rPr>
        <w:t>FONTES ONLINE</w:t>
      </w:r>
    </w:p>
    <w:p w:rsidR="00750A9F" w:rsidRPr="008C715D" w:rsidRDefault="00750A9F" w:rsidP="00750A9F">
      <w:pPr>
        <w:pStyle w:val="PargrafodaLista"/>
        <w:numPr>
          <w:ilvl w:val="0"/>
          <w:numId w:val="19"/>
        </w:numPr>
        <w:spacing w:before="0" w:after="200" w:line="360" w:lineRule="auto"/>
        <w:rPr>
          <w:rFonts w:ascii="Times New Roman" w:eastAsia="Batang" w:hAnsi="Times New Roman" w:cs="Times New Roman"/>
          <w:sz w:val="24"/>
          <w:szCs w:val="24"/>
          <w:lang w:val="en-US"/>
        </w:rPr>
      </w:pPr>
      <w:r w:rsidRPr="008C715D">
        <w:rPr>
          <w:rFonts w:ascii="Times New Roman" w:eastAsia="Batang" w:hAnsi="Times New Roman" w:cs="Times New Roman"/>
          <w:sz w:val="24"/>
          <w:szCs w:val="24"/>
        </w:rPr>
        <w:t xml:space="preserve">Artigos CALDEIRA, JOÃO, CMS Law- Tax, Cash Pooling, CMS, Tax Law, página 48 (julho 2013). </w:t>
      </w:r>
      <w:hyperlink r:id="rId30" w:history="1">
        <w:r w:rsidRPr="008C715D">
          <w:rPr>
            <w:rStyle w:val="Hiperligao"/>
            <w:rFonts w:ascii="Times New Roman" w:eastAsia="Batang" w:hAnsi="Times New Roman"/>
            <w:lang w:val="en-US"/>
          </w:rPr>
          <w:t>http://www.cmslegal.com/Hubbard.FileSystem/files/Publication/ef1590ac-e87e-47baab6f-008892982b4e/Presentation/PublicationAttachment/1767900b-a58c-4a14-9927- 0260991bb69f/Cash-Pooling-2013-July.pdf</w:t>
        </w:r>
      </w:hyperlink>
    </w:p>
    <w:p w:rsidR="00750A9F" w:rsidRPr="008C715D" w:rsidRDefault="00750A9F" w:rsidP="00750A9F">
      <w:pPr>
        <w:pStyle w:val="PargrafodaLista"/>
        <w:numPr>
          <w:ilvl w:val="0"/>
          <w:numId w:val="19"/>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lang w:val="en-US"/>
        </w:rPr>
        <w:t>GARCIA, NUNO OLIVEIRA e PEREIRA, ANDREIA GABRIEL, International Cash Pooling: Cross-border Management Syst</w:t>
      </w:r>
      <w:r w:rsidR="00661DDC">
        <w:rPr>
          <w:rFonts w:ascii="Times New Roman" w:eastAsia="Batang" w:hAnsi="Times New Roman" w:cs="Times New Roman"/>
          <w:sz w:val="24"/>
          <w:szCs w:val="24"/>
          <w:lang w:val="en-US"/>
        </w:rPr>
        <w:t>ems and Intra-group Financing (J</w:t>
      </w:r>
      <w:r w:rsidRPr="008C715D">
        <w:rPr>
          <w:rFonts w:ascii="Times New Roman" w:eastAsia="Batang" w:hAnsi="Times New Roman" w:cs="Times New Roman"/>
          <w:sz w:val="24"/>
          <w:szCs w:val="24"/>
          <w:lang w:val="en-US"/>
        </w:rPr>
        <w:t xml:space="preserve">unho de 2011) páginas 269 – 274. </w:t>
      </w:r>
      <w:hyperlink r:id="rId31" w:history="1">
        <w:r w:rsidRPr="008C715D">
          <w:rPr>
            <w:rStyle w:val="Hiperligao"/>
            <w:rFonts w:ascii="Times New Roman" w:eastAsia="Batang" w:hAnsi="Times New Roman"/>
          </w:rPr>
          <w:t>http://www.mlgts.pt/pub_search.php?filter_lawyer=190&amp;offset=8</w:t>
        </w:r>
      </w:hyperlink>
    </w:p>
    <w:p w:rsidR="00750A9F" w:rsidRPr="008C715D" w:rsidRDefault="00750A9F" w:rsidP="00750A9F">
      <w:pPr>
        <w:pStyle w:val="PargrafodaLista"/>
        <w:numPr>
          <w:ilvl w:val="0"/>
          <w:numId w:val="19"/>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 xml:space="preserve"> NUNES, VERA, O sistema de “Cash Pooling”, Análise da CTOS no Jornal de Negócios (novembro 2009). </w:t>
      </w:r>
      <w:hyperlink r:id="rId32" w:history="1">
        <w:r w:rsidRPr="008C715D">
          <w:rPr>
            <w:rStyle w:val="Hiperligao"/>
            <w:rFonts w:ascii="Times New Roman" w:eastAsia="Batang" w:hAnsi="Times New Roman"/>
          </w:rPr>
          <w:t>http://www.otoc.pt/fotos/editor2/JornalNegocios16Nov.pdf</w:t>
        </w:r>
      </w:hyperlink>
    </w:p>
    <w:p w:rsidR="00750A9F" w:rsidRPr="008C715D" w:rsidRDefault="00750A9F" w:rsidP="00750A9F">
      <w:pPr>
        <w:pStyle w:val="PargrafodaLista"/>
        <w:numPr>
          <w:ilvl w:val="0"/>
          <w:numId w:val="19"/>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 xml:space="preserve">SANTOS, FILIPA FONSECA, Estruturas de “cash pooling”, uma forma alternativa de valorizar recursos, Artigo da Sociedade de Advogados Miranda Correia Amendoeira &amp; Associados (2010). </w:t>
      </w:r>
      <w:hyperlink r:id="rId33" w:history="1">
        <w:r w:rsidRPr="008C715D">
          <w:rPr>
            <w:rStyle w:val="Hiperligao"/>
            <w:rFonts w:ascii="Times New Roman" w:eastAsia="Batang" w:hAnsi="Times New Roman"/>
          </w:rPr>
          <w:t>http://www.mirandalawfirm.com/uploadedfiles/31/15/0001531.pdf</w:t>
        </w:r>
      </w:hyperlink>
      <w:r w:rsidRPr="008C715D">
        <w:rPr>
          <w:rFonts w:ascii="Times New Roman" w:eastAsia="Batang" w:hAnsi="Times New Roman" w:cs="Times New Roman"/>
          <w:sz w:val="24"/>
          <w:szCs w:val="24"/>
        </w:rPr>
        <w:t>;</w:t>
      </w:r>
      <w:r w:rsidRPr="004E2E4B">
        <w:rPr>
          <w:rFonts w:ascii="Batang" w:eastAsia="Batang" w:hAnsi="Batang"/>
          <w:sz w:val="24"/>
          <w:szCs w:val="24"/>
        </w:rPr>
        <w:t xml:space="preserve"> </w:t>
      </w:r>
      <w:hyperlink r:id="rId34" w:history="1">
        <w:r w:rsidRPr="008C715D">
          <w:rPr>
            <w:rStyle w:val="Hiperligao"/>
            <w:rFonts w:ascii="Times New Roman" w:eastAsia="Batang" w:hAnsi="Times New Roman"/>
          </w:rPr>
          <w:t>http://mailings.vidaeconomica.pt/files/newsletters/2010-01/geve/29/index2.html</w:t>
        </w:r>
      </w:hyperlink>
    </w:p>
    <w:p w:rsidR="00750A9F" w:rsidRPr="008C715D" w:rsidRDefault="00750A9F" w:rsidP="00750A9F">
      <w:pPr>
        <w:pStyle w:val="PargrafodaLista"/>
        <w:numPr>
          <w:ilvl w:val="0"/>
          <w:numId w:val="19"/>
        </w:numPr>
        <w:spacing w:before="0" w:after="200" w:line="360" w:lineRule="auto"/>
        <w:rPr>
          <w:rFonts w:ascii="Times New Roman" w:eastAsia="Batang" w:hAnsi="Times New Roman" w:cs="Times New Roman"/>
          <w:sz w:val="24"/>
          <w:szCs w:val="24"/>
          <w:lang w:val="pt-BR"/>
        </w:rPr>
      </w:pPr>
      <w:r w:rsidRPr="008C715D">
        <w:rPr>
          <w:rFonts w:ascii="Times New Roman" w:eastAsia="Batang" w:hAnsi="Times New Roman" w:cs="Times New Roman"/>
          <w:sz w:val="24"/>
          <w:szCs w:val="24"/>
        </w:rPr>
        <w:t>SOCIEDADE DE ADVOGADOS, ROGÉRIO FERNANDES FERREIRA &amp; ASSOCIADOS, Jurisprudência Fiscal Arbitral (1.º Trimestre de 2014), Tax &amp; Business, página 9 -12</w:t>
      </w:r>
    </w:p>
    <w:p w:rsidR="00750A9F" w:rsidRDefault="00FB77A7" w:rsidP="00750A9F">
      <w:pPr>
        <w:pStyle w:val="PargrafodaLista"/>
        <w:spacing w:line="360" w:lineRule="auto"/>
        <w:rPr>
          <w:rStyle w:val="Hiperligao"/>
          <w:rFonts w:ascii="Times New Roman" w:eastAsia="Batang" w:hAnsi="Times New Roman" w:cs="Times New Roman"/>
          <w:sz w:val="24"/>
          <w:szCs w:val="24"/>
        </w:rPr>
      </w:pPr>
      <w:hyperlink r:id="rId35" w:history="1">
        <w:r w:rsidR="00750A9F" w:rsidRPr="008C715D">
          <w:rPr>
            <w:rStyle w:val="Hiperligao"/>
            <w:rFonts w:ascii="Times New Roman" w:eastAsia="Batang" w:hAnsi="Times New Roman"/>
          </w:rPr>
          <w:t>http://www.rffadvogados.com/xms/files/KNOW_HOW/Newsletters/Jurisprudencia_fisc al_arbitral_1oTrimestre_de_2014.pdf</w:t>
        </w:r>
      </w:hyperlink>
      <w:r w:rsidR="00661DDC">
        <w:rPr>
          <w:rStyle w:val="Hiperligao"/>
          <w:rFonts w:ascii="Times New Roman" w:eastAsia="Batang" w:hAnsi="Times New Roman" w:cs="Times New Roman"/>
          <w:sz w:val="24"/>
          <w:szCs w:val="24"/>
        </w:rPr>
        <w:t>.</w:t>
      </w:r>
    </w:p>
    <w:p w:rsidR="00661DDC" w:rsidRPr="00661DDC" w:rsidRDefault="00FB77A7" w:rsidP="00661DDC">
      <w:pPr>
        <w:pStyle w:val="PargrafodaLista"/>
        <w:numPr>
          <w:ilvl w:val="0"/>
          <w:numId w:val="19"/>
        </w:numPr>
        <w:spacing w:line="360" w:lineRule="auto"/>
        <w:rPr>
          <w:rFonts w:ascii="Times New Roman" w:eastAsia="Batang" w:hAnsi="Times New Roman" w:cs="Times New Roman"/>
          <w:sz w:val="24"/>
          <w:szCs w:val="24"/>
          <w:lang w:val="pt-BR"/>
        </w:rPr>
      </w:pPr>
      <w:hyperlink r:id="rId36" w:history="1">
        <w:r w:rsidR="00661DDC" w:rsidRPr="00E903E6">
          <w:rPr>
            <w:rStyle w:val="Hiperligao"/>
            <w:rFonts w:asciiTheme="majorHAnsi" w:hAnsiTheme="majorHAnsi"/>
          </w:rPr>
          <w:t>https://www.jornaldenegocios.pt/opiniao/detalhe/financiamento_intra_grupo_um_tema_para_pensar</w:t>
        </w:r>
      </w:hyperlink>
      <w:r w:rsidR="00661DDC">
        <w:rPr>
          <w:rFonts w:asciiTheme="majorHAnsi" w:hAnsiTheme="majorHAnsi"/>
        </w:rPr>
        <w:t>.</w:t>
      </w:r>
    </w:p>
    <w:p w:rsidR="00661DDC" w:rsidRPr="00661DDC" w:rsidRDefault="00FB77A7" w:rsidP="00661DDC">
      <w:pPr>
        <w:pStyle w:val="PargrafodaLista"/>
        <w:numPr>
          <w:ilvl w:val="0"/>
          <w:numId w:val="19"/>
        </w:numPr>
        <w:spacing w:line="360" w:lineRule="auto"/>
        <w:rPr>
          <w:rFonts w:ascii="Times New Roman" w:eastAsia="Batang" w:hAnsi="Times New Roman" w:cs="Times New Roman"/>
          <w:sz w:val="24"/>
          <w:szCs w:val="24"/>
          <w:lang w:val="pt-BR"/>
        </w:rPr>
      </w:pPr>
      <w:hyperlink r:id="rId37" w:history="1">
        <w:r w:rsidR="00661DDC" w:rsidRPr="00DA5159">
          <w:rPr>
            <w:rStyle w:val="Hiperligao"/>
            <w:rFonts w:asciiTheme="majorHAnsi" w:hAnsiTheme="majorHAnsi"/>
          </w:rPr>
          <w:t>http://expansao.co.ao/artigo/107392/para-onde-vai-a-economia-angolana-?seccao=7</w:t>
        </w:r>
      </w:hyperlink>
      <w:r w:rsidR="00661DDC">
        <w:rPr>
          <w:rStyle w:val="Hiperligao"/>
          <w:rFonts w:asciiTheme="majorHAnsi" w:hAnsiTheme="majorHAnsi"/>
        </w:rPr>
        <w:t xml:space="preserve">. </w:t>
      </w:r>
    </w:p>
    <w:p w:rsidR="00750A9F" w:rsidRPr="00750A9F" w:rsidRDefault="00750A9F" w:rsidP="005609B7">
      <w:pPr>
        <w:spacing w:line="360" w:lineRule="auto"/>
        <w:rPr>
          <w:rFonts w:asciiTheme="majorHAnsi" w:hAnsiTheme="majorHAnsi"/>
          <w:b/>
          <w:sz w:val="24"/>
          <w:szCs w:val="24"/>
          <w:lang w:val="pt-BR"/>
        </w:rPr>
      </w:pPr>
    </w:p>
    <w:sectPr w:rsidR="00750A9F" w:rsidRPr="00750A9F" w:rsidSect="00A33C8F">
      <w:pgSz w:w="11906" w:h="16838"/>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7A7" w:rsidRDefault="00FB77A7" w:rsidP="00C2335E">
      <w:pPr>
        <w:spacing w:before="0" w:after="0" w:line="240" w:lineRule="auto"/>
      </w:pPr>
      <w:r>
        <w:separator/>
      </w:r>
    </w:p>
  </w:endnote>
  <w:endnote w:type="continuationSeparator" w:id="0">
    <w:p w:rsidR="00FB77A7" w:rsidRDefault="00FB77A7" w:rsidP="00C2335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20002A87" w:usb1="00000000" w:usb2="00000000" w:usb3="00000000" w:csb0="000001FF" w:csb1="00000000"/>
  </w:font>
  <w:font w:name="Malgun Gothic">
    <w:panose1 w:val="020B0503020000020004"/>
    <w:charset w:val="81"/>
    <w:family w:val="swiss"/>
    <w:pitch w:val="variable"/>
    <w:sig w:usb0="9000002F" w:usb1="29D77CFB" w:usb2="00000012" w:usb3="00000000" w:csb0="00080001" w:csb1="00000000"/>
  </w:font>
  <w:font w:name="Batang">
    <w:altName w:val="Arial Unicode MS"/>
    <w:panose1 w:val="02030600000101010101"/>
    <w:charset w:val="81"/>
    <w:family w:val="auto"/>
    <w:notTrueType/>
    <w:pitch w:val="fixed"/>
    <w:sig w:usb0="00000000"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3260162"/>
      <w:docPartObj>
        <w:docPartGallery w:val="Page Numbers (Bottom of Page)"/>
        <w:docPartUnique/>
      </w:docPartObj>
    </w:sdtPr>
    <w:sdtEndPr/>
    <w:sdtContent>
      <w:p w:rsidR="00380199" w:rsidRDefault="00380199">
        <w:pPr>
          <w:pStyle w:val="Rodap"/>
          <w:jc w:val="center"/>
        </w:pPr>
        <w:r>
          <w:fldChar w:fldCharType="begin"/>
        </w:r>
        <w:r>
          <w:instrText>PAGE   \* MERGEFORMAT</w:instrText>
        </w:r>
        <w:r>
          <w:fldChar w:fldCharType="separate"/>
        </w:r>
        <w:r w:rsidR="00155C49" w:rsidRPr="00155C49">
          <w:rPr>
            <w:noProof/>
            <w:lang w:val="pt-BR"/>
          </w:rPr>
          <w:t>i</w:t>
        </w:r>
        <w:r>
          <w:fldChar w:fldCharType="end"/>
        </w:r>
      </w:p>
    </w:sdtContent>
  </w:sdt>
  <w:p w:rsidR="00380199" w:rsidRDefault="00380199">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7A7" w:rsidRDefault="00FB77A7" w:rsidP="00C2335E">
      <w:pPr>
        <w:spacing w:before="0" w:after="0" w:line="240" w:lineRule="auto"/>
      </w:pPr>
      <w:r>
        <w:separator/>
      </w:r>
    </w:p>
  </w:footnote>
  <w:footnote w:type="continuationSeparator" w:id="0">
    <w:p w:rsidR="00FB77A7" w:rsidRDefault="00FB77A7" w:rsidP="00C2335E">
      <w:pPr>
        <w:spacing w:before="0" w:after="0" w:line="240" w:lineRule="auto"/>
      </w:pPr>
      <w:r>
        <w:continuationSeparator/>
      </w:r>
    </w:p>
  </w:footnote>
  <w:footnote w:id="1">
    <w:p w:rsidR="00380199" w:rsidRDefault="00380199" w:rsidP="00CD1D06">
      <w:pPr>
        <w:pStyle w:val="Textodenotaderodap"/>
      </w:pPr>
      <w:r>
        <w:rPr>
          <w:rStyle w:val="Refdenotaderodap"/>
        </w:rPr>
        <w:footnoteRef/>
      </w:r>
      <w:hyperlink r:id="rId1" w:history="1">
        <w:r w:rsidRPr="00E903E6">
          <w:rPr>
            <w:rStyle w:val="Hiperligao"/>
            <w:rFonts w:asciiTheme="majorHAnsi" w:hAnsiTheme="majorHAnsi"/>
          </w:rPr>
          <w:t>https://www.jornaldenegocios.pt/opiniao/detalhe/financiamento_intra_grupo_um_tema_para_pensar</w:t>
        </w:r>
      </w:hyperlink>
      <w:r>
        <w:rPr>
          <w:rFonts w:asciiTheme="majorHAnsi" w:hAnsiTheme="majorHAnsi"/>
        </w:rPr>
        <w:t>.</w:t>
      </w:r>
      <w:r>
        <w:t xml:space="preserve"> </w:t>
      </w:r>
    </w:p>
  </w:footnote>
  <w:footnote w:id="2">
    <w:p w:rsidR="00380199" w:rsidRDefault="00380199" w:rsidP="00CD1D06">
      <w:pPr>
        <w:pStyle w:val="Textodenotaderodap"/>
      </w:pPr>
      <w:r>
        <w:rPr>
          <w:rStyle w:val="Refdenotaderodap"/>
        </w:rPr>
        <w:footnoteRef/>
      </w:r>
      <w:r>
        <w:t xml:space="preserve"> </w:t>
      </w:r>
      <w:r w:rsidRPr="00CD1D06">
        <w:rPr>
          <w:rFonts w:asciiTheme="majorHAnsi" w:hAnsiTheme="majorHAnsi"/>
        </w:rPr>
        <w:t>OLIVEIRA, Ana Perestrelo, Manual de grupos de sociedades, Almedina, 2016, p. 173.</w:t>
      </w:r>
    </w:p>
  </w:footnote>
  <w:footnote w:id="3">
    <w:p w:rsidR="00380199" w:rsidRPr="00DE2F5E" w:rsidRDefault="00380199" w:rsidP="00DE2F5E">
      <w:pPr>
        <w:pStyle w:val="Textodenotaderodap"/>
        <w:jc w:val="left"/>
        <w:rPr>
          <w:rFonts w:asciiTheme="majorHAnsi" w:hAnsiTheme="majorHAnsi"/>
        </w:rPr>
      </w:pPr>
      <w:r w:rsidRPr="00DE2F5E">
        <w:rPr>
          <w:rStyle w:val="Refdenotaderodap"/>
          <w:rFonts w:asciiTheme="majorHAnsi" w:hAnsiTheme="majorHAnsi"/>
        </w:rPr>
        <w:footnoteRef/>
      </w:r>
      <w:r>
        <w:t xml:space="preserve">Cf. </w:t>
      </w:r>
      <w:hyperlink r:id="rId2" w:history="1">
        <w:r w:rsidRPr="00DE2F5E">
          <w:rPr>
            <w:rStyle w:val="Hiperligao"/>
            <w:rFonts w:asciiTheme="majorHAnsi" w:hAnsiTheme="majorHAnsi"/>
          </w:rPr>
          <w:t>www.expansao.co.ao/artigo/102354/angolanos-investiram-50-vezes-mais-la-fora-do-que-estrangeiros-em-angola?seccao=exp_merc</w:t>
        </w:r>
      </w:hyperlink>
      <w:r w:rsidRPr="00DE2F5E">
        <w:rPr>
          <w:rFonts w:asciiTheme="majorHAnsi" w:hAnsiTheme="majorHAnsi"/>
        </w:rPr>
        <w:t xml:space="preserve"> </w:t>
      </w:r>
    </w:p>
  </w:footnote>
  <w:footnote w:id="4">
    <w:p w:rsidR="00380199" w:rsidRPr="00DE2F5E" w:rsidRDefault="00380199" w:rsidP="00DE2F5E">
      <w:pPr>
        <w:pStyle w:val="Textodenotaderodap"/>
        <w:rPr>
          <w:rFonts w:asciiTheme="majorHAnsi" w:hAnsiTheme="majorHAnsi"/>
        </w:rPr>
      </w:pPr>
      <w:r w:rsidRPr="00DE2F5E">
        <w:rPr>
          <w:rStyle w:val="Refdenotaderodap"/>
          <w:rFonts w:asciiTheme="majorHAnsi" w:hAnsiTheme="majorHAnsi"/>
        </w:rPr>
        <w:footnoteRef/>
      </w:r>
      <w:r>
        <w:rPr>
          <w:rFonts w:asciiTheme="majorHAnsi" w:hAnsiTheme="majorHAnsi"/>
        </w:rPr>
        <w:t xml:space="preserve">Cf. </w:t>
      </w:r>
      <w:r w:rsidRPr="00DE2F5E">
        <w:rPr>
          <w:rFonts w:asciiTheme="majorHAnsi" w:hAnsiTheme="majorHAnsi"/>
        </w:rPr>
        <w:t xml:space="preserve"> </w:t>
      </w:r>
      <w:hyperlink r:id="rId3" w:history="1">
        <w:r w:rsidRPr="00DA5159">
          <w:rPr>
            <w:rStyle w:val="Hiperligao"/>
            <w:rFonts w:asciiTheme="majorHAnsi" w:hAnsiTheme="majorHAnsi"/>
          </w:rPr>
          <w:t>http://expansao.co.ao/artigo/107392/para-onde-vai-a-economia-angolana-?seccao=7</w:t>
        </w:r>
      </w:hyperlink>
      <w:r>
        <w:rPr>
          <w:rFonts w:asciiTheme="majorHAnsi" w:hAnsiTheme="majorHAnsi"/>
        </w:rPr>
        <w:t xml:space="preserve"> </w:t>
      </w:r>
    </w:p>
  </w:footnote>
  <w:footnote w:id="5">
    <w:p w:rsidR="00380199" w:rsidRPr="00C2335E" w:rsidRDefault="00380199" w:rsidP="00C2335E">
      <w:pPr>
        <w:pStyle w:val="Textodenotaderodap"/>
        <w:rPr>
          <w:rFonts w:asciiTheme="majorHAnsi" w:hAnsiTheme="majorHAnsi" w:cs="Times New Roman"/>
        </w:rPr>
      </w:pPr>
      <w:r w:rsidRPr="00D16AC7">
        <w:rPr>
          <w:rStyle w:val="Refdenotaderodap"/>
          <w:rFonts w:ascii="Times New Roman" w:hAnsi="Times New Roman" w:cs="Times New Roman"/>
        </w:rPr>
        <w:footnoteRef/>
      </w:r>
      <w:r w:rsidRPr="00C2335E">
        <w:rPr>
          <w:rFonts w:asciiTheme="majorHAnsi" w:hAnsiTheme="majorHAnsi" w:cs="Times New Roman"/>
        </w:rPr>
        <w:t xml:space="preserve">DIAS, M.M.R, </w:t>
      </w:r>
      <w:r w:rsidRPr="00775376">
        <w:rPr>
          <w:rFonts w:asciiTheme="majorHAnsi" w:hAnsiTheme="majorHAnsi" w:cs="Times New Roman"/>
          <w:i/>
        </w:rPr>
        <w:t>A rentabilidade das indústrias nacionais de cortiça na óptica da Gestão de tesouraria</w:t>
      </w:r>
      <w:r w:rsidRPr="00C2335E">
        <w:rPr>
          <w:rFonts w:asciiTheme="majorHAnsi" w:hAnsiTheme="majorHAnsi" w:cs="Times New Roman"/>
        </w:rPr>
        <w:t xml:space="preserve">, Tese de Mestrado, Instituto Superior de Contabilidade e Administração do Porto, 2013, p. 5. </w:t>
      </w:r>
    </w:p>
  </w:footnote>
  <w:footnote w:id="6">
    <w:p w:rsidR="00380199" w:rsidRPr="00C2335E" w:rsidRDefault="00380199" w:rsidP="00C2335E">
      <w:pPr>
        <w:pStyle w:val="Textodenotaderodap"/>
        <w:rPr>
          <w:rFonts w:asciiTheme="majorHAnsi" w:hAnsiTheme="majorHAnsi"/>
        </w:rPr>
      </w:pPr>
      <w:r w:rsidRPr="00C2335E">
        <w:rPr>
          <w:rStyle w:val="Refdenotaderodap"/>
          <w:rFonts w:asciiTheme="majorHAnsi" w:hAnsiTheme="majorHAnsi"/>
        </w:rPr>
        <w:footnoteRef/>
      </w:r>
      <w:r w:rsidRPr="00C2335E">
        <w:rPr>
          <w:rFonts w:asciiTheme="majorHAnsi" w:hAnsiTheme="majorHAnsi" w:cs="Times New Roman"/>
        </w:rPr>
        <w:t>DA LUZ NEVES, J.C, Importância da Gestão de Créditos na gestão da Tesouraria das Empresas – Estudo caso: Gestão de Crédito e Tesouraria da Electra, SA, Trabalho Académico, Instituto Superior de Ciências Económicas e Empresariais, 2011.</w:t>
      </w:r>
    </w:p>
  </w:footnote>
  <w:footnote w:id="7">
    <w:p w:rsidR="00380199" w:rsidRPr="00E05479" w:rsidRDefault="00380199">
      <w:pPr>
        <w:pStyle w:val="Textodenotaderodap"/>
        <w:rPr>
          <w:lang w:val="en-US"/>
        </w:rPr>
      </w:pPr>
      <w:r>
        <w:rPr>
          <w:rStyle w:val="Refdenotaderodap"/>
        </w:rPr>
        <w:footnoteRef/>
      </w:r>
      <w:r w:rsidRPr="001A74DD">
        <w:rPr>
          <w:rFonts w:asciiTheme="majorHAnsi" w:hAnsiTheme="majorHAnsi"/>
          <w:lang w:val="en-US"/>
        </w:rPr>
        <w:t xml:space="preserve">POLAK, P., </w:t>
      </w:r>
      <w:r w:rsidRPr="00A67BB9">
        <w:rPr>
          <w:rFonts w:asciiTheme="majorHAnsi" w:hAnsiTheme="majorHAnsi"/>
          <w:i/>
          <w:lang w:val="en-US"/>
        </w:rPr>
        <w:t>Cash and working capital management in the Czech Republic</w:t>
      </w:r>
      <w:r w:rsidRPr="001A74DD">
        <w:rPr>
          <w:rFonts w:asciiTheme="majorHAnsi" w:hAnsiTheme="majorHAnsi"/>
          <w:lang w:val="en-US"/>
        </w:rPr>
        <w:t>, Investment Management and Financial innovations, vol. 4, nº1,</w:t>
      </w:r>
      <w:r>
        <w:rPr>
          <w:rFonts w:asciiTheme="majorHAnsi" w:hAnsiTheme="majorHAnsi"/>
          <w:lang w:val="en-US"/>
        </w:rPr>
        <w:t xml:space="preserve"> 2007, </w:t>
      </w:r>
      <w:r w:rsidRPr="001A74DD">
        <w:rPr>
          <w:rFonts w:asciiTheme="majorHAnsi" w:hAnsiTheme="majorHAnsi"/>
          <w:lang w:val="en-US"/>
        </w:rPr>
        <w:t xml:space="preserve"> p. 17-30.</w:t>
      </w:r>
    </w:p>
    <w:p w:rsidR="00380199" w:rsidRPr="00E05479" w:rsidRDefault="00380199">
      <w:pPr>
        <w:pStyle w:val="Textodenotaderodap"/>
        <w:rPr>
          <w:lang w:val="en-US"/>
        </w:rPr>
      </w:pPr>
    </w:p>
  </w:footnote>
  <w:footnote w:id="8">
    <w:p w:rsidR="00380199" w:rsidRPr="001A74DD" w:rsidRDefault="00380199">
      <w:pPr>
        <w:pStyle w:val="Textodenotaderodap"/>
        <w:rPr>
          <w:rFonts w:asciiTheme="majorHAnsi" w:hAnsiTheme="majorHAnsi"/>
        </w:rPr>
      </w:pPr>
      <w:r>
        <w:rPr>
          <w:rStyle w:val="Refdenotaderodap"/>
        </w:rPr>
        <w:footnoteRef/>
      </w:r>
      <w:r w:rsidRPr="001A74DD">
        <w:rPr>
          <w:rFonts w:asciiTheme="majorHAnsi" w:hAnsiTheme="majorHAnsi"/>
        </w:rPr>
        <w:t xml:space="preserve">FLUENTES, Mónica, el contrato de </w:t>
      </w:r>
      <w:r w:rsidRPr="001A74DD">
        <w:rPr>
          <w:rFonts w:asciiTheme="majorHAnsi" w:hAnsiTheme="majorHAnsi"/>
          <w:i/>
        </w:rPr>
        <w:t>cash pooling</w:t>
      </w:r>
      <w:r w:rsidRPr="001A74DD">
        <w:rPr>
          <w:rFonts w:asciiTheme="majorHAnsi" w:hAnsiTheme="majorHAnsi"/>
        </w:rPr>
        <w:t>, Revista de Derecho Mercantil 291, Enero – Marzo 2014, p. 234</w:t>
      </w:r>
    </w:p>
  </w:footnote>
  <w:footnote w:id="9">
    <w:p w:rsidR="00380199" w:rsidRDefault="00380199" w:rsidP="00C2335E">
      <w:pPr>
        <w:pStyle w:val="Textodenotaderodap"/>
      </w:pPr>
      <w:r>
        <w:rPr>
          <w:rStyle w:val="Refdenotaderodap"/>
        </w:rPr>
        <w:footnoteRef/>
      </w:r>
      <w:r>
        <w:rPr>
          <w:rFonts w:ascii="Times New Roman" w:hAnsi="Times New Roman" w:cs="Times New Roman"/>
          <w:lang w:val="pt-BR"/>
        </w:rPr>
        <w:t xml:space="preserve">NUNES, Vera, </w:t>
      </w:r>
      <w:r>
        <w:rPr>
          <w:rFonts w:ascii="Times New Roman" w:hAnsi="Times New Roman" w:cs="Times New Roman"/>
          <w:i/>
          <w:lang w:val="pt-BR"/>
        </w:rPr>
        <w:t>o sistema de Cash pooling</w:t>
      </w:r>
      <w:r>
        <w:rPr>
          <w:rFonts w:ascii="Times New Roman" w:hAnsi="Times New Roman" w:cs="Times New Roman"/>
          <w:lang w:val="pt-BR"/>
        </w:rPr>
        <w:t>, Análise de CTOC, Jornal de Negócios, 2009</w:t>
      </w:r>
    </w:p>
  </w:footnote>
  <w:footnote w:id="10">
    <w:p w:rsidR="00380199" w:rsidRDefault="00380199">
      <w:pPr>
        <w:pStyle w:val="Textodenotaderodap"/>
      </w:pPr>
      <w:r>
        <w:rPr>
          <w:rStyle w:val="Refdenotaderodap"/>
        </w:rPr>
        <w:footnoteRef/>
      </w:r>
      <w:r>
        <w:rPr>
          <w:rFonts w:ascii="Times New Roman" w:hAnsi="Times New Roman" w:cs="Times New Roman"/>
          <w:lang w:val="pt-BR"/>
        </w:rPr>
        <w:t xml:space="preserve">ORTEGA, Verdugo, F Javier, </w:t>
      </w:r>
      <w:r>
        <w:rPr>
          <w:rFonts w:ascii="Times New Roman" w:hAnsi="Times New Roman" w:cs="Times New Roman"/>
          <w:i/>
          <w:lang w:val="pt-BR"/>
        </w:rPr>
        <w:t>Modelo para implantar uma tesouraria centralizada em um grupo empresaria</w:t>
      </w:r>
      <w:r>
        <w:rPr>
          <w:rFonts w:ascii="Times New Roman" w:hAnsi="Times New Roman" w:cs="Times New Roman"/>
          <w:lang w:val="pt-BR"/>
        </w:rPr>
        <w:t>, Estratégia financeira, nº 219, Julio-Agosto, 2005, pág 26.</w:t>
      </w:r>
    </w:p>
  </w:footnote>
  <w:footnote w:id="11">
    <w:p w:rsidR="00380199" w:rsidRPr="00C2335E" w:rsidRDefault="00380199">
      <w:pPr>
        <w:pStyle w:val="Textodenotaderodap"/>
        <w:rPr>
          <w:rFonts w:asciiTheme="majorHAnsi" w:hAnsiTheme="majorHAnsi"/>
        </w:rPr>
      </w:pPr>
      <w:r>
        <w:rPr>
          <w:rStyle w:val="Refdenotaderodap"/>
        </w:rPr>
        <w:footnoteRef/>
      </w:r>
      <w:r w:rsidRPr="00C2335E">
        <w:rPr>
          <w:rFonts w:asciiTheme="majorHAnsi" w:hAnsiTheme="majorHAnsi"/>
        </w:rPr>
        <w:t>REBOUTA</w:t>
      </w:r>
      <w:r>
        <w:rPr>
          <w:rFonts w:asciiTheme="majorHAnsi" w:hAnsiTheme="majorHAnsi"/>
        </w:rPr>
        <w:t>, José Fernando Abreu; C</w:t>
      </w:r>
      <w:r w:rsidRPr="00C2335E">
        <w:rPr>
          <w:rFonts w:asciiTheme="majorHAnsi" w:hAnsiTheme="majorHAnsi"/>
        </w:rPr>
        <w:t>ontextualização fiscal da gestão centralizada de tesouraria (cash poo</w:t>
      </w:r>
      <w:r>
        <w:rPr>
          <w:rFonts w:asciiTheme="majorHAnsi" w:hAnsiTheme="majorHAnsi"/>
        </w:rPr>
        <w:t>ling) em ambiente internacional, 2005, p. 3.</w:t>
      </w:r>
    </w:p>
  </w:footnote>
  <w:footnote w:id="12">
    <w:p w:rsidR="00380199" w:rsidRDefault="00380199" w:rsidP="00C2335E">
      <w:pPr>
        <w:pStyle w:val="Textodenotaderodap"/>
        <w:jc w:val="left"/>
      </w:pPr>
      <w:r>
        <w:rPr>
          <w:rStyle w:val="Refdenotaderodap"/>
        </w:rPr>
        <w:footnoteRef/>
      </w:r>
      <w:r w:rsidRPr="00C2335E">
        <w:rPr>
          <w:rFonts w:asciiTheme="majorHAnsi" w:hAnsiTheme="majorHAnsi"/>
        </w:rPr>
        <w:t xml:space="preserve">OLIVEIRA, Ana Perestrelo, </w:t>
      </w:r>
      <w:r w:rsidRPr="00C2335E">
        <w:rPr>
          <w:rFonts w:asciiTheme="majorHAnsi" w:hAnsiTheme="majorHAnsi"/>
          <w:i/>
        </w:rPr>
        <w:t>Corporate finance</w:t>
      </w:r>
      <w:r w:rsidRPr="00C2335E">
        <w:rPr>
          <w:rFonts w:asciiTheme="majorHAnsi" w:hAnsiTheme="majorHAnsi"/>
        </w:rPr>
        <w:t>, Almedina, 2015, p. 278.</w:t>
      </w:r>
    </w:p>
  </w:footnote>
  <w:footnote w:id="13">
    <w:p w:rsidR="00380199" w:rsidRDefault="00380199">
      <w:pPr>
        <w:pStyle w:val="Textodenotaderodap"/>
      </w:pPr>
      <w:r>
        <w:rPr>
          <w:rStyle w:val="Refdenotaderodap"/>
        </w:rPr>
        <w:footnoteRef/>
      </w:r>
      <w:r w:rsidRPr="00264644">
        <w:rPr>
          <w:rFonts w:asciiTheme="majorHAnsi" w:hAnsiTheme="majorHAnsi"/>
        </w:rPr>
        <w:t>DE</w:t>
      </w:r>
      <w:r>
        <w:rPr>
          <w:rFonts w:asciiTheme="majorHAnsi" w:hAnsiTheme="majorHAnsi"/>
        </w:rPr>
        <w:t xml:space="preserve"> LA ESPADA, Maria Barriocanal, </w:t>
      </w:r>
      <w:r w:rsidRPr="00CD60D5">
        <w:rPr>
          <w:rFonts w:asciiTheme="majorHAnsi" w:hAnsiTheme="majorHAnsi"/>
          <w:i/>
        </w:rPr>
        <w:t>Cash pooling international: de la teoría a la práctica</w:t>
      </w:r>
      <w:r>
        <w:rPr>
          <w:rFonts w:asciiTheme="majorHAnsi" w:hAnsiTheme="majorHAnsi"/>
        </w:rPr>
        <w:t>, Estrategia F</w:t>
      </w:r>
      <w:r w:rsidRPr="00264644">
        <w:rPr>
          <w:rFonts w:asciiTheme="majorHAnsi" w:hAnsiTheme="majorHAnsi"/>
        </w:rPr>
        <w:t>inanceira, nº284, 2011, p. 46.</w:t>
      </w:r>
    </w:p>
  </w:footnote>
  <w:footnote w:id="14">
    <w:p w:rsidR="00380199" w:rsidRPr="00856192" w:rsidRDefault="00380199" w:rsidP="00856192">
      <w:pPr>
        <w:pStyle w:val="Textodenotaderodap"/>
        <w:rPr>
          <w:rFonts w:asciiTheme="majorHAnsi" w:hAnsiTheme="majorHAnsi"/>
        </w:rPr>
      </w:pPr>
      <w:r w:rsidRPr="00856192">
        <w:rPr>
          <w:rStyle w:val="Refdenotaderodap"/>
          <w:rFonts w:asciiTheme="majorHAnsi" w:hAnsiTheme="majorHAnsi"/>
        </w:rPr>
        <w:footnoteRef/>
      </w:r>
      <w:r w:rsidRPr="00856192">
        <w:rPr>
          <w:rFonts w:asciiTheme="majorHAnsi" w:hAnsiTheme="majorHAnsi"/>
        </w:rPr>
        <w:t xml:space="preserve"> Mais desenvolvimento Cf. </w:t>
      </w:r>
      <w:r w:rsidRPr="00856192">
        <w:rPr>
          <w:rFonts w:asciiTheme="majorHAnsi" w:hAnsiTheme="majorHAnsi" w:cs="Times New Roman"/>
          <w:lang w:val="pt-BR"/>
        </w:rPr>
        <w:t xml:space="preserve">ORTEGA, Verdugo, F Javier, </w:t>
      </w:r>
      <w:r w:rsidRPr="00856192">
        <w:rPr>
          <w:rFonts w:asciiTheme="majorHAnsi" w:hAnsiTheme="majorHAnsi" w:cs="Times New Roman"/>
          <w:i/>
          <w:lang w:val="pt-BR"/>
        </w:rPr>
        <w:t>Modelo para implantar uma tesouraria centralizada em um grupo empresaria</w:t>
      </w:r>
      <w:r w:rsidRPr="00856192">
        <w:rPr>
          <w:rFonts w:asciiTheme="majorHAnsi" w:hAnsiTheme="majorHAnsi" w:cs="Times New Roman"/>
          <w:lang w:val="pt-BR"/>
        </w:rPr>
        <w:t>, Estratégia financeira, nº 219, Julio-Agosto, 2005, p, 26.</w:t>
      </w:r>
    </w:p>
  </w:footnote>
  <w:footnote w:id="15">
    <w:p w:rsidR="00380199" w:rsidRPr="00C2335E" w:rsidRDefault="00380199" w:rsidP="00856192">
      <w:pPr>
        <w:pStyle w:val="Textodenotaderodap"/>
        <w:rPr>
          <w:rFonts w:asciiTheme="majorHAnsi" w:hAnsiTheme="majorHAnsi"/>
        </w:rPr>
      </w:pPr>
      <w:r>
        <w:rPr>
          <w:rStyle w:val="Refdenotaderodap"/>
        </w:rPr>
        <w:footnoteRef/>
      </w:r>
      <w:r w:rsidRPr="00C2335E">
        <w:rPr>
          <w:rFonts w:asciiTheme="majorHAnsi" w:hAnsiTheme="majorHAnsi"/>
        </w:rPr>
        <w:t>REBOUTA</w:t>
      </w:r>
      <w:r>
        <w:rPr>
          <w:rFonts w:asciiTheme="majorHAnsi" w:hAnsiTheme="majorHAnsi"/>
        </w:rPr>
        <w:t xml:space="preserve">, José Fernando Abreu; </w:t>
      </w:r>
      <w:r w:rsidRPr="00CD60D5">
        <w:rPr>
          <w:rFonts w:asciiTheme="majorHAnsi" w:hAnsiTheme="majorHAnsi"/>
          <w:i/>
        </w:rPr>
        <w:t>Contextualização fiscal da gestão centralizada de tesouraria (cash pooling) em ambiente internacional</w:t>
      </w:r>
      <w:r>
        <w:rPr>
          <w:rFonts w:asciiTheme="majorHAnsi" w:hAnsiTheme="majorHAnsi"/>
        </w:rPr>
        <w:t>, 2005, p. 7.</w:t>
      </w:r>
    </w:p>
    <w:p w:rsidR="00380199" w:rsidRDefault="00380199">
      <w:pPr>
        <w:pStyle w:val="Textodenotaderodap"/>
      </w:pPr>
    </w:p>
  </w:footnote>
  <w:footnote w:id="16">
    <w:p w:rsidR="00380199" w:rsidRDefault="00380199" w:rsidP="00B00D51">
      <w:pPr>
        <w:pStyle w:val="Textodenotaderodap"/>
      </w:pPr>
      <w:r>
        <w:rPr>
          <w:rStyle w:val="Refdenotaderodap"/>
        </w:rPr>
        <w:footnoteRef/>
      </w:r>
      <w:r w:rsidRPr="00A923C0">
        <w:rPr>
          <w:rFonts w:asciiTheme="majorHAnsi" w:hAnsiTheme="majorHAnsi"/>
        </w:rPr>
        <w:t xml:space="preserve">Mais desenvolvimentos Cf. </w:t>
      </w:r>
      <w:hyperlink r:id="rId4" w:history="1">
        <w:r w:rsidRPr="00A923C0">
          <w:rPr>
            <w:rStyle w:val="Hiperligao"/>
            <w:rFonts w:asciiTheme="majorHAnsi" w:hAnsiTheme="majorHAnsi"/>
          </w:rPr>
          <w:t>http://treasurytoday.com/2010/11and12/what-is-hybrid-cash-pooling</w:t>
        </w:r>
      </w:hyperlink>
    </w:p>
  </w:footnote>
  <w:footnote w:id="17">
    <w:p w:rsidR="00380199" w:rsidRPr="002B5EFA" w:rsidRDefault="00380199">
      <w:pPr>
        <w:pStyle w:val="Textodenotaderodap"/>
        <w:rPr>
          <w:lang w:val="en-US"/>
        </w:rPr>
      </w:pPr>
      <w:r>
        <w:rPr>
          <w:rStyle w:val="Refdenotaderodap"/>
        </w:rPr>
        <w:footnoteRef/>
      </w:r>
      <w:r w:rsidRPr="00CA4505">
        <w:rPr>
          <w:rFonts w:asciiTheme="majorHAnsi" w:hAnsiTheme="majorHAnsi"/>
          <w:lang w:val="en-US"/>
        </w:rPr>
        <w:t xml:space="preserve">JANSEN, Justus, </w:t>
      </w:r>
      <w:r w:rsidRPr="00CA4505">
        <w:rPr>
          <w:rFonts w:asciiTheme="majorHAnsi" w:hAnsiTheme="majorHAnsi"/>
          <w:i/>
          <w:lang w:val="en-US"/>
        </w:rPr>
        <w:t>International Cash pooling,</w:t>
      </w:r>
      <w:r>
        <w:rPr>
          <w:rFonts w:asciiTheme="majorHAnsi" w:hAnsiTheme="majorHAnsi"/>
          <w:lang w:val="en-US"/>
        </w:rPr>
        <w:t>Cross-border Cash Management Systems and intra-group financing, 2011, p. 3-4.</w:t>
      </w:r>
    </w:p>
  </w:footnote>
  <w:footnote w:id="18">
    <w:p w:rsidR="00380199" w:rsidRPr="002E64D8" w:rsidRDefault="00380199" w:rsidP="00B00D51">
      <w:pPr>
        <w:pStyle w:val="Textodenotaderodap"/>
        <w:rPr>
          <w:rFonts w:ascii="Times New Roman" w:hAnsi="Times New Roman" w:cs="Times New Roman"/>
          <w:lang w:val="pt-BR"/>
        </w:rPr>
      </w:pPr>
      <w:r w:rsidRPr="002E64D8">
        <w:rPr>
          <w:rStyle w:val="Refdenotaderodap"/>
          <w:rFonts w:ascii="Times New Roman" w:hAnsi="Times New Roman" w:cs="Times New Roman"/>
        </w:rPr>
        <w:footnoteRef/>
      </w:r>
      <w:r w:rsidRPr="00CF45D6">
        <w:rPr>
          <w:rFonts w:asciiTheme="majorHAnsi" w:hAnsiTheme="majorHAnsi" w:cs="Times New Roman"/>
          <w:lang w:val="pt-BR"/>
        </w:rPr>
        <w:t xml:space="preserve">Cf. OLIVEIRA, Ana Perestrelo, </w:t>
      </w:r>
      <w:r w:rsidRPr="00CF45D6">
        <w:rPr>
          <w:rFonts w:asciiTheme="majorHAnsi" w:hAnsiTheme="majorHAnsi" w:cs="Times New Roman"/>
          <w:i/>
          <w:lang w:val="pt-BR"/>
        </w:rPr>
        <w:t>Manual de Corporate Finance</w:t>
      </w:r>
      <w:r w:rsidRPr="00CF45D6">
        <w:rPr>
          <w:rFonts w:asciiTheme="majorHAnsi" w:hAnsiTheme="majorHAnsi" w:cs="Times New Roman"/>
          <w:lang w:val="pt-BR"/>
        </w:rPr>
        <w:t>, Almedina, 2ª edição, 2015, p. 278.</w:t>
      </w:r>
    </w:p>
  </w:footnote>
  <w:footnote w:id="19">
    <w:p w:rsidR="00380199" w:rsidRPr="00CA4505" w:rsidRDefault="00380199" w:rsidP="00B00D51">
      <w:pPr>
        <w:pStyle w:val="Textodenotaderodap"/>
        <w:rPr>
          <w:rFonts w:asciiTheme="majorHAnsi" w:hAnsiTheme="majorHAnsi"/>
          <w:lang w:val="en-US"/>
        </w:rPr>
      </w:pPr>
      <w:r w:rsidRPr="00CA4505">
        <w:rPr>
          <w:rStyle w:val="Refdenotaderodap"/>
          <w:rFonts w:asciiTheme="majorHAnsi" w:hAnsiTheme="majorHAnsi"/>
        </w:rPr>
        <w:footnoteRef/>
      </w:r>
      <w:r w:rsidRPr="00CA4505">
        <w:rPr>
          <w:rFonts w:asciiTheme="majorHAnsi" w:hAnsiTheme="majorHAnsi"/>
          <w:lang w:val="en-US"/>
        </w:rPr>
        <w:t xml:space="preserve"> JANSEN, Justus, </w:t>
      </w:r>
      <w:r w:rsidRPr="00CA4505">
        <w:rPr>
          <w:rFonts w:asciiTheme="majorHAnsi" w:hAnsiTheme="majorHAnsi"/>
          <w:i/>
          <w:lang w:val="en-US"/>
        </w:rPr>
        <w:t>International Cash pooling,</w:t>
      </w:r>
      <w:r>
        <w:rPr>
          <w:rFonts w:asciiTheme="majorHAnsi" w:hAnsiTheme="majorHAnsi"/>
          <w:lang w:val="en-US"/>
        </w:rPr>
        <w:t>Cross-border Cash Management Systems and intra-group financing, 2011, p. 2.</w:t>
      </w:r>
    </w:p>
  </w:footnote>
  <w:footnote w:id="20">
    <w:p w:rsidR="00380199" w:rsidRPr="00B00D51" w:rsidRDefault="00380199" w:rsidP="002B5EFA">
      <w:pPr>
        <w:pStyle w:val="Textodenotaderodap"/>
        <w:rPr>
          <w:rFonts w:asciiTheme="majorHAnsi" w:hAnsiTheme="majorHAnsi" w:cs="Times New Roman"/>
          <w:i/>
          <w:lang w:val="pt-BR"/>
        </w:rPr>
      </w:pPr>
      <w:r w:rsidRPr="002E64D8">
        <w:rPr>
          <w:rStyle w:val="Refdenotaderodap"/>
          <w:rFonts w:ascii="Times New Roman" w:hAnsi="Times New Roman" w:cs="Times New Roman"/>
        </w:rPr>
        <w:footnoteRef/>
      </w:r>
      <w:r w:rsidRPr="00B00D51">
        <w:rPr>
          <w:rFonts w:asciiTheme="majorHAnsi" w:hAnsiTheme="majorHAnsi" w:cs="Times New Roman"/>
          <w:lang w:val="pt-BR"/>
        </w:rPr>
        <w:t xml:space="preserve">MIOLA, M, </w:t>
      </w:r>
      <w:r w:rsidRPr="00B00D51">
        <w:rPr>
          <w:rFonts w:asciiTheme="majorHAnsi" w:hAnsiTheme="majorHAnsi" w:cs="Times New Roman"/>
          <w:i/>
          <w:lang w:val="pt-BR"/>
        </w:rPr>
        <w:t xml:space="preserve">Tesoreria accentrata nei gruppi di società, </w:t>
      </w:r>
      <w:r w:rsidRPr="00B00D51">
        <w:rPr>
          <w:rFonts w:asciiTheme="majorHAnsi" w:hAnsiTheme="majorHAnsi" w:cs="Times New Roman"/>
          <w:lang w:val="pt-BR"/>
        </w:rPr>
        <w:t>Giuffrè, Milano, 2002, p.34, nota 19</w:t>
      </w:r>
      <w:r w:rsidRPr="00B00D51">
        <w:rPr>
          <w:rFonts w:asciiTheme="majorHAnsi" w:hAnsiTheme="majorHAnsi" w:cs="Times New Roman"/>
          <w:i/>
          <w:lang w:val="pt-BR"/>
        </w:rPr>
        <w:t>. (apud Mónica Fluentes)</w:t>
      </w:r>
    </w:p>
  </w:footnote>
  <w:footnote w:id="21">
    <w:p w:rsidR="00380199" w:rsidRPr="002E64D8" w:rsidRDefault="00380199" w:rsidP="00C2335E">
      <w:pPr>
        <w:pStyle w:val="Textodenotaderodap"/>
        <w:rPr>
          <w:rFonts w:ascii="Times New Roman" w:hAnsi="Times New Roman" w:cs="Times New Roman"/>
          <w:lang w:val="pt-BR"/>
        </w:rPr>
      </w:pPr>
      <w:r w:rsidRPr="002E64D8">
        <w:rPr>
          <w:rStyle w:val="Refdenotaderodap"/>
          <w:rFonts w:ascii="Times New Roman" w:hAnsi="Times New Roman" w:cs="Times New Roman"/>
        </w:rPr>
        <w:footnoteRef/>
      </w:r>
      <w:r w:rsidRPr="002E64D8">
        <w:rPr>
          <w:rFonts w:ascii="Times New Roman" w:hAnsi="Times New Roman" w:cs="Times New Roman"/>
        </w:rPr>
        <w:t>Cf.</w:t>
      </w:r>
      <w:r w:rsidRPr="002E64D8">
        <w:rPr>
          <w:rFonts w:ascii="Times New Roman" w:hAnsi="Times New Roman" w:cs="Times New Roman"/>
          <w:lang w:val="pt-BR"/>
        </w:rPr>
        <w:t xml:space="preserve">REBOUTA, José Fernando Abreu; </w:t>
      </w:r>
      <w:r w:rsidRPr="002E64D8">
        <w:rPr>
          <w:rFonts w:ascii="Times New Roman" w:hAnsi="Times New Roman" w:cs="Times New Roman"/>
          <w:i/>
          <w:lang w:val="pt-BR"/>
        </w:rPr>
        <w:t xml:space="preserve">Contextualização fiscal da gestão centralizadora de tesouraria (cash pooling) em ambiente internacional, </w:t>
      </w:r>
      <w:r w:rsidRPr="002E64D8">
        <w:rPr>
          <w:rFonts w:ascii="Times New Roman" w:hAnsi="Times New Roman" w:cs="Times New Roman"/>
          <w:lang w:val="pt-BR"/>
        </w:rPr>
        <w:t>II pós-graduação em direito fiscal, Outubro de 2005, p. 5/43. O mesmo autor apresenta outra modalidade de cash pooling – o adiantamento de tesouraria que funciona como uma centralização das operações de tesouraria realizada intragrupo, ou seja, as sociedades participantes podem obter fundos junto de outras sociedades até da entidade centralizadora. Estes fundos têm origem nos excedentes de tesouraria de outras sociedades participantes do grupo ou em um crédito negociado de forma global.  Estas transferências têm na</w:t>
      </w:r>
      <w:r>
        <w:rPr>
          <w:rFonts w:ascii="Times New Roman" w:hAnsi="Times New Roman" w:cs="Times New Roman"/>
          <w:lang w:val="pt-BR"/>
        </w:rPr>
        <w:t xml:space="preserve">tureza de financiamento </w:t>
      </w:r>
      <w:r w:rsidRPr="002E64D8">
        <w:rPr>
          <w:rFonts w:ascii="Times New Roman" w:hAnsi="Times New Roman" w:cs="Times New Roman"/>
          <w:lang w:val="pt-BR"/>
        </w:rPr>
        <w:t>concedidos entre entidades do grupo e os juros são calculados em função de taxas e condições estabelecidas na convenção de gestão centralizada de tesouraria.</w:t>
      </w:r>
    </w:p>
  </w:footnote>
  <w:footnote w:id="22">
    <w:p w:rsidR="00380199" w:rsidRPr="00B65C35" w:rsidRDefault="00380199" w:rsidP="00B65C35">
      <w:pPr>
        <w:pStyle w:val="Textodenotaderodap"/>
        <w:rPr>
          <w:rFonts w:asciiTheme="majorHAnsi" w:hAnsiTheme="majorHAnsi"/>
        </w:rPr>
      </w:pPr>
      <w:r>
        <w:rPr>
          <w:rStyle w:val="Refdenotaderodap"/>
        </w:rPr>
        <w:footnoteRef/>
      </w:r>
      <w:r w:rsidRPr="00B65C35">
        <w:rPr>
          <w:rFonts w:asciiTheme="majorHAnsi" w:hAnsiTheme="majorHAnsi"/>
          <w:lang w:val="en-US"/>
        </w:rPr>
        <w:t xml:space="preserve">Cf. </w:t>
      </w:r>
      <w:hyperlink r:id="rId5" w:history="1">
        <w:r w:rsidRPr="00B65C35">
          <w:rPr>
            <w:rStyle w:val="Hiperligao"/>
            <w:rFonts w:asciiTheme="majorHAnsi" w:hAnsiTheme="majorHAnsi"/>
            <w:lang w:val="en-US"/>
          </w:rPr>
          <w:t>file:///C:/Users/User/Downloads/SSRN-id2745343.pdf</w:t>
        </w:r>
      </w:hyperlink>
      <w:r w:rsidRPr="00B65C35">
        <w:rPr>
          <w:rFonts w:asciiTheme="majorHAnsi" w:hAnsiTheme="majorHAnsi"/>
          <w:lang w:val="en-US"/>
        </w:rPr>
        <w:t xml:space="preserve">. </w:t>
      </w:r>
      <w:r w:rsidRPr="00B65C35">
        <w:rPr>
          <w:rFonts w:asciiTheme="majorHAnsi" w:hAnsiTheme="majorHAnsi"/>
        </w:rPr>
        <w:t xml:space="preserve">O autor apresenta um exemplo de </w:t>
      </w:r>
      <w:r w:rsidRPr="00EF75E3">
        <w:rPr>
          <w:rFonts w:asciiTheme="majorHAnsi" w:hAnsiTheme="majorHAnsi"/>
          <w:i/>
        </w:rPr>
        <w:t>cash concentration</w:t>
      </w:r>
      <w:r w:rsidRPr="00B65C35">
        <w:rPr>
          <w:rFonts w:asciiTheme="majorHAnsi" w:hAnsiTheme="majorHAnsi"/>
        </w:rPr>
        <w:t xml:space="preserve"> internacional, todavia, o nosso exemplo será adaptado para uma modalidade de </w:t>
      </w:r>
      <w:r w:rsidRPr="00EF75E3">
        <w:rPr>
          <w:rFonts w:asciiTheme="majorHAnsi" w:hAnsiTheme="majorHAnsi"/>
          <w:i/>
        </w:rPr>
        <w:t>zero balacing</w:t>
      </w:r>
      <w:r w:rsidRPr="00B65C35">
        <w:rPr>
          <w:rFonts w:asciiTheme="majorHAnsi" w:hAnsiTheme="majorHAnsi"/>
        </w:rPr>
        <w:t xml:space="preserve"> interno. </w:t>
      </w:r>
    </w:p>
  </w:footnote>
  <w:footnote w:id="23">
    <w:p w:rsidR="00380199" w:rsidRDefault="00380199" w:rsidP="00C2335E">
      <w:pPr>
        <w:pStyle w:val="Textodenotaderodap"/>
      </w:pPr>
      <w:r>
        <w:rPr>
          <w:rStyle w:val="Refdenotaderodap"/>
        </w:rPr>
        <w:footnoteRef/>
      </w:r>
      <w:r w:rsidRPr="003308D1">
        <w:rPr>
          <w:rFonts w:ascii="Times New Roman" w:hAnsi="Times New Roman" w:cs="Times New Roman"/>
          <w:lang w:val="pt-BR"/>
        </w:rPr>
        <w:t>BARRIOCANAL</w:t>
      </w:r>
      <w:r>
        <w:rPr>
          <w:rFonts w:ascii="Times New Roman" w:hAnsi="Times New Roman" w:cs="Times New Roman"/>
          <w:lang w:val="pt-BR"/>
        </w:rPr>
        <w:t>,  Muñoz</w:t>
      </w:r>
      <w:r w:rsidRPr="003308D1">
        <w:rPr>
          <w:rFonts w:ascii="Times New Roman" w:hAnsi="Times New Roman" w:cs="Times New Roman"/>
          <w:lang w:val="pt-BR"/>
        </w:rPr>
        <w:t xml:space="preserve">, </w:t>
      </w:r>
      <w:r w:rsidRPr="005676DD">
        <w:rPr>
          <w:rFonts w:ascii="Times New Roman" w:hAnsi="Times New Roman" w:cs="Times New Roman"/>
          <w:i/>
          <w:lang w:val="pt-BR"/>
        </w:rPr>
        <w:t>Cash pooling international, de la teoria a la pratica</w:t>
      </w:r>
      <w:r>
        <w:rPr>
          <w:rFonts w:ascii="Times New Roman" w:hAnsi="Times New Roman" w:cs="Times New Roman"/>
          <w:lang w:val="pt-BR"/>
        </w:rPr>
        <w:t xml:space="preserve">, Estrategia financiera, n.º 284, </w:t>
      </w:r>
      <w:r w:rsidRPr="003308D1">
        <w:rPr>
          <w:rFonts w:ascii="Times New Roman" w:hAnsi="Times New Roman" w:cs="Times New Roman"/>
          <w:lang w:val="pt-BR"/>
        </w:rPr>
        <w:t>2011, p. 4</w:t>
      </w:r>
      <w:r>
        <w:rPr>
          <w:rFonts w:ascii="Times New Roman" w:hAnsi="Times New Roman" w:cs="Times New Roman"/>
          <w:lang w:val="pt-BR"/>
        </w:rPr>
        <w:t>.</w:t>
      </w:r>
    </w:p>
  </w:footnote>
  <w:footnote w:id="24">
    <w:p w:rsidR="00380199" w:rsidRDefault="00380199">
      <w:pPr>
        <w:pStyle w:val="Textodenotaderodap"/>
      </w:pPr>
      <w:r>
        <w:rPr>
          <w:rStyle w:val="Refdenotaderodap"/>
        </w:rPr>
        <w:footnoteRef/>
      </w:r>
      <w:r w:rsidRPr="00C5796E">
        <w:rPr>
          <w:rFonts w:asciiTheme="majorHAnsi" w:hAnsiTheme="majorHAnsi"/>
        </w:rPr>
        <w:t xml:space="preserve">Temos como exemplo o banco Millenium que nas suas instituições tem </w:t>
      </w:r>
      <w:r>
        <w:rPr>
          <w:rFonts w:asciiTheme="majorHAnsi" w:hAnsiTheme="majorHAnsi"/>
        </w:rPr>
        <w:t>disponíveis esses serviços</w:t>
      </w:r>
      <w:r w:rsidRPr="00C5796E">
        <w:rPr>
          <w:rFonts w:asciiTheme="majorHAnsi" w:hAnsiTheme="majorHAnsi"/>
        </w:rPr>
        <w:t>.</w:t>
      </w:r>
    </w:p>
  </w:footnote>
  <w:footnote w:id="25">
    <w:p w:rsidR="00380199" w:rsidRDefault="00380199">
      <w:pPr>
        <w:pStyle w:val="Textodenotaderodap"/>
      </w:pPr>
      <w:r>
        <w:rPr>
          <w:rStyle w:val="Refdenotaderodap"/>
        </w:rPr>
        <w:footnoteRef/>
      </w:r>
      <w:r w:rsidRPr="00AA7755">
        <w:rPr>
          <w:rFonts w:asciiTheme="majorHAnsi" w:hAnsiTheme="majorHAnsi"/>
        </w:rPr>
        <w:t>http://treasurytoday.com/2006/07and08/cash-pooling-an-introduction</w:t>
      </w:r>
    </w:p>
  </w:footnote>
  <w:footnote w:id="26">
    <w:p w:rsidR="00380199" w:rsidRPr="00BE7A3E" w:rsidRDefault="00380199" w:rsidP="00BE7A3E">
      <w:pPr>
        <w:pStyle w:val="Textodenotaderodap"/>
        <w:rPr>
          <w:rFonts w:asciiTheme="majorHAnsi" w:hAnsiTheme="majorHAnsi"/>
          <w:lang w:val="en-US"/>
        </w:rPr>
      </w:pPr>
      <w:r>
        <w:rPr>
          <w:rStyle w:val="Refdenotaderodap"/>
        </w:rPr>
        <w:footnoteRef/>
      </w:r>
      <w:r w:rsidRPr="00BE7A3E">
        <w:rPr>
          <w:rFonts w:asciiTheme="majorHAnsi" w:hAnsiTheme="majorHAnsi"/>
          <w:lang w:val="en-US"/>
        </w:rPr>
        <w:t xml:space="preserve">POLAK, P. e Klusáček, I, </w:t>
      </w:r>
      <w:r>
        <w:rPr>
          <w:rFonts w:asciiTheme="majorHAnsi" w:hAnsiTheme="majorHAnsi"/>
          <w:i/>
          <w:lang w:val="en-US"/>
        </w:rPr>
        <w:t>C</w:t>
      </w:r>
      <w:r w:rsidRPr="00BE7A3E">
        <w:rPr>
          <w:rFonts w:asciiTheme="majorHAnsi" w:hAnsiTheme="majorHAnsi"/>
          <w:i/>
          <w:lang w:val="en-US"/>
        </w:rPr>
        <w:t>entralization of treasury management</w:t>
      </w:r>
      <w:r w:rsidRPr="00BE7A3E">
        <w:rPr>
          <w:rFonts w:asciiTheme="majorHAnsi" w:hAnsiTheme="majorHAnsi"/>
          <w:lang w:val="en-US"/>
        </w:rPr>
        <w:t>, Business Pers</w:t>
      </w:r>
      <w:r>
        <w:rPr>
          <w:rFonts w:asciiTheme="majorHAnsi" w:hAnsiTheme="majorHAnsi"/>
          <w:lang w:val="en-US"/>
        </w:rPr>
        <w:t xml:space="preserve">pectives, Dzerhnynsky, Ukraine, 2010, p. </w:t>
      </w:r>
    </w:p>
  </w:footnote>
  <w:footnote w:id="27">
    <w:p w:rsidR="00380199" w:rsidRPr="00BE7A3E" w:rsidRDefault="00380199" w:rsidP="00C2335E">
      <w:pPr>
        <w:pStyle w:val="Textodenotaderodap"/>
        <w:rPr>
          <w:rFonts w:asciiTheme="majorHAnsi" w:hAnsiTheme="majorHAnsi" w:cs="Times New Roman"/>
        </w:rPr>
      </w:pPr>
      <w:r w:rsidRPr="000E4714">
        <w:rPr>
          <w:rStyle w:val="Refdenotaderodap"/>
          <w:rFonts w:ascii="Times New Roman" w:hAnsi="Times New Roman" w:cs="Times New Roman"/>
        </w:rPr>
        <w:footnoteRef/>
      </w:r>
      <w:r w:rsidRPr="00BE7A3E">
        <w:rPr>
          <w:rFonts w:asciiTheme="majorHAnsi" w:hAnsiTheme="majorHAnsi" w:cs="Times New Roman"/>
          <w:lang w:val="pt-BR"/>
        </w:rPr>
        <w:t xml:space="preserve">Definida como </w:t>
      </w:r>
      <w:r w:rsidRPr="00BE7A3E">
        <w:rPr>
          <w:rFonts w:asciiTheme="majorHAnsi" w:eastAsia="Malgun Gothic" w:hAnsiTheme="majorHAnsi" w:cs="Times New Roman"/>
          <w:lang w:val="pt-BR"/>
        </w:rPr>
        <w:t xml:space="preserve">um processo de transferência da soberania de decisão que as sociedades individualmente detêm para a sociedade-mãe que, geralmente, centraliza, em maior ou menor medida, o poder, determinando e condicionando a actividade empresarial de várias sociedades agrupadas na sua esfera. Cf. ANTUNES, Engrâcia, </w:t>
      </w:r>
      <w:r w:rsidRPr="00BE7A3E">
        <w:rPr>
          <w:rFonts w:asciiTheme="majorHAnsi" w:eastAsia="Malgun Gothic" w:hAnsiTheme="majorHAnsi" w:cs="Times New Roman"/>
          <w:i/>
          <w:lang w:val="pt-BR"/>
        </w:rPr>
        <w:t>Os grupos de Sociedades, Estrutura e Organização Jurídica da Empresa Plurisocietára</w:t>
      </w:r>
      <w:r w:rsidRPr="00BE7A3E">
        <w:rPr>
          <w:rFonts w:asciiTheme="majorHAnsi" w:eastAsia="Malgun Gothic" w:hAnsiTheme="majorHAnsi" w:cs="Times New Roman"/>
          <w:lang w:val="pt-BR"/>
        </w:rPr>
        <w:t>, Almedina, 2002, p. 114.</w:t>
      </w:r>
    </w:p>
  </w:footnote>
  <w:footnote w:id="28">
    <w:p w:rsidR="00380199" w:rsidRPr="00306E69" w:rsidRDefault="00380199" w:rsidP="00C2335E">
      <w:pPr>
        <w:pStyle w:val="Textodenotaderodap"/>
        <w:rPr>
          <w:rFonts w:asciiTheme="majorHAnsi" w:hAnsiTheme="majorHAnsi"/>
        </w:rPr>
      </w:pPr>
      <w:r w:rsidRPr="000E4714">
        <w:rPr>
          <w:rStyle w:val="Refdenotaderodap"/>
          <w:rFonts w:ascii="Times New Roman" w:hAnsi="Times New Roman" w:cs="Times New Roman"/>
        </w:rPr>
        <w:footnoteRef/>
      </w:r>
      <w:r w:rsidRPr="00306E69">
        <w:rPr>
          <w:rFonts w:asciiTheme="majorHAnsi" w:hAnsiTheme="majorHAnsi" w:cs="Times New Roman"/>
        </w:rPr>
        <w:t>Seguimos o defendido por Mónica Fluentes, com as devidas ada</w:t>
      </w:r>
      <w:r>
        <w:rPr>
          <w:rFonts w:asciiTheme="majorHAnsi" w:hAnsiTheme="majorHAnsi" w:cs="Times New Roman"/>
        </w:rPr>
        <w:t>ptações. Cf. FUENTES, Mónica, op.</w:t>
      </w:r>
      <w:r w:rsidRPr="00306E69">
        <w:rPr>
          <w:rFonts w:asciiTheme="majorHAnsi" w:hAnsiTheme="majorHAnsi" w:cs="Times New Roman"/>
        </w:rPr>
        <w:t xml:space="preserve"> cit, 2007, p.106 e ss.</w:t>
      </w:r>
    </w:p>
  </w:footnote>
  <w:footnote w:id="29">
    <w:p w:rsidR="00380199" w:rsidRPr="00C63F4B" w:rsidRDefault="00380199" w:rsidP="00C2335E">
      <w:pPr>
        <w:pStyle w:val="Textodenotaderodap"/>
        <w:rPr>
          <w:rFonts w:ascii="Times New Roman" w:hAnsi="Times New Roman" w:cs="Times New Roman"/>
        </w:rPr>
      </w:pPr>
      <w:r w:rsidRPr="00306E69">
        <w:rPr>
          <w:rStyle w:val="Refdenotaderodap"/>
          <w:rFonts w:asciiTheme="majorHAnsi" w:hAnsiTheme="majorHAnsi"/>
        </w:rPr>
        <w:footnoteRef/>
      </w:r>
      <w:r w:rsidRPr="00306E69">
        <w:rPr>
          <w:rFonts w:asciiTheme="majorHAnsi" w:hAnsiTheme="majorHAnsi" w:cs="Times New Roman"/>
        </w:rPr>
        <w:t xml:space="preserve">ABREU, Miguel Teixeira, </w:t>
      </w:r>
      <w:r w:rsidRPr="00306E69">
        <w:rPr>
          <w:rFonts w:asciiTheme="majorHAnsi" w:hAnsiTheme="majorHAnsi" w:cs="Times New Roman"/>
          <w:i/>
        </w:rPr>
        <w:t>Centros de gestão de tesouraria, questões legais e fiscais numa perspectiva portuguesa</w:t>
      </w:r>
      <w:r w:rsidRPr="00306E69">
        <w:rPr>
          <w:rFonts w:asciiTheme="majorHAnsi" w:hAnsiTheme="majorHAnsi" w:cs="Times New Roman"/>
        </w:rPr>
        <w:t>, 2010, p.33</w:t>
      </w:r>
    </w:p>
  </w:footnote>
  <w:footnote w:id="30">
    <w:p w:rsidR="00380199" w:rsidRPr="00A42A46" w:rsidRDefault="00380199" w:rsidP="00C2335E">
      <w:pPr>
        <w:pStyle w:val="Textodenotaderodap"/>
        <w:rPr>
          <w:rFonts w:asciiTheme="majorHAnsi" w:hAnsiTheme="majorHAnsi"/>
          <w:lang w:val="en-US"/>
        </w:rPr>
      </w:pPr>
      <w:r w:rsidRPr="00C63F4B">
        <w:rPr>
          <w:rStyle w:val="Refdenotaderodap"/>
          <w:rFonts w:ascii="Times New Roman" w:hAnsi="Times New Roman" w:cs="Times New Roman"/>
        </w:rPr>
        <w:footnoteRef/>
      </w:r>
      <w:r w:rsidRPr="00A42A46">
        <w:rPr>
          <w:rFonts w:asciiTheme="majorHAnsi" w:hAnsiTheme="majorHAnsi" w:cs="Times New Roman"/>
        </w:rPr>
        <w:t>Acompanhamos</w:t>
      </w:r>
      <w:r>
        <w:rPr>
          <w:rFonts w:asciiTheme="majorHAnsi" w:hAnsiTheme="majorHAnsi" w:cs="Times New Roman"/>
        </w:rPr>
        <w:t>,</w:t>
      </w:r>
      <w:r w:rsidRPr="00A42A46">
        <w:rPr>
          <w:rFonts w:asciiTheme="majorHAnsi" w:hAnsiTheme="majorHAnsi" w:cs="Times New Roman"/>
        </w:rPr>
        <w:t xml:space="preserve"> com as devidas alterações</w:t>
      </w:r>
      <w:r>
        <w:rPr>
          <w:rFonts w:asciiTheme="majorHAnsi" w:hAnsiTheme="majorHAnsi" w:cs="Times New Roman"/>
        </w:rPr>
        <w:t>,</w:t>
      </w:r>
      <w:r w:rsidRPr="00A42A46">
        <w:rPr>
          <w:rFonts w:asciiTheme="majorHAnsi" w:hAnsiTheme="majorHAnsi" w:cs="Times New Roman"/>
        </w:rPr>
        <w:t xml:space="preserve"> o d</w:t>
      </w:r>
      <w:r>
        <w:rPr>
          <w:rFonts w:asciiTheme="majorHAnsi" w:hAnsiTheme="majorHAnsi" w:cs="Times New Roman"/>
        </w:rPr>
        <w:t xml:space="preserve">efendido por Mónica Fluentes, op., </w:t>
      </w:r>
      <w:r w:rsidRPr="00A42A46">
        <w:rPr>
          <w:rFonts w:asciiTheme="majorHAnsi" w:hAnsiTheme="majorHAnsi" w:cs="Times New Roman"/>
        </w:rPr>
        <w:t xml:space="preserve"> </w:t>
      </w:r>
      <w:r>
        <w:rPr>
          <w:rFonts w:asciiTheme="majorHAnsi" w:hAnsiTheme="majorHAnsi" w:cs="Times New Roman"/>
          <w:lang w:val="en-US"/>
        </w:rPr>
        <w:t>c</w:t>
      </w:r>
      <w:r w:rsidRPr="00A42A46">
        <w:rPr>
          <w:rFonts w:asciiTheme="majorHAnsi" w:hAnsiTheme="majorHAnsi" w:cs="Times New Roman"/>
          <w:lang w:val="en-US"/>
        </w:rPr>
        <w:t>it, p. 244.</w:t>
      </w:r>
    </w:p>
  </w:footnote>
  <w:footnote w:id="31">
    <w:p w:rsidR="00380199" w:rsidRPr="00A42A46" w:rsidRDefault="00380199">
      <w:pPr>
        <w:pStyle w:val="Textodenotaderodap"/>
        <w:rPr>
          <w:rFonts w:asciiTheme="majorHAnsi" w:hAnsiTheme="majorHAnsi"/>
          <w:lang w:val="en-US"/>
        </w:rPr>
      </w:pPr>
      <w:r w:rsidRPr="00A42A46">
        <w:rPr>
          <w:rStyle w:val="Refdenotaderodap"/>
          <w:rFonts w:asciiTheme="majorHAnsi" w:hAnsiTheme="majorHAnsi"/>
        </w:rPr>
        <w:footnoteRef/>
      </w:r>
      <w:r>
        <w:rPr>
          <w:rFonts w:asciiTheme="majorHAnsi" w:hAnsiTheme="majorHAnsi"/>
          <w:lang w:val="en-US"/>
        </w:rPr>
        <w:t xml:space="preserve">BAS REBEL, </w:t>
      </w:r>
      <w:r w:rsidRPr="00A42A46">
        <w:rPr>
          <w:rFonts w:asciiTheme="majorHAnsi" w:hAnsiTheme="majorHAnsi"/>
          <w:lang w:val="en-US"/>
        </w:rPr>
        <w:t xml:space="preserve">Zanders, </w:t>
      </w:r>
      <w:r w:rsidRPr="00A42A46">
        <w:rPr>
          <w:rFonts w:asciiTheme="majorHAnsi" w:hAnsiTheme="majorHAnsi"/>
          <w:i/>
          <w:lang w:val="en-US"/>
        </w:rPr>
        <w:t>Cash pooling; finding a cost efficient equilibrium</w:t>
      </w:r>
      <w:r>
        <w:rPr>
          <w:rFonts w:asciiTheme="majorHAnsi" w:hAnsiTheme="majorHAnsi"/>
          <w:lang w:val="en-US"/>
        </w:rPr>
        <w:t>, 2007, p.3. (vistoem</w:t>
      </w:r>
      <w:r w:rsidRPr="00A42A46">
        <w:rPr>
          <w:rFonts w:asciiTheme="majorHAnsi" w:hAnsiTheme="majorHAnsi"/>
          <w:lang w:val="en-US"/>
        </w:rPr>
        <w:t>www.treasury.nl/files/2007/10/treasury_225.pdf</w:t>
      </w:r>
      <w:r>
        <w:rPr>
          <w:rFonts w:asciiTheme="majorHAnsi" w:hAnsiTheme="majorHAnsi"/>
          <w:lang w:val="en-US"/>
        </w:rPr>
        <w:t>).</w:t>
      </w:r>
    </w:p>
  </w:footnote>
  <w:footnote w:id="32">
    <w:p w:rsidR="00380199" w:rsidRPr="00A42A46" w:rsidRDefault="00380199" w:rsidP="00C2335E">
      <w:pPr>
        <w:spacing w:line="240" w:lineRule="auto"/>
        <w:rPr>
          <w:rFonts w:asciiTheme="majorHAnsi" w:hAnsiTheme="majorHAnsi" w:cs="Times New Roman"/>
          <w:sz w:val="20"/>
          <w:szCs w:val="20"/>
          <w:lang w:val="en-US"/>
        </w:rPr>
      </w:pPr>
      <w:r w:rsidRPr="00A42A46">
        <w:rPr>
          <w:rStyle w:val="Refdenotaderodap"/>
          <w:rFonts w:asciiTheme="majorHAnsi" w:hAnsiTheme="majorHAnsi" w:cs="Times New Roman"/>
          <w:sz w:val="20"/>
          <w:szCs w:val="20"/>
        </w:rPr>
        <w:footnoteRef/>
      </w:r>
      <w:r w:rsidRPr="00A42A46">
        <w:rPr>
          <w:rFonts w:asciiTheme="majorHAnsi" w:hAnsiTheme="majorHAnsi" w:cs="Times New Roman"/>
          <w:sz w:val="20"/>
          <w:szCs w:val="20"/>
          <w:lang w:val="en-US"/>
        </w:rPr>
        <w:t xml:space="preserve"> WEINER, E. A., </w:t>
      </w:r>
      <w:r w:rsidRPr="00A42A46">
        <w:rPr>
          <w:rFonts w:asciiTheme="majorHAnsi" w:hAnsiTheme="majorHAnsi" w:cs="Times New Roman"/>
          <w:i/>
          <w:sz w:val="20"/>
          <w:szCs w:val="20"/>
          <w:lang w:val="en-US"/>
        </w:rPr>
        <w:t xml:space="preserve">Centralizing treasury: Improving visibility, access and control, </w:t>
      </w:r>
      <w:r w:rsidRPr="00A42A46">
        <w:rPr>
          <w:rFonts w:asciiTheme="majorHAnsi" w:hAnsiTheme="majorHAnsi" w:cs="Times New Roman"/>
          <w:sz w:val="20"/>
          <w:szCs w:val="20"/>
          <w:lang w:val="en-US"/>
        </w:rPr>
        <w:t xml:space="preserve">Journal of Corporate Treasury Management, Vol. 1, nº. 4, 2008, p. 345-353. </w:t>
      </w:r>
    </w:p>
  </w:footnote>
  <w:footnote w:id="33">
    <w:p w:rsidR="00380199" w:rsidRPr="00A42A46" w:rsidRDefault="00380199" w:rsidP="00306E69">
      <w:pPr>
        <w:spacing w:line="240" w:lineRule="auto"/>
        <w:rPr>
          <w:rFonts w:asciiTheme="majorHAnsi" w:hAnsiTheme="majorHAnsi" w:cs="Times New Roman"/>
          <w:sz w:val="20"/>
          <w:szCs w:val="20"/>
          <w:lang w:val="en-US"/>
        </w:rPr>
      </w:pPr>
      <w:r w:rsidRPr="00A42A46">
        <w:rPr>
          <w:rStyle w:val="Refdenotaderodap"/>
          <w:rFonts w:asciiTheme="majorHAnsi" w:hAnsiTheme="majorHAnsi" w:cs="Times New Roman"/>
          <w:sz w:val="20"/>
          <w:szCs w:val="20"/>
        </w:rPr>
        <w:footnoteRef/>
      </w:r>
      <w:r w:rsidRPr="00A42A46">
        <w:rPr>
          <w:rFonts w:asciiTheme="majorHAnsi" w:hAnsiTheme="majorHAnsi" w:cs="Times New Roman"/>
          <w:sz w:val="20"/>
          <w:szCs w:val="20"/>
          <w:lang w:val="en-US"/>
        </w:rPr>
        <w:t xml:space="preserve"> RETOLAZA, J. L. e SAN-JOSE, L, </w:t>
      </w:r>
      <w:r w:rsidRPr="00A42A46">
        <w:rPr>
          <w:rFonts w:asciiTheme="majorHAnsi" w:hAnsiTheme="majorHAnsi" w:cs="Times New Roman"/>
          <w:i/>
          <w:sz w:val="20"/>
          <w:szCs w:val="20"/>
          <w:lang w:val="en-US"/>
        </w:rPr>
        <w:t xml:space="preserve">Under the cash pooling: Does the cooperation Matter? </w:t>
      </w:r>
      <w:r w:rsidRPr="00A42A46">
        <w:rPr>
          <w:rFonts w:asciiTheme="majorHAnsi" w:hAnsiTheme="majorHAnsi" w:cs="Times New Roman"/>
          <w:sz w:val="20"/>
          <w:szCs w:val="20"/>
          <w:lang w:val="en-US"/>
        </w:rPr>
        <w:t xml:space="preserve">Verslas: Teorija ir Pratktika, n. º3, 2013, p. 209-216. </w:t>
      </w:r>
    </w:p>
  </w:footnote>
  <w:footnote w:id="34">
    <w:p w:rsidR="00380199" w:rsidRPr="00A42A46" w:rsidRDefault="00380199" w:rsidP="00306E69">
      <w:pPr>
        <w:spacing w:line="240" w:lineRule="auto"/>
        <w:rPr>
          <w:rFonts w:asciiTheme="majorHAnsi" w:hAnsiTheme="majorHAnsi" w:cs="Times New Roman"/>
          <w:sz w:val="20"/>
          <w:szCs w:val="20"/>
          <w:lang w:val="en-US"/>
        </w:rPr>
      </w:pPr>
      <w:r w:rsidRPr="00A42A46">
        <w:rPr>
          <w:rStyle w:val="Refdenotaderodap"/>
          <w:rFonts w:asciiTheme="majorHAnsi" w:hAnsiTheme="majorHAnsi"/>
          <w:sz w:val="20"/>
          <w:szCs w:val="20"/>
        </w:rPr>
        <w:footnoteRef/>
      </w:r>
      <w:r>
        <w:rPr>
          <w:rFonts w:asciiTheme="majorHAnsi" w:hAnsiTheme="majorHAnsi" w:cs="Times New Roman"/>
          <w:sz w:val="20"/>
          <w:szCs w:val="20"/>
          <w:lang w:val="en-US"/>
        </w:rPr>
        <w:t xml:space="preserve">Cf. </w:t>
      </w:r>
      <w:r w:rsidRPr="00A42A46">
        <w:rPr>
          <w:rFonts w:asciiTheme="majorHAnsi" w:hAnsiTheme="majorHAnsi" w:cs="Times New Roman"/>
          <w:sz w:val="20"/>
          <w:szCs w:val="20"/>
          <w:lang w:val="en-US"/>
        </w:rPr>
        <w:t xml:space="preserve">POLAK, P., </w:t>
      </w:r>
      <w:r w:rsidRPr="00A42A46">
        <w:rPr>
          <w:rFonts w:asciiTheme="majorHAnsi" w:hAnsiTheme="majorHAnsi" w:cs="Times New Roman"/>
          <w:i/>
          <w:sz w:val="20"/>
          <w:szCs w:val="20"/>
          <w:lang w:val="en-US"/>
        </w:rPr>
        <w:t xml:space="preserve">Centralization of Treasury Management in a Globalized World, </w:t>
      </w:r>
      <w:r w:rsidRPr="00A42A46">
        <w:rPr>
          <w:rFonts w:asciiTheme="majorHAnsi" w:hAnsiTheme="majorHAnsi" w:cs="Times New Roman"/>
          <w:sz w:val="20"/>
          <w:szCs w:val="20"/>
          <w:lang w:val="en-US"/>
        </w:rPr>
        <w:t>International Research Journal of Finance and Economics, n.56, 2010, p. 88-95.</w:t>
      </w:r>
    </w:p>
  </w:footnote>
  <w:footnote w:id="35">
    <w:p w:rsidR="00380199" w:rsidRPr="001A25A1" w:rsidRDefault="00380199" w:rsidP="001A25A1">
      <w:pPr>
        <w:spacing w:line="240" w:lineRule="auto"/>
        <w:rPr>
          <w:rFonts w:asciiTheme="majorHAnsi" w:hAnsiTheme="majorHAnsi" w:cs="Times New Roman"/>
          <w:sz w:val="20"/>
          <w:szCs w:val="20"/>
          <w:lang w:val="en-US"/>
        </w:rPr>
      </w:pPr>
      <w:r w:rsidRPr="00A42A46">
        <w:rPr>
          <w:rStyle w:val="Refdenotaderodap"/>
          <w:rFonts w:asciiTheme="majorHAnsi" w:hAnsiTheme="majorHAnsi" w:cs="Times New Roman"/>
          <w:sz w:val="20"/>
          <w:szCs w:val="20"/>
        </w:rPr>
        <w:footnoteRef/>
      </w:r>
      <w:r>
        <w:rPr>
          <w:rFonts w:asciiTheme="majorHAnsi" w:hAnsiTheme="majorHAnsi" w:cs="Times New Roman"/>
          <w:sz w:val="20"/>
          <w:szCs w:val="20"/>
          <w:lang w:val="en-US"/>
        </w:rPr>
        <w:t xml:space="preserve">Cf. </w:t>
      </w:r>
      <w:r w:rsidRPr="00A42A46">
        <w:rPr>
          <w:rFonts w:asciiTheme="majorHAnsi" w:hAnsiTheme="majorHAnsi" w:cs="Times New Roman"/>
          <w:sz w:val="20"/>
          <w:szCs w:val="20"/>
          <w:lang w:val="en-US"/>
        </w:rPr>
        <w:t xml:space="preserve">HERRICK, J. e GALLANIS, M., </w:t>
      </w:r>
      <w:r w:rsidRPr="00A42A46">
        <w:rPr>
          <w:rFonts w:asciiTheme="majorHAnsi" w:hAnsiTheme="majorHAnsi" w:cs="Times New Roman"/>
          <w:i/>
          <w:sz w:val="20"/>
          <w:szCs w:val="20"/>
          <w:lang w:val="en-US"/>
        </w:rPr>
        <w:t>The Pros and Cons of Treasury Centralization</w:t>
      </w:r>
      <w:r w:rsidRPr="00A42A46">
        <w:rPr>
          <w:rFonts w:asciiTheme="majorHAnsi" w:hAnsiTheme="majorHAnsi" w:cs="Times New Roman"/>
          <w:sz w:val="20"/>
          <w:szCs w:val="20"/>
          <w:lang w:val="en-US"/>
        </w:rPr>
        <w:t>, 2010, http://people.bath.ac.uk/mnsanb/MN30067TheProsandConsofTreasuryCentralisation</w:t>
      </w:r>
      <w:r>
        <w:rPr>
          <w:rFonts w:asciiTheme="majorHAnsi" w:hAnsiTheme="majorHAnsi" w:cs="Times New Roman"/>
          <w:sz w:val="20"/>
          <w:szCs w:val="20"/>
          <w:lang w:val="en-US"/>
        </w:rPr>
        <w:t>.</w:t>
      </w:r>
    </w:p>
  </w:footnote>
  <w:footnote w:id="36">
    <w:p w:rsidR="00380199" w:rsidRDefault="00380199" w:rsidP="00C2335E">
      <w:pPr>
        <w:pStyle w:val="Textodenotaderodap"/>
      </w:pPr>
      <w:r>
        <w:rPr>
          <w:rStyle w:val="Refdenotaderodap"/>
        </w:rPr>
        <w:footnoteRef/>
      </w:r>
      <w:r w:rsidRPr="00766ACE">
        <w:rPr>
          <w:rFonts w:ascii="Times New Roman" w:hAnsi="Times New Roman" w:cs="Times New Roman"/>
        </w:rPr>
        <w:t xml:space="preserve">Cf. SILVA, Márcia Raquel; </w:t>
      </w:r>
      <w:r w:rsidRPr="00766ACE">
        <w:rPr>
          <w:rFonts w:ascii="Times New Roman" w:hAnsi="Times New Roman" w:cs="Times New Roman"/>
          <w:i/>
        </w:rPr>
        <w:t>Análise à viabilidade de um sistema de gestão centralizada de tesouraria num centro de serviços partilhados</w:t>
      </w:r>
      <w:r w:rsidRPr="00766ACE">
        <w:rPr>
          <w:rFonts w:ascii="Times New Roman" w:hAnsi="Times New Roman" w:cs="Times New Roman"/>
        </w:rPr>
        <w:t>; Dissertação de mestrado em contabilidade e controlo de gestão, 2015, pág. 15.</w:t>
      </w:r>
    </w:p>
  </w:footnote>
  <w:footnote w:id="37">
    <w:p w:rsidR="00380199" w:rsidRPr="00306E69" w:rsidRDefault="00380199" w:rsidP="00306E69">
      <w:pPr>
        <w:pStyle w:val="Textodenotaderodap"/>
        <w:rPr>
          <w:rFonts w:asciiTheme="majorHAnsi" w:hAnsiTheme="majorHAnsi"/>
        </w:rPr>
      </w:pPr>
      <w:r>
        <w:rPr>
          <w:rStyle w:val="Refdenotaderodap"/>
        </w:rPr>
        <w:footnoteRef/>
      </w:r>
      <w:r w:rsidRPr="00306E69">
        <w:rPr>
          <w:rFonts w:asciiTheme="majorHAnsi" w:hAnsiTheme="majorHAnsi" w:cs="Times New Roman"/>
        </w:rPr>
        <w:t xml:space="preserve">OLIVEIRA, Ana Perestrelo, </w:t>
      </w:r>
      <w:r w:rsidRPr="00306E69">
        <w:rPr>
          <w:rFonts w:asciiTheme="majorHAnsi" w:hAnsiTheme="majorHAnsi" w:cs="Times New Roman"/>
          <w:i/>
        </w:rPr>
        <w:t>Manual de Corporate Finance</w:t>
      </w:r>
      <w:r w:rsidRPr="00306E69">
        <w:rPr>
          <w:rFonts w:asciiTheme="majorHAnsi" w:hAnsiTheme="majorHAnsi" w:cs="Times New Roman"/>
        </w:rPr>
        <w:t>, Almedina, 2015, p. 279.</w:t>
      </w:r>
    </w:p>
  </w:footnote>
  <w:footnote w:id="38">
    <w:p w:rsidR="00380199" w:rsidRPr="00306E69" w:rsidRDefault="00380199" w:rsidP="00306E69">
      <w:pPr>
        <w:pStyle w:val="Textodenotaderodap"/>
        <w:rPr>
          <w:rFonts w:asciiTheme="majorHAnsi" w:hAnsiTheme="majorHAnsi" w:cs="Times New Roman"/>
          <w:lang w:val="en-US"/>
        </w:rPr>
      </w:pPr>
      <w:r w:rsidRPr="00306E69">
        <w:rPr>
          <w:rStyle w:val="Refdenotaderodap"/>
          <w:rFonts w:asciiTheme="majorHAnsi" w:hAnsiTheme="majorHAnsi"/>
        </w:rPr>
        <w:footnoteRef/>
      </w:r>
      <w:r w:rsidRPr="00306E69">
        <w:rPr>
          <w:rFonts w:asciiTheme="majorHAnsi" w:hAnsiTheme="majorHAnsi" w:cs="Times New Roman"/>
          <w:lang w:val="en-US"/>
        </w:rPr>
        <w:t xml:space="preserve">RETOLAZA, J. L. e  SAN-JOSE, L, </w:t>
      </w:r>
      <w:r w:rsidRPr="00306E69">
        <w:rPr>
          <w:rFonts w:asciiTheme="majorHAnsi" w:hAnsiTheme="majorHAnsi" w:cs="Times New Roman"/>
          <w:i/>
          <w:lang w:val="en-US"/>
        </w:rPr>
        <w:t>Under the cash pooling</w:t>
      </w:r>
      <w:r w:rsidRPr="00306E69">
        <w:rPr>
          <w:rFonts w:asciiTheme="majorHAnsi" w:hAnsiTheme="majorHAnsi" w:cs="Times New Roman"/>
          <w:lang w:val="en-US"/>
        </w:rPr>
        <w:t>… ob cit, 2013, p. 209-216.</w:t>
      </w:r>
    </w:p>
  </w:footnote>
  <w:footnote w:id="39">
    <w:p w:rsidR="00380199" w:rsidRDefault="00380199" w:rsidP="00306E69">
      <w:pPr>
        <w:spacing w:line="240" w:lineRule="auto"/>
        <w:rPr>
          <w:rFonts w:asciiTheme="majorHAnsi" w:hAnsiTheme="majorHAnsi" w:cs="Times New Roman"/>
          <w:sz w:val="20"/>
          <w:szCs w:val="20"/>
          <w:lang w:val="en-US"/>
        </w:rPr>
      </w:pPr>
      <w:r w:rsidRPr="00306E69">
        <w:rPr>
          <w:rStyle w:val="Refdenotaderodap"/>
          <w:rFonts w:asciiTheme="majorHAnsi" w:hAnsiTheme="majorHAnsi" w:cs="Times New Roman"/>
          <w:sz w:val="20"/>
          <w:szCs w:val="20"/>
        </w:rPr>
        <w:footnoteRef/>
      </w:r>
      <w:r>
        <w:rPr>
          <w:rFonts w:asciiTheme="majorHAnsi" w:hAnsiTheme="majorHAnsi" w:cs="Times New Roman"/>
          <w:sz w:val="20"/>
          <w:szCs w:val="20"/>
          <w:lang w:val="en-US"/>
        </w:rPr>
        <w:t xml:space="preserve">Cf. REBEL, B., </w:t>
      </w:r>
      <w:r w:rsidRPr="000D362D">
        <w:rPr>
          <w:rFonts w:asciiTheme="majorHAnsi" w:hAnsiTheme="majorHAnsi" w:cs="Times New Roman"/>
          <w:i/>
          <w:sz w:val="20"/>
          <w:szCs w:val="20"/>
          <w:lang w:val="en-US"/>
        </w:rPr>
        <w:t>Cash pooling; finding a cost efficient equilibrium</w:t>
      </w:r>
      <w:r>
        <w:rPr>
          <w:rFonts w:asciiTheme="majorHAnsi" w:hAnsiTheme="majorHAnsi" w:cs="Times New Roman"/>
          <w:sz w:val="20"/>
          <w:szCs w:val="20"/>
          <w:lang w:val="en-US"/>
        </w:rPr>
        <w:t>, 2007, p.2 /</w:t>
      </w:r>
      <w:hyperlink r:id="rId6" w:history="1">
        <w:r w:rsidRPr="00306E69">
          <w:rPr>
            <w:rStyle w:val="Hiperligao"/>
            <w:rFonts w:asciiTheme="majorHAnsi" w:hAnsiTheme="majorHAnsi" w:cs="Times New Roman"/>
            <w:sz w:val="20"/>
            <w:szCs w:val="20"/>
            <w:lang w:val="en-US"/>
          </w:rPr>
          <w:t>http://www.treasury.nl/files/2007/10/treasury</w:t>
        </w:r>
      </w:hyperlink>
    </w:p>
    <w:p w:rsidR="00380199" w:rsidRPr="00306E69" w:rsidRDefault="00380199" w:rsidP="00306E69">
      <w:pPr>
        <w:spacing w:line="240" w:lineRule="auto"/>
        <w:rPr>
          <w:rFonts w:asciiTheme="majorHAnsi" w:hAnsiTheme="majorHAnsi" w:cs="Times New Roman"/>
          <w:sz w:val="20"/>
          <w:szCs w:val="20"/>
          <w:lang w:val="en-US"/>
        </w:rPr>
      </w:pPr>
    </w:p>
  </w:footnote>
  <w:footnote w:id="40">
    <w:p w:rsidR="00380199" w:rsidRPr="001A25A1" w:rsidRDefault="00380199">
      <w:pPr>
        <w:pStyle w:val="Textodenotaderodap"/>
        <w:rPr>
          <w:lang w:val="en-US"/>
        </w:rPr>
      </w:pPr>
      <w:r>
        <w:rPr>
          <w:rStyle w:val="Refdenotaderodap"/>
        </w:rPr>
        <w:footnoteRef/>
      </w:r>
      <w:r>
        <w:rPr>
          <w:rFonts w:asciiTheme="majorHAnsi" w:hAnsiTheme="majorHAnsi" w:cs="Times New Roman"/>
          <w:lang w:val="en-US"/>
        </w:rPr>
        <w:t xml:space="preserve">Cf. REBEL, B., </w:t>
      </w:r>
      <w:r w:rsidRPr="000D362D">
        <w:rPr>
          <w:rFonts w:asciiTheme="majorHAnsi" w:hAnsiTheme="majorHAnsi" w:cs="Times New Roman"/>
          <w:i/>
          <w:lang w:val="en-US"/>
        </w:rPr>
        <w:t>Cash pooling; finding a cost efficient equilibrium</w:t>
      </w:r>
      <w:r>
        <w:rPr>
          <w:rFonts w:asciiTheme="majorHAnsi" w:hAnsiTheme="majorHAnsi" w:cs="Times New Roman"/>
          <w:lang w:val="en-US"/>
        </w:rPr>
        <w:t>, 2007, p.2 /</w:t>
      </w:r>
      <w:hyperlink r:id="rId7" w:history="1">
        <w:r w:rsidRPr="00306E69">
          <w:rPr>
            <w:rStyle w:val="Hiperligao"/>
            <w:rFonts w:asciiTheme="majorHAnsi" w:hAnsiTheme="majorHAnsi" w:cs="Times New Roman"/>
            <w:lang w:val="en-US"/>
          </w:rPr>
          <w:t>http://www.treasury.nl/files/2007/10/treasury</w:t>
        </w:r>
      </w:hyperlink>
    </w:p>
  </w:footnote>
  <w:footnote w:id="41">
    <w:p w:rsidR="00380199" w:rsidRPr="00EC0F88" w:rsidRDefault="00380199" w:rsidP="00C2335E">
      <w:pPr>
        <w:spacing w:line="240" w:lineRule="auto"/>
        <w:rPr>
          <w:rFonts w:ascii="Times New Roman" w:hAnsi="Times New Roman" w:cs="Times New Roman"/>
          <w:sz w:val="20"/>
          <w:szCs w:val="20"/>
        </w:rPr>
      </w:pPr>
      <w:r w:rsidRPr="00EC0F88">
        <w:rPr>
          <w:rStyle w:val="Refdenotaderodap"/>
          <w:rFonts w:ascii="Times New Roman" w:hAnsi="Times New Roman" w:cs="Times New Roman"/>
          <w:sz w:val="20"/>
          <w:szCs w:val="20"/>
        </w:rPr>
        <w:footnoteRef/>
      </w:r>
      <w:r w:rsidRPr="000D362D">
        <w:rPr>
          <w:rFonts w:asciiTheme="majorHAnsi" w:hAnsiTheme="majorHAnsi" w:cs="Times New Roman"/>
          <w:sz w:val="20"/>
          <w:szCs w:val="20"/>
        </w:rPr>
        <w:t xml:space="preserve">DE LA ESPADA, M.B.M, </w:t>
      </w:r>
      <w:r w:rsidRPr="000D362D">
        <w:rPr>
          <w:rFonts w:asciiTheme="majorHAnsi" w:hAnsiTheme="majorHAnsi" w:cs="Times New Roman"/>
          <w:i/>
          <w:sz w:val="20"/>
          <w:szCs w:val="20"/>
        </w:rPr>
        <w:t xml:space="preserve">Cash pooling Internacional; de la teoria a la práctica, </w:t>
      </w:r>
      <w:r w:rsidRPr="000D362D">
        <w:rPr>
          <w:rFonts w:asciiTheme="majorHAnsi" w:hAnsiTheme="majorHAnsi" w:cs="Times New Roman"/>
          <w:sz w:val="20"/>
          <w:szCs w:val="20"/>
        </w:rPr>
        <w:t>Estrategia financiera, n.º 284, 2011 p. 42</w:t>
      </w:r>
      <w:r>
        <w:rPr>
          <w:rFonts w:ascii="Times New Roman" w:hAnsi="Times New Roman" w:cs="Times New Roman"/>
          <w:sz w:val="20"/>
          <w:szCs w:val="20"/>
        </w:rPr>
        <w:t>.</w:t>
      </w:r>
    </w:p>
    <w:p w:rsidR="00380199" w:rsidRDefault="00380199" w:rsidP="00C2335E">
      <w:pPr>
        <w:pStyle w:val="Textodenotaderodap"/>
      </w:pPr>
    </w:p>
  </w:footnote>
  <w:footnote w:id="42">
    <w:p w:rsidR="00380199" w:rsidRPr="00386240" w:rsidRDefault="00380199">
      <w:pPr>
        <w:pStyle w:val="Textodenotaderodap"/>
        <w:rPr>
          <w:lang w:val="en-US"/>
        </w:rPr>
      </w:pPr>
      <w:r>
        <w:rPr>
          <w:rStyle w:val="Refdenotaderodap"/>
        </w:rPr>
        <w:footnoteRef/>
      </w:r>
      <w:r>
        <w:rPr>
          <w:rFonts w:asciiTheme="majorHAnsi" w:hAnsiTheme="majorHAnsi" w:cs="Times New Roman"/>
          <w:lang w:val="en-US"/>
        </w:rPr>
        <w:t xml:space="preserve">Cf. REBEL, B., </w:t>
      </w:r>
      <w:r w:rsidRPr="000D362D">
        <w:rPr>
          <w:rFonts w:asciiTheme="majorHAnsi" w:hAnsiTheme="majorHAnsi" w:cs="Times New Roman"/>
          <w:i/>
          <w:lang w:val="en-US"/>
        </w:rPr>
        <w:t>Cash pooling; finding a cost efficient equilibrium</w:t>
      </w:r>
      <w:r>
        <w:rPr>
          <w:rFonts w:asciiTheme="majorHAnsi" w:hAnsiTheme="majorHAnsi" w:cs="Times New Roman"/>
          <w:lang w:val="en-US"/>
        </w:rPr>
        <w:t>, 2007, p.2 /</w:t>
      </w:r>
      <w:hyperlink r:id="rId8" w:history="1">
        <w:r w:rsidRPr="00306E69">
          <w:rPr>
            <w:rStyle w:val="Hiperligao"/>
            <w:rFonts w:asciiTheme="majorHAnsi" w:hAnsiTheme="majorHAnsi" w:cs="Times New Roman"/>
            <w:lang w:val="en-US"/>
          </w:rPr>
          <w:t>http://www.treasury.nl/files/2007/10/treasury</w:t>
        </w:r>
      </w:hyperlink>
    </w:p>
  </w:footnote>
  <w:footnote w:id="43">
    <w:p w:rsidR="00380199" w:rsidRPr="00A65608" w:rsidRDefault="00380199" w:rsidP="00C2335E">
      <w:pPr>
        <w:pStyle w:val="Textodenotaderodap"/>
        <w:rPr>
          <w:rFonts w:asciiTheme="majorHAnsi" w:hAnsiTheme="majorHAnsi" w:cs="Times New Roman"/>
        </w:rPr>
      </w:pPr>
      <w:r>
        <w:rPr>
          <w:rStyle w:val="Refdenotaderodap"/>
        </w:rPr>
        <w:footnoteRef/>
      </w:r>
      <w:r w:rsidRPr="00A65608">
        <w:rPr>
          <w:rFonts w:asciiTheme="majorHAnsi" w:hAnsiTheme="majorHAnsi" w:cs="Times New Roman"/>
        </w:rPr>
        <w:t>Cf. PERESTRELO, de Oliveira Ana, Manual de Corporate …, ob. cit, p. 281.</w:t>
      </w:r>
    </w:p>
  </w:footnote>
  <w:footnote w:id="44">
    <w:p w:rsidR="00380199" w:rsidRPr="00B94B64" w:rsidRDefault="00380199" w:rsidP="00C2335E">
      <w:pPr>
        <w:pStyle w:val="Textodenotaderodap"/>
        <w:rPr>
          <w:rFonts w:ascii="Times New Roman" w:hAnsi="Times New Roman" w:cs="Times New Roman"/>
        </w:rPr>
      </w:pPr>
      <w:r w:rsidRPr="00A65608">
        <w:rPr>
          <w:rStyle w:val="Refdenotaderodap"/>
          <w:rFonts w:asciiTheme="majorHAnsi" w:hAnsiTheme="majorHAnsi" w:cs="Times New Roman"/>
        </w:rPr>
        <w:footnoteRef/>
      </w:r>
      <w:r w:rsidRPr="00A65608">
        <w:rPr>
          <w:rFonts w:asciiTheme="majorHAnsi" w:hAnsiTheme="majorHAnsi" w:cs="Times New Roman"/>
        </w:rPr>
        <w:t xml:space="preserve"> Cf. FUENTES, Mónica, ob cit., p. 245. A autora chama atenção para a imprescindibilidade da informação, alegando ser por meio desta que os administradores de cada sociedade podem balizar a necessidade de sair do sistema numa situação de crise, para não incorrer em responsabilidades inerentes ao contrato de </w:t>
      </w:r>
      <w:r w:rsidRPr="00A65608">
        <w:rPr>
          <w:rFonts w:asciiTheme="majorHAnsi" w:hAnsiTheme="majorHAnsi" w:cs="Times New Roman"/>
          <w:i/>
        </w:rPr>
        <w:t>cash pooling</w:t>
      </w:r>
      <w:r w:rsidRPr="00A65608">
        <w:rPr>
          <w:rFonts w:asciiTheme="majorHAnsi" w:hAnsiTheme="majorHAnsi" w:cs="Times New Roman"/>
        </w:rPr>
        <w:t xml:space="preserve"> ou de manter-se no sistema e cumprir com os deveres legais a ele inerente</w:t>
      </w:r>
      <w:r w:rsidRPr="00B94B64">
        <w:rPr>
          <w:rFonts w:ascii="Times New Roman" w:hAnsi="Times New Roman" w:cs="Times New Roman"/>
        </w:rPr>
        <w:t>.</w:t>
      </w:r>
    </w:p>
  </w:footnote>
  <w:footnote w:id="45">
    <w:p w:rsidR="00380199" w:rsidRPr="00D020D3" w:rsidRDefault="00380199" w:rsidP="00C2335E">
      <w:pPr>
        <w:pStyle w:val="Textodenotaderodap"/>
      </w:pPr>
      <w:r w:rsidRPr="00B94B64">
        <w:rPr>
          <w:rStyle w:val="Refdenotaderodap"/>
          <w:rFonts w:ascii="Times New Roman" w:hAnsi="Times New Roman" w:cs="Times New Roman"/>
        </w:rPr>
        <w:footnoteRef/>
      </w:r>
      <w:r w:rsidRPr="00B94B64">
        <w:rPr>
          <w:rFonts w:ascii="Times New Roman" w:hAnsi="Times New Roman" w:cs="Times New Roman"/>
        </w:rPr>
        <w:t xml:space="preserve"> Entendam-se Estados membros da UEMOA e da CEMAC.</w:t>
      </w:r>
    </w:p>
  </w:footnote>
  <w:footnote w:id="46">
    <w:p w:rsidR="00380199" w:rsidRPr="00A65608" w:rsidRDefault="00380199" w:rsidP="00C2335E">
      <w:pPr>
        <w:pStyle w:val="Textodenotaderodap"/>
        <w:rPr>
          <w:rFonts w:asciiTheme="majorHAnsi" w:hAnsiTheme="majorHAnsi" w:cs="Times New Roman"/>
        </w:rPr>
      </w:pPr>
      <w:r>
        <w:rPr>
          <w:rStyle w:val="Refdenotaderodap"/>
        </w:rPr>
        <w:footnoteRef/>
      </w:r>
      <w:r w:rsidRPr="00A65608">
        <w:rPr>
          <w:rFonts w:asciiTheme="majorHAnsi" w:hAnsiTheme="majorHAnsi" w:cs="Times New Roman"/>
          <w:lang w:val="en-US"/>
        </w:rPr>
        <w:t xml:space="preserve">Segundo Picter Malan, </w:t>
      </w:r>
      <w:r w:rsidRPr="00A65608">
        <w:rPr>
          <w:rFonts w:asciiTheme="majorHAnsi" w:hAnsiTheme="majorHAnsi" w:cs="Times New Roman"/>
          <w:i/>
          <w:lang w:val="en-US"/>
        </w:rPr>
        <w:t>transfer pricing</w:t>
      </w:r>
      <w:r w:rsidRPr="00A65608">
        <w:rPr>
          <w:rFonts w:asciiTheme="majorHAnsi" w:hAnsiTheme="majorHAnsi" w:cs="Times New Roman"/>
          <w:lang w:val="en-US"/>
        </w:rPr>
        <w:t>, February 1999, p.6 - “</w:t>
      </w:r>
      <w:r w:rsidRPr="00A65608">
        <w:rPr>
          <w:rFonts w:asciiTheme="majorHAnsi" w:hAnsiTheme="majorHAnsi" w:cs="Times New Roman"/>
          <w:i/>
          <w:lang w:val="en-US"/>
        </w:rPr>
        <w:t>a transfer price put on a transaction between parts of  a single organization or between members of a group of companies, the term is a way of indicating that is a price arranged within a group and not arrived at in the open market. The term is often used in condemnation because of a suspicion that prices within an organization are readily manipulated to avoid tax or to achieve some other ulterior motive</w:t>
      </w:r>
      <w:r w:rsidRPr="00A65608">
        <w:rPr>
          <w:rFonts w:asciiTheme="majorHAnsi" w:hAnsiTheme="majorHAnsi" w:cs="Times New Roman"/>
          <w:lang w:val="en-US"/>
        </w:rPr>
        <w:t xml:space="preserve">”. </w:t>
      </w:r>
      <w:r w:rsidRPr="00A65608">
        <w:rPr>
          <w:rFonts w:asciiTheme="majorHAnsi" w:hAnsiTheme="majorHAnsi" w:cs="Times New Roman"/>
        </w:rPr>
        <w:t>As regras sobre o preço de transferência e capitalização constam da secção 31 da lei de imposto sobre o rendimento</w:t>
      </w:r>
      <w:r>
        <w:rPr>
          <w:rFonts w:asciiTheme="majorHAnsi" w:hAnsiTheme="majorHAnsi" w:cs="Times New Roman"/>
        </w:rPr>
        <w:t>. (tax act no 58 of 1962)</w:t>
      </w:r>
      <w:r w:rsidRPr="00A65608">
        <w:rPr>
          <w:rFonts w:asciiTheme="majorHAnsi" w:hAnsiTheme="majorHAnsi" w:cs="Times New Roman"/>
        </w:rPr>
        <w:t xml:space="preserve">. Sobre a explicação da secção consultar: - </w:t>
      </w:r>
      <w:hyperlink r:id="rId9" w:history="1">
        <w:r w:rsidRPr="00A65608">
          <w:rPr>
            <w:rStyle w:val="Hiperligao"/>
            <w:rFonts w:asciiTheme="majorHAnsi" w:hAnsiTheme="majorHAnsi" w:cs="Times New Roman"/>
          </w:rPr>
          <w:t>https://www.pwc.com/gx/en/international-transfer-pricing/assets/south-africa.pdf</w:t>
        </w:r>
      </w:hyperlink>
      <w:r w:rsidRPr="00A65608">
        <w:rPr>
          <w:rFonts w:asciiTheme="majorHAnsi" w:hAnsiTheme="majorHAnsi" w:cs="Times New Roman"/>
        </w:rPr>
        <w:t xml:space="preserve"> .</w:t>
      </w:r>
    </w:p>
  </w:footnote>
  <w:footnote w:id="47">
    <w:p w:rsidR="00380199" w:rsidRPr="004D2CA3" w:rsidRDefault="00380199" w:rsidP="00C2335E">
      <w:pPr>
        <w:pStyle w:val="Textodenotaderodap"/>
        <w:rPr>
          <w:lang w:val="en-US"/>
        </w:rPr>
      </w:pPr>
      <w:r w:rsidRPr="00A65608">
        <w:rPr>
          <w:rStyle w:val="Refdenotaderodap"/>
          <w:rFonts w:asciiTheme="majorHAnsi" w:hAnsiTheme="majorHAnsi" w:cs="Times New Roman"/>
        </w:rPr>
        <w:footnoteRef/>
      </w:r>
      <w:r w:rsidRPr="00A65608">
        <w:rPr>
          <w:rFonts w:asciiTheme="majorHAnsi" w:hAnsiTheme="majorHAnsi" w:cs="Times New Roman"/>
          <w:lang w:val="en-US"/>
        </w:rPr>
        <w:t xml:space="preserve"> Cf. </w:t>
      </w:r>
      <w:hyperlink r:id="rId10" w:history="1">
        <w:r w:rsidRPr="00A65608">
          <w:rPr>
            <w:rStyle w:val="Hiperligao"/>
            <w:rFonts w:asciiTheme="majorHAnsi" w:hAnsiTheme="majorHAnsi" w:cs="Times New Roman"/>
            <w:lang w:val="en-US"/>
          </w:rPr>
          <w:t>https://globalconnections.hsbc.com/downloads/treasury_profile-za-2015.pdf</w:t>
        </w:r>
      </w:hyperlink>
    </w:p>
  </w:footnote>
  <w:footnote w:id="48">
    <w:p w:rsidR="00380199" w:rsidRPr="00C7431B" w:rsidRDefault="00380199" w:rsidP="00C2335E">
      <w:pPr>
        <w:pStyle w:val="Textodenotaderodap"/>
        <w:rPr>
          <w:lang w:val="en-US"/>
        </w:rPr>
      </w:pPr>
      <w:r>
        <w:rPr>
          <w:rStyle w:val="Refdenotaderodap"/>
        </w:rPr>
        <w:footnoteRef/>
      </w:r>
      <w:r>
        <w:rPr>
          <w:lang w:val="en-US"/>
        </w:rPr>
        <w:t xml:space="preserve">Cf. </w:t>
      </w:r>
      <w:hyperlink r:id="rId11" w:history="1">
        <w:r w:rsidRPr="00A118B2">
          <w:rPr>
            <w:rStyle w:val="Hiperligao"/>
            <w:lang w:val="en-US"/>
          </w:rPr>
          <w:t>file:///E:/materia%20para%20Cash-pooling/Cash-Pooling-2013-July.pdf</w:t>
        </w:r>
      </w:hyperlink>
    </w:p>
  </w:footnote>
  <w:footnote w:id="49">
    <w:p w:rsidR="00380199" w:rsidRPr="00D26F06" w:rsidRDefault="00380199">
      <w:pPr>
        <w:pStyle w:val="Textodenotaderodap"/>
        <w:rPr>
          <w:rFonts w:asciiTheme="majorHAnsi" w:hAnsiTheme="majorHAnsi"/>
          <w:lang w:val="en-US"/>
        </w:rPr>
      </w:pPr>
      <w:r>
        <w:rPr>
          <w:rStyle w:val="Refdenotaderodap"/>
        </w:rPr>
        <w:footnoteRef/>
      </w:r>
      <w:r w:rsidRPr="00D26F06">
        <w:rPr>
          <w:rFonts w:asciiTheme="majorHAnsi" w:hAnsiTheme="majorHAnsi"/>
          <w:lang w:val="en-US"/>
        </w:rPr>
        <w:t xml:space="preserve">DELOITTE ECONOMISTS’ DEBT PRICING GROUP, </w:t>
      </w:r>
      <w:r w:rsidRPr="00D26F06">
        <w:rPr>
          <w:rFonts w:asciiTheme="majorHAnsi" w:hAnsiTheme="majorHAnsi"/>
          <w:i/>
          <w:lang w:val="en-US"/>
        </w:rPr>
        <w:t>In Practice – Transfer Pricing Implications of Cash Pooling Structures, Tax Management Pricing Repor</w:t>
      </w:r>
      <w:r w:rsidRPr="00D26F06">
        <w:rPr>
          <w:rFonts w:asciiTheme="majorHAnsi" w:hAnsiTheme="majorHAnsi"/>
          <w:lang w:val="en-US"/>
        </w:rPr>
        <w:t>t. – Arlington, Vol. 20 (2012), IBFB, ps. 798 e 799.</w:t>
      </w:r>
    </w:p>
  </w:footnote>
  <w:footnote w:id="50">
    <w:p w:rsidR="00380199" w:rsidRPr="0068068B" w:rsidRDefault="00380199" w:rsidP="00C2335E">
      <w:pPr>
        <w:pStyle w:val="Textodenotaderodap"/>
        <w:rPr>
          <w:rFonts w:asciiTheme="majorHAnsi" w:hAnsiTheme="majorHAnsi"/>
        </w:rPr>
      </w:pPr>
      <w:r>
        <w:rPr>
          <w:rStyle w:val="Refdenotaderodap"/>
        </w:rPr>
        <w:footnoteRef/>
      </w:r>
      <w:r w:rsidRPr="0068068B">
        <w:rPr>
          <w:rFonts w:asciiTheme="majorHAnsi" w:hAnsiTheme="majorHAnsi" w:cs="Times New Roman"/>
        </w:rPr>
        <w:t>Esta obrigação recai sobre todas as entidades do grupo que se tenham beneficiado com a transacção, ou seja, tais entidades podem responder pelos danos que tenham causado aos credores sociais</w:t>
      </w:r>
      <w:r w:rsidRPr="0068068B">
        <w:rPr>
          <w:rFonts w:asciiTheme="majorHAnsi" w:hAnsiTheme="majorHAnsi"/>
        </w:rPr>
        <w:t>.</w:t>
      </w:r>
    </w:p>
  </w:footnote>
  <w:footnote w:id="51">
    <w:p w:rsidR="00380199" w:rsidRPr="0068068B" w:rsidRDefault="00380199" w:rsidP="00C2335E">
      <w:pPr>
        <w:pStyle w:val="Textodenotaderodap"/>
        <w:rPr>
          <w:rFonts w:asciiTheme="majorHAnsi" w:hAnsiTheme="majorHAnsi"/>
        </w:rPr>
      </w:pPr>
      <w:r w:rsidRPr="00DE0F45">
        <w:rPr>
          <w:rStyle w:val="Refdenotaderodap"/>
          <w:rFonts w:ascii="Times New Roman" w:hAnsi="Times New Roman" w:cs="Times New Roman"/>
        </w:rPr>
        <w:footnoteRef/>
      </w:r>
      <w:r w:rsidRPr="0068068B">
        <w:rPr>
          <w:rFonts w:asciiTheme="majorHAnsi" w:hAnsiTheme="majorHAnsi" w:cs="Times New Roman"/>
        </w:rPr>
        <w:t>ABREU, Miguel Teixeira, … ob cit. 2010, p. 16.</w:t>
      </w:r>
    </w:p>
  </w:footnote>
  <w:footnote w:id="52">
    <w:p w:rsidR="00380199" w:rsidRPr="0068068B" w:rsidRDefault="00380199" w:rsidP="00C2335E">
      <w:pPr>
        <w:pStyle w:val="Textodenotaderodap"/>
        <w:rPr>
          <w:rFonts w:asciiTheme="majorHAnsi" w:hAnsiTheme="majorHAnsi"/>
        </w:rPr>
      </w:pPr>
      <w:r w:rsidRPr="0068068B">
        <w:rPr>
          <w:rStyle w:val="Refdenotaderodap"/>
          <w:rFonts w:asciiTheme="majorHAnsi" w:hAnsiTheme="majorHAnsi"/>
        </w:rPr>
        <w:footnoteRef/>
      </w:r>
      <w:r w:rsidRPr="0068068B">
        <w:rPr>
          <w:rFonts w:asciiTheme="majorHAnsi" w:hAnsiTheme="majorHAnsi" w:cs="Times New Roman"/>
        </w:rPr>
        <w:t>Trataremos desta questão de forma mais incisiva quando falarmos sobre a responsabilidade da sociedade directora</w:t>
      </w:r>
      <w:r w:rsidRPr="0068068B">
        <w:rPr>
          <w:rFonts w:asciiTheme="majorHAnsi" w:hAnsiTheme="majorHAnsi"/>
        </w:rPr>
        <w:t xml:space="preserve">. </w:t>
      </w:r>
    </w:p>
  </w:footnote>
  <w:footnote w:id="53">
    <w:p w:rsidR="00380199" w:rsidRPr="000A2A56" w:rsidRDefault="00380199" w:rsidP="000A2A56">
      <w:pPr>
        <w:pStyle w:val="Textodenotaderodap"/>
        <w:rPr>
          <w:rFonts w:asciiTheme="majorHAnsi" w:hAnsiTheme="majorHAnsi"/>
        </w:rPr>
      </w:pPr>
      <w:r w:rsidRPr="00427AC8">
        <w:rPr>
          <w:rStyle w:val="Refdenotaderodap"/>
          <w:rFonts w:asciiTheme="majorHAnsi" w:hAnsiTheme="majorHAnsi"/>
        </w:rPr>
        <w:footnoteRef/>
      </w:r>
      <w:r w:rsidRPr="00427AC8">
        <w:rPr>
          <w:rFonts w:asciiTheme="majorHAnsi" w:hAnsiTheme="majorHAnsi"/>
        </w:rPr>
        <w:t xml:space="preserve"> </w:t>
      </w:r>
      <w:r w:rsidRPr="000A2A56">
        <w:rPr>
          <w:rFonts w:asciiTheme="majorHAnsi" w:hAnsiTheme="majorHAnsi"/>
        </w:rPr>
        <w:t xml:space="preserve">EIZAGUIRRE, J. M., </w:t>
      </w:r>
      <w:r w:rsidRPr="000A2A56">
        <w:rPr>
          <w:rFonts w:asciiTheme="majorHAnsi" w:hAnsiTheme="majorHAnsi"/>
          <w:i/>
        </w:rPr>
        <w:t xml:space="preserve">La cuenta corriente en el concurso, en AA.VV., Estudios de derecho de sociedades y derecho concursal </w:t>
      </w:r>
      <w:r w:rsidRPr="000A2A56">
        <w:rPr>
          <w:rFonts w:asciiTheme="majorHAnsi" w:hAnsiTheme="majorHAnsi"/>
        </w:rPr>
        <w:t>(libro homenaje a R. Garcia Villaverde), Marcial Pons, 2003, p., 1817 (apud Mónica Fluentes)</w:t>
      </w:r>
    </w:p>
  </w:footnote>
  <w:footnote w:id="54">
    <w:p w:rsidR="00380199" w:rsidRPr="000A2A56" w:rsidRDefault="00380199" w:rsidP="000A2A56">
      <w:pPr>
        <w:pStyle w:val="Textodenotaderodap"/>
        <w:rPr>
          <w:rFonts w:asciiTheme="majorHAnsi" w:hAnsiTheme="majorHAnsi"/>
        </w:rPr>
      </w:pPr>
      <w:r w:rsidRPr="000A2A56">
        <w:rPr>
          <w:rStyle w:val="Refdenotaderodap"/>
          <w:rFonts w:asciiTheme="majorHAnsi" w:hAnsiTheme="majorHAnsi"/>
        </w:rPr>
        <w:footnoteRef/>
      </w:r>
      <w:r w:rsidRPr="000A2A56">
        <w:rPr>
          <w:rFonts w:asciiTheme="majorHAnsi" w:hAnsiTheme="majorHAnsi"/>
        </w:rPr>
        <w:t xml:space="preserve">Cf. DACCÒ, Alessandra, </w:t>
      </w:r>
      <w:r w:rsidRPr="000A2A56">
        <w:rPr>
          <w:rFonts w:asciiTheme="majorHAnsi" w:hAnsiTheme="majorHAnsi"/>
          <w:i/>
        </w:rPr>
        <w:t>L´accentramento della tesoreria nei gruppi di societá</w:t>
      </w:r>
      <w:r w:rsidRPr="000A2A56">
        <w:rPr>
          <w:rFonts w:asciiTheme="majorHAnsi" w:hAnsiTheme="majorHAnsi"/>
        </w:rPr>
        <w:t>, Giuffré, Milano, 2002, p. 115.</w:t>
      </w:r>
    </w:p>
  </w:footnote>
  <w:footnote w:id="55">
    <w:p w:rsidR="00380199" w:rsidRPr="000A2A56" w:rsidRDefault="00380199" w:rsidP="000A2A56">
      <w:pPr>
        <w:pStyle w:val="Textodenotaderodap"/>
        <w:rPr>
          <w:rFonts w:asciiTheme="majorHAnsi" w:hAnsiTheme="majorHAnsi"/>
        </w:rPr>
      </w:pPr>
      <w:r w:rsidRPr="000A2A56">
        <w:rPr>
          <w:rStyle w:val="Refdenotaderodap"/>
          <w:rFonts w:asciiTheme="majorHAnsi" w:hAnsiTheme="majorHAnsi"/>
        </w:rPr>
        <w:footnoteRef/>
      </w:r>
      <w:r w:rsidRPr="000A2A56">
        <w:rPr>
          <w:rFonts w:asciiTheme="majorHAnsi" w:hAnsiTheme="majorHAnsi"/>
        </w:rPr>
        <w:t>Cf. Mónica Fluentes, op cit. P. 242.</w:t>
      </w:r>
    </w:p>
  </w:footnote>
  <w:footnote w:id="56">
    <w:p w:rsidR="00380199" w:rsidRPr="00B64A3E" w:rsidRDefault="00380199" w:rsidP="000A2A56">
      <w:pPr>
        <w:pStyle w:val="Textodenotaderodap"/>
        <w:rPr>
          <w:rFonts w:asciiTheme="majorHAnsi" w:hAnsiTheme="majorHAnsi"/>
          <w:lang w:val="pt-BR"/>
        </w:rPr>
      </w:pPr>
      <w:r w:rsidRPr="000A2A56">
        <w:rPr>
          <w:rStyle w:val="Refdenotaderodap"/>
          <w:rFonts w:asciiTheme="majorHAnsi" w:hAnsiTheme="majorHAnsi"/>
        </w:rPr>
        <w:footnoteRef/>
      </w:r>
      <w:r w:rsidRPr="000A2A56">
        <w:rPr>
          <w:rFonts w:asciiTheme="majorHAnsi" w:hAnsiTheme="majorHAnsi" w:cs="Times New Roman"/>
          <w:lang w:val="pt-BR"/>
        </w:rPr>
        <w:t xml:space="preserve">Acompanhamos o defendido por Mónica Fluentes. Cf. </w:t>
      </w:r>
      <w:r w:rsidRPr="000A2A56">
        <w:rPr>
          <w:rFonts w:asciiTheme="majorHAnsi" w:hAnsiTheme="majorHAnsi"/>
        </w:rPr>
        <w:t>Mónica Fluentes, op cit. P. 243</w:t>
      </w:r>
      <w:r>
        <w:rPr>
          <w:rFonts w:asciiTheme="majorHAnsi" w:hAnsiTheme="majorHAnsi"/>
        </w:rPr>
        <w:t xml:space="preserve">. </w:t>
      </w:r>
    </w:p>
  </w:footnote>
  <w:footnote w:id="57">
    <w:p w:rsidR="00380199" w:rsidRDefault="00380199" w:rsidP="00C2335E">
      <w:pPr>
        <w:pStyle w:val="Textodenotaderodap"/>
        <w:rPr>
          <w:rFonts w:asciiTheme="majorHAnsi" w:hAnsiTheme="majorHAnsi" w:cs="Times New Roman"/>
          <w:lang w:val="pt-BR"/>
        </w:rPr>
      </w:pPr>
      <w:r>
        <w:rPr>
          <w:rStyle w:val="Refdenotaderodap"/>
        </w:rPr>
        <w:footnoteRef/>
      </w:r>
      <w:r>
        <w:rPr>
          <w:rFonts w:asciiTheme="majorHAnsi" w:hAnsiTheme="majorHAnsi" w:cs="Times New Roman"/>
          <w:lang w:val="pt-BR"/>
        </w:rPr>
        <w:t xml:space="preserve"> Definição que consta da directiva 98/26/CE – </w:t>
      </w:r>
      <w:hyperlink r:id="rId12" w:history="1">
        <w:r w:rsidRPr="0091174A">
          <w:rPr>
            <w:rStyle w:val="Hiperligao"/>
            <w:rFonts w:asciiTheme="majorHAnsi" w:hAnsiTheme="majorHAnsi" w:cs="Times New Roman"/>
            <w:lang w:val="pt-BR"/>
          </w:rPr>
          <w:t>http://eur-lex.europa.eu/legalcontent/PT/TXT/?uri</w:t>
        </w:r>
      </w:hyperlink>
      <w:r>
        <w:rPr>
          <w:rFonts w:asciiTheme="majorHAnsi" w:hAnsiTheme="majorHAnsi" w:cs="Times New Roman"/>
          <w:lang w:val="pt-BR"/>
        </w:rPr>
        <w:t xml:space="preserve"> = CELEX: 31998L0026.</w:t>
      </w:r>
    </w:p>
    <w:p w:rsidR="00380199" w:rsidRPr="00D0603D" w:rsidRDefault="00380199" w:rsidP="00C2335E">
      <w:pPr>
        <w:pStyle w:val="Textodenotaderodap"/>
        <w:rPr>
          <w:rFonts w:asciiTheme="majorHAnsi" w:hAnsiTheme="majorHAnsi" w:cs="Times New Roman"/>
        </w:rPr>
      </w:pPr>
    </w:p>
    <w:p w:rsidR="00380199" w:rsidRPr="00D0603D" w:rsidRDefault="00380199" w:rsidP="00C2335E">
      <w:pPr>
        <w:pStyle w:val="Textodenotaderodap"/>
        <w:rPr>
          <w:rFonts w:asciiTheme="majorHAnsi" w:hAnsiTheme="majorHAnsi"/>
        </w:rPr>
      </w:pPr>
    </w:p>
  </w:footnote>
  <w:footnote w:id="58">
    <w:p w:rsidR="00380199" w:rsidRPr="001C11F8" w:rsidRDefault="00380199" w:rsidP="00C2335E">
      <w:pPr>
        <w:pStyle w:val="Textodenotaderodap"/>
        <w:rPr>
          <w:rFonts w:ascii="Times New Roman" w:hAnsi="Times New Roman" w:cs="Times New Roman"/>
        </w:rPr>
      </w:pPr>
      <w:r>
        <w:rPr>
          <w:rStyle w:val="Refdenotaderodap"/>
        </w:rPr>
        <w:footnoteRef/>
      </w:r>
      <w:r w:rsidRPr="00C0076A">
        <w:rPr>
          <w:rFonts w:asciiTheme="majorHAnsi" w:hAnsiTheme="majorHAnsi" w:cs="Times New Roman"/>
        </w:rPr>
        <w:t xml:space="preserve">CALIUMI, Federico, </w:t>
      </w:r>
      <w:r w:rsidRPr="00C0076A">
        <w:rPr>
          <w:rFonts w:asciiTheme="majorHAnsi" w:hAnsiTheme="majorHAnsi" w:cs="Times New Roman"/>
          <w:i/>
        </w:rPr>
        <w:t>La tesoreria centralizatta: aspetti fiscali internazionali,</w:t>
      </w:r>
      <w:r w:rsidRPr="00C0076A">
        <w:rPr>
          <w:rFonts w:asciiTheme="majorHAnsi" w:hAnsiTheme="majorHAnsi" w:cs="Times New Roman"/>
        </w:rPr>
        <w:t xml:space="preserve"> 2001/2002, p. 27-31.</w:t>
      </w:r>
    </w:p>
  </w:footnote>
  <w:footnote w:id="59">
    <w:p w:rsidR="00380199" w:rsidRPr="000E4714" w:rsidRDefault="00380199" w:rsidP="00C2335E">
      <w:pPr>
        <w:pStyle w:val="Textodenotaderodap"/>
        <w:rPr>
          <w:rFonts w:ascii="Times New Roman" w:hAnsi="Times New Roman" w:cs="Times New Roman"/>
          <w:lang w:val="en-US"/>
        </w:rPr>
      </w:pPr>
      <w:r w:rsidRPr="003F5E70">
        <w:rPr>
          <w:rStyle w:val="Refdenotaderodap"/>
          <w:rFonts w:ascii="Times New Roman" w:hAnsi="Times New Roman" w:cs="Times New Roman"/>
        </w:rPr>
        <w:footnoteRef/>
      </w:r>
      <w:r w:rsidRPr="003F5E70">
        <w:rPr>
          <w:rFonts w:ascii="Times New Roman" w:hAnsi="Times New Roman" w:cs="Times New Roman"/>
          <w:lang w:val="en-US"/>
        </w:rPr>
        <w:t xml:space="preserve">VEHLEN, E., </w:t>
      </w:r>
      <w:r>
        <w:rPr>
          <w:rFonts w:ascii="Times New Roman" w:hAnsi="Times New Roman" w:cs="Times New Roman"/>
          <w:i/>
          <w:lang w:val="en-US"/>
        </w:rPr>
        <w:t>S</w:t>
      </w:r>
      <w:r w:rsidRPr="00624DBD">
        <w:rPr>
          <w:rFonts w:ascii="Times New Roman" w:hAnsi="Times New Roman" w:cs="Times New Roman"/>
          <w:i/>
          <w:lang w:val="en-US"/>
        </w:rPr>
        <w:t>onstige</w:t>
      </w:r>
      <w:r>
        <w:rPr>
          <w:rFonts w:ascii="Times New Roman" w:hAnsi="Times New Roman" w:cs="Times New Roman"/>
          <w:i/>
          <w:lang w:val="en-US"/>
        </w:rPr>
        <w:t xml:space="preserve"> </w:t>
      </w:r>
      <w:r w:rsidRPr="00624DBD">
        <w:rPr>
          <w:rFonts w:ascii="Times New Roman" w:hAnsi="Times New Roman" w:cs="Times New Roman"/>
          <w:i/>
          <w:lang w:val="en-US"/>
        </w:rPr>
        <w:t>Massnanhmen der Konzern – finanzierung das Cash-Management imkonzern</w:t>
      </w:r>
      <w:r w:rsidRPr="003F5E70">
        <w:rPr>
          <w:rFonts w:ascii="Times New Roman" w:hAnsi="Times New Roman" w:cs="Times New Roman"/>
          <w:lang w:val="en-US"/>
        </w:rPr>
        <w:t>, AA.VV, Handbuch</w:t>
      </w:r>
      <w:r>
        <w:rPr>
          <w:rFonts w:ascii="Times New Roman" w:hAnsi="Times New Roman" w:cs="Times New Roman"/>
          <w:lang w:val="en-US"/>
        </w:rPr>
        <w:t>. (apud Mónica Fluentes, p. 243).</w:t>
      </w:r>
    </w:p>
  </w:footnote>
  <w:footnote w:id="60">
    <w:p w:rsidR="00380199" w:rsidRPr="00D932A2" w:rsidRDefault="00380199" w:rsidP="00E40A38">
      <w:pPr>
        <w:pStyle w:val="Textodenotaderodap"/>
        <w:rPr>
          <w:rFonts w:asciiTheme="majorHAnsi" w:hAnsiTheme="majorHAnsi" w:cs="Times New Roman"/>
        </w:rPr>
      </w:pPr>
      <w:r w:rsidRPr="00D932A2">
        <w:rPr>
          <w:rStyle w:val="Refdenotaderodap"/>
          <w:rFonts w:asciiTheme="majorHAnsi" w:hAnsiTheme="majorHAnsi"/>
        </w:rPr>
        <w:footnoteRef/>
      </w:r>
      <w:r w:rsidRPr="00D932A2">
        <w:rPr>
          <w:rFonts w:asciiTheme="majorHAnsi" w:hAnsiTheme="majorHAnsi" w:cs="Times New Roman"/>
        </w:rPr>
        <w:t>FUENTES, Mónica op., cit, p. 247.</w:t>
      </w:r>
    </w:p>
  </w:footnote>
  <w:footnote w:id="61">
    <w:p w:rsidR="00380199" w:rsidRPr="001C562A" w:rsidRDefault="00380199" w:rsidP="00E40A38">
      <w:pPr>
        <w:pStyle w:val="Textodenotaderodap"/>
        <w:rPr>
          <w:lang w:val="en-US"/>
        </w:rPr>
      </w:pPr>
      <w:r>
        <w:rPr>
          <w:rStyle w:val="Refdenotaderodap"/>
        </w:rPr>
        <w:footnoteRef/>
      </w:r>
      <w:r w:rsidRPr="00161EDD">
        <w:rPr>
          <w:rFonts w:ascii="Times New Roman" w:hAnsi="Times New Roman" w:cs="Times New Roman"/>
          <w:lang w:val="en-US"/>
        </w:rPr>
        <w:t xml:space="preserve">VETTER, J.,/SCHAWANDTNER, C., </w:t>
      </w:r>
      <w:r w:rsidRPr="00161EDD">
        <w:rPr>
          <w:rFonts w:ascii="Times New Roman" w:hAnsi="Times New Roman" w:cs="Times New Roman"/>
          <w:i/>
          <w:lang w:val="en-US"/>
        </w:rPr>
        <w:t>Cash pooling Under the revised German Private Limited companies Act (GmbHG),</w:t>
      </w:r>
      <w:r w:rsidRPr="00161EDD">
        <w:rPr>
          <w:rFonts w:ascii="Times New Roman" w:hAnsi="Times New Roman" w:cs="Times New Roman"/>
          <w:lang w:val="en-US"/>
        </w:rPr>
        <w:t xml:space="preserve"> German Law Journal, Vol. 9, p.1162, </w:t>
      </w:r>
      <w:r>
        <w:rPr>
          <w:rFonts w:ascii="Times New Roman" w:hAnsi="Times New Roman" w:cs="Times New Roman"/>
          <w:lang w:val="en-US"/>
        </w:rPr>
        <w:t xml:space="preserve">(apud MÓNICA, </w:t>
      </w:r>
      <w:r w:rsidRPr="00161EDD">
        <w:rPr>
          <w:rFonts w:ascii="Times New Roman" w:hAnsi="Times New Roman" w:cs="Times New Roman"/>
          <w:lang w:val="en-US"/>
        </w:rPr>
        <w:t>2014, p. 248).</w:t>
      </w:r>
    </w:p>
  </w:footnote>
  <w:footnote w:id="62">
    <w:p w:rsidR="00380199" w:rsidRPr="0001193A" w:rsidRDefault="00380199" w:rsidP="00E40A38">
      <w:pPr>
        <w:pStyle w:val="Textodenotaderodap"/>
        <w:rPr>
          <w:rFonts w:asciiTheme="majorHAnsi" w:hAnsiTheme="majorHAnsi"/>
          <w:lang w:val="en-US"/>
        </w:rPr>
      </w:pPr>
      <w:r>
        <w:rPr>
          <w:rStyle w:val="Refdenotaderodap"/>
        </w:rPr>
        <w:footnoteRef/>
      </w:r>
      <w:r w:rsidRPr="0001193A">
        <w:rPr>
          <w:rFonts w:asciiTheme="majorHAnsi" w:hAnsiTheme="majorHAnsi" w:cs="Times New Roman"/>
          <w:lang w:val="en-US"/>
        </w:rPr>
        <w:t>VETTER/SCHWANDTNER, op. Cit., p 1166 (apud MÓNICA FUENTES, 2014, p. 249)</w:t>
      </w:r>
    </w:p>
  </w:footnote>
  <w:footnote w:id="63">
    <w:p w:rsidR="00380199" w:rsidRPr="001229C8" w:rsidRDefault="00380199" w:rsidP="00E40A38">
      <w:pPr>
        <w:pStyle w:val="Textodenotaderodap"/>
      </w:pPr>
      <w:r>
        <w:rPr>
          <w:rStyle w:val="Refdenotaderodap"/>
        </w:rPr>
        <w:footnoteRef/>
      </w:r>
      <w:r>
        <w:t xml:space="preserve"> </w:t>
      </w:r>
      <w:r w:rsidRPr="00EF705A">
        <w:rPr>
          <w:rFonts w:asciiTheme="majorHAnsi" w:hAnsiTheme="majorHAnsi"/>
        </w:rPr>
        <w:t xml:space="preserve">OLIVEIRA, Ana Perestrelo, </w:t>
      </w:r>
      <w:r w:rsidRPr="00EF705A">
        <w:rPr>
          <w:rFonts w:asciiTheme="majorHAnsi" w:hAnsiTheme="majorHAnsi"/>
          <w:i/>
        </w:rPr>
        <w:t>Manual de Corporate finance,</w:t>
      </w:r>
      <w:r w:rsidRPr="00EF705A">
        <w:rPr>
          <w:rFonts w:asciiTheme="majorHAnsi" w:hAnsiTheme="majorHAnsi"/>
        </w:rPr>
        <w:t xml:space="preserve"> 2015, p. 286</w:t>
      </w:r>
      <w:r>
        <w:t>.</w:t>
      </w:r>
    </w:p>
  </w:footnote>
  <w:footnote w:id="64">
    <w:p w:rsidR="00380199" w:rsidRPr="00010A83" w:rsidRDefault="00380199" w:rsidP="00E40A38">
      <w:pPr>
        <w:pStyle w:val="Textodenotaderodap"/>
        <w:rPr>
          <w:rFonts w:asciiTheme="majorHAnsi" w:hAnsiTheme="majorHAnsi"/>
        </w:rPr>
      </w:pPr>
      <w:r w:rsidRPr="00010A83">
        <w:rPr>
          <w:rStyle w:val="Refdenotaderodap"/>
          <w:rFonts w:asciiTheme="majorHAnsi" w:hAnsiTheme="majorHAnsi"/>
        </w:rPr>
        <w:footnoteRef/>
      </w:r>
      <w:r w:rsidRPr="00010A83">
        <w:rPr>
          <w:rFonts w:asciiTheme="majorHAnsi" w:eastAsia="Batang" w:hAnsiTheme="majorHAnsi" w:cs="Times New Roman"/>
          <w:lang w:val="pt-BR" w:eastAsia="pt-PT"/>
        </w:rPr>
        <w:t>A nossa lei societária não tem um preceito equivalente ao do art. 32.º/2 do CSC que se refere aos incrementos da aplicação do justo valor, sendo que se pode aferir de forma directa o critério contabilístico. Todavia e por força do preceituado no art. 33.º ‒ que limita a distribuição dos bens da sociedade aos sócios à análise prévia da situação líquida da sociedade e, sendo certo de que o apuramento da situação líquida da sociedade é feito por meio das contas aprovadas, contas estas que integram o balanço e as demonstrações de resultados  (instrumentos contabilísticos), permitindo-nos inferir de forma indirecta o critério contabilístico.</w:t>
      </w:r>
    </w:p>
  </w:footnote>
  <w:footnote w:id="65">
    <w:p w:rsidR="00380199" w:rsidRPr="00D442D4" w:rsidRDefault="00380199" w:rsidP="00E40A38">
      <w:pPr>
        <w:pStyle w:val="Textodenotaderodap"/>
        <w:rPr>
          <w:rFonts w:ascii="Times New Roman" w:hAnsi="Times New Roman" w:cs="Times New Roman"/>
          <w:lang w:val="pt-BR"/>
        </w:rPr>
      </w:pPr>
      <w:r w:rsidRPr="00010A83">
        <w:rPr>
          <w:rStyle w:val="Refdenotaderodap"/>
          <w:rFonts w:asciiTheme="majorHAnsi" w:hAnsiTheme="majorHAnsi" w:cs="Times New Roman"/>
        </w:rPr>
        <w:footnoteRef/>
      </w:r>
      <w:r w:rsidRPr="00010A83">
        <w:rPr>
          <w:rFonts w:asciiTheme="majorHAnsi" w:hAnsiTheme="majorHAnsi" w:cs="Times New Roman"/>
          <w:lang w:val="pt-BR"/>
        </w:rPr>
        <w:t xml:space="preserve">DOMINGUES, Paulo de Tarso, </w:t>
      </w:r>
      <w:r w:rsidRPr="00010A83">
        <w:rPr>
          <w:rFonts w:asciiTheme="majorHAnsi" w:hAnsiTheme="majorHAnsi" w:cs="Times New Roman"/>
          <w:i/>
          <w:lang w:val="pt-BR"/>
        </w:rPr>
        <w:t xml:space="preserve">Do capital social/Noção, princípios e funções, </w:t>
      </w:r>
      <w:r w:rsidRPr="00010A83">
        <w:rPr>
          <w:rFonts w:asciiTheme="majorHAnsi" w:hAnsiTheme="majorHAnsi" w:cs="Times New Roman"/>
          <w:lang w:val="pt-BR"/>
        </w:rPr>
        <w:t>1998; 2.ª ed., 2004, p.108.</w:t>
      </w:r>
    </w:p>
  </w:footnote>
  <w:footnote w:id="66">
    <w:p w:rsidR="00380199" w:rsidRPr="00010A83" w:rsidRDefault="00380199" w:rsidP="00E40A38">
      <w:pPr>
        <w:pStyle w:val="Textodenotaderodap"/>
        <w:rPr>
          <w:rFonts w:asciiTheme="majorHAnsi" w:hAnsiTheme="majorHAnsi" w:cs="Times New Roman"/>
          <w:i/>
          <w:lang w:val="pt-BR"/>
        </w:rPr>
      </w:pPr>
      <w:r w:rsidRPr="00D442D4">
        <w:rPr>
          <w:rStyle w:val="Refdenotaderodap"/>
          <w:rFonts w:ascii="Times New Roman" w:hAnsi="Times New Roman" w:cs="Times New Roman"/>
        </w:rPr>
        <w:footnoteRef/>
      </w:r>
      <w:r w:rsidRPr="00010A83">
        <w:rPr>
          <w:rFonts w:asciiTheme="majorHAnsi" w:hAnsiTheme="majorHAnsi" w:cs="Times New Roman"/>
          <w:lang w:val="pt-BR"/>
        </w:rPr>
        <w:t>CORDEIRO, Menez</w:t>
      </w:r>
      <w:r>
        <w:rPr>
          <w:rFonts w:asciiTheme="majorHAnsi" w:hAnsiTheme="majorHAnsi" w:cs="Times New Roman"/>
          <w:lang w:val="pt-BR"/>
        </w:rPr>
        <w:t xml:space="preserve">es, </w:t>
      </w:r>
      <w:r w:rsidRPr="00D0116B">
        <w:rPr>
          <w:rFonts w:asciiTheme="majorHAnsi" w:hAnsiTheme="majorHAnsi" w:cs="Times New Roman"/>
          <w:i/>
          <w:lang w:val="pt-BR"/>
        </w:rPr>
        <w:t>O direito das sociedades</w:t>
      </w:r>
      <w:r>
        <w:rPr>
          <w:rFonts w:asciiTheme="majorHAnsi" w:hAnsiTheme="majorHAnsi" w:cs="Times New Roman"/>
          <w:lang w:val="pt-BR"/>
        </w:rPr>
        <w:t>, op</w:t>
      </w:r>
      <w:r w:rsidRPr="00010A83">
        <w:rPr>
          <w:rFonts w:asciiTheme="majorHAnsi" w:hAnsiTheme="majorHAnsi" w:cs="Times New Roman"/>
          <w:lang w:val="pt-BR"/>
        </w:rPr>
        <w:t>., cit., p. 660.</w:t>
      </w:r>
    </w:p>
  </w:footnote>
  <w:footnote w:id="67">
    <w:p w:rsidR="00380199" w:rsidRPr="005B7075" w:rsidRDefault="00380199" w:rsidP="00E40A38">
      <w:pPr>
        <w:pStyle w:val="Textodenotaderodap"/>
        <w:rPr>
          <w:rFonts w:ascii="Times New Roman" w:hAnsi="Times New Roman" w:cs="Times New Roman"/>
          <w:lang w:val="pt-BR"/>
        </w:rPr>
      </w:pPr>
      <w:r w:rsidRPr="00010A83">
        <w:rPr>
          <w:rStyle w:val="Refdenotaderodap"/>
          <w:rFonts w:asciiTheme="majorHAnsi" w:hAnsiTheme="majorHAnsi" w:cs="Times New Roman"/>
        </w:rPr>
        <w:footnoteRef/>
      </w:r>
      <w:r w:rsidRPr="00010A83">
        <w:rPr>
          <w:rFonts w:asciiTheme="majorHAnsi" w:hAnsiTheme="majorHAnsi" w:cs="Times New Roman"/>
          <w:lang w:val="pt-BR"/>
        </w:rPr>
        <w:t>Adoptado com base no defendido pela aut</w:t>
      </w:r>
      <w:r>
        <w:rPr>
          <w:rFonts w:asciiTheme="majorHAnsi" w:hAnsiTheme="majorHAnsi" w:cs="Times New Roman"/>
          <w:lang w:val="pt-BR"/>
        </w:rPr>
        <w:t xml:space="preserve">ora OLIVEIRA, Ana Perestrelo, </w:t>
      </w:r>
      <w:r w:rsidRPr="00010A83">
        <w:rPr>
          <w:rFonts w:asciiTheme="majorHAnsi" w:hAnsiTheme="majorHAnsi" w:cs="Times New Roman"/>
          <w:i/>
          <w:lang w:val="pt-BR"/>
        </w:rPr>
        <w:t>Os grupos..</w:t>
      </w:r>
      <w:r w:rsidRPr="00010A83">
        <w:rPr>
          <w:rFonts w:asciiTheme="majorHAnsi" w:hAnsiTheme="majorHAnsi" w:cs="Times New Roman"/>
          <w:lang w:val="pt-BR"/>
        </w:rPr>
        <w:t>ob., cit., p. 524 /743.</w:t>
      </w:r>
    </w:p>
  </w:footnote>
  <w:footnote w:id="68">
    <w:p w:rsidR="00380199" w:rsidRPr="00215F14" w:rsidRDefault="00380199" w:rsidP="00A52501">
      <w:pPr>
        <w:pStyle w:val="Textodenotaderodap"/>
        <w:rPr>
          <w:rFonts w:asciiTheme="majorHAnsi" w:hAnsiTheme="majorHAnsi" w:cs="Times New Roman"/>
        </w:rPr>
      </w:pPr>
      <w:r w:rsidRPr="008855F2">
        <w:rPr>
          <w:rStyle w:val="Refdenotaderodap"/>
          <w:rFonts w:ascii="Times New Roman" w:hAnsi="Times New Roman" w:cs="Times New Roman"/>
        </w:rPr>
        <w:footnoteRef/>
      </w:r>
      <w:r w:rsidRPr="00E239A2">
        <w:rPr>
          <w:rFonts w:ascii="Times New Roman" w:hAnsi="Times New Roman" w:cs="Times New Roman"/>
        </w:rPr>
        <w:t xml:space="preserve"> </w:t>
      </w:r>
      <w:r w:rsidRPr="00215F14">
        <w:rPr>
          <w:rFonts w:asciiTheme="majorHAnsi" w:hAnsiTheme="majorHAnsi" w:cs="Times New Roman"/>
        </w:rPr>
        <w:t>Sobre a limitação da capacidade de gozo pelo princípio da especialidade, acompanhamos o defendido por PEDRO DE ALBUQUERQUE</w:t>
      </w:r>
      <w:r w:rsidRPr="00215F14">
        <w:rPr>
          <w:rFonts w:asciiTheme="majorHAnsi" w:hAnsiTheme="majorHAnsi" w:cs="Times New Roman"/>
          <w:i/>
        </w:rPr>
        <w:t xml:space="preserve">, Da prestação de garantias por sociedades a dívida de outras entidades, </w:t>
      </w:r>
      <w:r w:rsidRPr="00215F14">
        <w:rPr>
          <w:rFonts w:asciiTheme="majorHAnsi" w:hAnsiTheme="majorHAnsi" w:cs="Times New Roman"/>
        </w:rPr>
        <w:t xml:space="preserve">ROA, Ano 57, I, 1997, p. 72., ANTÓNIO MENEZES CORDEIRO, </w:t>
      </w:r>
      <w:r w:rsidRPr="00215F14">
        <w:rPr>
          <w:rFonts w:asciiTheme="majorHAnsi" w:hAnsiTheme="majorHAnsi" w:cs="Times New Roman"/>
          <w:i/>
        </w:rPr>
        <w:t>Direito das sociedades I parte geral</w:t>
      </w:r>
      <w:r w:rsidRPr="00215F14">
        <w:rPr>
          <w:rFonts w:asciiTheme="majorHAnsi" w:hAnsiTheme="majorHAnsi" w:cs="Times New Roman"/>
        </w:rPr>
        <w:t xml:space="preserve">, Almedina, 3ª edição ampliada e actualizada, 2011, p. 381, e ANA PERESTRELO DE OLIVEIRA, </w:t>
      </w:r>
      <w:r w:rsidRPr="00215F14">
        <w:rPr>
          <w:rFonts w:asciiTheme="majorHAnsi" w:hAnsiTheme="majorHAnsi" w:cs="Times New Roman"/>
          <w:i/>
        </w:rPr>
        <w:t>Manual de grupos de sociedades</w:t>
      </w:r>
      <w:r w:rsidRPr="00215F14">
        <w:rPr>
          <w:rFonts w:asciiTheme="majorHAnsi" w:hAnsiTheme="majorHAnsi" w:cs="Times New Roman"/>
        </w:rPr>
        <w:t>, Almedina, 2016, p. 187.</w:t>
      </w:r>
    </w:p>
  </w:footnote>
  <w:footnote w:id="69">
    <w:p w:rsidR="00380199" w:rsidRPr="008855F2" w:rsidRDefault="00380199" w:rsidP="00A52501">
      <w:pPr>
        <w:pStyle w:val="Textodenotaderodap"/>
      </w:pPr>
      <w:r w:rsidRPr="008855F2">
        <w:rPr>
          <w:rStyle w:val="Refdenotaderodap"/>
          <w:rFonts w:ascii="Times New Roman" w:hAnsi="Times New Roman" w:cs="Times New Roman"/>
        </w:rPr>
        <w:footnoteRef/>
      </w:r>
      <w:r w:rsidRPr="008855F2">
        <w:rPr>
          <w:rFonts w:ascii="Times New Roman" w:hAnsi="Times New Roman" w:cs="Times New Roman"/>
        </w:rPr>
        <w:t xml:space="preserve"> Cf. </w:t>
      </w:r>
      <w:r>
        <w:rPr>
          <w:rFonts w:ascii="Times New Roman" w:hAnsi="Times New Roman" w:cs="Times New Roman"/>
        </w:rPr>
        <w:t xml:space="preserve">ABREU, </w:t>
      </w:r>
      <w:r w:rsidRPr="008855F2">
        <w:rPr>
          <w:rFonts w:ascii="Times New Roman" w:hAnsi="Times New Roman" w:cs="Times New Roman"/>
        </w:rPr>
        <w:t>M</w:t>
      </w:r>
      <w:r>
        <w:rPr>
          <w:rFonts w:ascii="Times New Roman" w:hAnsi="Times New Roman" w:cs="Times New Roman"/>
        </w:rPr>
        <w:t>iguel Teixeira,</w:t>
      </w:r>
      <w:r w:rsidRPr="008855F2">
        <w:rPr>
          <w:rFonts w:ascii="Times New Roman" w:hAnsi="Times New Roman" w:cs="Times New Roman"/>
        </w:rPr>
        <w:t xml:space="preserve"> </w:t>
      </w:r>
      <w:r w:rsidRPr="008855F2">
        <w:rPr>
          <w:rFonts w:ascii="Times New Roman" w:hAnsi="Times New Roman" w:cs="Times New Roman"/>
          <w:i/>
        </w:rPr>
        <w:t>Centros de Gestão de tesouraria – questões legais e fiscais numa perspectiva portuguesa</w:t>
      </w:r>
      <w:r>
        <w:rPr>
          <w:rFonts w:ascii="Times New Roman" w:hAnsi="Times New Roman" w:cs="Times New Roman"/>
        </w:rPr>
        <w:t>, Revista da banca nº 51, 2001, p. 34.</w:t>
      </w:r>
    </w:p>
  </w:footnote>
  <w:footnote w:id="70">
    <w:p w:rsidR="00380199" w:rsidRDefault="00380199" w:rsidP="00A52501">
      <w:pPr>
        <w:pStyle w:val="Textodenotaderodap"/>
      </w:pPr>
      <w:r>
        <w:rPr>
          <w:rStyle w:val="Refdenotaderodap"/>
        </w:rPr>
        <w:footnoteRef/>
      </w:r>
      <w:r>
        <w:t xml:space="preserve"> </w:t>
      </w:r>
      <w:r w:rsidRPr="008855F2">
        <w:rPr>
          <w:rFonts w:ascii="Times New Roman" w:hAnsi="Times New Roman" w:cs="Times New Roman"/>
        </w:rPr>
        <w:t xml:space="preserve">Cf. </w:t>
      </w:r>
      <w:r>
        <w:rPr>
          <w:rFonts w:ascii="Times New Roman" w:hAnsi="Times New Roman" w:cs="Times New Roman"/>
        </w:rPr>
        <w:t xml:space="preserve">ABREU, </w:t>
      </w:r>
      <w:r w:rsidRPr="008855F2">
        <w:rPr>
          <w:rFonts w:ascii="Times New Roman" w:hAnsi="Times New Roman" w:cs="Times New Roman"/>
        </w:rPr>
        <w:t>M</w:t>
      </w:r>
      <w:r>
        <w:rPr>
          <w:rFonts w:ascii="Times New Roman" w:hAnsi="Times New Roman" w:cs="Times New Roman"/>
        </w:rPr>
        <w:t>iguel Teixeira,</w:t>
      </w:r>
      <w:r w:rsidRPr="008855F2">
        <w:rPr>
          <w:rFonts w:ascii="Times New Roman" w:hAnsi="Times New Roman" w:cs="Times New Roman"/>
        </w:rPr>
        <w:t xml:space="preserve"> </w:t>
      </w:r>
      <w:r w:rsidRPr="008855F2">
        <w:rPr>
          <w:rFonts w:ascii="Times New Roman" w:hAnsi="Times New Roman" w:cs="Times New Roman"/>
          <w:i/>
        </w:rPr>
        <w:t>Centros de Gestão de tesouraria – questões legais e fiscais numa perspectiva portuguesa</w:t>
      </w:r>
      <w:r>
        <w:rPr>
          <w:rFonts w:ascii="Times New Roman" w:hAnsi="Times New Roman" w:cs="Times New Roman"/>
        </w:rPr>
        <w:t>, Revista da banca nº 51, 2001, p.35.</w:t>
      </w:r>
    </w:p>
  </w:footnote>
  <w:footnote w:id="71">
    <w:p w:rsidR="00380199" w:rsidRPr="00DB56F8" w:rsidRDefault="00380199" w:rsidP="00057C8D">
      <w:pPr>
        <w:pStyle w:val="Textodenotaderodap"/>
        <w:rPr>
          <w:rFonts w:ascii="Times New Roman" w:hAnsi="Times New Roman" w:cs="Times New Roman"/>
          <w:lang w:val="pt-BR"/>
        </w:rPr>
      </w:pPr>
      <w:r>
        <w:rPr>
          <w:rStyle w:val="Refdenotaderodap"/>
        </w:rPr>
        <w:footnoteRef/>
      </w:r>
      <w:r>
        <w:rPr>
          <w:rFonts w:ascii="Times New Roman" w:hAnsi="Times New Roman" w:cs="Times New Roman"/>
          <w:lang w:val="pt-BR"/>
        </w:rPr>
        <w:t xml:space="preserve">OLIVEIRA, Ana Perestrelo, </w:t>
      </w:r>
      <w:r w:rsidRPr="00BD14CF">
        <w:rPr>
          <w:rFonts w:ascii="Times New Roman" w:hAnsi="Times New Roman" w:cs="Times New Roman"/>
          <w:i/>
          <w:lang w:val="pt-BR"/>
        </w:rPr>
        <w:t>Código das sociedades comerciais anotado, coord. MENEZES CORDEIRO</w:t>
      </w:r>
      <w:r w:rsidRPr="00DB56F8">
        <w:rPr>
          <w:rFonts w:ascii="Times New Roman" w:hAnsi="Times New Roman" w:cs="Times New Roman"/>
          <w:lang w:val="pt-BR"/>
        </w:rPr>
        <w:t>, Almedina, 2014, p. 1231.</w:t>
      </w:r>
    </w:p>
  </w:footnote>
  <w:footnote w:id="72">
    <w:p w:rsidR="00380199" w:rsidRPr="00057C8D" w:rsidRDefault="00380199" w:rsidP="00057C8D">
      <w:pPr>
        <w:pStyle w:val="Textodenotaderodap"/>
        <w:rPr>
          <w:rFonts w:asciiTheme="majorHAnsi" w:hAnsiTheme="majorHAnsi" w:cs="Times New Roman"/>
        </w:rPr>
      </w:pPr>
      <w:r w:rsidRPr="00DB56F8">
        <w:rPr>
          <w:rStyle w:val="Refdenotaderodap"/>
          <w:rFonts w:ascii="Times New Roman" w:hAnsi="Times New Roman" w:cs="Times New Roman"/>
        </w:rPr>
        <w:footnoteRef/>
      </w:r>
      <w:r w:rsidRPr="00DB56F8">
        <w:rPr>
          <w:rFonts w:ascii="Times New Roman" w:hAnsi="Times New Roman" w:cs="Times New Roman"/>
        </w:rPr>
        <w:t xml:space="preserve"> </w:t>
      </w:r>
      <w:r w:rsidRPr="00057C8D">
        <w:rPr>
          <w:rFonts w:asciiTheme="majorHAnsi" w:hAnsiTheme="majorHAnsi" w:cs="Times New Roman"/>
        </w:rPr>
        <w:t xml:space="preserve">FILIPE, Pedro José, </w:t>
      </w:r>
      <w:r w:rsidRPr="00057C8D">
        <w:rPr>
          <w:rFonts w:asciiTheme="majorHAnsi" w:hAnsiTheme="majorHAnsi" w:cs="Times New Roman"/>
          <w:i/>
        </w:rPr>
        <w:t>Grupos de sociedades à luz da realidade jurídica angolana</w:t>
      </w:r>
      <w:r w:rsidRPr="00057C8D">
        <w:rPr>
          <w:rFonts w:asciiTheme="majorHAnsi" w:hAnsiTheme="majorHAnsi" w:cs="Times New Roman"/>
        </w:rPr>
        <w:t>, 2016, p. 121.</w:t>
      </w:r>
    </w:p>
  </w:footnote>
  <w:footnote w:id="73">
    <w:p w:rsidR="00380199" w:rsidRPr="00057C8D" w:rsidRDefault="00380199" w:rsidP="00057C8D">
      <w:pPr>
        <w:pStyle w:val="Textodenotaderodap"/>
        <w:rPr>
          <w:rFonts w:asciiTheme="majorHAnsi" w:hAnsiTheme="majorHAnsi" w:cs="Times New Roman"/>
        </w:rPr>
      </w:pPr>
      <w:r w:rsidRPr="00057C8D">
        <w:rPr>
          <w:rStyle w:val="Refdenotaderodap"/>
          <w:rFonts w:asciiTheme="majorHAnsi" w:hAnsiTheme="majorHAnsi" w:cs="Times New Roman"/>
        </w:rPr>
        <w:footnoteRef/>
      </w:r>
      <w:r w:rsidRPr="00057C8D">
        <w:rPr>
          <w:rFonts w:asciiTheme="majorHAnsi" w:hAnsiTheme="majorHAnsi" w:cs="Times New Roman"/>
        </w:rPr>
        <w:t>Pedro José Filipe entende que este dever de informar, imposto as sociedades em relação de domínio é distinto dos deveres exigidos as sociedades em relação de simples participação e de participação recíprocas, uma vez que o teor da primeira distingue-se das demais, no entanto não descarta a possibilidade de se aplicar analogicamente às relações de d</w:t>
      </w:r>
      <w:r>
        <w:rPr>
          <w:rFonts w:asciiTheme="majorHAnsi" w:hAnsiTheme="majorHAnsi" w:cs="Times New Roman"/>
        </w:rPr>
        <w:t>omínio, o regime das demais., op</w:t>
      </w:r>
      <w:r w:rsidRPr="00057C8D">
        <w:rPr>
          <w:rFonts w:asciiTheme="majorHAnsi" w:hAnsiTheme="majorHAnsi" w:cs="Times New Roman"/>
        </w:rPr>
        <w:t xml:space="preserve"> cit p. 130</w:t>
      </w:r>
    </w:p>
  </w:footnote>
  <w:footnote w:id="74">
    <w:p w:rsidR="00380199" w:rsidRPr="00057C8D" w:rsidRDefault="00380199" w:rsidP="00057C8D">
      <w:pPr>
        <w:pStyle w:val="Textodenotaderodap"/>
        <w:rPr>
          <w:rFonts w:asciiTheme="majorHAnsi" w:hAnsiTheme="majorHAnsi" w:cs="Times New Roman"/>
        </w:rPr>
      </w:pPr>
      <w:r w:rsidRPr="00057C8D">
        <w:rPr>
          <w:rStyle w:val="Refdenotaderodap"/>
          <w:rFonts w:asciiTheme="majorHAnsi" w:hAnsiTheme="majorHAnsi"/>
        </w:rPr>
        <w:footnoteRef/>
      </w:r>
      <w:r w:rsidRPr="00057C8D">
        <w:rPr>
          <w:rFonts w:asciiTheme="majorHAnsi" w:hAnsiTheme="majorHAnsi" w:cs="Times New Roman"/>
        </w:rPr>
        <w:t>Verificamos que apesar do dever de comunicar ser uma realidade congénere dos regimes anteriores, o regime sancionatório, apresenta-se completamente distinto, uma vez que estabelece a regra da nulidade pela violação do dever de comunicar.</w:t>
      </w:r>
    </w:p>
  </w:footnote>
  <w:footnote w:id="75">
    <w:p w:rsidR="00380199" w:rsidRPr="00057C8D" w:rsidRDefault="00380199" w:rsidP="00057C8D">
      <w:pPr>
        <w:pStyle w:val="Textodenotaderodap"/>
        <w:rPr>
          <w:rFonts w:asciiTheme="majorHAnsi" w:hAnsiTheme="majorHAnsi"/>
        </w:rPr>
      </w:pPr>
      <w:r w:rsidRPr="00057C8D">
        <w:rPr>
          <w:rStyle w:val="Refdenotaderodap"/>
          <w:rFonts w:asciiTheme="majorHAnsi" w:hAnsiTheme="majorHAnsi" w:cs="Times New Roman"/>
        </w:rPr>
        <w:footnoteRef/>
      </w:r>
      <w:r w:rsidRPr="00057C8D">
        <w:rPr>
          <w:rFonts w:asciiTheme="majorHAnsi" w:hAnsiTheme="majorHAnsi" w:cs="Times New Roman"/>
        </w:rPr>
        <w:t xml:space="preserve"> TRIGO, Maria da Graça, </w:t>
      </w:r>
      <w:r w:rsidRPr="00057C8D">
        <w:rPr>
          <w:rFonts w:asciiTheme="majorHAnsi" w:hAnsiTheme="majorHAnsi" w:cs="Times New Roman"/>
          <w:i/>
        </w:rPr>
        <w:t>Os grupos …,</w:t>
      </w:r>
      <w:r w:rsidRPr="00057C8D">
        <w:rPr>
          <w:rFonts w:asciiTheme="majorHAnsi" w:hAnsiTheme="majorHAnsi" w:cs="Times New Roman"/>
        </w:rPr>
        <w:t xml:space="preserve"> </w:t>
      </w:r>
      <w:r>
        <w:rPr>
          <w:rFonts w:asciiTheme="majorHAnsi" w:hAnsiTheme="majorHAnsi" w:cs="Times New Roman"/>
        </w:rPr>
        <w:t>op</w:t>
      </w:r>
      <w:r w:rsidRPr="00057C8D">
        <w:rPr>
          <w:rFonts w:asciiTheme="majorHAnsi" w:hAnsiTheme="majorHAnsi" w:cs="Times New Roman"/>
        </w:rPr>
        <w:t xml:space="preserve"> cit., p., 70.</w:t>
      </w:r>
    </w:p>
  </w:footnote>
  <w:footnote w:id="76">
    <w:p w:rsidR="00380199" w:rsidRPr="0069315D" w:rsidRDefault="00380199" w:rsidP="00057C8D">
      <w:pPr>
        <w:pStyle w:val="Textodenotaderodap"/>
        <w:rPr>
          <w:rFonts w:ascii="Times New Roman" w:hAnsi="Times New Roman" w:cs="Times New Roman"/>
        </w:rPr>
      </w:pPr>
      <w:r w:rsidRPr="0069315D">
        <w:rPr>
          <w:rStyle w:val="Refdenotaderodap"/>
          <w:rFonts w:ascii="Times New Roman" w:hAnsi="Times New Roman" w:cs="Times New Roman"/>
        </w:rPr>
        <w:footnoteRef/>
      </w:r>
      <w:r>
        <w:rPr>
          <w:rFonts w:ascii="Times New Roman" w:hAnsi="Times New Roman" w:cs="Times New Roman"/>
        </w:rPr>
        <w:t xml:space="preserve"> Adaptado OLIVEIRA, Ana Perestrelo</w:t>
      </w:r>
      <w:r w:rsidRPr="0069315D">
        <w:rPr>
          <w:rFonts w:ascii="Times New Roman" w:hAnsi="Times New Roman" w:cs="Times New Roman"/>
        </w:rPr>
        <w:t xml:space="preserve">, </w:t>
      </w:r>
      <w:r w:rsidRPr="009B214C">
        <w:rPr>
          <w:rFonts w:ascii="Times New Roman" w:hAnsi="Times New Roman" w:cs="Times New Roman"/>
          <w:i/>
        </w:rPr>
        <w:t>Código das Sociedades comerciais anotado</w:t>
      </w:r>
      <w:r>
        <w:rPr>
          <w:rFonts w:ascii="Times New Roman" w:hAnsi="Times New Roman" w:cs="Times New Roman"/>
        </w:rPr>
        <w:t>, C</w:t>
      </w:r>
      <w:r w:rsidRPr="0069315D">
        <w:rPr>
          <w:rFonts w:ascii="Times New Roman" w:hAnsi="Times New Roman" w:cs="Times New Roman"/>
        </w:rPr>
        <w:t>oordenado por MENEZES CORDEIRO, Almedina, 2014, p 1309.</w:t>
      </w:r>
    </w:p>
  </w:footnote>
  <w:footnote w:id="77">
    <w:p w:rsidR="00380199" w:rsidRPr="0069315D" w:rsidRDefault="00380199" w:rsidP="00057C8D">
      <w:pPr>
        <w:pStyle w:val="Textodenotaderodap"/>
      </w:pPr>
      <w:r w:rsidRPr="0069315D">
        <w:rPr>
          <w:rStyle w:val="Refdenotaderodap"/>
          <w:rFonts w:ascii="Times New Roman" w:hAnsi="Times New Roman" w:cs="Times New Roman"/>
        </w:rPr>
        <w:footnoteRef/>
      </w:r>
      <w:r w:rsidRPr="0069315D">
        <w:rPr>
          <w:rFonts w:ascii="Times New Roman" w:hAnsi="Times New Roman" w:cs="Times New Roman"/>
        </w:rPr>
        <w:t>LUTHER</w:t>
      </w:r>
      <w:r>
        <w:rPr>
          <w:rFonts w:ascii="Times New Roman" w:hAnsi="Times New Roman" w:cs="Times New Roman"/>
        </w:rPr>
        <w:t xml:space="preserve">, Gilberto, </w:t>
      </w:r>
      <w:r w:rsidRPr="009B214C">
        <w:rPr>
          <w:rFonts w:ascii="Times New Roman" w:hAnsi="Times New Roman" w:cs="Times New Roman"/>
          <w:i/>
        </w:rPr>
        <w:t>A responsabilidade solidária do sócio e o Direito de dar instruções nos grupos de sociedades</w:t>
      </w:r>
      <w:r w:rsidRPr="0069315D">
        <w:rPr>
          <w:rFonts w:ascii="Times New Roman" w:hAnsi="Times New Roman" w:cs="Times New Roman"/>
        </w:rPr>
        <w:t>, 2011, p. 175.</w:t>
      </w:r>
    </w:p>
  </w:footnote>
  <w:footnote w:id="78">
    <w:p w:rsidR="00380199" w:rsidRPr="008E10C3" w:rsidRDefault="00380199" w:rsidP="00057C8D">
      <w:pPr>
        <w:pStyle w:val="Textodenotaderodap"/>
      </w:pPr>
      <w:r w:rsidRPr="00355238">
        <w:rPr>
          <w:rStyle w:val="Refdenotaderodap"/>
          <w:rFonts w:ascii="Times New Roman" w:hAnsi="Times New Roman" w:cs="Times New Roman"/>
        </w:rPr>
        <w:footnoteRef/>
      </w:r>
      <w:r>
        <w:rPr>
          <w:rFonts w:ascii="Times New Roman" w:hAnsi="Times New Roman" w:cs="Times New Roman"/>
        </w:rPr>
        <w:t xml:space="preserve"> </w:t>
      </w:r>
      <w:r w:rsidRPr="00355238">
        <w:rPr>
          <w:rFonts w:ascii="Times New Roman" w:hAnsi="Times New Roman" w:cs="Times New Roman"/>
        </w:rPr>
        <w:t xml:space="preserve">OLIVEIRA, </w:t>
      </w:r>
      <w:r>
        <w:rPr>
          <w:rFonts w:ascii="Times New Roman" w:hAnsi="Times New Roman" w:cs="Times New Roman"/>
        </w:rPr>
        <w:t xml:space="preserve">Ana Perestrelo, </w:t>
      </w:r>
      <w:r w:rsidRPr="00BD14CF">
        <w:rPr>
          <w:rFonts w:ascii="Times New Roman" w:hAnsi="Times New Roman" w:cs="Times New Roman"/>
          <w:i/>
        </w:rPr>
        <w:t>Manual de Corporate Finance</w:t>
      </w:r>
      <w:r w:rsidRPr="00355238">
        <w:rPr>
          <w:rFonts w:ascii="Times New Roman" w:hAnsi="Times New Roman" w:cs="Times New Roman"/>
          <w:i/>
        </w:rPr>
        <w:t>,</w:t>
      </w:r>
      <w:r w:rsidRPr="00355238">
        <w:rPr>
          <w:rFonts w:ascii="Times New Roman" w:hAnsi="Times New Roman" w:cs="Times New Roman"/>
        </w:rPr>
        <w:t xml:space="preserve"> Almedina, 2015, p.282.</w:t>
      </w:r>
    </w:p>
  </w:footnote>
  <w:footnote w:id="79">
    <w:p w:rsidR="00380199" w:rsidRPr="00BE613A" w:rsidRDefault="00380199">
      <w:pPr>
        <w:pStyle w:val="Textodenotaderodap"/>
        <w:rPr>
          <w:rFonts w:asciiTheme="majorHAnsi" w:hAnsiTheme="majorHAnsi"/>
        </w:rPr>
      </w:pPr>
      <w:r>
        <w:rPr>
          <w:rStyle w:val="Refdenotaderodap"/>
        </w:rPr>
        <w:footnoteRef/>
      </w:r>
      <w:r>
        <w:t xml:space="preserve"> </w:t>
      </w:r>
      <w:r w:rsidRPr="00BE613A">
        <w:rPr>
          <w:rFonts w:asciiTheme="majorHAnsi" w:hAnsiTheme="majorHAnsi"/>
        </w:rPr>
        <w:t xml:space="preserve">CORDEIRO, Menezes, </w:t>
      </w:r>
      <w:r w:rsidRPr="00BE613A">
        <w:rPr>
          <w:rFonts w:asciiTheme="majorHAnsi" w:hAnsiTheme="majorHAnsi"/>
          <w:i/>
        </w:rPr>
        <w:t>Tratado de direito civil português, I, parte geral, Tomo III</w:t>
      </w:r>
      <w:r w:rsidRPr="00BE613A">
        <w:rPr>
          <w:rFonts w:asciiTheme="majorHAnsi" w:hAnsiTheme="majorHAnsi"/>
        </w:rPr>
        <w:t>, Almedina, Coimbra, 2004, p.627-649.</w:t>
      </w:r>
    </w:p>
  </w:footnote>
  <w:footnote w:id="80">
    <w:p w:rsidR="00380199" w:rsidRPr="008A37A7" w:rsidRDefault="00380199">
      <w:pPr>
        <w:pStyle w:val="Textodenotaderodap"/>
        <w:rPr>
          <w:rFonts w:asciiTheme="majorHAnsi" w:hAnsiTheme="majorHAnsi"/>
        </w:rPr>
      </w:pPr>
      <w:r>
        <w:rPr>
          <w:rStyle w:val="Refdenotaderodap"/>
        </w:rPr>
        <w:footnoteRef/>
      </w:r>
      <w:r>
        <w:t xml:space="preserve"> </w:t>
      </w:r>
      <w:r w:rsidRPr="008A37A7">
        <w:rPr>
          <w:rFonts w:asciiTheme="majorHAnsi" w:hAnsiTheme="majorHAnsi"/>
        </w:rPr>
        <w:t xml:space="preserve">CORDEIRO, Pedro, </w:t>
      </w:r>
      <w:r w:rsidRPr="008A37A7">
        <w:rPr>
          <w:rFonts w:asciiTheme="majorHAnsi" w:hAnsiTheme="majorHAnsi"/>
          <w:i/>
        </w:rPr>
        <w:t>A desconsideração da personalidade jurídica nas sociedades comerciais, in Novas perspectivas do direito comercial</w:t>
      </w:r>
      <w:r w:rsidRPr="008A37A7">
        <w:rPr>
          <w:rFonts w:asciiTheme="majorHAnsi" w:hAnsiTheme="majorHAnsi"/>
        </w:rPr>
        <w:t xml:space="preserve">, Faculdade de direito da universidade clássica de Lisboa, Centro de estudos judiciários, Almedina, Coimbra, 1998. </w:t>
      </w:r>
    </w:p>
  </w:footnote>
  <w:footnote w:id="81">
    <w:p w:rsidR="00380199" w:rsidRDefault="00380199">
      <w:pPr>
        <w:pStyle w:val="Textodenotaderodap"/>
      </w:pPr>
      <w:r>
        <w:rPr>
          <w:rStyle w:val="Refdenotaderodap"/>
        </w:rPr>
        <w:footnoteRef/>
      </w:r>
      <w:r>
        <w:t xml:space="preserve"> </w:t>
      </w:r>
      <w:r w:rsidRPr="005A584B">
        <w:rPr>
          <w:rFonts w:asciiTheme="majorHAnsi" w:hAnsiTheme="majorHAnsi"/>
        </w:rPr>
        <w:t xml:space="preserve">RIBEIRO, Maria de Fátima, </w:t>
      </w:r>
      <w:r w:rsidRPr="005A584B">
        <w:rPr>
          <w:rFonts w:asciiTheme="majorHAnsi" w:hAnsiTheme="majorHAnsi"/>
          <w:i/>
        </w:rPr>
        <w:t>A tutela dos credores das sociedades por quotas e a desconsideração da personalidade jurídica</w:t>
      </w:r>
      <w:r w:rsidRPr="005A584B">
        <w:rPr>
          <w:rFonts w:asciiTheme="majorHAnsi" w:hAnsiTheme="majorHAnsi"/>
        </w:rPr>
        <w:t>, Almedina, Coimbra, 405-408.</w:t>
      </w:r>
    </w:p>
  </w:footnote>
  <w:footnote w:id="82">
    <w:p w:rsidR="00380199" w:rsidRPr="00EB2A4E" w:rsidRDefault="00380199">
      <w:pPr>
        <w:pStyle w:val="Textodenotaderodap"/>
        <w:rPr>
          <w:rFonts w:asciiTheme="majorHAnsi" w:hAnsiTheme="majorHAnsi"/>
        </w:rPr>
      </w:pPr>
      <w:r w:rsidRPr="00EB2A4E">
        <w:rPr>
          <w:rStyle w:val="Refdenotaderodap"/>
          <w:rFonts w:asciiTheme="majorHAnsi" w:hAnsiTheme="majorHAnsi"/>
        </w:rPr>
        <w:footnoteRef/>
      </w:r>
      <w:r w:rsidRPr="00EB2A4E">
        <w:rPr>
          <w:rFonts w:asciiTheme="majorHAnsi" w:hAnsiTheme="majorHAnsi"/>
        </w:rPr>
        <w:t xml:space="preserve">Acórdão do Tribunal da Relação de Lisboa de 06 de Setembro de 2018, processo n.º 6530/14, disponível em </w:t>
      </w:r>
      <w:hyperlink r:id="rId13" w:history="1">
        <w:r w:rsidRPr="00EB2A4E">
          <w:rPr>
            <w:rStyle w:val="Hiperligao"/>
            <w:rFonts w:asciiTheme="majorHAnsi" w:hAnsiTheme="majorHAnsi"/>
          </w:rPr>
          <w:t>http://www.dgsi.pt/jtrl.nsf/e6e1f17fa82712ff80257583004e3ddc/1ec4ee27fc50294580258312002fdceb?openDocument</w:t>
        </w:r>
      </w:hyperlink>
      <w:r w:rsidRPr="00EB2A4E">
        <w:rPr>
          <w:rFonts w:asciiTheme="majorHAnsi" w:hAnsiTheme="majorHAnsi"/>
        </w:rPr>
        <w:t xml:space="preserve"> </w:t>
      </w:r>
    </w:p>
  </w:footnote>
  <w:footnote w:id="83">
    <w:p w:rsidR="00380199" w:rsidRPr="00E0472D" w:rsidRDefault="00380199">
      <w:pPr>
        <w:pStyle w:val="Textodenotaderodap"/>
        <w:rPr>
          <w:rFonts w:asciiTheme="majorHAnsi" w:hAnsiTheme="majorHAnsi"/>
        </w:rPr>
      </w:pPr>
      <w:r>
        <w:rPr>
          <w:rStyle w:val="Refdenotaderodap"/>
        </w:rPr>
        <w:footnoteRef/>
      </w:r>
      <w:r>
        <w:t xml:space="preserve"> </w:t>
      </w:r>
      <w:r w:rsidRPr="00E0472D">
        <w:rPr>
          <w:rFonts w:asciiTheme="majorHAnsi" w:hAnsiTheme="majorHAnsi"/>
        </w:rPr>
        <w:t>ABREU, J.</w:t>
      </w:r>
      <w:r>
        <w:rPr>
          <w:rFonts w:asciiTheme="majorHAnsi" w:hAnsiTheme="majorHAnsi"/>
        </w:rPr>
        <w:t xml:space="preserve"> </w:t>
      </w:r>
      <w:r w:rsidRPr="00E0472D">
        <w:rPr>
          <w:rFonts w:asciiTheme="majorHAnsi" w:hAnsiTheme="majorHAnsi"/>
        </w:rPr>
        <w:t>M</w:t>
      </w:r>
      <w:r>
        <w:rPr>
          <w:rFonts w:asciiTheme="majorHAnsi" w:hAnsiTheme="majorHAnsi"/>
        </w:rPr>
        <w:t>.</w:t>
      </w:r>
      <w:r w:rsidRPr="00E0472D">
        <w:rPr>
          <w:rFonts w:asciiTheme="majorHAnsi" w:hAnsiTheme="majorHAnsi"/>
        </w:rPr>
        <w:t xml:space="preserve"> Coutinho, </w:t>
      </w:r>
      <w:r w:rsidRPr="0014543C">
        <w:rPr>
          <w:rFonts w:asciiTheme="majorHAnsi" w:hAnsiTheme="majorHAnsi"/>
          <w:i/>
        </w:rPr>
        <w:t>Responsabilidade civil das sociedades em relação de domínio</w:t>
      </w:r>
      <w:r w:rsidRPr="00E0472D">
        <w:rPr>
          <w:rFonts w:asciiTheme="majorHAnsi" w:hAnsiTheme="majorHAnsi"/>
        </w:rPr>
        <w:t>, Scientia Ivridica, Maio-Agosto, 2012, Tomo LXI - Nº 329, p. 237.</w:t>
      </w:r>
    </w:p>
  </w:footnote>
  <w:footnote w:id="84">
    <w:p w:rsidR="00380199" w:rsidRPr="00241BB5" w:rsidRDefault="00380199" w:rsidP="005609B7">
      <w:pPr>
        <w:pStyle w:val="Textodenotaderodap"/>
        <w:rPr>
          <w:rFonts w:asciiTheme="majorHAnsi" w:hAnsiTheme="majorHAnsi"/>
        </w:rPr>
      </w:pPr>
      <w:r>
        <w:rPr>
          <w:rStyle w:val="Refdenotaderodap"/>
        </w:rPr>
        <w:footnoteRef/>
      </w:r>
      <w:r>
        <w:t xml:space="preserve"> </w:t>
      </w:r>
      <w:r w:rsidRPr="00241BB5">
        <w:rPr>
          <w:rFonts w:asciiTheme="majorHAnsi" w:hAnsiTheme="majorHAnsi"/>
        </w:rPr>
        <w:t>FILIPE, Pedro José</w:t>
      </w:r>
      <w:r w:rsidRPr="00241BB5">
        <w:rPr>
          <w:rFonts w:asciiTheme="majorHAnsi" w:hAnsiTheme="majorHAnsi" w:cs="Times New Roman"/>
        </w:rPr>
        <w:t>, Grupos de sociedades…</w:t>
      </w:r>
      <w:r>
        <w:rPr>
          <w:rFonts w:asciiTheme="majorHAnsi" w:hAnsiTheme="majorHAnsi" w:cs="Times New Roman"/>
        </w:rPr>
        <w:t xml:space="preserve"> op</w:t>
      </w:r>
      <w:r w:rsidRPr="00241BB5">
        <w:rPr>
          <w:rFonts w:asciiTheme="majorHAnsi" w:hAnsiTheme="majorHAnsi" w:cs="Times New Roman"/>
        </w:rPr>
        <w:t xml:space="preserve"> cit., 2014, p.40 e ss.</w:t>
      </w:r>
      <w:r w:rsidRPr="00241BB5">
        <w:rPr>
          <w:rFonts w:asciiTheme="majorHAnsi" w:hAnsiTheme="majorHAnsi"/>
        </w:rPr>
        <w:t xml:space="preserve"> </w:t>
      </w:r>
    </w:p>
  </w:footnote>
  <w:footnote w:id="85">
    <w:p w:rsidR="00380199" w:rsidRPr="00241BB5" w:rsidRDefault="00380199" w:rsidP="005609B7">
      <w:pPr>
        <w:pStyle w:val="Textodenotaderodap"/>
        <w:rPr>
          <w:rFonts w:asciiTheme="majorHAnsi" w:hAnsiTheme="majorHAnsi" w:cs="Times New Roman"/>
        </w:rPr>
      </w:pPr>
      <w:r w:rsidRPr="00241BB5">
        <w:rPr>
          <w:rStyle w:val="Refdenotaderodap"/>
          <w:rFonts w:asciiTheme="majorHAnsi" w:hAnsiTheme="majorHAnsi"/>
        </w:rPr>
        <w:footnoteRef/>
      </w:r>
      <w:r w:rsidRPr="00241BB5">
        <w:rPr>
          <w:rFonts w:asciiTheme="majorHAnsi" w:hAnsiTheme="majorHAnsi" w:cs="Times New Roman"/>
        </w:rPr>
        <w:t>CUNHA, Tânia Meireles, Da Responsabilidade dos Gestores de Sociedades perante os Credores Sociais: A Culpa nas Responsabilidades Civil e Tributária, Almedina, Maio, 2004, p. 40</w:t>
      </w:r>
    </w:p>
  </w:footnote>
  <w:footnote w:id="86">
    <w:p w:rsidR="00380199" w:rsidRPr="00E57F5E" w:rsidRDefault="00380199" w:rsidP="005609B7">
      <w:pPr>
        <w:pStyle w:val="Textodenotaderodap"/>
        <w:rPr>
          <w:rFonts w:ascii="Times New Roman" w:hAnsi="Times New Roman" w:cs="Times New Roman"/>
        </w:rPr>
      </w:pPr>
      <w:r w:rsidRPr="00241BB5">
        <w:rPr>
          <w:rStyle w:val="Refdenotaderodap"/>
          <w:rFonts w:asciiTheme="majorHAnsi" w:hAnsiTheme="majorHAnsi" w:cs="Times New Roman"/>
        </w:rPr>
        <w:footnoteRef/>
      </w:r>
      <w:r w:rsidRPr="00241BB5">
        <w:rPr>
          <w:rFonts w:asciiTheme="majorHAnsi" w:hAnsiTheme="majorHAnsi" w:cs="Times New Roman"/>
        </w:rPr>
        <w:t xml:space="preserve"> VENTURA, Ventura, Sociedade por Quotas – Comentário ao Código das Sociedades Comerciais, Volume III, apud, COSTA, Ricardo, Deveres Gerais dos Administradores e “Gestor Criterioso e Ordenado”, in Direito das Sociedades em Revista: I Congresso, Almedina, 2011, p.186.</w:t>
      </w:r>
    </w:p>
  </w:footnote>
  <w:footnote w:id="87">
    <w:p w:rsidR="00380199" w:rsidRPr="00241BB5" w:rsidRDefault="00380199" w:rsidP="00241BB5">
      <w:pPr>
        <w:pStyle w:val="Textodenotaderodap"/>
        <w:rPr>
          <w:rFonts w:asciiTheme="majorHAnsi" w:hAnsiTheme="majorHAnsi" w:cs="Times New Roman"/>
        </w:rPr>
      </w:pPr>
      <w:r>
        <w:rPr>
          <w:rStyle w:val="Refdenotaderodap"/>
        </w:rPr>
        <w:footnoteRef/>
      </w:r>
      <w:r>
        <w:t xml:space="preserve"> </w:t>
      </w:r>
      <w:r w:rsidRPr="00241BB5">
        <w:rPr>
          <w:rFonts w:asciiTheme="majorHAnsi" w:hAnsiTheme="majorHAnsi" w:cs="Times New Roman"/>
        </w:rPr>
        <w:t>COSTA,</w:t>
      </w:r>
      <w:r>
        <w:rPr>
          <w:rFonts w:asciiTheme="majorHAnsi" w:hAnsiTheme="majorHAnsi" w:cs="Times New Roman"/>
        </w:rPr>
        <w:t xml:space="preserve"> Ricardo, idem, op</w:t>
      </w:r>
      <w:r w:rsidRPr="00241BB5">
        <w:rPr>
          <w:rFonts w:asciiTheme="majorHAnsi" w:hAnsiTheme="majorHAnsi" w:cs="Times New Roman"/>
        </w:rPr>
        <w:t xml:space="preserve"> cit., p. 171-172</w:t>
      </w:r>
    </w:p>
  </w:footnote>
  <w:footnote w:id="88">
    <w:p w:rsidR="00380199" w:rsidRPr="00241BB5" w:rsidRDefault="00380199" w:rsidP="00241BB5">
      <w:pPr>
        <w:pStyle w:val="Textodenotaderodap"/>
        <w:rPr>
          <w:rFonts w:asciiTheme="majorHAnsi" w:hAnsiTheme="majorHAnsi" w:cs="Times New Roman"/>
        </w:rPr>
      </w:pPr>
      <w:r w:rsidRPr="00241BB5">
        <w:rPr>
          <w:rStyle w:val="Refdenotaderodap"/>
          <w:rFonts w:asciiTheme="majorHAnsi" w:hAnsiTheme="majorHAnsi"/>
        </w:rPr>
        <w:footnoteRef/>
      </w:r>
      <w:r w:rsidRPr="00241BB5">
        <w:rPr>
          <w:rFonts w:asciiTheme="majorHAnsi" w:hAnsiTheme="majorHAnsi"/>
        </w:rPr>
        <w:t xml:space="preserve"> </w:t>
      </w:r>
      <w:r w:rsidRPr="00241BB5">
        <w:rPr>
          <w:rFonts w:asciiTheme="majorHAnsi" w:hAnsiTheme="majorHAnsi" w:cs="Times New Roman"/>
        </w:rPr>
        <w:t xml:space="preserve">Importa realçar que os administradores não são responsáveis por todo e qualquer resultado danoso que ocorrer com o património da sociedade « (…) mas tão-só por factos domináveis pela vontade que revelem uma degradação da diligência do gestor ordenado e criterioso.». – </w:t>
      </w:r>
      <w:r>
        <w:rPr>
          <w:rFonts w:asciiTheme="majorHAnsi" w:hAnsiTheme="majorHAnsi" w:cs="Times New Roman"/>
        </w:rPr>
        <w:t>RAMOS, Maria Elisabete Gomes, op</w:t>
      </w:r>
      <w:r w:rsidRPr="00241BB5">
        <w:rPr>
          <w:rFonts w:asciiTheme="majorHAnsi" w:hAnsiTheme="majorHAnsi" w:cs="Times New Roman"/>
        </w:rPr>
        <w:t xml:space="preserve"> cit., p.219. </w:t>
      </w:r>
    </w:p>
  </w:footnote>
  <w:footnote w:id="89">
    <w:p w:rsidR="00380199" w:rsidRPr="00241BB5" w:rsidRDefault="00380199" w:rsidP="00241BB5">
      <w:pPr>
        <w:pStyle w:val="Textodenotaderodap"/>
        <w:rPr>
          <w:rFonts w:asciiTheme="majorHAnsi" w:hAnsiTheme="majorHAnsi" w:cs="Times New Roman"/>
        </w:rPr>
      </w:pPr>
      <w:r w:rsidRPr="00241BB5">
        <w:rPr>
          <w:rStyle w:val="Refdenotaderodap"/>
          <w:rFonts w:asciiTheme="majorHAnsi" w:hAnsiTheme="majorHAnsi"/>
        </w:rPr>
        <w:footnoteRef/>
      </w:r>
      <w:r w:rsidRPr="00241BB5">
        <w:rPr>
          <w:rFonts w:asciiTheme="majorHAnsi" w:hAnsiTheme="majorHAnsi"/>
        </w:rPr>
        <w:t xml:space="preserve"> </w:t>
      </w:r>
      <w:r w:rsidRPr="00241BB5">
        <w:rPr>
          <w:rFonts w:asciiTheme="majorHAnsi" w:hAnsiTheme="majorHAnsi" w:cs="Times New Roman"/>
        </w:rPr>
        <w:t xml:space="preserve"> OLIVEIRA, Ana Perestrelo, </w:t>
      </w:r>
      <w:r w:rsidRPr="00241BB5">
        <w:rPr>
          <w:rFonts w:asciiTheme="majorHAnsi" w:hAnsiTheme="majorHAnsi" w:cs="Times New Roman"/>
          <w:i/>
        </w:rPr>
        <w:t>Manual de Grupos de Sociedades</w:t>
      </w:r>
      <w:r w:rsidRPr="00241BB5">
        <w:rPr>
          <w:rFonts w:asciiTheme="majorHAnsi" w:hAnsiTheme="majorHAnsi" w:cs="Times New Roman"/>
        </w:rPr>
        <w:t>, Almedina, Maio, 2016, p.305.</w:t>
      </w:r>
    </w:p>
  </w:footnote>
  <w:footnote w:id="90">
    <w:p w:rsidR="00380199" w:rsidRPr="00241BB5" w:rsidRDefault="00380199" w:rsidP="00241BB5">
      <w:pPr>
        <w:pStyle w:val="Textodenotaderodap"/>
        <w:rPr>
          <w:rFonts w:asciiTheme="majorHAnsi" w:hAnsiTheme="majorHAnsi"/>
        </w:rPr>
      </w:pPr>
      <w:r w:rsidRPr="00241BB5">
        <w:rPr>
          <w:rStyle w:val="Refdenotaderodap"/>
          <w:rFonts w:asciiTheme="majorHAnsi" w:hAnsiTheme="majorHAnsi"/>
        </w:rPr>
        <w:footnoteRef/>
      </w:r>
      <w:r w:rsidRPr="00241BB5">
        <w:rPr>
          <w:rFonts w:asciiTheme="majorHAnsi" w:hAnsiTheme="majorHAnsi"/>
        </w:rPr>
        <w:t xml:space="preserve"> </w:t>
      </w:r>
      <w:r w:rsidRPr="00241BB5">
        <w:rPr>
          <w:rFonts w:asciiTheme="majorHAnsi" w:hAnsiTheme="majorHAnsi" w:cs="Times New Roman"/>
        </w:rPr>
        <w:t>OLIVEIRA, Ana Perestrelo, op cit., p.305.</w:t>
      </w:r>
    </w:p>
  </w:footnote>
  <w:footnote w:id="91">
    <w:p w:rsidR="00380199" w:rsidRPr="00241BB5" w:rsidRDefault="00380199" w:rsidP="00241BB5">
      <w:pPr>
        <w:pStyle w:val="Textodenotaderodap"/>
        <w:rPr>
          <w:rFonts w:asciiTheme="majorHAnsi" w:hAnsiTheme="majorHAnsi" w:cs="Times New Roman"/>
        </w:rPr>
      </w:pPr>
      <w:r w:rsidRPr="00241BB5">
        <w:rPr>
          <w:rStyle w:val="Refdenotaderodap"/>
          <w:rFonts w:asciiTheme="majorHAnsi" w:hAnsiTheme="majorHAnsi" w:cs="Times New Roman"/>
        </w:rPr>
        <w:footnoteRef/>
      </w:r>
      <w:r w:rsidRPr="00241BB5">
        <w:rPr>
          <w:rFonts w:asciiTheme="majorHAnsi" w:hAnsiTheme="majorHAnsi" w:cs="Times New Roman"/>
        </w:rPr>
        <w:t xml:space="preserve"> CORDEIRO, Menezes, A lealdade no Direito das sociedades, ROA 66 (2006), p. 1032 e ss.</w:t>
      </w:r>
    </w:p>
  </w:footnote>
  <w:footnote w:id="92">
    <w:p w:rsidR="00380199" w:rsidRPr="00241BB5" w:rsidRDefault="00380199" w:rsidP="00241BB5">
      <w:pPr>
        <w:pStyle w:val="Textodenotaderodap"/>
        <w:rPr>
          <w:rFonts w:asciiTheme="majorHAnsi" w:hAnsiTheme="majorHAnsi" w:cs="Times New Roman"/>
        </w:rPr>
      </w:pPr>
      <w:r w:rsidRPr="00241BB5">
        <w:rPr>
          <w:rStyle w:val="Refdenotaderodap"/>
          <w:rFonts w:asciiTheme="majorHAnsi" w:hAnsiTheme="majorHAnsi" w:cs="Times New Roman"/>
        </w:rPr>
        <w:footnoteRef/>
      </w:r>
      <w:r w:rsidRPr="00241BB5">
        <w:rPr>
          <w:rFonts w:asciiTheme="majorHAnsi" w:hAnsiTheme="majorHAnsi" w:cs="Times New Roman"/>
        </w:rPr>
        <w:t xml:space="preserve"> CORDEIRO, Menezes, (coord.) </w:t>
      </w:r>
      <w:r w:rsidRPr="00241BB5">
        <w:rPr>
          <w:rFonts w:asciiTheme="majorHAnsi" w:hAnsiTheme="majorHAnsi" w:cs="Times New Roman"/>
          <w:i/>
        </w:rPr>
        <w:t>Código das sociedades Comerciais anotados</w:t>
      </w:r>
      <w:r w:rsidRPr="00241BB5">
        <w:rPr>
          <w:rFonts w:asciiTheme="majorHAnsi" w:hAnsiTheme="majorHAnsi" w:cs="Times New Roman"/>
        </w:rPr>
        <w:t>, Coimbra, 2009, artigo 64.º, p.253.</w:t>
      </w:r>
    </w:p>
  </w:footnote>
  <w:footnote w:id="93">
    <w:p w:rsidR="00380199" w:rsidRPr="00AE4D67" w:rsidRDefault="00380199" w:rsidP="005609B7">
      <w:pPr>
        <w:pStyle w:val="Textodenotaderodap"/>
        <w:rPr>
          <w:rFonts w:asciiTheme="majorHAnsi" w:hAnsiTheme="majorHAnsi" w:cs="Times New Roman"/>
        </w:rPr>
      </w:pPr>
      <w:r w:rsidRPr="009D6308">
        <w:rPr>
          <w:rStyle w:val="Refdenotaderodap"/>
          <w:rFonts w:ascii="Times New Roman" w:hAnsi="Times New Roman" w:cs="Times New Roman"/>
        </w:rPr>
        <w:footnoteRef/>
      </w:r>
      <w:r>
        <w:rPr>
          <w:rFonts w:ascii="Times New Roman" w:hAnsi="Times New Roman" w:cs="Times New Roman"/>
        </w:rPr>
        <w:t xml:space="preserve"> </w:t>
      </w:r>
      <w:r w:rsidRPr="00AE4D67">
        <w:rPr>
          <w:rFonts w:asciiTheme="majorHAnsi" w:hAnsiTheme="majorHAnsi" w:cs="Times New Roman"/>
        </w:rPr>
        <w:t xml:space="preserve">OLIVEIRA, Ana Perestrelo, </w:t>
      </w:r>
      <w:r w:rsidRPr="00AE4D67">
        <w:rPr>
          <w:rFonts w:asciiTheme="majorHAnsi" w:hAnsiTheme="majorHAnsi" w:cs="Times New Roman"/>
          <w:i/>
        </w:rPr>
        <w:t>Manual de Grupos de Sociedades</w:t>
      </w:r>
      <w:r w:rsidRPr="00AE4D67">
        <w:rPr>
          <w:rFonts w:asciiTheme="majorHAnsi" w:hAnsiTheme="majorHAnsi" w:cs="Times New Roman"/>
        </w:rPr>
        <w:t>, Almedina, 2016, p.,312. A autora chama atenção para a falta de normas legais que incidem sobre a problemática da delimitação dos deveres de administrar nos grupos de sociedades, alegando que a falta de definição do conteúdo do dever de administrar torna, a nível do grupo menos precisa a delimitação dos poderes de administração dos órgãos da sociedade directora em face dos órgãos da sociedade subordinada”.</w:t>
      </w:r>
    </w:p>
  </w:footnote>
  <w:footnote w:id="94">
    <w:p w:rsidR="00380199" w:rsidRPr="00AE4D67" w:rsidRDefault="00380199" w:rsidP="005609B7">
      <w:pPr>
        <w:pStyle w:val="Textodenotaderodap"/>
        <w:rPr>
          <w:rFonts w:asciiTheme="majorHAnsi" w:hAnsiTheme="majorHAnsi" w:cs="Times New Roman"/>
        </w:rPr>
      </w:pPr>
      <w:r w:rsidRPr="00AE4D67">
        <w:rPr>
          <w:rStyle w:val="Refdenotaderodap"/>
          <w:rFonts w:asciiTheme="majorHAnsi" w:hAnsiTheme="majorHAnsi" w:cs="Times New Roman"/>
        </w:rPr>
        <w:footnoteRef/>
      </w:r>
      <w:r w:rsidRPr="00AE4D67">
        <w:rPr>
          <w:rFonts w:asciiTheme="majorHAnsi" w:hAnsiTheme="majorHAnsi" w:cs="Times New Roman"/>
        </w:rPr>
        <w:t xml:space="preserve">VENTURA, Raul/CORREIA, Britto, </w:t>
      </w:r>
      <w:r w:rsidRPr="00AE4D67">
        <w:rPr>
          <w:rFonts w:asciiTheme="majorHAnsi" w:hAnsiTheme="majorHAnsi" w:cs="Times New Roman"/>
          <w:i/>
        </w:rPr>
        <w:t>Responsabilidade civil dos administradores de sociedades anónimas e dos gerentes de sociedades por quotas</w:t>
      </w:r>
      <w:r w:rsidRPr="00AE4D67">
        <w:rPr>
          <w:rFonts w:asciiTheme="majorHAnsi" w:hAnsiTheme="majorHAnsi" w:cs="Times New Roman"/>
        </w:rPr>
        <w:t>, separata BMJ, n.º192,193,194 e 195.</w:t>
      </w:r>
    </w:p>
  </w:footnote>
  <w:footnote w:id="95">
    <w:p w:rsidR="00380199" w:rsidRPr="00AE4D67" w:rsidRDefault="00380199" w:rsidP="005609B7">
      <w:pPr>
        <w:pStyle w:val="Textodenotaderodap"/>
        <w:rPr>
          <w:rFonts w:asciiTheme="majorHAnsi" w:hAnsiTheme="majorHAnsi"/>
        </w:rPr>
      </w:pPr>
      <w:r w:rsidRPr="00AE4D67">
        <w:rPr>
          <w:rStyle w:val="Refdenotaderodap"/>
          <w:rFonts w:asciiTheme="majorHAnsi" w:hAnsiTheme="majorHAnsi"/>
        </w:rPr>
        <w:footnoteRef/>
      </w:r>
      <w:r w:rsidRPr="00AE4D67">
        <w:rPr>
          <w:rFonts w:asciiTheme="majorHAnsi" w:hAnsiTheme="majorHAnsi"/>
        </w:rPr>
        <w:t xml:space="preserve"> </w:t>
      </w:r>
      <w:r w:rsidRPr="00AE4D67">
        <w:rPr>
          <w:rFonts w:asciiTheme="majorHAnsi" w:hAnsiTheme="majorHAnsi" w:cs="Times New Roman"/>
        </w:rPr>
        <w:t>Este dever de promover a integração do grupo ocorre com maior ou menor intensidade de acordo ao tipo de grupo em causa</w:t>
      </w:r>
      <w:r w:rsidRPr="00AE4D67">
        <w:rPr>
          <w:rFonts w:asciiTheme="majorHAnsi" w:hAnsiTheme="majorHAnsi"/>
        </w:rPr>
        <w:t xml:space="preserve">. </w:t>
      </w:r>
    </w:p>
  </w:footnote>
  <w:footnote w:id="96">
    <w:p w:rsidR="00380199" w:rsidRPr="00AE4D67" w:rsidRDefault="00380199" w:rsidP="005609B7">
      <w:pPr>
        <w:pStyle w:val="Textodenotaderodap"/>
        <w:rPr>
          <w:rFonts w:asciiTheme="majorHAnsi" w:hAnsiTheme="majorHAnsi"/>
        </w:rPr>
      </w:pPr>
      <w:r>
        <w:rPr>
          <w:rStyle w:val="Refdenotaderodap"/>
        </w:rPr>
        <w:footnoteRef/>
      </w:r>
      <w:r>
        <w:t xml:space="preserve"> </w:t>
      </w:r>
      <w:r w:rsidRPr="00AE4D67">
        <w:rPr>
          <w:rFonts w:asciiTheme="majorHAnsi" w:hAnsiTheme="majorHAnsi" w:cs="Times New Roman"/>
        </w:rPr>
        <w:t xml:space="preserve">OLIVEIRA, Ana Perestrelo, </w:t>
      </w:r>
      <w:r w:rsidRPr="00AE4D67">
        <w:rPr>
          <w:rFonts w:asciiTheme="majorHAnsi" w:hAnsiTheme="majorHAnsi" w:cs="Times New Roman"/>
          <w:i/>
        </w:rPr>
        <w:t>Manual de Grupos de Sociedades</w:t>
      </w:r>
      <w:r w:rsidRPr="00AE4D67">
        <w:rPr>
          <w:rFonts w:asciiTheme="majorHAnsi" w:hAnsiTheme="majorHAnsi" w:cs="Times New Roman"/>
        </w:rPr>
        <w:t xml:space="preserve"> … </w:t>
      </w:r>
      <w:r>
        <w:rPr>
          <w:rFonts w:asciiTheme="majorHAnsi" w:hAnsiTheme="majorHAnsi" w:cs="Times New Roman"/>
        </w:rPr>
        <w:t>op</w:t>
      </w:r>
      <w:r w:rsidRPr="00AE4D67">
        <w:rPr>
          <w:rFonts w:asciiTheme="majorHAnsi" w:hAnsiTheme="majorHAnsi" w:cs="Times New Roman"/>
        </w:rPr>
        <w:t xml:space="preserve"> cit, p.,314 e 315</w:t>
      </w:r>
      <w:r w:rsidRPr="00AE4D67">
        <w:rPr>
          <w:rFonts w:asciiTheme="majorHAnsi" w:hAnsiTheme="majorHAnsi"/>
        </w:rPr>
        <w:t xml:space="preserve">. </w:t>
      </w:r>
    </w:p>
  </w:footnote>
  <w:footnote w:id="97">
    <w:p w:rsidR="00380199" w:rsidRPr="00AE4D67" w:rsidRDefault="00380199" w:rsidP="005609B7">
      <w:pPr>
        <w:pStyle w:val="Textodenotaderodap"/>
        <w:rPr>
          <w:rFonts w:asciiTheme="majorHAnsi" w:hAnsiTheme="majorHAnsi" w:cs="Times New Roman"/>
        </w:rPr>
      </w:pPr>
      <w:r>
        <w:rPr>
          <w:rStyle w:val="Refdenotaderodap"/>
        </w:rPr>
        <w:footnoteRef/>
      </w:r>
      <w:r>
        <w:t xml:space="preserve"> </w:t>
      </w:r>
      <w:r w:rsidRPr="00AE4D67">
        <w:rPr>
          <w:rFonts w:asciiTheme="majorHAnsi" w:hAnsiTheme="majorHAnsi" w:cs="Times New Roman"/>
        </w:rPr>
        <w:t xml:space="preserve">CÂMARA, Paulo, </w:t>
      </w:r>
      <w:r w:rsidRPr="00AE4D67">
        <w:rPr>
          <w:rFonts w:asciiTheme="majorHAnsi" w:hAnsiTheme="majorHAnsi" w:cs="Times New Roman"/>
          <w:i/>
        </w:rPr>
        <w:t>O governo das sociedades e a reforma do Código das sociedades Comerciais, em Código das sociedades comerciais e governo das sociedades</w:t>
      </w:r>
      <w:r w:rsidRPr="00AE4D67">
        <w:rPr>
          <w:rFonts w:asciiTheme="majorHAnsi" w:hAnsiTheme="majorHAnsi" w:cs="Times New Roman"/>
        </w:rPr>
        <w:t>, Coimbra, 2008, p.36.</w:t>
      </w:r>
    </w:p>
  </w:footnote>
  <w:footnote w:id="98">
    <w:p w:rsidR="00380199" w:rsidRPr="00AE4D67" w:rsidRDefault="00380199" w:rsidP="005609B7">
      <w:pPr>
        <w:pStyle w:val="Textodenotaderodap"/>
        <w:rPr>
          <w:rFonts w:asciiTheme="majorHAnsi" w:hAnsiTheme="majorHAnsi" w:cs="Times New Roman"/>
        </w:rPr>
      </w:pPr>
      <w:r w:rsidRPr="00AE4D67">
        <w:rPr>
          <w:rStyle w:val="Refdenotaderodap"/>
          <w:rFonts w:asciiTheme="majorHAnsi" w:hAnsiTheme="majorHAnsi" w:cs="Times New Roman"/>
        </w:rPr>
        <w:footnoteRef/>
      </w:r>
      <w:r w:rsidRPr="00AE4D67">
        <w:rPr>
          <w:rFonts w:asciiTheme="majorHAnsi" w:hAnsiTheme="majorHAnsi" w:cs="Times New Roman"/>
        </w:rPr>
        <w:t xml:space="preserve"> OLIVEIRA, Ana Perestrelo, </w:t>
      </w:r>
      <w:r w:rsidRPr="00AE4D67">
        <w:rPr>
          <w:rFonts w:asciiTheme="majorHAnsi" w:hAnsiTheme="majorHAnsi" w:cs="Times New Roman"/>
          <w:i/>
        </w:rPr>
        <w:t>Grupos de sociedades e deveres de lealdade</w:t>
      </w:r>
      <w:r w:rsidRPr="00AE4D67">
        <w:rPr>
          <w:rFonts w:asciiTheme="majorHAnsi" w:hAnsiTheme="majorHAnsi" w:cs="Times New Roman"/>
        </w:rPr>
        <w:t>, Coimbra, Almedina, 2012,</w:t>
      </w:r>
      <w:r>
        <w:rPr>
          <w:rFonts w:asciiTheme="majorHAnsi" w:hAnsiTheme="majorHAnsi" w:cs="Times New Roman"/>
        </w:rPr>
        <w:t xml:space="preserve"> </w:t>
      </w:r>
      <w:r w:rsidRPr="00AE4D67">
        <w:rPr>
          <w:rFonts w:asciiTheme="majorHAnsi" w:hAnsiTheme="majorHAnsi" w:cs="Times New Roman"/>
        </w:rPr>
        <w:t>p.274.</w:t>
      </w:r>
    </w:p>
  </w:footnote>
  <w:footnote w:id="99">
    <w:p w:rsidR="00380199" w:rsidRPr="00AE4D67" w:rsidRDefault="00380199" w:rsidP="005609B7">
      <w:pPr>
        <w:pStyle w:val="Textodenotaderodap"/>
        <w:rPr>
          <w:rFonts w:asciiTheme="majorHAnsi" w:hAnsiTheme="majorHAnsi" w:cs="Times New Roman"/>
        </w:rPr>
      </w:pPr>
      <w:r w:rsidRPr="00446C19">
        <w:rPr>
          <w:rStyle w:val="Refdenotaderodap"/>
          <w:rFonts w:ascii="Times New Roman" w:hAnsi="Times New Roman" w:cs="Times New Roman"/>
        </w:rPr>
        <w:footnoteRef/>
      </w:r>
      <w:r w:rsidRPr="00446C19">
        <w:rPr>
          <w:rFonts w:ascii="Times New Roman" w:hAnsi="Times New Roman" w:cs="Times New Roman"/>
        </w:rPr>
        <w:t xml:space="preserve"> </w:t>
      </w:r>
      <w:r w:rsidRPr="00AE4D67">
        <w:rPr>
          <w:rFonts w:asciiTheme="majorHAnsi" w:hAnsiTheme="majorHAnsi" w:cs="Times New Roman"/>
        </w:rPr>
        <w:t xml:space="preserve">OLIVEIRA, Ana Perestrelo, </w:t>
      </w:r>
      <w:r w:rsidRPr="00AE4D67">
        <w:rPr>
          <w:rFonts w:asciiTheme="majorHAnsi" w:hAnsiTheme="majorHAnsi" w:cs="Times New Roman"/>
          <w:i/>
        </w:rPr>
        <w:t>Grupos de sociedades</w:t>
      </w:r>
      <w:r w:rsidRPr="00AE4D67">
        <w:rPr>
          <w:rFonts w:asciiTheme="majorHAnsi" w:hAnsiTheme="majorHAnsi" w:cs="Times New Roman"/>
        </w:rPr>
        <w:t xml:space="preserve"> …. Ob cit., p. 275.</w:t>
      </w:r>
    </w:p>
  </w:footnote>
  <w:footnote w:id="100">
    <w:p w:rsidR="00380199" w:rsidRPr="00AE4D67" w:rsidRDefault="00380199" w:rsidP="005609B7">
      <w:pPr>
        <w:pStyle w:val="Textodenotaderodap"/>
        <w:rPr>
          <w:rFonts w:asciiTheme="majorHAnsi" w:hAnsiTheme="majorHAnsi"/>
        </w:rPr>
      </w:pPr>
      <w:r w:rsidRPr="00AE4D67">
        <w:rPr>
          <w:rStyle w:val="Refdenotaderodap"/>
          <w:rFonts w:asciiTheme="majorHAnsi" w:hAnsiTheme="majorHAnsi" w:cs="Times New Roman"/>
        </w:rPr>
        <w:footnoteRef/>
      </w:r>
      <w:r w:rsidRPr="00AE4D67">
        <w:rPr>
          <w:rFonts w:asciiTheme="majorHAnsi" w:hAnsiTheme="majorHAnsi" w:cs="Times New Roman"/>
        </w:rPr>
        <w:t xml:space="preserve"> NEVES, Susana Morais, </w:t>
      </w:r>
      <w:r w:rsidRPr="00AE4D67">
        <w:rPr>
          <w:rFonts w:asciiTheme="majorHAnsi" w:hAnsiTheme="majorHAnsi" w:cs="Times New Roman"/>
          <w:i/>
        </w:rPr>
        <w:t>Os deveres de cuidado dos administradores nos grupos verticais de sociedades</w:t>
      </w:r>
      <w:r w:rsidRPr="00AE4D67">
        <w:rPr>
          <w:rFonts w:asciiTheme="majorHAnsi" w:hAnsiTheme="majorHAnsi" w:cs="Times New Roman"/>
        </w:rPr>
        <w:t>, RDS VI, 2014, 1, p. 228-229.</w:t>
      </w:r>
    </w:p>
  </w:footnote>
  <w:footnote w:id="101">
    <w:p w:rsidR="00380199" w:rsidRPr="00AE4D67" w:rsidRDefault="00380199" w:rsidP="005609B7">
      <w:pPr>
        <w:pStyle w:val="Textodenotaderodap"/>
        <w:rPr>
          <w:rFonts w:asciiTheme="majorHAnsi" w:hAnsiTheme="majorHAnsi" w:cs="Times New Roman"/>
        </w:rPr>
      </w:pPr>
      <w:r w:rsidRPr="00AE4D67">
        <w:rPr>
          <w:rStyle w:val="Refdenotaderodap"/>
          <w:rFonts w:asciiTheme="majorHAnsi" w:hAnsiTheme="majorHAnsi"/>
        </w:rPr>
        <w:footnoteRef/>
      </w:r>
      <w:r w:rsidRPr="00AE4D67">
        <w:rPr>
          <w:rFonts w:asciiTheme="majorHAnsi" w:hAnsiTheme="majorHAnsi"/>
        </w:rPr>
        <w:t xml:space="preserve"> </w:t>
      </w:r>
      <w:r w:rsidRPr="00AE4D67">
        <w:rPr>
          <w:rFonts w:asciiTheme="majorHAnsi" w:hAnsiTheme="majorHAnsi" w:cs="Times New Roman"/>
        </w:rPr>
        <w:t xml:space="preserve">REIS, Nuno Trigo, </w:t>
      </w:r>
      <w:r w:rsidRPr="00AE4D67">
        <w:rPr>
          <w:rFonts w:asciiTheme="majorHAnsi" w:hAnsiTheme="majorHAnsi" w:cs="Times New Roman"/>
          <w:i/>
        </w:rPr>
        <w:t>os deveres de lealdade dos administradores de sociedades comerciais, em Temas de Direito Comercial, Cadernos O Direito n.º4</w:t>
      </w:r>
      <w:r w:rsidRPr="00AE4D67">
        <w:rPr>
          <w:rFonts w:asciiTheme="majorHAnsi" w:hAnsiTheme="majorHAnsi" w:cs="Times New Roman"/>
        </w:rPr>
        <w:t xml:space="preserve"> (2009), p. 373.</w:t>
      </w:r>
    </w:p>
  </w:footnote>
  <w:footnote w:id="102">
    <w:p w:rsidR="00380199" w:rsidRPr="00AE4D67" w:rsidRDefault="00380199" w:rsidP="005609B7">
      <w:pPr>
        <w:pStyle w:val="Textodenotaderodap"/>
        <w:rPr>
          <w:rFonts w:asciiTheme="majorHAnsi" w:hAnsiTheme="majorHAnsi" w:cs="Times New Roman"/>
        </w:rPr>
      </w:pPr>
      <w:r w:rsidRPr="00AE4D67">
        <w:rPr>
          <w:rStyle w:val="Refdenotaderodap"/>
          <w:rFonts w:asciiTheme="majorHAnsi" w:hAnsiTheme="majorHAnsi" w:cs="Times New Roman"/>
        </w:rPr>
        <w:footnoteRef/>
      </w:r>
      <w:r w:rsidRPr="00AE4D67">
        <w:rPr>
          <w:rFonts w:asciiTheme="majorHAnsi" w:hAnsiTheme="majorHAnsi" w:cs="Times New Roman"/>
        </w:rPr>
        <w:t xml:space="preserve"> OLIVEIRA, Ana Perestrelo, </w:t>
      </w:r>
      <w:r w:rsidRPr="00AE4D67">
        <w:rPr>
          <w:rFonts w:asciiTheme="majorHAnsi" w:hAnsiTheme="majorHAnsi" w:cs="Times New Roman"/>
          <w:i/>
        </w:rPr>
        <w:t>A responsabilidade dos administradores nas sociedades em relação de grupo</w:t>
      </w:r>
      <w:r w:rsidRPr="00AE4D67">
        <w:rPr>
          <w:rFonts w:asciiTheme="majorHAnsi" w:hAnsiTheme="majorHAnsi" w:cs="Times New Roman"/>
        </w:rPr>
        <w:t>, Almedina, Coimbra, 2007, p. 169.</w:t>
      </w:r>
    </w:p>
  </w:footnote>
  <w:footnote w:id="103">
    <w:p w:rsidR="00380199" w:rsidRPr="00AE4D67" w:rsidRDefault="00380199" w:rsidP="005609B7">
      <w:pPr>
        <w:pStyle w:val="Textodenotaderodap"/>
        <w:rPr>
          <w:rFonts w:asciiTheme="majorHAnsi" w:hAnsiTheme="majorHAnsi" w:cs="Times New Roman"/>
        </w:rPr>
      </w:pPr>
      <w:r w:rsidRPr="00AE4D67">
        <w:rPr>
          <w:rStyle w:val="Refdenotaderodap"/>
          <w:rFonts w:asciiTheme="majorHAnsi" w:hAnsiTheme="majorHAnsi" w:cs="Times New Roman"/>
        </w:rPr>
        <w:footnoteRef/>
      </w:r>
      <w:r w:rsidRPr="00AE4D67">
        <w:rPr>
          <w:rFonts w:asciiTheme="majorHAnsi" w:hAnsiTheme="majorHAnsi" w:cs="Times New Roman"/>
        </w:rPr>
        <w:t xml:space="preserve"> SILVA, João Calvão, </w:t>
      </w:r>
      <w:r w:rsidRPr="00AE4D67">
        <w:rPr>
          <w:rFonts w:asciiTheme="majorHAnsi" w:hAnsiTheme="majorHAnsi" w:cs="Times New Roman"/>
          <w:i/>
        </w:rPr>
        <w:t>Corporate Governance – Responsabilidade civil de administradores não executivos, da comissão de auditoria e do conselho geral e de supervisão</w:t>
      </w:r>
      <w:r w:rsidRPr="00AE4D67">
        <w:rPr>
          <w:rFonts w:asciiTheme="majorHAnsi" w:hAnsiTheme="majorHAnsi" w:cs="Times New Roman"/>
        </w:rPr>
        <w:t>, O direito 139.º (2007), III, p. 58.</w:t>
      </w:r>
    </w:p>
  </w:footnote>
  <w:footnote w:id="104">
    <w:p w:rsidR="00380199" w:rsidRPr="00AA4F54" w:rsidRDefault="00380199" w:rsidP="005609B7">
      <w:pPr>
        <w:pStyle w:val="Textodenotaderodap"/>
        <w:rPr>
          <w:rFonts w:ascii="Times New Roman" w:hAnsi="Times New Roman" w:cs="Times New Roman"/>
        </w:rPr>
      </w:pPr>
      <w:r w:rsidRPr="00462E25">
        <w:rPr>
          <w:rStyle w:val="Refdenotaderodap"/>
          <w:rFonts w:ascii="Times New Roman" w:hAnsi="Times New Roman" w:cs="Times New Roman"/>
        </w:rPr>
        <w:footnoteRef/>
      </w:r>
      <w:r w:rsidRPr="00462E25">
        <w:rPr>
          <w:rFonts w:ascii="Times New Roman" w:hAnsi="Times New Roman" w:cs="Times New Roman"/>
        </w:rPr>
        <w:t xml:space="preserve"> </w:t>
      </w:r>
      <w:r w:rsidRPr="00AE4D67">
        <w:rPr>
          <w:rFonts w:asciiTheme="majorHAnsi" w:hAnsiTheme="majorHAnsi" w:cs="Times New Roman"/>
        </w:rPr>
        <w:t xml:space="preserve">ABREU, Coutinho, </w:t>
      </w:r>
      <w:r w:rsidRPr="00AE4D67">
        <w:rPr>
          <w:rFonts w:asciiTheme="majorHAnsi" w:hAnsiTheme="majorHAnsi" w:cs="Times New Roman"/>
          <w:i/>
        </w:rPr>
        <w:t>A responsabilidade civil dos administradores de sociedades</w:t>
      </w:r>
      <w:r w:rsidRPr="00AE4D67">
        <w:rPr>
          <w:rFonts w:asciiTheme="majorHAnsi" w:hAnsiTheme="majorHAnsi" w:cs="Times New Roman"/>
        </w:rPr>
        <w:t>, 2.ed., Coimbra, 2010.</w:t>
      </w:r>
    </w:p>
  </w:footnote>
  <w:footnote w:id="105">
    <w:p w:rsidR="00380199" w:rsidRPr="005609B7" w:rsidRDefault="00380199" w:rsidP="005609B7">
      <w:pPr>
        <w:pStyle w:val="Textodenotaderodap"/>
        <w:rPr>
          <w:rFonts w:asciiTheme="majorHAnsi" w:hAnsiTheme="majorHAnsi"/>
        </w:rPr>
      </w:pPr>
      <w:r w:rsidRPr="005609B7">
        <w:rPr>
          <w:rStyle w:val="Refdenotaderodap"/>
          <w:rFonts w:asciiTheme="majorHAnsi" w:hAnsiTheme="majorHAnsi"/>
        </w:rPr>
        <w:footnoteRef/>
      </w:r>
      <w:r w:rsidRPr="005609B7">
        <w:rPr>
          <w:rFonts w:asciiTheme="majorHAnsi" w:hAnsiTheme="majorHAnsi"/>
        </w:rPr>
        <w:t xml:space="preserve"> </w:t>
      </w:r>
      <w:r w:rsidRPr="005609B7">
        <w:rPr>
          <w:rFonts w:asciiTheme="majorHAnsi" w:hAnsiTheme="majorHAnsi" w:cs="Times New Roman"/>
        </w:rPr>
        <w:t>NUNES, Pedro Caetano, responsabilidade civil dos administradores perante os accionistas, Almedina, 2001, p. 92.</w:t>
      </w:r>
    </w:p>
  </w:footnote>
  <w:footnote w:id="106">
    <w:p w:rsidR="00380199" w:rsidRDefault="00380199" w:rsidP="005609B7">
      <w:pPr>
        <w:pStyle w:val="Textodenotaderodap"/>
      </w:pPr>
      <w:r>
        <w:rPr>
          <w:rStyle w:val="Refdenotaderodap"/>
        </w:rPr>
        <w:footnoteRef/>
      </w:r>
      <w:r>
        <w:t xml:space="preserve"> </w:t>
      </w:r>
      <w:r w:rsidRPr="005609B7">
        <w:rPr>
          <w:rFonts w:asciiTheme="majorHAnsi" w:hAnsiTheme="majorHAnsi" w:cs="Times New Roman"/>
        </w:rPr>
        <w:t>ANTUNES, Engrácia, os grupos. ob. Cit, p. 738. A mesma posição é defendida por ALBUQUERQUE, Pedro, os limites à pluriocupação dos membros do conselho geral e de supervisão e do conselho fiscal, Coimbra, 2007, p. 34/35 que defende que “o fenómeno dos grupos jurídicos transporta, em si mesmo, um determinante e decisivo factor de dissolução da autonomia organizativo-corporativa de cada uma das sociedades componentes”, e defende que há um interesse do grupo, útil na resolução dos conflitos de interesses., ASCENSÃO, Oliveira, Direito comercial. ob. Cit p. 56, TRIGO, Maria da Graça, Grupos de sociedades.. ob.cit. p. 92.</w:t>
      </w:r>
      <w:r>
        <w:rPr>
          <w:rFonts w:ascii="Times New Roman" w:hAnsi="Times New Roman" w:cs="Times New Roman"/>
        </w:rPr>
        <w:t xml:space="preserve"> </w:t>
      </w:r>
    </w:p>
  </w:footnote>
  <w:footnote w:id="107">
    <w:p w:rsidR="00380199" w:rsidRPr="00D261E3" w:rsidRDefault="00380199" w:rsidP="005609B7">
      <w:pPr>
        <w:pStyle w:val="Textodenotaderodap"/>
        <w:rPr>
          <w:rFonts w:ascii="Times New Roman" w:hAnsi="Times New Roman" w:cs="Times New Roman"/>
        </w:rPr>
      </w:pPr>
      <w:r w:rsidRPr="00D261E3">
        <w:rPr>
          <w:rStyle w:val="Refdenotaderodap"/>
          <w:rFonts w:ascii="Times New Roman" w:hAnsi="Times New Roman" w:cs="Times New Roman"/>
        </w:rPr>
        <w:footnoteRef/>
      </w:r>
      <w:r w:rsidRPr="00D261E3">
        <w:rPr>
          <w:rFonts w:ascii="Times New Roman" w:hAnsi="Times New Roman" w:cs="Times New Roman"/>
        </w:rPr>
        <w:t xml:space="preserve"> </w:t>
      </w:r>
      <w:r w:rsidRPr="005609B7">
        <w:rPr>
          <w:rFonts w:asciiTheme="majorHAnsi" w:hAnsiTheme="majorHAnsi" w:cs="Times New Roman"/>
        </w:rPr>
        <w:t xml:space="preserve">OLIVEIRA, Ana Perestrelo, </w:t>
      </w:r>
      <w:r w:rsidRPr="005609B7">
        <w:rPr>
          <w:rFonts w:asciiTheme="majorHAnsi" w:hAnsiTheme="majorHAnsi" w:cs="Times New Roman"/>
          <w:i/>
        </w:rPr>
        <w:t>A responsabilidade</w:t>
      </w:r>
      <w:r w:rsidRPr="005609B7">
        <w:rPr>
          <w:rFonts w:asciiTheme="majorHAnsi" w:hAnsiTheme="majorHAnsi" w:cs="Times New Roman"/>
        </w:rPr>
        <w:t xml:space="preserve"> … ob cit., p. 99. ABREU, Coutinho, Da Empresarialidade. </w:t>
      </w:r>
      <w:r w:rsidRPr="005609B7">
        <w:rPr>
          <w:rFonts w:asciiTheme="majorHAnsi" w:hAnsiTheme="majorHAnsi" w:cs="Times New Roman"/>
          <w:i/>
        </w:rPr>
        <w:t xml:space="preserve">As empresas no Direito, </w:t>
      </w:r>
      <w:r w:rsidRPr="005609B7">
        <w:rPr>
          <w:rFonts w:asciiTheme="majorHAnsi" w:hAnsiTheme="majorHAnsi" w:cs="Times New Roman"/>
        </w:rPr>
        <w:t>Coimbra, Almedina, 1999, p. 270 defendem o autor que há no grupo uma subordinação de fins e que a sociedade directora tem o “direito de denegar o interesse social das subordinadas, se com isso forem satisfeitos lícitos interesses dela própria ou (caso existam) de outras sociedades do grupo</w:t>
      </w:r>
      <w:r>
        <w:rPr>
          <w:rFonts w:ascii="Times New Roman" w:hAnsi="Times New Roman" w:cs="Times New Roman"/>
        </w:rPr>
        <w:t xml:space="preserve">”. </w:t>
      </w:r>
    </w:p>
  </w:footnote>
  <w:footnote w:id="108">
    <w:p w:rsidR="00380199" w:rsidRPr="005609B7" w:rsidRDefault="00380199" w:rsidP="005609B7">
      <w:pPr>
        <w:pStyle w:val="Textodenotaderodap"/>
        <w:rPr>
          <w:rFonts w:asciiTheme="majorHAnsi" w:hAnsiTheme="majorHAnsi"/>
        </w:rPr>
      </w:pPr>
      <w:r>
        <w:rPr>
          <w:rStyle w:val="Refdenotaderodap"/>
        </w:rPr>
        <w:footnoteRef/>
      </w:r>
      <w:r>
        <w:t xml:space="preserve"> </w:t>
      </w:r>
      <w:r w:rsidRPr="005609B7">
        <w:rPr>
          <w:rFonts w:asciiTheme="majorHAnsi" w:hAnsiTheme="majorHAnsi" w:cs="Times New Roman"/>
        </w:rPr>
        <w:t xml:space="preserve">PERANDONES, Girgado, </w:t>
      </w:r>
      <w:r w:rsidRPr="005609B7">
        <w:rPr>
          <w:rFonts w:asciiTheme="majorHAnsi" w:hAnsiTheme="majorHAnsi" w:cs="Times New Roman"/>
          <w:i/>
        </w:rPr>
        <w:t>La responsabilidad de la sociedad matriz y de los administradores en empresa de grupo</w:t>
      </w:r>
      <w:r w:rsidRPr="005609B7">
        <w:rPr>
          <w:rFonts w:asciiTheme="majorHAnsi" w:hAnsiTheme="majorHAnsi" w:cs="Times New Roman"/>
        </w:rPr>
        <w:t>, Madrid-Barcelona, 2002, p. 196. (apud Ana Perestrelo de Oliveira).</w:t>
      </w:r>
    </w:p>
  </w:footnote>
  <w:footnote w:id="109">
    <w:p w:rsidR="00380199" w:rsidRPr="008A713B" w:rsidRDefault="00380199" w:rsidP="005609B7">
      <w:pPr>
        <w:pStyle w:val="Textodenotaderodap"/>
        <w:rPr>
          <w:rFonts w:ascii="Times New Roman" w:hAnsi="Times New Roman" w:cs="Times New Roman"/>
        </w:rPr>
      </w:pPr>
      <w:r w:rsidRPr="00D261E3">
        <w:rPr>
          <w:rStyle w:val="Refdenotaderodap"/>
          <w:rFonts w:ascii="Times New Roman" w:hAnsi="Times New Roman" w:cs="Times New Roman"/>
        </w:rPr>
        <w:footnoteRef/>
      </w:r>
      <w:r w:rsidRPr="00D261E3">
        <w:rPr>
          <w:rFonts w:ascii="Times New Roman" w:hAnsi="Times New Roman" w:cs="Times New Roman"/>
        </w:rPr>
        <w:t xml:space="preserve"> Vide nº3 do artigo 476.º da LSC.</w:t>
      </w:r>
    </w:p>
  </w:footnote>
  <w:footnote w:id="110">
    <w:p w:rsidR="00380199" w:rsidRPr="005B3152" w:rsidRDefault="00380199" w:rsidP="005609B7">
      <w:pPr>
        <w:pStyle w:val="Textodenotaderodap"/>
      </w:pPr>
      <w:r>
        <w:rPr>
          <w:rStyle w:val="Refdenotaderodap"/>
        </w:rPr>
        <w:footnoteRef/>
      </w:r>
      <w:r>
        <w:t xml:space="preserve"> </w:t>
      </w:r>
      <w:r w:rsidRPr="005609B7">
        <w:rPr>
          <w:rFonts w:asciiTheme="majorHAnsi" w:hAnsiTheme="majorHAnsi" w:cs="Times New Roman"/>
        </w:rPr>
        <w:t xml:space="preserve">O facto de existir dificuldades nesta concretização a nível dos grupos, não quer dizer que não seja possível comprovar a existência destes pressupostos e ser possível responsabilizar os administradores da sociedade directora. Relativamente ao dano, é de importância incontornável uma prévia análise da situação global do grupo para que se possa aferir se a actuação dos administradores causou efectivamente um dano, uma vez feita esta análise prévia é possível indemnizar a sociedade subordinada se efectivamente se comprovar que ocorreu um dano, mesmo que haja a obrigação de compensar por perdas a cargo da sociedade-mãe. A nível do nexo de causalidade, fruto da dificuldade de concretização, a nível probatório tem-se adoptado a solução adoptada pelo ordenamento jurídico alemão – a existência de uma </w:t>
      </w:r>
      <w:r w:rsidRPr="005609B7">
        <w:rPr>
          <w:rFonts w:asciiTheme="majorHAnsi" w:hAnsiTheme="majorHAnsi" w:cs="Times New Roman"/>
          <w:i/>
        </w:rPr>
        <w:t>presunção de causalidade a nível dos grupos</w:t>
      </w:r>
      <w:r w:rsidRPr="005609B7">
        <w:rPr>
          <w:rFonts w:asciiTheme="majorHAnsi" w:hAnsiTheme="majorHAnsi" w:cs="Times New Roman"/>
        </w:rPr>
        <w:t xml:space="preserve"> , onde o representante legal da sociedade directora deve provar que no exercício da sua actividade de gestão actuou como um gestor criterioso e ordenado e na eventualidade de não conseguir provar, a presunção recairia efectivamente sobre estes</w:t>
      </w:r>
      <w:r w:rsidRPr="001006CD">
        <w:rPr>
          <w:rFonts w:ascii="Times New Roman" w:hAnsi="Times New Roman" w:cs="Times New Roman"/>
        </w:rPr>
        <w:t>.</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1055E"/>
    <w:multiLevelType w:val="multilevel"/>
    <w:tmpl w:val="3D2629CC"/>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nsid w:val="049507A9"/>
    <w:multiLevelType w:val="hybridMultilevel"/>
    <w:tmpl w:val="53E28CC4"/>
    <w:lvl w:ilvl="0" w:tplc="0816001B">
      <w:start w:val="1"/>
      <w:numFmt w:val="lowerRoman"/>
      <w:lvlText w:val="%1."/>
      <w:lvlJc w:val="right"/>
      <w:pPr>
        <w:ind w:left="927" w:hanging="360"/>
      </w:pPr>
    </w:lvl>
    <w:lvl w:ilvl="1" w:tplc="08160019" w:tentative="1">
      <w:start w:val="1"/>
      <w:numFmt w:val="lowerLetter"/>
      <w:lvlText w:val="%2."/>
      <w:lvlJc w:val="left"/>
      <w:pPr>
        <w:ind w:left="1493" w:hanging="360"/>
      </w:pPr>
    </w:lvl>
    <w:lvl w:ilvl="2" w:tplc="0816001B" w:tentative="1">
      <w:start w:val="1"/>
      <w:numFmt w:val="lowerRoman"/>
      <w:lvlText w:val="%3."/>
      <w:lvlJc w:val="right"/>
      <w:pPr>
        <w:ind w:left="2213" w:hanging="180"/>
      </w:pPr>
    </w:lvl>
    <w:lvl w:ilvl="3" w:tplc="0816000F" w:tentative="1">
      <w:start w:val="1"/>
      <w:numFmt w:val="decimal"/>
      <w:lvlText w:val="%4."/>
      <w:lvlJc w:val="left"/>
      <w:pPr>
        <w:ind w:left="2933" w:hanging="360"/>
      </w:pPr>
    </w:lvl>
    <w:lvl w:ilvl="4" w:tplc="08160019" w:tentative="1">
      <w:start w:val="1"/>
      <w:numFmt w:val="lowerLetter"/>
      <w:lvlText w:val="%5."/>
      <w:lvlJc w:val="left"/>
      <w:pPr>
        <w:ind w:left="3653" w:hanging="360"/>
      </w:pPr>
    </w:lvl>
    <w:lvl w:ilvl="5" w:tplc="0816001B" w:tentative="1">
      <w:start w:val="1"/>
      <w:numFmt w:val="lowerRoman"/>
      <w:lvlText w:val="%6."/>
      <w:lvlJc w:val="right"/>
      <w:pPr>
        <w:ind w:left="4373" w:hanging="180"/>
      </w:pPr>
    </w:lvl>
    <w:lvl w:ilvl="6" w:tplc="0816000F" w:tentative="1">
      <w:start w:val="1"/>
      <w:numFmt w:val="decimal"/>
      <w:lvlText w:val="%7."/>
      <w:lvlJc w:val="left"/>
      <w:pPr>
        <w:ind w:left="5093" w:hanging="360"/>
      </w:pPr>
    </w:lvl>
    <w:lvl w:ilvl="7" w:tplc="08160019" w:tentative="1">
      <w:start w:val="1"/>
      <w:numFmt w:val="lowerLetter"/>
      <w:lvlText w:val="%8."/>
      <w:lvlJc w:val="left"/>
      <w:pPr>
        <w:ind w:left="5813" w:hanging="360"/>
      </w:pPr>
    </w:lvl>
    <w:lvl w:ilvl="8" w:tplc="0816001B" w:tentative="1">
      <w:start w:val="1"/>
      <w:numFmt w:val="lowerRoman"/>
      <w:lvlText w:val="%9."/>
      <w:lvlJc w:val="right"/>
      <w:pPr>
        <w:ind w:left="6533" w:hanging="180"/>
      </w:pPr>
    </w:lvl>
  </w:abstractNum>
  <w:abstractNum w:abstractNumId="2">
    <w:nsid w:val="153D7835"/>
    <w:multiLevelType w:val="hybridMultilevel"/>
    <w:tmpl w:val="CC7896E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15C738F8"/>
    <w:multiLevelType w:val="hybridMultilevel"/>
    <w:tmpl w:val="E96A33BE"/>
    <w:lvl w:ilvl="0" w:tplc="5DBA30F0">
      <w:start w:val="8"/>
      <w:numFmt w:val="decimal"/>
      <w:lvlText w:val="%1."/>
      <w:lvlJc w:val="left"/>
      <w:pPr>
        <w:ind w:left="644" w:hanging="360"/>
      </w:pPr>
      <w:rPr>
        <w:rFonts w:hint="default"/>
        <w:b/>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19CE36D7"/>
    <w:multiLevelType w:val="hybridMultilevel"/>
    <w:tmpl w:val="D324B2CC"/>
    <w:lvl w:ilvl="0" w:tplc="0816000F">
      <w:start w:val="8"/>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1A46174B"/>
    <w:multiLevelType w:val="hybridMultilevel"/>
    <w:tmpl w:val="7DAA71A8"/>
    <w:lvl w:ilvl="0" w:tplc="08160017">
      <w:start w:val="2"/>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2A302B41"/>
    <w:multiLevelType w:val="hybridMultilevel"/>
    <w:tmpl w:val="3744AFA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36A16C07"/>
    <w:multiLevelType w:val="hybridMultilevel"/>
    <w:tmpl w:val="5380B4AC"/>
    <w:lvl w:ilvl="0" w:tplc="0816001B">
      <w:start w:val="1"/>
      <w:numFmt w:val="low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3BF03240"/>
    <w:multiLevelType w:val="hybridMultilevel"/>
    <w:tmpl w:val="93AE26FE"/>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3C7E6BC1"/>
    <w:multiLevelType w:val="hybridMultilevel"/>
    <w:tmpl w:val="0AFA85B6"/>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start w:val="1"/>
      <w:numFmt w:val="lowerRoman"/>
      <w:lvlText w:val="%3."/>
      <w:lvlJc w:val="right"/>
      <w:pPr>
        <w:ind w:left="1598" w:hanging="180"/>
      </w:pPr>
    </w:lvl>
    <w:lvl w:ilvl="3" w:tplc="FEDE4460">
      <w:start w:val="1"/>
      <w:numFmt w:val="lowerRoman"/>
      <w:lvlText w:val="%4)"/>
      <w:lvlJc w:val="left"/>
      <w:pPr>
        <w:ind w:left="3240" w:hanging="720"/>
      </w:pPr>
      <w:rPr>
        <w:rFonts w:hint="default"/>
      </w:r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3D62219F"/>
    <w:multiLevelType w:val="hybridMultilevel"/>
    <w:tmpl w:val="2E12F744"/>
    <w:lvl w:ilvl="0" w:tplc="08160001">
      <w:start w:val="1"/>
      <w:numFmt w:val="bullet"/>
      <w:lvlText w:val=""/>
      <w:lvlJc w:val="left"/>
      <w:pPr>
        <w:ind w:left="777" w:hanging="360"/>
      </w:pPr>
      <w:rPr>
        <w:rFonts w:ascii="Symbol" w:hAnsi="Symbol" w:hint="default"/>
      </w:rPr>
    </w:lvl>
    <w:lvl w:ilvl="1" w:tplc="08160003" w:tentative="1">
      <w:start w:val="1"/>
      <w:numFmt w:val="bullet"/>
      <w:lvlText w:val="o"/>
      <w:lvlJc w:val="left"/>
      <w:pPr>
        <w:ind w:left="1497" w:hanging="360"/>
      </w:pPr>
      <w:rPr>
        <w:rFonts w:ascii="Courier New" w:hAnsi="Courier New" w:cs="Courier New" w:hint="default"/>
      </w:rPr>
    </w:lvl>
    <w:lvl w:ilvl="2" w:tplc="08160005" w:tentative="1">
      <w:start w:val="1"/>
      <w:numFmt w:val="bullet"/>
      <w:lvlText w:val=""/>
      <w:lvlJc w:val="left"/>
      <w:pPr>
        <w:ind w:left="2217" w:hanging="360"/>
      </w:pPr>
      <w:rPr>
        <w:rFonts w:ascii="Wingdings" w:hAnsi="Wingdings" w:hint="default"/>
      </w:rPr>
    </w:lvl>
    <w:lvl w:ilvl="3" w:tplc="08160001" w:tentative="1">
      <w:start w:val="1"/>
      <w:numFmt w:val="bullet"/>
      <w:lvlText w:val=""/>
      <w:lvlJc w:val="left"/>
      <w:pPr>
        <w:ind w:left="2937" w:hanging="360"/>
      </w:pPr>
      <w:rPr>
        <w:rFonts w:ascii="Symbol" w:hAnsi="Symbol" w:hint="default"/>
      </w:rPr>
    </w:lvl>
    <w:lvl w:ilvl="4" w:tplc="08160003" w:tentative="1">
      <w:start w:val="1"/>
      <w:numFmt w:val="bullet"/>
      <w:lvlText w:val="o"/>
      <w:lvlJc w:val="left"/>
      <w:pPr>
        <w:ind w:left="3657" w:hanging="360"/>
      </w:pPr>
      <w:rPr>
        <w:rFonts w:ascii="Courier New" w:hAnsi="Courier New" w:cs="Courier New" w:hint="default"/>
      </w:rPr>
    </w:lvl>
    <w:lvl w:ilvl="5" w:tplc="08160005" w:tentative="1">
      <w:start w:val="1"/>
      <w:numFmt w:val="bullet"/>
      <w:lvlText w:val=""/>
      <w:lvlJc w:val="left"/>
      <w:pPr>
        <w:ind w:left="4377" w:hanging="360"/>
      </w:pPr>
      <w:rPr>
        <w:rFonts w:ascii="Wingdings" w:hAnsi="Wingdings" w:hint="default"/>
      </w:rPr>
    </w:lvl>
    <w:lvl w:ilvl="6" w:tplc="08160001" w:tentative="1">
      <w:start w:val="1"/>
      <w:numFmt w:val="bullet"/>
      <w:lvlText w:val=""/>
      <w:lvlJc w:val="left"/>
      <w:pPr>
        <w:ind w:left="5097" w:hanging="360"/>
      </w:pPr>
      <w:rPr>
        <w:rFonts w:ascii="Symbol" w:hAnsi="Symbol" w:hint="default"/>
      </w:rPr>
    </w:lvl>
    <w:lvl w:ilvl="7" w:tplc="08160003" w:tentative="1">
      <w:start w:val="1"/>
      <w:numFmt w:val="bullet"/>
      <w:lvlText w:val="o"/>
      <w:lvlJc w:val="left"/>
      <w:pPr>
        <w:ind w:left="5817" w:hanging="360"/>
      </w:pPr>
      <w:rPr>
        <w:rFonts w:ascii="Courier New" w:hAnsi="Courier New" w:cs="Courier New" w:hint="default"/>
      </w:rPr>
    </w:lvl>
    <w:lvl w:ilvl="8" w:tplc="08160005" w:tentative="1">
      <w:start w:val="1"/>
      <w:numFmt w:val="bullet"/>
      <w:lvlText w:val=""/>
      <w:lvlJc w:val="left"/>
      <w:pPr>
        <w:ind w:left="6537" w:hanging="360"/>
      </w:pPr>
      <w:rPr>
        <w:rFonts w:ascii="Wingdings" w:hAnsi="Wingdings" w:hint="default"/>
      </w:rPr>
    </w:lvl>
  </w:abstractNum>
  <w:abstractNum w:abstractNumId="11">
    <w:nsid w:val="54FA39BE"/>
    <w:multiLevelType w:val="hybridMultilevel"/>
    <w:tmpl w:val="D324B2CC"/>
    <w:lvl w:ilvl="0" w:tplc="0816000F">
      <w:start w:val="8"/>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577200C1"/>
    <w:multiLevelType w:val="hybridMultilevel"/>
    <w:tmpl w:val="4D169B8A"/>
    <w:lvl w:ilvl="0" w:tplc="04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600E35F7"/>
    <w:multiLevelType w:val="hybridMultilevel"/>
    <w:tmpl w:val="1AD01BD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nsid w:val="67DE09E7"/>
    <w:multiLevelType w:val="hybridMultilevel"/>
    <w:tmpl w:val="93AE26FE"/>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6F8F7F94"/>
    <w:multiLevelType w:val="hybridMultilevel"/>
    <w:tmpl w:val="93AE26FE"/>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73584D70"/>
    <w:multiLevelType w:val="multilevel"/>
    <w:tmpl w:val="DE38A394"/>
    <w:lvl w:ilvl="0">
      <w:start w:val="1"/>
      <w:numFmt w:val="decimal"/>
      <w:pStyle w:val="Cabealho1"/>
      <w:lvlText w:val="%1."/>
      <w:lvlJc w:val="left"/>
      <w:pPr>
        <w:ind w:left="390" w:hanging="390"/>
      </w:pPr>
    </w:lvl>
    <w:lvl w:ilvl="1">
      <w:start w:val="1"/>
      <w:numFmt w:val="decimal"/>
      <w:pStyle w:val="Cabealho2"/>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7">
    <w:nsid w:val="771127E5"/>
    <w:multiLevelType w:val="hybridMultilevel"/>
    <w:tmpl w:val="5442FEE6"/>
    <w:lvl w:ilvl="0" w:tplc="08160001">
      <w:start w:val="1"/>
      <w:numFmt w:val="bullet"/>
      <w:lvlText w:val=""/>
      <w:lvlJc w:val="left"/>
      <w:pPr>
        <w:ind w:left="804" w:hanging="360"/>
      </w:pPr>
      <w:rPr>
        <w:rFonts w:ascii="Symbol" w:hAnsi="Symbol" w:hint="default"/>
      </w:rPr>
    </w:lvl>
    <w:lvl w:ilvl="1" w:tplc="08160003" w:tentative="1">
      <w:start w:val="1"/>
      <w:numFmt w:val="bullet"/>
      <w:lvlText w:val="o"/>
      <w:lvlJc w:val="left"/>
      <w:pPr>
        <w:ind w:left="1524" w:hanging="360"/>
      </w:pPr>
      <w:rPr>
        <w:rFonts w:ascii="Courier New" w:hAnsi="Courier New" w:cs="Courier New" w:hint="default"/>
      </w:rPr>
    </w:lvl>
    <w:lvl w:ilvl="2" w:tplc="08160005" w:tentative="1">
      <w:start w:val="1"/>
      <w:numFmt w:val="bullet"/>
      <w:lvlText w:val=""/>
      <w:lvlJc w:val="left"/>
      <w:pPr>
        <w:ind w:left="2244" w:hanging="360"/>
      </w:pPr>
      <w:rPr>
        <w:rFonts w:ascii="Wingdings" w:hAnsi="Wingdings" w:hint="default"/>
      </w:rPr>
    </w:lvl>
    <w:lvl w:ilvl="3" w:tplc="08160001" w:tentative="1">
      <w:start w:val="1"/>
      <w:numFmt w:val="bullet"/>
      <w:lvlText w:val=""/>
      <w:lvlJc w:val="left"/>
      <w:pPr>
        <w:ind w:left="2964" w:hanging="360"/>
      </w:pPr>
      <w:rPr>
        <w:rFonts w:ascii="Symbol" w:hAnsi="Symbol" w:hint="default"/>
      </w:rPr>
    </w:lvl>
    <w:lvl w:ilvl="4" w:tplc="08160003" w:tentative="1">
      <w:start w:val="1"/>
      <w:numFmt w:val="bullet"/>
      <w:lvlText w:val="o"/>
      <w:lvlJc w:val="left"/>
      <w:pPr>
        <w:ind w:left="3684" w:hanging="360"/>
      </w:pPr>
      <w:rPr>
        <w:rFonts w:ascii="Courier New" w:hAnsi="Courier New" w:cs="Courier New" w:hint="default"/>
      </w:rPr>
    </w:lvl>
    <w:lvl w:ilvl="5" w:tplc="08160005" w:tentative="1">
      <w:start w:val="1"/>
      <w:numFmt w:val="bullet"/>
      <w:lvlText w:val=""/>
      <w:lvlJc w:val="left"/>
      <w:pPr>
        <w:ind w:left="4404" w:hanging="360"/>
      </w:pPr>
      <w:rPr>
        <w:rFonts w:ascii="Wingdings" w:hAnsi="Wingdings" w:hint="default"/>
      </w:rPr>
    </w:lvl>
    <w:lvl w:ilvl="6" w:tplc="08160001" w:tentative="1">
      <w:start w:val="1"/>
      <w:numFmt w:val="bullet"/>
      <w:lvlText w:val=""/>
      <w:lvlJc w:val="left"/>
      <w:pPr>
        <w:ind w:left="5124" w:hanging="360"/>
      </w:pPr>
      <w:rPr>
        <w:rFonts w:ascii="Symbol" w:hAnsi="Symbol" w:hint="default"/>
      </w:rPr>
    </w:lvl>
    <w:lvl w:ilvl="7" w:tplc="08160003" w:tentative="1">
      <w:start w:val="1"/>
      <w:numFmt w:val="bullet"/>
      <w:lvlText w:val="o"/>
      <w:lvlJc w:val="left"/>
      <w:pPr>
        <w:ind w:left="5844" w:hanging="360"/>
      </w:pPr>
      <w:rPr>
        <w:rFonts w:ascii="Courier New" w:hAnsi="Courier New" w:cs="Courier New" w:hint="default"/>
      </w:rPr>
    </w:lvl>
    <w:lvl w:ilvl="8" w:tplc="08160005" w:tentative="1">
      <w:start w:val="1"/>
      <w:numFmt w:val="bullet"/>
      <w:lvlText w:val=""/>
      <w:lvlJc w:val="left"/>
      <w:pPr>
        <w:ind w:left="6564" w:hanging="360"/>
      </w:pPr>
      <w:rPr>
        <w:rFonts w:ascii="Wingdings" w:hAnsi="Wingdings" w:hint="default"/>
      </w:rPr>
    </w:lvl>
  </w:abstractNum>
  <w:num w:numId="1">
    <w:abstractNumId w:val="16"/>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12"/>
  </w:num>
  <w:num w:numId="5">
    <w:abstractNumId w:val="5"/>
  </w:num>
  <w:num w:numId="6">
    <w:abstractNumId w:val="13"/>
  </w:num>
  <w:num w:numId="7">
    <w:abstractNumId w:val="6"/>
  </w:num>
  <w:num w:numId="8">
    <w:abstractNumId w:val="10"/>
  </w:num>
  <w:num w:numId="9">
    <w:abstractNumId w:val="7"/>
  </w:num>
  <w:num w:numId="10">
    <w:abstractNumId w:val="1"/>
  </w:num>
  <w:num w:numId="11">
    <w:abstractNumId w:val="0"/>
  </w:num>
  <w:num w:numId="12">
    <w:abstractNumId w:val="14"/>
  </w:num>
  <w:num w:numId="13">
    <w:abstractNumId w:val="3"/>
  </w:num>
  <w:num w:numId="14">
    <w:abstractNumId w:val="11"/>
  </w:num>
  <w:num w:numId="15">
    <w:abstractNumId w:val="4"/>
  </w:num>
  <w:num w:numId="16">
    <w:abstractNumId w:val="15"/>
  </w:num>
  <w:num w:numId="17">
    <w:abstractNumId w:val="8"/>
  </w:num>
  <w:num w:numId="18">
    <w:abstractNumId w:val="17"/>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50AE"/>
    <w:rsid w:val="00005DB9"/>
    <w:rsid w:val="00010A83"/>
    <w:rsid w:val="0001193A"/>
    <w:rsid w:val="0002001C"/>
    <w:rsid w:val="00047016"/>
    <w:rsid w:val="00057A45"/>
    <w:rsid w:val="00057C3C"/>
    <w:rsid w:val="00057C8D"/>
    <w:rsid w:val="00066BD6"/>
    <w:rsid w:val="000819C3"/>
    <w:rsid w:val="000867DF"/>
    <w:rsid w:val="000A16A5"/>
    <w:rsid w:val="000A19F1"/>
    <w:rsid w:val="000A2A56"/>
    <w:rsid w:val="000A4EC5"/>
    <w:rsid w:val="000B775A"/>
    <w:rsid w:val="000C01A0"/>
    <w:rsid w:val="000C5E2F"/>
    <w:rsid w:val="000D0B6C"/>
    <w:rsid w:val="000D148B"/>
    <w:rsid w:val="000D362D"/>
    <w:rsid w:val="000F627A"/>
    <w:rsid w:val="000F738A"/>
    <w:rsid w:val="00102F4F"/>
    <w:rsid w:val="001033FD"/>
    <w:rsid w:val="00104961"/>
    <w:rsid w:val="00112593"/>
    <w:rsid w:val="00117E60"/>
    <w:rsid w:val="00122E79"/>
    <w:rsid w:val="00126FB4"/>
    <w:rsid w:val="0014543C"/>
    <w:rsid w:val="00155C49"/>
    <w:rsid w:val="0015603D"/>
    <w:rsid w:val="0015797B"/>
    <w:rsid w:val="00163C49"/>
    <w:rsid w:val="00170A2A"/>
    <w:rsid w:val="001755AB"/>
    <w:rsid w:val="00175E61"/>
    <w:rsid w:val="0019497B"/>
    <w:rsid w:val="001A25A1"/>
    <w:rsid w:val="001A74DD"/>
    <w:rsid w:val="001C1AEA"/>
    <w:rsid w:val="001D07B6"/>
    <w:rsid w:val="001E242C"/>
    <w:rsid w:val="001E24A2"/>
    <w:rsid w:val="001E719D"/>
    <w:rsid w:val="00215F14"/>
    <w:rsid w:val="00234A40"/>
    <w:rsid w:val="00241BB5"/>
    <w:rsid w:val="00250EC0"/>
    <w:rsid w:val="00257005"/>
    <w:rsid w:val="00261E6E"/>
    <w:rsid w:val="00264644"/>
    <w:rsid w:val="0027643C"/>
    <w:rsid w:val="0028039F"/>
    <w:rsid w:val="002805AE"/>
    <w:rsid w:val="002A4E13"/>
    <w:rsid w:val="002B116A"/>
    <w:rsid w:val="002B5EFA"/>
    <w:rsid w:val="002E1CAE"/>
    <w:rsid w:val="002E3597"/>
    <w:rsid w:val="00300466"/>
    <w:rsid w:val="003020B4"/>
    <w:rsid w:val="003029E0"/>
    <w:rsid w:val="003059B5"/>
    <w:rsid w:val="00306E69"/>
    <w:rsid w:val="0030709B"/>
    <w:rsid w:val="00313FA8"/>
    <w:rsid w:val="00314F72"/>
    <w:rsid w:val="003356C2"/>
    <w:rsid w:val="00337E64"/>
    <w:rsid w:val="00346D82"/>
    <w:rsid w:val="00354F6A"/>
    <w:rsid w:val="00366DB1"/>
    <w:rsid w:val="00374D57"/>
    <w:rsid w:val="00380199"/>
    <w:rsid w:val="003829D3"/>
    <w:rsid w:val="00385CFA"/>
    <w:rsid w:val="00386240"/>
    <w:rsid w:val="00386850"/>
    <w:rsid w:val="00392EEA"/>
    <w:rsid w:val="00395DC8"/>
    <w:rsid w:val="003A2263"/>
    <w:rsid w:val="003A431C"/>
    <w:rsid w:val="003A735F"/>
    <w:rsid w:val="003B41DE"/>
    <w:rsid w:val="003B7A45"/>
    <w:rsid w:val="003C349E"/>
    <w:rsid w:val="003C62F1"/>
    <w:rsid w:val="003D4674"/>
    <w:rsid w:val="003D4949"/>
    <w:rsid w:val="003E2B45"/>
    <w:rsid w:val="003E6138"/>
    <w:rsid w:val="003E7AF1"/>
    <w:rsid w:val="003F011F"/>
    <w:rsid w:val="003F1B6A"/>
    <w:rsid w:val="00402F5E"/>
    <w:rsid w:val="00404903"/>
    <w:rsid w:val="00414D5F"/>
    <w:rsid w:val="00427AC8"/>
    <w:rsid w:val="00433E30"/>
    <w:rsid w:val="00443C02"/>
    <w:rsid w:val="00455AEF"/>
    <w:rsid w:val="004604A7"/>
    <w:rsid w:val="0046155E"/>
    <w:rsid w:val="0046328A"/>
    <w:rsid w:val="004876CC"/>
    <w:rsid w:val="004A0BE5"/>
    <w:rsid w:val="004B62A2"/>
    <w:rsid w:val="004C577C"/>
    <w:rsid w:val="004D3D3C"/>
    <w:rsid w:val="004E2CE0"/>
    <w:rsid w:val="004E45AF"/>
    <w:rsid w:val="004F6AEA"/>
    <w:rsid w:val="00501F4D"/>
    <w:rsid w:val="005114EE"/>
    <w:rsid w:val="00515091"/>
    <w:rsid w:val="00535195"/>
    <w:rsid w:val="00536E1E"/>
    <w:rsid w:val="00547800"/>
    <w:rsid w:val="005516C4"/>
    <w:rsid w:val="005609B7"/>
    <w:rsid w:val="00563C06"/>
    <w:rsid w:val="005701D8"/>
    <w:rsid w:val="005866D1"/>
    <w:rsid w:val="00586C70"/>
    <w:rsid w:val="00593F0C"/>
    <w:rsid w:val="005A584B"/>
    <w:rsid w:val="005B6EDC"/>
    <w:rsid w:val="005C27B2"/>
    <w:rsid w:val="005F3FC7"/>
    <w:rsid w:val="00603FC1"/>
    <w:rsid w:val="0060556B"/>
    <w:rsid w:val="006167F7"/>
    <w:rsid w:val="006267A8"/>
    <w:rsid w:val="006378A9"/>
    <w:rsid w:val="006468A4"/>
    <w:rsid w:val="00646C88"/>
    <w:rsid w:val="00661DDC"/>
    <w:rsid w:val="00671106"/>
    <w:rsid w:val="00675FA0"/>
    <w:rsid w:val="0068068B"/>
    <w:rsid w:val="0068321F"/>
    <w:rsid w:val="006839E6"/>
    <w:rsid w:val="006A007B"/>
    <w:rsid w:val="006A46F0"/>
    <w:rsid w:val="006A6777"/>
    <w:rsid w:val="006D6CAE"/>
    <w:rsid w:val="006E4628"/>
    <w:rsid w:val="006E69E7"/>
    <w:rsid w:val="006E6EBE"/>
    <w:rsid w:val="006E75C1"/>
    <w:rsid w:val="006F073D"/>
    <w:rsid w:val="006F4217"/>
    <w:rsid w:val="007111C2"/>
    <w:rsid w:val="00711423"/>
    <w:rsid w:val="00714BEC"/>
    <w:rsid w:val="00716142"/>
    <w:rsid w:val="00720F02"/>
    <w:rsid w:val="00732C53"/>
    <w:rsid w:val="007335CC"/>
    <w:rsid w:val="007341FB"/>
    <w:rsid w:val="00742880"/>
    <w:rsid w:val="00750A9F"/>
    <w:rsid w:val="00754630"/>
    <w:rsid w:val="007567C4"/>
    <w:rsid w:val="007712C1"/>
    <w:rsid w:val="0077158E"/>
    <w:rsid w:val="00775376"/>
    <w:rsid w:val="00775AFF"/>
    <w:rsid w:val="0077666E"/>
    <w:rsid w:val="00783A47"/>
    <w:rsid w:val="00783F1F"/>
    <w:rsid w:val="00797AB0"/>
    <w:rsid w:val="007A1D04"/>
    <w:rsid w:val="007B766E"/>
    <w:rsid w:val="007B76FE"/>
    <w:rsid w:val="007C1EFB"/>
    <w:rsid w:val="007C572D"/>
    <w:rsid w:val="007C5AF3"/>
    <w:rsid w:val="007C6D8E"/>
    <w:rsid w:val="007D0670"/>
    <w:rsid w:val="007F0959"/>
    <w:rsid w:val="0080254F"/>
    <w:rsid w:val="008051BA"/>
    <w:rsid w:val="008070AB"/>
    <w:rsid w:val="00822438"/>
    <w:rsid w:val="0084716D"/>
    <w:rsid w:val="00856192"/>
    <w:rsid w:val="0086611A"/>
    <w:rsid w:val="0087263A"/>
    <w:rsid w:val="00874E29"/>
    <w:rsid w:val="00891421"/>
    <w:rsid w:val="00892316"/>
    <w:rsid w:val="008934B1"/>
    <w:rsid w:val="008A37A7"/>
    <w:rsid w:val="008A4134"/>
    <w:rsid w:val="008A71B6"/>
    <w:rsid w:val="008B2578"/>
    <w:rsid w:val="008C3BF1"/>
    <w:rsid w:val="008D482B"/>
    <w:rsid w:val="008D6AFD"/>
    <w:rsid w:val="008D6F8B"/>
    <w:rsid w:val="008E6386"/>
    <w:rsid w:val="008F4EB0"/>
    <w:rsid w:val="00902C3A"/>
    <w:rsid w:val="00910DA3"/>
    <w:rsid w:val="00916C8C"/>
    <w:rsid w:val="009210D3"/>
    <w:rsid w:val="009224C9"/>
    <w:rsid w:val="00923076"/>
    <w:rsid w:val="00941B23"/>
    <w:rsid w:val="00951628"/>
    <w:rsid w:val="009850D2"/>
    <w:rsid w:val="00991166"/>
    <w:rsid w:val="009951FB"/>
    <w:rsid w:val="009963FC"/>
    <w:rsid w:val="009A42FA"/>
    <w:rsid w:val="009A53F0"/>
    <w:rsid w:val="009B214C"/>
    <w:rsid w:val="009C63D6"/>
    <w:rsid w:val="009C6A75"/>
    <w:rsid w:val="009C7E77"/>
    <w:rsid w:val="009D27D5"/>
    <w:rsid w:val="009D4071"/>
    <w:rsid w:val="009D7D91"/>
    <w:rsid w:val="009E5289"/>
    <w:rsid w:val="00A0101D"/>
    <w:rsid w:val="00A01055"/>
    <w:rsid w:val="00A01FF6"/>
    <w:rsid w:val="00A07132"/>
    <w:rsid w:val="00A12AA8"/>
    <w:rsid w:val="00A2622D"/>
    <w:rsid w:val="00A3005D"/>
    <w:rsid w:val="00A300B7"/>
    <w:rsid w:val="00A33C8F"/>
    <w:rsid w:val="00A42A46"/>
    <w:rsid w:val="00A4377F"/>
    <w:rsid w:val="00A4634D"/>
    <w:rsid w:val="00A47743"/>
    <w:rsid w:val="00A52501"/>
    <w:rsid w:val="00A57ACF"/>
    <w:rsid w:val="00A60E03"/>
    <w:rsid w:val="00A625B5"/>
    <w:rsid w:val="00A65608"/>
    <w:rsid w:val="00A67BB9"/>
    <w:rsid w:val="00A71F36"/>
    <w:rsid w:val="00A74B1E"/>
    <w:rsid w:val="00A80C66"/>
    <w:rsid w:val="00A831C1"/>
    <w:rsid w:val="00A87B48"/>
    <w:rsid w:val="00A923C0"/>
    <w:rsid w:val="00A93023"/>
    <w:rsid w:val="00AA20B3"/>
    <w:rsid w:val="00AA7755"/>
    <w:rsid w:val="00AB0947"/>
    <w:rsid w:val="00AB1AB9"/>
    <w:rsid w:val="00AC0F8D"/>
    <w:rsid w:val="00AC4DAC"/>
    <w:rsid w:val="00AD1E62"/>
    <w:rsid w:val="00AD53E4"/>
    <w:rsid w:val="00AD6200"/>
    <w:rsid w:val="00AE4753"/>
    <w:rsid w:val="00AE4D67"/>
    <w:rsid w:val="00AF42F7"/>
    <w:rsid w:val="00AF5458"/>
    <w:rsid w:val="00B00ABC"/>
    <w:rsid w:val="00B00D51"/>
    <w:rsid w:val="00B00D6B"/>
    <w:rsid w:val="00B017C4"/>
    <w:rsid w:val="00B03669"/>
    <w:rsid w:val="00B03BC5"/>
    <w:rsid w:val="00B06848"/>
    <w:rsid w:val="00B1467B"/>
    <w:rsid w:val="00B21670"/>
    <w:rsid w:val="00B34482"/>
    <w:rsid w:val="00B42BF8"/>
    <w:rsid w:val="00B514DE"/>
    <w:rsid w:val="00B51751"/>
    <w:rsid w:val="00B52A34"/>
    <w:rsid w:val="00B5741D"/>
    <w:rsid w:val="00B61F60"/>
    <w:rsid w:val="00B63B92"/>
    <w:rsid w:val="00B64A3E"/>
    <w:rsid w:val="00B65C35"/>
    <w:rsid w:val="00B7586C"/>
    <w:rsid w:val="00B75F4B"/>
    <w:rsid w:val="00B85CDD"/>
    <w:rsid w:val="00B90BD4"/>
    <w:rsid w:val="00B92354"/>
    <w:rsid w:val="00BA155F"/>
    <w:rsid w:val="00BB5EF4"/>
    <w:rsid w:val="00BC002F"/>
    <w:rsid w:val="00BC29E8"/>
    <w:rsid w:val="00BC60AC"/>
    <w:rsid w:val="00BC7471"/>
    <w:rsid w:val="00BD55DD"/>
    <w:rsid w:val="00BD5E37"/>
    <w:rsid w:val="00BE613A"/>
    <w:rsid w:val="00BE7A3E"/>
    <w:rsid w:val="00BF350F"/>
    <w:rsid w:val="00C0076A"/>
    <w:rsid w:val="00C21FB3"/>
    <w:rsid w:val="00C2335E"/>
    <w:rsid w:val="00C243DB"/>
    <w:rsid w:val="00C25E8C"/>
    <w:rsid w:val="00C3454B"/>
    <w:rsid w:val="00C51069"/>
    <w:rsid w:val="00C5796E"/>
    <w:rsid w:val="00C61CEB"/>
    <w:rsid w:val="00C6367D"/>
    <w:rsid w:val="00C856F6"/>
    <w:rsid w:val="00C939DE"/>
    <w:rsid w:val="00CA1774"/>
    <w:rsid w:val="00CA4505"/>
    <w:rsid w:val="00CA7E8D"/>
    <w:rsid w:val="00CC2796"/>
    <w:rsid w:val="00CC50AE"/>
    <w:rsid w:val="00CC6F12"/>
    <w:rsid w:val="00CD1D06"/>
    <w:rsid w:val="00CD60D5"/>
    <w:rsid w:val="00CF45D6"/>
    <w:rsid w:val="00D0116B"/>
    <w:rsid w:val="00D0603D"/>
    <w:rsid w:val="00D20348"/>
    <w:rsid w:val="00D21260"/>
    <w:rsid w:val="00D26F06"/>
    <w:rsid w:val="00D33777"/>
    <w:rsid w:val="00D44D7B"/>
    <w:rsid w:val="00D4708B"/>
    <w:rsid w:val="00D50BC8"/>
    <w:rsid w:val="00D60226"/>
    <w:rsid w:val="00D81476"/>
    <w:rsid w:val="00D81C3C"/>
    <w:rsid w:val="00D932A2"/>
    <w:rsid w:val="00D94716"/>
    <w:rsid w:val="00DB4B16"/>
    <w:rsid w:val="00DC1A3F"/>
    <w:rsid w:val="00DC31AE"/>
    <w:rsid w:val="00DD0DBD"/>
    <w:rsid w:val="00DD3A08"/>
    <w:rsid w:val="00DD4A04"/>
    <w:rsid w:val="00DE2F5E"/>
    <w:rsid w:val="00DE546C"/>
    <w:rsid w:val="00DE59D1"/>
    <w:rsid w:val="00DF0961"/>
    <w:rsid w:val="00DF5FFA"/>
    <w:rsid w:val="00E0472D"/>
    <w:rsid w:val="00E05479"/>
    <w:rsid w:val="00E147C0"/>
    <w:rsid w:val="00E30195"/>
    <w:rsid w:val="00E32A0D"/>
    <w:rsid w:val="00E40A38"/>
    <w:rsid w:val="00E66F6B"/>
    <w:rsid w:val="00E76524"/>
    <w:rsid w:val="00E76791"/>
    <w:rsid w:val="00E77A0F"/>
    <w:rsid w:val="00E810E7"/>
    <w:rsid w:val="00E903E6"/>
    <w:rsid w:val="00EA44A9"/>
    <w:rsid w:val="00EB0F51"/>
    <w:rsid w:val="00EB2A4E"/>
    <w:rsid w:val="00EB348E"/>
    <w:rsid w:val="00EC34D6"/>
    <w:rsid w:val="00ED2D34"/>
    <w:rsid w:val="00EE1ACB"/>
    <w:rsid w:val="00EE1DEE"/>
    <w:rsid w:val="00EE629E"/>
    <w:rsid w:val="00EF5D26"/>
    <w:rsid w:val="00EF705A"/>
    <w:rsid w:val="00EF75E3"/>
    <w:rsid w:val="00F03D02"/>
    <w:rsid w:val="00F11177"/>
    <w:rsid w:val="00F12C4C"/>
    <w:rsid w:val="00F1392E"/>
    <w:rsid w:val="00F14B48"/>
    <w:rsid w:val="00F15E9F"/>
    <w:rsid w:val="00F23551"/>
    <w:rsid w:val="00F2509B"/>
    <w:rsid w:val="00F4635B"/>
    <w:rsid w:val="00F50A12"/>
    <w:rsid w:val="00F53A3F"/>
    <w:rsid w:val="00F60FB1"/>
    <w:rsid w:val="00F63A01"/>
    <w:rsid w:val="00F73606"/>
    <w:rsid w:val="00F85CA6"/>
    <w:rsid w:val="00F86622"/>
    <w:rsid w:val="00F904FB"/>
    <w:rsid w:val="00F94487"/>
    <w:rsid w:val="00FA12AB"/>
    <w:rsid w:val="00FA2386"/>
    <w:rsid w:val="00FA6516"/>
    <w:rsid w:val="00FB0CD9"/>
    <w:rsid w:val="00FB77A7"/>
    <w:rsid w:val="00FE006C"/>
    <w:rsid w:val="00FE6351"/>
    <w:rsid w:val="00FE6AF6"/>
    <w:rsid w:val="00FF38C4"/>
    <w:rsid w:val="00FF56D6"/>
    <w:rsid w:val="00FF662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qFormat="1"/>
    <w:lsdException w:name="annotation text" w:qFormat="1"/>
    <w:lsdException w:name="header" w:qFormat="1"/>
    <w:lsdException w:name="footer"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0AE"/>
    <w:pPr>
      <w:spacing w:before="120" w:after="160" w:line="254" w:lineRule="auto"/>
      <w:jc w:val="both"/>
    </w:pPr>
  </w:style>
  <w:style w:type="paragraph" w:styleId="Cabealho1">
    <w:name w:val="heading 1"/>
    <w:basedOn w:val="PargrafodaLista"/>
    <w:next w:val="Normal"/>
    <w:link w:val="Cabealho1Carcter"/>
    <w:uiPriority w:val="9"/>
    <w:qFormat/>
    <w:rsid w:val="00CC50AE"/>
    <w:pPr>
      <w:numPr>
        <w:numId w:val="1"/>
      </w:numPr>
      <w:spacing w:after="240" w:line="240" w:lineRule="auto"/>
      <w:outlineLvl w:val="0"/>
    </w:pPr>
    <w:rPr>
      <w:rFonts w:ascii="Cambria" w:hAnsi="Cambria" w:cs="Times New Roman"/>
      <w:b/>
      <w:caps/>
      <w:sz w:val="24"/>
      <w:szCs w:val="24"/>
    </w:rPr>
  </w:style>
  <w:style w:type="paragraph" w:styleId="Cabealho2">
    <w:name w:val="heading 2"/>
    <w:basedOn w:val="PargrafodaLista"/>
    <w:next w:val="Normal"/>
    <w:link w:val="Cabealho2Carcter"/>
    <w:uiPriority w:val="9"/>
    <w:semiHidden/>
    <w:unhideWhenUsed/>
    <w:qFormat/>
    <w:rsid w:val="00CC50AE"/>
    <w:pPr>
      <w:numPr>
        <w:ilvl w:val="1"/>
        <w:numId w:val="1"/>
      </w:numPr>
      <w:spacing w:after="120" w:line="240" w:lineRule="auto"/>
      <w:outlineLvl w:val="1"/>
    </w:pPr>
    <w:rPr>
      <w:rFonts w:ascii="Cambria" w:hAnsi="Cambria" w:cs="Times New Roman"/>
      <w:b/>
      <w:i/>
      <w:sz w:val="24"/>
      <w:szCs w:val="24"/>
    </w:rPr>
  </w:style>
  <w:style w:type="paragraph" w:styleId="Cabealho3">
    <w:name w:val="heading 3"/>
    <w:basedOn w:val="PargrafodaLista"/>
    <w:next w:val="Normal"/>
    <w:link w:val="Cabealho3Carcter"/>
    <w:uiPriority w:val="9"/>
    <w:semiHidden/>
    <w:unhideWhenUsed/>
    <w:qFormat/>
    <w:rsid w:val="00CC50AE"/>
    <w:pPr>
      <w:spacing w:after="240" w:line="240" w:lineRule="auto"/>
      <w:ind w:left="0"/>
      <w:outlineLvl w:val="2"/>
    </w:pPr>
    <w:rPr>
      <w:rFonts w:ascii="Cambria" w:hAnsi="Cambria" w:cs="Times New Roman"/>
      <w:b/>
      <w:caps/>
      <w:sz w:val="24"/>
      <w:szCs w:val="24"/>
    </w:rPr>
  </w:style>
  <w:style w:type="paragraph" w:styleId="Cabealho4">
    <w:name w:val="heading 4"/>
    <w:basedOn w:val="Normal"/>
    <w:next w:val="Normal"/>
    <w:link w:val="Cabealho4Carcter"/>
    <w:uiPriority w:val="9"/>
    <w:semiHidden/>
    <w:unhideWhenUsed/>
    <w:qFormat/>
    <w:rsid w:val="00CC50AE"/>
    <w:pPr>
      <w:spacing w:after="120" w:line="240" w:lineRule="auto"/>
      <w:outlineLvl w:val="3"/>
    </w:pPr>
    <w:rPr>
      <w:rFonts w:ascii="Cambria" w:hAnsi="Cambria"/>
      <w:i/>
      <w:sz w:val="24"/>
    </w:rPr>
  </w:style>
  <w:style w:type="paragraph" w:styleId="Cabealho5">
    <w:name w:val="heading 5"/>
    <w:basedOn w:val="Cabealho4"/>
    <w:next w:val="Normal"/>
    <w:link w:val="Cabealho5Carcter"/>
    <w:uiPriority w:val="9"/>
    <w:semiHidden/>
    <w:unhideWhenUsed/>
    <w:qFormat/>
    <w:rsid w:val="00CC50AE"/>
    <w:pPr>
      <w:outlineLvl w:val="4"/>
    </w:p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CC50AE"/>
    <w:rPr>
      <w:rFonts w:ascii="Cambria" w:hAnsi="Cambria" w:cs="Times New Roman"/>
      <w:b/>
      <w:caps/>
      <w:sz w:val="24"/>
      <w:szCs w:val="24"/>
    </w:rPr>
  </w:style>
  <w:style w:type="character" w:customStyle="1" w:styleId="Cabealho2Carcter">
    <w:name w:val="Cabeçalho 2 Carácter"/>
    <w:basedOn w:val="Tipodeletrapredefinidodopargrafo"/>
    <w:link w:val="Cabealho2"/>
    <w:uiPriority w:val="9"/>
    <w:semiHidden/>
    <w:rsid w:val="00CC50AE"/>
    <w:rPr>
      <w:rFonts w:ascii="Cambria" w:hAnsi="Cambria" w:cs="Times New Roman"/>
      <w:b/>
      <w:i/>
      <w:sz w:val="24"/>
      <w:szCs w:val="24"/>
    </w:rPr>
  </w:style>
  <w:style w:type="character" w:customStyle="1" w:styleId="Cabealho3Carcter">
    <w:name w:val="Cabeçalho 3 Carácter"/>
    <w:basedOn w:val="Tipodeletrapredefinidodopargrafo"/>
    <w:link w:val="Cabealho3"/>
    <w:uiPriority w:val="9"/>
    <w:semiHidden/>
    <w:rsid w:val="00CC50AE"/>
    <w:rPr>
      <w:rFonts w:ascii="Cambria" w:hAnsi="Cambria" w:cs="Times New Roman"/>
      <w:b/>
      <w:caps/>
      <w:sz w:val="24"/>
      <w:szCs w:val="24"/>
    </w:rPr>
  </w:style>
  <w:style w:type="character" w:customStyle="1" w:styleId="Cabealho4Carcter">
    <w:name w:val="Cabeçalho 4 Carácter"/>
    <w:basedOn w:val="Tipodeletrapredefinidodopargrafo"/>
    <w:link w:val="Cabealho4"/>
    <w:uiPriority w:val="9"/>
    <w:semiHidden/>
    <w:rsid w:val="00CC50AE"/>
    <w:rPr>
      <w:rFonts w:ascii="Cambria" w:hAnsi="Cambria"/>
      <w:i/>
      <w:sz w:val="24"/>
    </w:rPr>
  </w:style>
  <w:style w:type="character" w:customStyle="1" w:styleId="Cabealho5Carcter">
    <w:name w:val="Cabeçalho 5 Carácter"/>
    <w:basedOn w:val="Tipodeletrapredefinidodopargrafo"/>
    <w:link w:val="Cabealho5"/>
    <w:uiPriority w:val="9"/>
    <w:semiHidden/>
    <w:rsid w:val="00CC50AE"/>
    <w:rPr>
      <w:rFonts w:ascii="Cambria" w:hAnsi="Cambria"/>
      <w:i/>
      <w:sz w:val="24"/>
    </w:rPr>
  </w:style>
  <w:style w:type="character" w:styleId="Hiperligao">
    <w:name w:val="Hyperlink"/>
    <w:basedOn w:val="Tipodeletrapredefinidodopargrafo"/>
    <w:uiPriority w:val="99"/>
    <w:unhideWhenUsed/>
    <w:qFormat/>
    <w:rsid w:val="00CC50AE"/>
    <w:rPr>
      <w:color w:val="0000FF" w:themeColor="hyperlink"/>
      <w:u w:val="single"/>
    </w:rPr>
  </w:style>
  <w:style w:type="character" w:styleId="Hiperligaovisitada">
    <w:name w:val="FollowedHyperlink"/>
    <w:basedOn w:val="Tipodeletrapredefinidodopargrafo"/>
    <w:uiPriority w:val="99"/>
    <w:semiHidden/>
    <w:unhideWhenUsed/>
    <w:rsid w:val="00CC50AE"/>
    <w:rPr>
      <w:color w:val="800080" w:themeColor="followedHyperlink"/>
      <w:u w:val="single"/>
    </w:rPr>
  </w:style>
  <w:style w:type="paragraph" w:styleId="PargrafodaLista">
    <w:name w:val="List Paragraph"/>
    <w:basedOn w:val="Normal"/>
    <w:uiPriority w:val="34"/>
    <w:qFormat/>
    <w:rsid w:val="00CC50AE"/>
    <w:pPr>
      <w:ind w:left="720"/>
      <w:contextualSpacing/>
    </w:pPr>
  </w:style>
  <w:style w:type="paragraph" w:styleId="NormalWeb">
    <w:name w:val="Normal (Web)"/>
    <w:basedOn w:val="Normal"/>
    <w:uiPriority w:val="99"/>
    <w:semiHidden/>
    <w:unhideWhenUsed/>
    <w:qFormat/>
    <w:rsid w:val="00CC50AE"/>
    <w:pPr>
      <w:spacing w:before="100" w:beforeAutospacing="1" w:after="100" w:afterAutospacing="1" w:line="240" w:lineRule="auto"/>
    </w:pPr>
    <w:rPr>
      <w:rFonts w:ascii="Times New Roman" w:eastAsia="Times New Roman" w:hAnsi="Times New Roman" w:cs="Times New Roman"/>
      <w:color w:val="000000"/>
      <w:sz w:val="24"/>
      <w:szCs w:val="24"/>
      <w:lang w:eastAsia="pt-PT"/>
    </w:rPr>
  </w:style>
  <w:style w:type="paragraph" w:styleId="ndice1">
    <w:name w:val="toc 1"/>
    <w:basedOn w:val="Normal"/>
    <w:next w:val="Normal"/>
    <w:autoRedefine/>
    <w:uiPriority w:val="39"/>
    <w:unhideWhenUsed/>
    <w:qFormat/>
    <w:rsid w:val="00CC50AE"/>
    <w:pPr>
      <w:spacing w:after="120"/>
      <w:jc w:val="left"/>
    </w:pPr>
    <w:rPr>
      <w:rFonts w:cstheme="minorHAnsi"/>
      <w:b/>
      <w:bCs/>
      <w:caps/>
      <w:sz w:val="20"/>
      <w:szCs w:val="20"/>
    </w:rPr>
  </w:style>
  <w:style w:type="paragraph" w:styleId="ndice2">
    <w:name w:val="toc 2"/>
    <w:basedOn w:val="Normal"/>
    <w:next w:val="Normal"/>
    <w:autoRedefine/>
    <w:uiPriority w:val="39"/>
    <w:unhideWhenUsed/>
    <w:qFormat/>
    <w:rsid w:val="00380199"/>
    <w:pPr>
      <w:tabs>
        <w:tab w:val="left" w:pos="660"/>
        <w:tab w:val="right" w:leader="dot" w:pos="8494"/>
      </w:tabs>
      <w:spacing w:before="0" w:after="0"/>
      <w:ind w:left="220"/>
      <w:jc w:val="left"/>
    </w:pPr>
    <w:rPr>
      <w:rFonts w:asciiTheme="majorHAnsi" w:hAnsiTheme="majorHAnsi" w:cstheme="minorHAnsi"/>
      <w:smallCaps/>
      <w:sz w:val="20"/>
      <w:szCs w:val="20"/>
    </w:rPr>
  </w:style>
  <w:style w:type="paragraph" w:styleId="ndice3">
    <w:name w:val="toc 3"/>
    <w:basedOn w:val="Normal"/>
    <w:next w:val="Normal"/>
    <w:autoRedefine/>
    <w:uiPriority w:val="39"/>
    <w:unhideWhenUsed/>
    <w:qFormat/>
    <w:rsid w:val="00CC50AE"/>
    <w:pPr>
      <w:spacing w:before="0" w:after="0"/>
      <w:ind w:left="440"/>
      <w:jc w:val="left"/>
    </w:pPr>
    <w:rPr>
      <w:rFonts w:cstheme="minorHAnsi"/>
      <w:i/>
      <w:iCs/>
      <w:sz w:val="20"/>
      <w:szCs w:val="20"/>
    </w:rPr>
  </w:style>
  <w:style w:type="paragraph" w:styleId="ndice4">
    <w:name w:val="toc 4"/>
    <w:basedOn w:val="Normal"/>
    <w:next w:val="Normal"/>
    <w:autoRedefine/>
    <w:uiPriority w:val="39"/>
    <w:semiHidden/>
    <w:unhideWhenUsed/>
    <w:qFormat/>
    <w:rsid w:val="00CC50AE"/>
    <w:pPr>
      <w:spacing w:before="0" w:after="0"/>
      <w:ind w:left="660"/>
      <w:jc w:val="left"/>
    </w:pPr>
    <w:rPr>
      <w:rFonts w:cstheme="minorHAnsi"/>
      <w:sz w:val="18"/>
      <w:szCs w:val="18"/>
    </w:rPr>
  </w:style>
  <w:style w:type="paragraph" w:styleId="ndice5">
    <w:name w:val="toc 5"/>
    <w:basedOn w:val="Normal"/>
    <w:next w:val="Normal"/>
    <w:autoRedefine/>
    <w:uiPriority w:val="39"/>
    <w:semiHidden/>
    <w:unhideWhenUsed/>
    <w:qFormat/>
    <w:rsid w:val="00CC50AE"/>
    <w:pPr>
      <w:spacing w:before="0" w:after="0"/>
      <w:ind w:left="880"/>
      <w:jc w:val="left"/>
    </w:pPr>
    <w:rPr>
      <w:rFonts w:cstheme="minorHAnsi"/>
      <w:sz w:val="18"/>
      <w:szCs w:val="18"/>
    </w:rPr>
  </w:style>
  <w:style w:type="paragraph" w:styleId="ndice6">
    <w:name w:val="toc 6"/>
    <w:basedOn w:val="Normal"/>
    <w:next w:val="Normal"/>
    <w:autoRedefine/>
    <w:uiPriority w:val="39"/>
    <w:semiHidden/>
    <w:unhideWhenUsed/>
    <w:qFormat/>
    <w:rsid w:val="00CC50AE"/>
    <w:pPr>
      <w:spacing w:before="0" w:after="0"/>
      <w:ind w:left="1100"/>
      <w:jc w:val="left"/>
    </w:pPr>
    <w:rPr>
      <w:rFonts w:cstheme="minorHAnsi"/>
      <w:sz w:val="18"/>
      <w:szCs w:val="18"/>
    </w:rPr>
  </w:style>
  <w:style w:type="paragraph" w:styleId="ndice7">
    <w:name w:val="toc 7"/>
    <w:basedOn w:val="Normal"/>
    <w:next w:val="Normal"/>
    <w:autoRedefine/>
    <w:uiPriority w:val="39"/>
    <w:semiHidden/>
    <w:unhideWhenUsed/>
    <w:qFormat/>
    <w:rsid w:val="00CC50AE"/>
    <w:pPr>
      <w:spacing w:before="0" w:after="0"/>
      <w:ind w:left="1320"/>
      <w:jc w:val="left"/>
    </w:pPr>
    <w:rPr>
      <w:rFonts w:cstheme="minorHAnsi"/>
      <w:sz w:val="18"/>
      <w:szCs w:val="18"/>
    </w:rPr>
  </w:style>
  <w:style w:type="paragraph" w:styleId="ndice8">
    <w:name w:val="toc 8"/>
    <w:basedOn w:val="Normal"/>
    <w:next w:val="Normal"/>
    <w:autoRedefine/>
    <w:uiPriority w:val="39"/>
    <w:semiHidden/>
    <w:unhideWhenUsed/>
    <w:qFormat/>
    <w:rsid w:val="00CC50AE"/>
    <w:pPr>
      <w:spacing w:before="0" w:after="0"/>
      <w:ind w:left="1540"/>
      <w:jc w:val="left"/>
    </w:pPr>
    <w:rPr>
      <w:rFonts w:cstheme="minorHAnsi"/>
      <w:sz w:val="18"/>
      <w:szCs w:val="18"/>
    </w:rPr>
  </w:style>
  <w:style w:type="paragraph" w:styleId="ndice9">
    <w:name w:val="toc 9"/>
    <w:basedOn w:val="Normal"/>
    <w:next w:val="Normal"/>
    <w:autoRedefine/>
    <w:uiPriority w:val="39"/>
    <w:semiHidden/>
    <w:unhideWhenUsed/>
    <w:qFormat/>
    <w:rsid w:val="00CC50AE"/>
    <w:pPr>
      <w:spacing w:before="0" w:after="0"/>
      <w:ind w:left="1760"/>
      <w:jc w:val="left"/>
    </w:pPr>
    <w:rPr>
      <w:rFonts w:cstheme="minorHAnsi"/>
      <w:sz w:val="18"/>
      <w:szCs w:val="18"/>
    </w:rPr>
  </w:style>
  <w:style w:type="paragraph" w:styleId="Textodenotaderodap">
    <w:name w:val="footnote text"/>
    <w:basedOn w:val="Normal"/>
    <w:link w:val="TextodenotaderodapCarcter"/>
    <w:uiPriority w:val="99"/>
    <w:unhideWhenUsed/>
    <w:qFormat/>
    <w:rsid w:val="00CC50AE"/>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qFormat/>
    <w:rsid w:val="00CC50AE"/>
    <w:rPr>
      <w:sz w:val="20"/>
      <w:szCs w:val="20"/>
    </w:rPr>
  </w:style>
  <w:style w:type="paragraph" w:styleId="Textodecomentrio">
    <w:name w:val="annotation text"/>
    <w:basedOn w:val="Normal"/>
    <w:link w:val="TextodecomentrioCarcter"/>
    <w:uiPriority w:val="99"/>
    <w:semiHidden/>
    <w:unhideWhenUsed/>
    <w:qFormat/>
    <w:rsid w:val="00CC50AE"/>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qFormat/>
    <w:rsid w:val="00CC50AE"/>
    <w:rPr>
      <w:sz w:val="20"/>
      <w:szCs w:val="20"/>
    </w:rPr>
  </w:style>
  <w:style w:type="paragraph" w:styleId="Cabealho">
    <w:name w:val="header"/>
    <w:basedOn w:val="Normal"/>
    <w:link w:val="CabealhoCarcter"/>
    <w:uiPriority w:val="99"/>
    <w:unhideWhenUsed/>
    <w:qFormat/>
    <w:rsid w:val="00CC50A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qFormat/>
    <w:rsid w:val="00CC50AE"/>
  </w:style>
  <w:style w:type="paragraph" w:styleId="Rodap">
    <w:name w:val="footer"/>
    <w:basedOn w:val="Normal"/>
    <w:link w:val="RodapCarcter"/>
    <w:uiPriority w:val="99"/>
    <w:unhideWhenUsed/>
    <w:qFormat/>
    <w:rsid w:val="00CC50A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qFormat/>
    <w:rsid w:val="00CC50AE"/>
  </w:style>
  <w:style w:type="paragraph" w:styleId="Assuntodecomentrio">
    <w:name w:val="annotation subject"/>
    <w:basedOn w:val="Textodecomentrio"/>
    <w:next w:val="Textodecomentrio"/>
    <w:link w:val="AssuntodecomentrioCarcter"/>
    <w:uiPriority w:val="99"/>
    <w:semiHidden/>
    <w:unhideWhenUsed/>
    <w:qFormat/>
    <w:rsid w:val="00CC50AE"/>
    <w:rPr>
      <w:b/>
      <w:bCs/>
    </w:rPr>
  </w:style>
  <w:style w:type="character" w:customStyle="1" w:styleId="AssuntodecomentrioCarcter">
    <w:name w:val="Assunto de comentário Carácter"/>
    <w:basedOn w:val="TextodecomentrioCarcter"/>
    <w:link w:val="Assuntodecomentrio"/>
    <w:uiPriority w:val="99"/>
    <w:semiHidden/>
    <w:qFormat/>
    <w:rsid w:val="00CC50AE"/>
    <w:rPr>
      <w:b/>
      <w:bCs/>
      <w:sz w:val="20"/>
      <w:szCs w:val="20"/>
    </w:rPr>
  </w:style>
  <w:style w:type="paragraph" w:styleId="Textodebalo">
    <w:name w:val="Balloon Text"/>
    <w:basedOn w:val="Normal"/>
    <w:link w:val="TextodebaloCarcter"/>
    <w:uiPriority w:val="99"/>
    <w:semiHidden/>
    <w:unhideWhenUsed/>
    <w:qFormat/>
    <w:rsid w:val="00CC50AE"/>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qFormat/>
    <w:rsid w:val="00CC50AE"/>
    <w:rPr>
      <w:rFonts w:ascii="Segoe UI" w:hAnsi="Segoe UI" w:cs="Segoe UI"/>
      <w:sz w:val="18"/>
      <w:szCs w:val="18"/>
    </w:rPr>
  </w:style>
  <w:style w:type="paragraph" w:styleId="Ttulodondice">
    <w:name w:val="TOC Heading"/>
    <w:basedOn w:val="Cabealho1"/>
    <w:next w:val="Normal"/>
    <w:uiPriority w:val="39"/>
    <w:semiHidden/>
    <w:unhideWhenUsed/>
    <w:qFormat/>
    <w:rsid w:val="00CC50AE"/>
    <w:pPr>
      <w:keepNext/>
      <w:keepLines/>
      <w:numPr>
        <w:numId w:val="0"/>
      </w:numPr>
      <w:spacing w:before="480" w:after="0" w:line="276" w:lineRule="auto"/>
      <w:contextualSpacing w:val="0"/>
      <w:jc w:val="left"/>
      <w:outlineLvl w:val="9"/>
    </w:pPr>
    <w:rPr>
      <w:rFonts w:asciiTheme="majorHAnsi" w:eastAsiaTheme="majorEastAsia" w:hAnsiTheme="majorHAnsi" w:cstheme="majorBidi"/>
      <w:bCs/>
      <w:caps w:val="0"/>
      <w:color w:val="365F91" w:themeColor="accent1" w:themeShade="BF"/>
      <w:sz w:val="28"/>
      <w:szCs w:val="28"/>
    </w:rPr>
  </w:style>
  <w:style w:type="paragraph" w:customStyle="1" w:styleId="PargrafodaLista1">
    <w:name w:val="Parágrafo da Lista1"/>
    <w:basedOn w:val="Normal"/>
    <w:uiPriority w:val="34"/>
    <w:qFormat/>
    <w:rsid w:val="00CC50AE"/>
    <w:pPr>
      <w:ind w:left="720"/>
      <w:contextualSpacing/>
    </w:pPr>
  </w:style>
  <w:style w:type="paragraph" w:customStyle="1" w:styleId="SemEspaamento1">
    <w:name w:val="Sem Espaçamento1"/>
    <w:basedOn w:val="Normal"/>
    <w:uiPriority w:val="1"/>
    <w:qFormat/>
    <w:rsid w:val="00CC50AE"/>
    <w:pPr>
      <w:spacing w:after="240" w:line="240" w:lineRule="auto"/>
      <w:outlineLvl w:val="0"/>
    </w:pPr>
    <w:rPr>
      <w:rFonts w:ascii="Cambria" w:hAnsi="Cambria" w:cs="Times New Roman"/>
      <w:b/>
      <w:caps/>
      <w:sz w:val="24"/>
      <w:szCs w:val="24"/>
    </w:rPr>
  </w:style>
  <w:style w:type="character" w:styleId="Refdenotaderodap">
    <w:name w:val="footnote reference"/>
    <w:basedOn w:val="Tipodeletrapredefinidodopargrafo"/>
    <w:uiPriority w:val="99"/>
    <w:semiHidden/>
    <w:unhideWhenUsed/>
    <w:qFormat/>
    <w:rsid w:val="00CC50AE"/>
    <w:rPr>
      <w:vertAlign w:val="superscript"/>
    </w:rPr>
  </w:style>
  <w:style w:type="character" w:styleId="Refdecomentrio">
    <w:name w:val="annotation reference"/>
    <w:basedOn w:val="Tipodeletrapredefinidodopargrafo"/>
    <w:uiPriority w:val="99"/>
    <w:semiHidden/>
    <w:unhideWhenUsed/>
    <w:qFormat/>
    <w:rsid w:val="00CC50AE"/>
    <w:rPr>
      <w:sz w:val="16"/>
      <w:szCs w:val="16"/>
    </w:rPr>
  </w:style>
  <w:style w:type="character" w:styleId="TtulodoLivro">
    <w:name w:val="Book Title"/>
    <w:uiPriority w:val="33"/>
    <w:qFormat/>
    <w:rsid w:val="00CC50AE"/>
    <w:rPr>
      <w:rFonts w:ascii="Cambria" w:hAnsi="Cambria" w:cs="Times New Roman" w:hint="default"/>
      <w:b/>
      <w:bCs w:val="0"/>
      <w:i/>
      <w:iCs w:val="0"/>
      <w:sz w:val="24"/>
      <w:szCs w:val="24"/>
    </w:rPr>
  </w:style>
  <w:style w:type="character" w:styleId="nfaseDiscreto">
    <w:name w:val="Subtle Emphasis"/>
    <w:basedOn w:val="Tipodeletrapredefinidodopargrafo"/>
    <w:uiPriority w:val="19"/>
    <w:qFormat/>
    <w:rsid w:val="00A625B5"/>
    <w:rPr>
      <w:i/>
      <w:iCs/>
      <w:color w:val="808080" w:themeColor="text1" w:themeTint="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qFormat="1"/>
    <w:lsdException w:name="annotation text" w:qFormat="1"/>
    <w:lsdException w:name="header" w:qFormat="1"/>
    <w:lsdException w:name="footer"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0AE"/>
    <w:pPr>
      <w:spacing w:before="120" w:after="160" w:line="254" w:lineRule="auto"/>
      <w:jc w:val="both"/>
    </w:pPr>
  </w:style>
  <w:style w:type="paragraph" w:styleId="Cabealho1">
    <w:name w:val="heading 1"/>
    <w:basedOn w:val="PargrafodaLista"/>
    <w:next w:val="Normal"/>
    <w:link w:val="Cabealho1Carcter"/>
    <w:uiPriority w:val="9"/>
    <w:qFormat/>
    <w:rsid w:val="00CC50AE"/>
    <w:pPr>
      <w:numPr>
        <w:numId w:val="1"/>
      </w:numPr>
      <w:spacing w:after="240" w:line="240" w:lineRule="auto"/>
      <w:outlineLvl w:val="0"/>
    </w:pPr>
    <w:rPr>
      <w:rFonts w:ascii="Cambria" w:hAnsi="Cambria" w:cs="Times New Roman"/>
      <w:b/>
      <w:caps/>
      <w:sz w:val="24"/>
      <w:szCs w:val="24"/>
    </w:rPr>
  </w:style>
  <w:style w:type="paragraph" w:styleId="Cabealho2">
    <w:name w:val="heading 2"/>
    <w:basedOn w:val="PargrafodaLista"/>
    <w:next w:val="Normal"/>
    <w:link w:val="Cabealho2Carcter"/>
    <w:uiPriority w:val="9"/>
    <w:semiHidden/>
    <w:unhideWhenUsed/>
    <w:qFormat/>
    <w:rsid w:val="00CC50AE"/>
    <w:pPr>
      <w:numPr>
        <w:ilvl w:val="1"/>
        <w:numId w:val="1"/>
      </w:numPr>
      <w:spacing w:after="120" w:line="240" w:lineRule="auto"/>
      <w:outlineLvl w:val="1"/>
    </w:pPr>
    <w:rPr>
      <w:rFonts w:ascii="Cambria" w:hAnsi="Cambria" w:cs="Times New Roman"/>
      <w:b/>
      <w:i/>
      <w:sz w:val="24"/>
      <w:szCs w:val="24"/>
    </w:rPr>
  </w:style>
  <w:style w:type="paragraph" w:styleId="Cabealho3">
    <w:name w:val="heading 3"/>
    <w:basedOn w:val="PargrafodaLista"/>
    <w:next w:val="Normal"/>
    <w:link w:val="Cabealho3Carcter"/>
    <w:uiPriority w:val="9"/>
    <w:semiHidden/>
    <w:unhideWhenUsed/>
    <w:qFormat/>
    <w:rsid w:val="00CC50AE"/>
    <w:pPr>
      <w:spacing w:after="240" w:line="240" w:lineRule="auto"/>
      <w:ind w:left="0"/>
      <w:outlineLvl w:val="2"/>
    </w:pPr>
    <w:rPr>
      <w:rFonts w:ascii="Cambria" w:hAnsi="Cambria" w:cs="Times New Roman"/>
      <w:b/>
      <w:caps/>
      <w:sz w:val="24"/>
      <w:szCs w:val="24"/>
    </w:rPr>
  </w:style>
  <w:style w:type="paragraph" w:styleId="Cabealho4">
    <w:name w:val="heading 4"/>
    <w:basedOn w:val="Normal"/>
    <w:next w:val="Normal"/>
    <w:link w:val="Cabealho4Carcter"/>
    <w:uiPriority w:val="9"/>
    <w:semiHidden/>
    <w:unhideWhenUsed/>
    <w:qFormat/>
    <w:rsid w:val="00CC50AE"/>
    <w:pPr>
      <w:spacing w:after="120" w:line="240" w:lineRule="auto"/>
      <w:outlineLvl w:val="3"/>
    </w:pPr>
    <w:rPr>
      <w:rFonts w:ascii="Cambria" w:hAnsi="Cambria"/>
      <w:i/>
      <w:sz w:val="24"/>
    </w:rPr>
  </w:style>
  <w:style w:type="paragraph" w:styleId="Cabealho5">
    <w:name w:val="heading 5"/>
    <w:basedOn w:val="Cabealho4"/>
    <w:next w:val="Normal"/>
    <w:link w:val="Cabealho5Carcter"/>
    <w:uiPriority w:val="9"/>
    <w:semiHidden/>
    <w:unhideWhenUsed/>
    <w:qFormat/>
    <w:rsid w:val="00CC50AE"/>
    <w:pPr>
      <w:outlineLvl w:val="4"/>
    </w:p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cter">
    <w:name w:val="Cabeçalho 1 Carácter"/>
    <w:basedOn w:val="Tipodeletrapredefinidodopargrafo"/>
    <w:link w:val="Cabealho1"/>
    <w:uiPriority w:val="9"/>
    <w:rsid w:val="00CC50AE"/>
    <w:rPr>
      <w:rFonts w:ascii="Cambria" w:hAnsi="Cambria" w:cs="Times New Roman"/>
      <w:b/>
      <w:caps/>
      <w:sz w:val="24"/>
      <w:szCs w:val="24"/>
    </w:rPr>
  </w:style>
  <w:style w:type="character" w:customStyle="1" w:styleId="Cabealho2Carcter">
    <w:name w:val="Cabeçalho 2 Carácter"/>
    <w:basedOn w:val="Tipodeletrapredefinidodopargrafo"/>
    <w:link w:val="Cabealho2"/>
    <w:uiPriority w:val="9"/>
    <w:semiHidden/>
    <w:rsid w:val="00CC50AE"/>
    <w:rPr>
      <w:rFonts w:ascii="Cambria" w:hAnsi="Cambria" w:cs="Times New Roman"/>
      <w:b/>
      <w:i/>
      <w:sz w:val="24"/>
      <w:szCs w:val="24"/>
    </w:rPr>
  </w:style>
  <w:style w:type="character" w:customStyle="1" w:styleId="Cabealho3Carcter">
    <w:name w:val="Cabeçalho 3 Carácter"/>
    <w:basedOn w:val="Tipodeletrapredefinidodopargrafo"/>
    <w:link w:val="Cabealho3"/>
    <w:uiPriority w:val="9"/>
    <w:semiHidden/>
    <w:rsid w:val="00CC50AE"/>
    <w:rPr>
      <w:rFonts w:ascii="Cambria" w:hAnsi="Cambria" w:cs="Times New Roman"/>
      <w:b/>
      <w:caps/>
      <w:sz w:val="24"/>
      <w:szCs w:val="24"/>
    </w:rPr>
  </w:style>
  <w:style w:type="character" w:customStyle="1" w:styleId="Cabealho4Carcter">
    <w:name w:val="Cabeçalho 4 Carácter"/>
    <w:basedOn w:val="Tipodeletrapredefinidodopargrafo"/>
    <w:link w:val="Cabealho4"/>
    <w:uiPriority w:val="9"/>
    <w:semiHidden/>
    <w:rsid w:val="00CC50AE"/>
    <w:rPr>
      <w:rFonts w:ascii="Cambria" w:hAnsi="Cambria"/>
      <w:i/>
      <w:sz w:val="24"/>
    </w:rPr>
  </w:style>
  <w:style w:type="character" w:customStyle="1" w:styleId="Cabealho5Carcter">
    <w:name w:val="Cabeçalho 5 Carácter"/>
    <w:basedOn w:val="Tipodeletrapredefinidodopargrafo"/>
    <w:link w:val="Cabealho5"/>
    <w:uiPriority w:val="9"/>
    <w:semiHidden/>
    <w:rsid w:val="00CC50AE"/>
    <w:rPr>
      <w:rFonts w:ascii="Cambria" w:hAnsi="Cambria"/>
      <w:i/>
      <w:sz w:val="24"/>
    </w:rPr>
  </w:style>
  <w:style w:type="character" w:styleId="Hiperligao">
    <w:name w:val="Hyperlink"/>
    <w:basedOn w:val="Tipodeletrapredefinidodopargrafo"/>
    <w:uiPriority w:val="99"/>
    <w:unhideWhenUsed/>
    <w:qFormat/>
    <w:rsid w:val="00CC50AE"/>
    <w:rPr>
      <w:color w:val="0000FF" w:themeColor="hyperlink"/>
      <w:u w:val="single"/>
    </w:rPr>
  </w:style>
  <w:style w:type="character" w:styleId="Hiperligaovisitada">
    <w:name w:val="FollowedHyperlink"/>
    <w:basedOn w:val="Tipodeletrapredefinidodopargrafo"/>
    <w:uiPriority w:val="99"/>
    <w:semiHidden/>
    <w:unhideWhenUsed/>
    <w:rsid w:val="00CC50AE"/>
    <w:rPr>
      <w:color w:val="800080" w:themeColor="followedHyperlink"/>
      <w:u w:val="single"/>
    </w:rPr>
  </w:style>
  <w:style w:type="paragraph" w:styleId="PargrafodaLista">
    <w:name w:val="List Paragraph"/>
    <w:basedOn w:val="Normal"/>
    <w:uiPriority w:val="34"/>
    <w:qFormat/>
    <w:rsid w:val="00CC50AE"/>
    <w:pPr>
      <w:ind w:left="720"/>
      <w:contextualSpacing/>
    </w:pPr>
  </w:style>
  <w:style w:type="paragraph" w:styleId="NormalWeb">
    <w:name w:val="Normal (Web)"/>
    <w:basedOn w:val="Normal"/>
    <w:uiPriority w:val="99"/>
    <w:semiHidden/>
    <w:unhideWhenUsed/>
    <w:qFormat/>
    <w:rsid w:val="00CC50AE"/>
    <w:pPr>
      <w:spacing w:before="100" w:beforeAutospacing="1" w:after="100" w:afterAutospacing="1" w:line="240" w:lineRule="auto"/>
    </w:pPr>
    <w:rPr>
      <w:rFonts w:ascii="Times New Roman" w:eastAsia="Times New Roman" w:hAnsi="Times New Roman" w:cs="Times New Roman"/>
      <w:color w:val="000000"/>
      <w:sz w:val="24"/>
      <w:szCs w:val="24"/>
      <w:lang w:eastAsia="pt-PT"/>
    </w:rPr>
  </w:style>
  <w:style w:type="paragraph" w:styleId="ndice1">
    <w:name w:val="toc 1"/>
    <w:basedOn w:val="Normal"/>
    <w:next w:val="Normal"/>
    <w:autoRedefine/>
    <w:uiPriority w:val="39"/>
    <w:unhideWhenUsed/>
    <w:qFormat/>
    <w:rsid w:val="00CC50AE"/>
    <w:pPr>
      <w:spacing w:after="120"/>
      <w:jc w:val="left"/>
    </w:pPr>
    <w:rPr>
      <w:rFonts w:cstheme="minorHAnsi"/>
      <w:b/>
      <w:bCs/>
      <w:caps/>
      <w:sz w:val="20"/>
      <w:szCs w:val="20"/>
    </w:rPr>
  </w:style>
  <w:style w:type="paragraph" w:styleId="ndice2">
    <w:name w:val="toc 2"/>
    <w:basedOn w:val="Normal"/>
    <w:next w:val="Normal"/>
    <w:autoRedefine/>
    <w:uiPriority w:val="39"/>
    <w:unhideWhenUsed/>
    <w:qFormat/>
    <w:rsid w:val="00380199"/>
    <w:pPr>
      <w:tabs>
        <w:tab w:val="left" w:pos="660"/>
        <w:tab w:val="right" w:leader="dot" w:pos="8494"/>
      </w:tabs>
      <w:spacing w:before="0" w:after="0"/>
      <w:ind w:left="220"/>
      <w:jc w:val="left"/>
    </w:pPr>
    <w:rPr>
      <w:rFonts w:asciiTheme="majorHAnsi" w:hAnsiTheme="majorHAnsi" w:cstheme="minorHAnsi"/>
      <w:smallCaps/>
      <w:sz w:val="20"/>
      <w:szCs w:val="20"/>
    </w:rPr>
  </w:style>
  <w:style w:type="paragraph" w:styleId="ndice3">
    <w:name w:val="toc 3"/>
    <w:basedOn w:val="Normal"/>
    <w:next w:val="Normal"/>
    <w:autoRedefine/>
    <w:uiPriority w:val="39"/>
    <w:unhideWhenUsed/>
    <w:qFormat/>
    <w:rsid w:val="00CC50AE"/>
    <w:pPr>
      <w:spacing w:before="0" w:after="0"/>
      <w:ind w:left="440"/>
      <w:jc w:val="left"/>
    </w:pPr>
    <w:rPr>
      <w:rFonts w:cstheme="minorHAnsi"/>
      <w:i/>
      <w:iCs/>
      <w:sz w:val="20"/>
      <w:szCs w:val="20"/>
    </w:rPr>
  </w:style>
  <w:style w:type="paragraph" w:styleId="ndice4">
    <w:name w:val="toc 4"/>
    <w:basedOn w:val="Normal"/>
    <w:next w:val="Normal"/>
    <w:autoRedefine/>
    <w:uiPriority w:val="39"/>
    <w:semiHidden/>
    <w:unhideWhenUsed/>
    <w:qFormat/>
    <w:rsid w:val="00CC50AE"/>
    <w:pPr>
      <w:spacing w:before="0" w:after="0"/>
      <w:ind w:left="660"/>
      <w:jc w:val="left"/>
    </w:pPr>
    <w:rPr>
      <w:rFonts w:cstheme="minorHAnsi"/>
      <w:sz w:val="18"/>
      <w:szCs w:val="18"/>
    </w:rPr>
  </w:style>
  <w:style w:type="paragraph" w:styleId="ndice5">
    <w:name w:val="toc 5"/>
    <w:basedOn w:val="Normal"/>
    <w:next w:val="Normal"/>
    <w:autoRedefine/>
    <w:uiPriority w:val="39"/>
    <w:semiHidden/>
    <w:unhideWhenUsed/>
    <w:qFormat/>
    <w:rsid w:val="00CC50AE"/>
    <w:pPr>
      <w:spacing w:before="0" w:after="0"/>
      <w:ind w:left="880"/>
      <w:jc w:val="left"/>
    </w:pPr>
    <w:rPr>
      <w:rFonts w:cstheme="minorHAnsi"/>
      <w:sz w:val="18"/>
      <w:szCs w:val="18"/>
    </w:rPr>
  </w:style>
  <w:style w:type="paragraph" w:styleId="ndice6">
    <w:name w:val="toc 6"/>
    <w:basedOn w:val="Normal"/>
    <w:next w:val="Normal"/>
    <w:autoRedefine/>
    <w:uiPriority w:val="39"/>
    <w:semiHidden/>
    <w:unhideWhenUsed/>
    <w:qFormat/>
    <w:rsid w:val="00CC50AE"/>
    <w:pPr>
      <w:spacing w:before="0" w:after="0"/>
      <w:ind w:left="1100"/>
      <w:jc w:val="left"/>
    </w:pPr>
    <w:rPr>
      <w:rFonts w:cstheme="minorHAnsi"/>
      <w:sz w:val="18"/>
      <w:szCs w:val="18"/>
    </w:rPr>
  </w:style>
  <w:style w:type="paragraph" w:styleId="ndice7">
    <w:name w:val="toc 7"/>
    <w:basedOn w:val="Normal"/>
    <w:next w:val="Normal"/>
    <w:autoRedefine/>
    <w:uiPriority w:val="39"/>
    <w:semiHidden/>
    <w:unhideWhenUsed/>
    <w:qFormat/>
    <w:rsid w:val="00CC50AE"/>
    <w:pPr>
      <w:spacing w:before="0" w:after="0"/>
      <w:ind w:left="1320"/>
      <w:jc w:val="left"/>
    </w:pPr>
    <w:rPr>
      <w:rFonts w:cstheme="minorHAnsi"/>
      <w:sz w:val="18"/>
      <w:szCs w:val="18"/>
    </w:rPr>
  </w:style>
  <w:style w:type="paragraph" w:styleId="ndice8">
    <w:name w:val="toc 8"/>
    <w:basedOn w:val="Normal"/>
    <w:next w:val="Normal"/>
    <w:autoRedefine/>
    <w:uiPriority w:val="39"/>
    <w:semiHidden/>
    <w:unhideWhenUsed/>
    <w:qFormat/>
    <w:rsid w:val="00CC50AE"/>
    <w:pPr>
      <w:spacing w:before="0" w:after="0"/>
      <w:ind w:left="1540"/>
      <w:jc w:val="left"/>
    </w:pPr>
    <w:rPr>
      <w:rFonts w:cstheme="minorHAnsi"/>
      <w:sz w:val="18"/>
      <w:szCs w:val="18"/>
    </w:rPr>
  </w:style>
  <w:style w:type="paragraph" w:styleId="ndice9">
    <w:name w:val="toc 9"/>
    <w:basedOn w:val="Normal"/>
    <w:next w:val="Normal"/>
    <w:autoRedefine/>
    <w:uiPriority w:val="39"/>
    <w:semiHidden/>
    <w:unhideWhenUsed/>
    <w:qFormat/>
    <w:rsid w:val="00CC50AE"/>
    <w:pPr>
      <w:spacing w:before="0" w:after="0"/>
      <w:ind w:left="1760"/>
      <w:jc w:val="left"/>
    </w:pPr>
    <w:rPr>
      <w:rFonts w:cstheme="minorHAnsi"/>
      <w:sz w:val="18"/>
      <w:szCs w:val="18"/>
    </w:rPr>
  </w:style>
  <w:style w:type="paragraph" w:styleId="Textodenotaderodap">
    <w:name w:val="footnote text"/>
    <w:basedOn w:val="Normal"/>
    <w:link w:val="TextodenotaderodapCarcter"/>
    <w:uiPriority w:val="99"/>
    <w:unhideWhenUsed/>
    <w:qFormat/>
    <w:rsid w:val="00CC50AE"/>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qFormat/>
    <w:rsid w:val="00CC50AE"/>
    <w:rPr>
      <w:sz w:val="20"/>
      <w:szCs w:val="20"/>
    </w:rPr>
  </w:style>
  <w:style w:type="paragraph" w:styleId="Textodecomentrio">
    <w:name w:val="annotation text"/>
    <w:basedOn w:val="Normal"/>
    <w:link w:val="TextodecomentrioCarcter"/>
    <w:uiPriority w:val="99"/>
    <w:semiHidden/>
    <w:unhideWhenUsed/>
    <w:qFormat/>
    <w:rsid w:val="00CC50AE"/>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qFormat/>
    <w:rsid w:val="00CC50AE"/>
    <w:rPr>
      <w:sz w:val="20"/>
      <w:szCs w:val="20"/>
    </w:rPr>
  </w:style>
  <w:style w:type="paragraph" w:styleId="Cabealho">
    <w:name w:val="header"/>
    <w:basedOn w:val="Normal"/>
    <w:link w:val="CabealhoCarcter"/>
    <w:uiPriority w:val="99"/>
    <w:unhideWhenUsed/>
    <w:qFormat/>
    <w:rsid w:val="00CC50A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qFormat/>
    <w:rsid w:val="00CC50AE"/>
  </w:style>
  <w:style w:type="paragraph" w:styleId="Rodap">
    <w:name w:val="footer"/>
    <w:basedOn w:val="Normal"/>
    <w:link w:val="RodapCarcter"/>
    <w:uiPriority w:val="99"/>
    <w:unhideWhenUsed/>
    <w:qFormat/>
    <w:rsid w:val="00CC50A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qFormat/>
    <w:rsid w:val="00CC50AE"/>
  </w:style>
  <w:style w:type="paragraph" w:styleId="Assuntodecomentrio">
    <w:name w:val="annotation subject"/>
    <w:basedOn w:val="Textodecomentrio"/>
    <w:next w:val="Textodecomentrio"/>
    <w:link w:val="AssuntodecomentrioCarcter"/>
    <w:uiPriority w:val="99"/>
    <w:semiHidden/>
    <w:unhideWhenUsed/>
    <w:qFormat/>
    <w:rsid w:val="00CC50AE"/>
    <w:rPr>
      <w:b/>
      <w:bCs/>
    </w:rPr>
  </w:style>
  <w:style w:type="character" w:customStyle="1" w:styleId="AssuntodecomentrioCarcter">
    <w:name w:val="Assunto de comentário Carácter"/>
    <w:basedOn w:val="TextodecomentrioCarcter"/>
    <w:link w:val="Assuntodecomentrio"/>
    <w:uiPriority w:val="99"/>
    <w:semiHidden/>
    <w:qFormat/>
    <w:rsid w:val="00CC50AE"/>
    <w:rPr>
      <w:b/>
      <w:bCs/>
      <w:sz w:val="20"/>
      <w:szCs w:val="20"/>
    </w:rPr>
  </w:style>
  <w:style w:type="paragraph" w:styleId="Textodebalo">
    <w:name w:val="Balloon Text"/>
    <w:basedOn w:val="Normal"/>
    <w:link w:val="TextodebaloCarcter"/>
    <w:uiPriority w:val="99"/>
    <w:semiHidden/>
    <w:unhideWhenUsed/>
    <w:qFormat/>
    <w:rsid w:val="00CC50AE"/>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qFormat/>
    <w:rsid w:val="00CC50AE"/>
    <w:rPr>
      <w:rFonts w:ascii="Segoe UI" w:hAnsi="Segoe UI" w:cs="Segoe UI"/>
      <w:sz w:val="18"/>
      <w:szCs w:val="18"/>
    </w:rPr>
  </w:style>
  <w:style w:type="paragraph" w:styleId="Ttulodondice">
    <w:name w:val="TOC Heading"/>
    <w:basedOn w:val="Cabealho1"/>
    <w:next w:val="Normal"/>
    <w:uiPriority w:val="39"/>
    <w:semiHidden/>
    <w:unhideWhenUsed/>
    <w:qFormat/>
    <w:rsid w:val="00CC50AE"/>
    <w:pPr>
      <w:keepNext/>
      <w:keepLines/>
      <w:numPr>
        <w:numId w:val="0"/>
      </w:numPr>
      <w:spacing w:before="480" w:after="0" w:line="276" w:lineRule="auto"/>
      <w:contextualSpacing w:val="0"/>
      <w:jc w:val="left"/>
      <w:outlineLvl w:val="9"/>
    </w:pPr>
    <w:rPr>
      <w:rFonts w:asciiTheme="majorHAnsi" w:eastAsiaTheme="majorEastAsia" w:hAnsiTheme="majorHAnsi" w:cstheme="majorBidi"/>
      <w:bCs/>
      <w:caps w:val="0"/>
      <w:color w:val="365F91" w:themeColor="accent1" w:themeShade="BF"/>
      <w:sz w:val="28"/>
      <w:szCs w:val="28"/>
    </w:rPr>
  </w:style>
  <w:style w:type="paragraph" w:customStyle="1" w:styleId="PargrafodaLista1">
    <w:name w:val="Parágrafo da Lista1"/>
    <w:basedOn w:val="Normal"/>
    <w:uiPriority w:val="34"/>
    <w:qFormat/>
    <w:rsid w:val="00CC50AE"/>
    <w:pPr>
      <w:ind w:left="720"/>
      <w:contextualSpacing/>
    </w:pPr>
  </w:style>
  <w:style w:type="paragraph" w:customStyle="1" w:styleId="SemEspaamento1">
    <w:name w:val="Sem Espaçamento1"/>
    <w:basedOn w:val="Normal"/>
    <w:uiPriority w:val="1"/>
    <w:qFormat/>
    <w:rsid w:val="00CC50AE"/>
    <w:pPr>
      <w:spacing w:after="240" w:line="240" w:lineRule="auto"/>
      <w:outlineLvl w:val="0"/>
    </w:pPr>
    <w:rPr>
      <w:rFonts w:ascii="Cambria" w:hAnsi="Cambria" w:cs="Times New Roman"/>
      <w:b/>
      <w:caps/>
      <w:sz w:val="24"/>
      <w:szCs w:val="24"/>
    </w:rPr>
  </w:style>
  <w:style w:type="character" w:styleId="Refdenotaderodap">
    <w:name w:val="footnote reference"/>
    <w:basedOn w:val="Tipodeletrapredefinidodopargrafo"/>
    <w:uiPriority w:val="99"/>
    <w:semiHidden/>
    <w:unhideWhenUsed/>
    <w:qFormat/>
    <w:rsid w:val="00CC50AE"/>
    <w:rPr>
      <w:vertAlign w:val="superscript"/>
    </w:rPr>
  </w:style>
  <w:style w:type="character" w:styleId="Refdecomentrio">
    <w:name w:val="annotation reference"/>
    <w:basedOn w:val="Tipodeletrapredefinidodopargrafo"/>
    <w:uiPriority w:val="99"/>
    <w:semiHidden/>
    <w:unhideWhenUsed/>
    <w:qFormat/>
    <w:rsid w:val="00CC50AE"/>
    <w:rPr>
      <w:sz w:val="16"/>
      <w:szCs w:val="16"/>
    </w:rPr>
  </w:style>
  <w:style w:type="character" w:styleId="TtulodoLivro">
    <w:name w:val="Book Title"/>
    <w:uiPriority w:val="33"/>
    <w:qFormat/>
    <w:rsid w:val="00CC50AE"/>
    <w:rPr>
      <w:rFonts w:ascii="Cambria" w:hAnsi="Cambria" w:cs="Times New Roman" w:hint="default"/>
      <w:b/>
      <w:bCs w:val="0"/>
      <w:i/>
      <w:iCs w:val="0"/>
      <w:sz w:val="24"/>
      <w:szCs w:val="24"/>
    </w:rPr>
  </w:style>
  <w:style w:type="character" w:styleId="nfaseDiscreto">
    <w:name w:val="Subtle Emphasis"/>
    <w:basedOn w:val="Tipodeletrapredefinidodopargrafo"/>
    <w:uiPriority w:val="19"/>
    <w:qFormat/>
    <w:rsid w:val="00A625B5"/>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962744">
      <w:bodyDiv w:val="1"/>
      <w:marLeft w:val="0"/>
      <w:marRight w:val="0"/>
      <w:marTop w:val="0"/>
      <w:marBottom w:val="0"/>
      <w:divBdr>
        <w:top w:val="none" w:sz="0" w:space="0" w:color="auto"/>
        <w:left w:val="none" w:sz="0" w:space="0" w:color="auto"/>
        <w:bottom w:val="none" w:sz="0" w:space="0" w:color="auto"/>
        <w:right w:val="none" w:sz="0" w:space="0" w:color="auto"/>
      </w:divBdr>
    </w:div>
    <w:div w:id="1530140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suzana%20Paixao\Documents\tese%20de%20mestrado\Final%20disserta&#231;&#227;o-%20vers&#227;o%20final.docx" TargetMode="External"/><Relationship Id="rId18" Type="http://schemas.openxmlformats.org/officeDocument/2006/relationships/hyperlink" Target="file:///C:\Users\suzana%20Paixao\Documents\tese%20de%20mestrado\Final%20disserta&#231;&#227;o-%20vers&#227;o%20final.docx" TargetMode="External"/><Relationship Id="rId26" Type="http://schemas.openxmlformats.org/officeDocument/2006/relationships/hyperlink" Target="file:///C:\Users\suzana%20Paixao\Documents\tese%20de%20mestrado\Final%20disserta&#231;&#227;o-%20vers&#227;o%20final.docx"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file:///C:\Users\suzana%20Paixao\Documents\tese%20de%20mestrado\Final%20disserta&#231;&#227;o-%20vers&#227;o%20final.docx" TargetMode="External"/><Relationship Id="rId34" Type="http://schemas.openxmlformats.org/officeDocument/2006/relationships/hyperlink" Target="http://mailings.vidaeconomica.pt/files/newsletters/2010-01/geve/29/index2.html" TargetMode="External"/><Relationship Id="rId7" Type="http://schemas.openxmlformats.org/officeDocument/2006/relationships/footnotes" Target="footnotes.xml"/><Relationship Id="rId12" Type="http://schemas.openxmlformats.org/officeDocument/2006/relationships/hyperlink" Target="file:///C:\Users\suzana%20Paixao\Documents\tese%20de%20mestrado\Final%20disserta&#231;&#227;o-%20vers&#227;o%20final.docx" TargetMode="External"/><Relationship Id="rId17" Type="http://schemas.openxmlformats.org/officeDocument/2006/relationships/hyperlink" Target="file:///C:\Users\suzana%20Paixao\Documents\tese%20de%20mestrado\Final%20disserta&#231;&#227;o-%20vers&#227;o%20final.docx" TargetMode="External"/><Relationship Id="rId25" Type="http://schemas.openxmlformats.org/officeDocument/2006/relationships/hyperlink" Target="file:///C:\Users\suzana%20Paixao\Documents\tese%20de%20mestrado\Final%20disserta&#231;&#227;o-%20vers&#227;o%20final.docx" TargetMode="External"/><Relationship Id="rId33" Type="http://schemas.openxmlformats.org/officeDocument/2006/relationships/hyperlink" Target="http://www.mirandalawfirm.com/uploadedfiles/31/15/0001531.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file:///C:\Users\suzana%20Paixao\Documents\tese%20de%20mestrado\Final%20disserta&#231;&#227;o-%20vers&#227;o%20final.docx" TargetMode="External"/><Relationship Id="rId20" Type="http://schemas.openxmlformats.org/officeDocument/2006/relationships/hyperlink" Target="file:///C:\Users\suzana%20Paixao\Documents\tese%20de%20mestrado\Final%20disserta&#231;&#227;o-%20vers&#227;o%20final.docx"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suzana%20Paixao\Documents\tese%20de%20mestrado\Final%20disserta&#231;&#227;o-%20vers&#227;o%20final.docx" TargetMode="External"/><Relationship Id="rId24" Type="http://schemas.openxmlformats.org/officeDocument/2006/relationships/hyperlink" Target="file:///C:\Users\suzana%20Paixao\Documents\tese%20de%20mestrado\Final%20disserta&#231;&#227;o-%20vers&#227;o%20final.docx" TargetMode="External"/><Relationship Id="rId32" Type="http://schemas.openxmlformats.org/officeDocument/2006/relationships/hyperlink" Target="http://www.otoc.pt/fotos/editor2/JornalNegocios16Nov.pdf" TargetMode="External"/><Relationship Id="rId37" Type="http://schemas.openxmlformats.org/officeDocument/2006/relationships/hyperlink" Target="http://expansao.co.ao/artigo/107392/para-onde-vai-a-economia-angolana-?seccao=7" TargetMode="External"/><Relationship Id="rId5" Type="http://schemas.openxmlformats.org/officeDocument/2006/relationships/settings" Target="settings.xml"/><Relationship Id="rId15" Type="http://schemas.openxmlformats.org/officeDocument/2006/relationships/hyperlink" Target="file:///C:\Users\suzana%20Paixao\Documents\tese%20de%20mestrado\Final%20disserta&#231;&#227;o-%20vers&#227;o%20final.docx" TargetMode="External"/><Relationship Id="rId23" Type="http://schemas.openxmlformats.org/officeDocument/2006/relationships/hyperlink" Target="file:///C:\Users\suzana%20Paixao\Documents\tese%20de%20mestrado\Final%20disserta&#231;&#227;o-%20vers&#227;o%20final.docx" TargetMode="External"/><Relationship Id="rId28" Type="http://schemas.openxmlformats.org/officeDocument/2006/relationships/hyperlink" Target="file:///C:\Users\suzana%20Paixao\Documents\tese%20de%20mestrado\Final%20disserta&#231;&#227;o-%20vers&#227;o%20final.docx" TargetMode="External"/><Relationship Id="rId36" Type="http://schemas.openxmlformats.org/officeDocument/2006/relationships/hyperlink" Target="https://www.jornaldenegocios.pt/opiniao/detalhe/financiamento_intra_grupo_um_tema_para_pensar" TargetMode="External"/><Relationship Id="rId10" Type="http://schemas.openxmlformats.org/officeDocument/2006/relationships/image" Target="media/image1.png"/><Relationship Id="rId19" Type="http://schemas.openxmlformats.org/officeDocument/2006/relationships/hyperlink" Target="file:///C:\Users\suzana%20Paixao\Documents\tese%20de%20mestrado\Final%20disserta&#231;&#227;o-%20vers&#227;o%20final.docx" TargetMode="External"/><Relationship Id="rId31" Type="http://schemas.openxmlformats.org/officeDocument/2006/relationships/hyperlink" Target="http://www.mlgts.pt/pub_search.php?filter_lawyer=190&amp;offset=8" TargetMode="External"/><Relationship Id="rId4" Type="http://schemas.microsoft.com/office/2007/relationships/stylesWithEffects" Target="stylesWithEffects.xml"/><Relationship Id="rId9" Type="http://schemas.openxmlformats.org/officeDocument/2006/relationships/hyperlink" Target="https://www.google.fi/url?sa=i&amp;rct=j&amp;q=&amp;esrc=s&amp;source=images&amp;cd=&amp;ved=2ahUKEwi-vobj_6_aAhWGPBQKHXDZBTsQjRx6BAgAEAU&amp;url=https://www.aefa.pt/&amp;psig=AOvVaw2GbH4Iu9dWdQxk2szxKaSu&amp;ust=1523459685864221" TargetMode="External"/><Relationship Id="rId14" Type="http://schemas.openxmlformats.org/officeDocument/2006/relationships/hyperlink" Target="file:///C:\Users\suzana%20Paixao\Documents\tese%20de%20mestrado\Final%20disserta&#231;&#227;o-%20vers&#227;o%20final.docx" TargetMode="External"/><Relationship Id="rId22" Type="http://schemas.openxmlformats.org/officeDocument/2006/relationships/hyperlink" Target="file:///C:\Users\suzana%20Paixao\Documents\tese%20de%20mestrado\Final%20disserta&#231;&#227;o-%20vers&#227;o%20final.docx" TargetMode="External"/><Relationship Id="rId27" Type="http://schemas.openxmlformats.org/officeDocument/2006/relationships/hyperlink" Target="file:///C:\Users\suzana%20Paixao\Documents\tese%20de%20mestrado\Final%20disserta&#231;&#227;o-%20vers&#227;o%20final.docx" TargetMode="External"/><Relationship Id="rId30" Type="http://schemas.openxmlformats.org/officeDocument/2006/relationships/hyperlink" Target="http://www.cmslegal.com/Hubbard.FileSystem/files/Publication/ef1590ac-e87e-47baab6f-008892982b4e/Presentation/PublicationAttachment/1767900b-a58c-4a14-9927-%200260991bb69f/Cash-Pooling-2013-July.pdf%20" TargetMode="External"/><Relationship Id="rId35" Type="http://schemas.openxmlformats.org/officeDocument/2006/relationships/hyperlink" Target="http://www.rffadvogados.com/xms/files/KNOW_HOW/Newsletters/Jurisprudencia_fisc%20al_arbitral_1oTrimestre_de_2014.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treasury.nl/files/2007/10/treasury" TargetMode="External"/><Relationship Id="rId13" Type="http://schemas.openxmlformats.org/officeDocument/2006/relationships/hyperlink" Target="http://www.dgsi.pt/jtrl.nsf/e6e1f17fa82712ff80257583004e3ddc/1ec4ee27fc50294580258312002fdceb?openDocument" TargetMode="External"/><Relationship Id="rId3" Type="http://schemas.openxmlformats.org/officeDocument/2006/relationships/hyperlink" Target="http://expansao.co.ao/artigo/107392/para-onde-vai-a-economia-angolana-?seccao=7" TargetMode="External"/><Relationship Id="rId7" Type="http://schemas.openxmlformats.org/officeDocument/2006/relationships/hyperlink" Target="http://www.treasury.nl/files/2007/10/treasury" TargetMode="External"/><Relationship Id="rId12" Type="http://schemas.openxmlformats.org/officeDocument/2006/relationships/hyperlink" Target="http://eur-lex.europa.eu/legalcontent/PT/TXT/?uri" TargetMode="External"/><Relationship Id="rId2" Type="http://schemas.openxmlformats.org/officeDocument/2006/relationships/hyperlink" Target="http://www.expansao.co.ao/artigo/102354/angolanos-investiram-50-vezes-mais-la-fora-do-que-estrangeiros-em-angola?seccao=exp_merc" TargetMode="External"/><Relationship Id="rId1" Type="http://schemas.openxmlformats.org/officeDocument/2006/relationships/hyperlink" Target="https://www.jornaldenegocios.pt/opiniao/detalhe/financiamento_intra_grupo_um_tema_para_pensar" TargetMode="External"/><Relationship Id="rId6" Type="http://schemas.openxmlformats.org/officeDocument/2006/relationships/hyperlink" Target="http://www.treasury.nl/files/2007/10/treasury" TargetMode="External"/><Relationship Id="rId11" Type="http://schemas.openxmlformats.org/officeDocument/2006/relationships/hyperlink" Target="file:///E:/materia%20para%20Cash-pooling/Cash-Pooling-2013-July.pdf" TargetMode="External"/><Relationship Id="rId5" Type="http://schemas.openxmlformats.org/officeDocument/2006/relationships/hyperlink" Target="file:///C:/Users/User/Downloads/SSRN-id2745343.pdf" TargetMode="External"/><Relationship Id="rId10" Type="http://schemas.openxmlformats.org/officeDocument/2006/relationships/hyperlink" Target="https://globalconnections.hsbc.com/downloads/treasury_profile-za-2015.pdf" TargetMode="External"/><Relationship Id="rId4" Type="http://schemas.openxmlformats.org/officeDocument/2006/relationships/hyperlink" Target="http://treasurytoday.com/2010/11and12/what-is-hybrid-cash-pooling" TargetMode="External"/><Relationship Id="rId9" Type="http://schemas.openxmlformats.org/officeDocument/2006/relationships/hyperlink" Target="https://www.pwc.com/gx/en/international-transfer-pricing/assets/south-africa.pdf"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13667D-2736-4E9D-934C-954A16E82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26774</Words>
  <Characters>144585</Characters>
  <Application>Microsoft Office Word</Application>
  <DocSecurity>0</DocSecurity>
  <Lines>1204</Lines>
  <Paragraphs>342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171017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Paixao</dc:creator>
  <cp:lastModifiedBy>Maria João</cp:lastModifiedBy>
  <cp:revision>2</cp:revision>
  <dcterms:created xsi:type="dcterms:W3CDTF">2020-10-21T17:13:00Z</dcterms:created>
  <dcterms:modified xsi:type="dcterms:W3CDTF">2020-10-21T17:13:00Z</dcterms:modified>
</cp:coreProperties>
</file>