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footer4.xml" ContentType="application/vnd.openxmlformats-officedocument.wordprocessingml.footer+xml"/>
  <Override PartName="/word/footer5.xml" ContentType="application/vnd.openxmlformats-officedocument.wordprocessingml.footer+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A146F" w:rsidRDefault="001A146F" w:rsidP="009B72F2">
      <w:pPr>
        <w:autoSpaceDE w:val="0"/>
        <w:autoSpaceDN w:val="0"/>
        <w:adjustRightInd w:val="0"/>
        <w:spacing w:after="0" w:line="240" w:lineRule="auto"/>
        <w:jc w:val="left"/>
        <w:rPr>
          <w:b/>
          <w:bCs/>
          <w:color w:val="000000"/>
          <w:sz w:val="32"/>
          <w:szCs w:val="32"/>
          <w:shd w:val="clear" w:color="auto" w:fill="auto"/>
          <w:lang w:eastAsia="pt-PT"/>
        </w:rPr>
      </w:pPr>
    </w:p>
    <w:p w:rsidR="00C84C2B" w:rsidRPr="009B72F2" w:rsidRDefault="00C84C2B" w:rsidP="009B72F2">
      <w:pPr>
        <w:autoSpaceDE w:val="0"/>
        <w:autoSpaceDN w:val="0"/>
        <w:adjustRightInd w:val="0"/>
        <w:spacing w:after="0" w:line="240" w:lineRule="auto"/>
        <w:jc w:val="left"/>
        <w:rPr>
          <w:b/>
          <w:bCs/>
          <w:color w:val="000000"/>
          <w:sz w:val="32"/>
          <w:szCs w:val="32"/>
          <w:shd w:val="clear" w:color="auto" w:fill="auto"/>
          <w:lang w:eastAsia="pt-PT"/>
        </w:rPr>
      </w:pPr>
    </w:p>
    <w:p w:rsidR="001A146F" w:rsidRDefault="00A26989" w:rsidP="001A146F">
      <w:pPr>
        <w:autoSpaceDE w:val="0"/>
        <w:autoSpaceDN w:val="0"/>
        <w:adjustRightInd w:val="0"/>
        <w:spacing w:after="0" w:line="240" w:lineRule="auto"/>
        <w:jc w:val="left"/>
        <w:rPr>
          <w:b/>
          <w:bCs/>
          <w:color w:val="000000"/>
          <w:sz w:val="32"/>
          <w:szCs w:val="32"/>
          <w:shd w:val="clear" w:color="auto" w:fill="auto"/>
          <w:lang w:eastAsia="pt-PT"/>
        </w:rPr>
      </w:pPr>
      <w:r>
        <w:rPr>
          <w:noProof/>
          <w:shd w:val="clear" w:color="auto" w:fill="auto"/>
          <w:lang w:eastAsia="pt-PT"/>
        </w:rPr>
        <w:drawing>
          <wp:anchor distT="0" distB="0" distL="114300" distR="114300" simplePos="0" relativeHeight="251642880" behindDoc="1" locked="0" layoutInCell="1" allowOverlap="1">
            <wp:simplePos x="0" y="0"/>
            <wp:positionH relativeFrom="margin">
              <wp:align>center</wp:align>
            </wp:positionH>
            <wp:positionV relativeFrom="margin">
              <wp:align>top</wp:align>
            </wp:positionV>
            <wp:extent cx="2924175" cy="1000125"/>
            <wp:effectExtent l="19050" t="0" r="9525" b="0"/>
            <wp:wrapSquare wrapText="bothSides"/>
            <wp:docPr id="30" name="Imagem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a:blip r:embed="rId8" cstate="print"/>
                    <a:srcRect/>
                    <a:stretch>
                      <a:fillRect/>
                    </a:stretch>
                  </pic:blipFill>
                  <pic:spPr bwMode="auto">
                    <a:xfrm>
                      <a:off x="0" y="0"/>
                      <a:ext cx="2924175" cy="1000125"/>
                    </a:xfrm>
                    <a:prstGeom prst="rect">
                      <a:avLst/>
                    </a:prstGeom>
                    <a:noFill/>
                    <a:ln w="9525">
                      <a:noFill/>
                      <a:miter lim="800000"/>
                      <a:headEnd/>
                      <a:tailEnd/>
                    </a:ln>
                  </pic:spPr>
                </pic:pic>
              </a:graphicData>
            </a:graphic>
          </wp:anchor>
        </w:drawing>
      </w:r>
    </w:p>
    <w:p w:rsidR="001A146F" w:rsidRDefault="001A146F" w:rsidP="001A146F">
      <w:pPr>
        <w:autoSpaceDE w:val="0"/>
        <w:autoSpaceDN w:val="0"/>
        <w:adjustRightInd w:val="0"/>
        <w:spacing w:after="0" w:line="240" w:lineRule="auto"/>
        <w:jc w:val="left"/>
        <w:rPr>
          <w:b/>
          <w:bCs/>
          <w:color w:val="000000"/>
          <w:sz w:val="32"/>
          <w:szCs w:val="32"/>
          <w:shd w:val="clear" w:color="auto" w:fill="auto"/>
          <w:lang w:eastAsia="pt-PT"/>
        </w:rPr>
      </w:pPr>
    </w:p>
    <w:p w:rsidR="001A146F" w:rsidRDefault="001A146F" w:rsidP="001A146F">
      <w:pPr>
        <w:autoSpaceDE w:val="0"/>
        <w:autoSpaceDN w:val="0"/>
        <w:adjustRightInd w:val="0"/>
        <w:spacing w:after="0" w:line="240" w:lineRule="auto"/>
        <w:jc w:val="left"/>
        <w:rPr>
          <w:b/>
          <w:bCs/>
          <w:color w:val="000000"/>
          <w:sz w:val="32"/>
          <w:szCs w:val="32"/>
          <w:shd w:val="clear" w:color="auto" w:fill="auto"/>
          <w:lang w:eastAsia="pt-PT"/>
        </w:rPr>
      </w:pPr>
    </w:p>
    <w:p w:rsidR="001A146F" w:rsidRDefault="001A146F" w:rsidP="001A146F">
      <w:pPr>
        <w:autoSpaceDE w:val="0"/>
        <w:autoSpaceDN w:val="0"/>
        <w:adjustRightInd w:val="0"/>
        <w:spacing w:after="0" w:line="240" w:lineRule="auto"/>
        <w:jc w:val="left"/>
        <w:rPr>
          <w:b/>
          <w:bCs/>
          <w:color w:val="000000"/>
          <w:sz w:val="32"/>
          <w:szCs w:val="32"/>
          <w:shd w:val="clear" w:color="auto" w:fill="auto"/>
          <w:lang w:eastAsia="pt-PT"/>
        </w:rPr>
      </w:pPr>
    </w:p>
    <w:p w:rsidR="001A146F" w:rsidRDefault="001A146F" w:rsidP="001A146F">
      <w:pPr>
        <w:autoSpaceDE w:val="0"/>
        <w:autoSpaceDN w:val="0"/>
        <w:adjustRightInd w:val="0"/>
        <w:spacing w:after="0" w:line="240" w:lineRule="auto"/>
        <w:jc w:val="left"/>
        <w:rPr>
          <w:b/>
          <w:bCs/>
          <w:color w:val="000000"/>
          <w:sz w:val="32"/>
          <w:szCs w:val="32"/>
          <w:shd w:val="clear" w:color="auto" w:fill="auto"/>
          <w:lang w:eastAsia="pt-PT"/>
        </w:rPr>
      </w:pPr>
    </w:p>
    <w:p w:rsidR="001A146F" w:rsidRDefault="001A146F" w:rsidP="001A146F">
      <w:pPr>
        <w:autoSpaceDE w:val="0"/>
        <w:autoSpaceDN w:val="0"/>
        <w:adjustRightInd w:val="0"/>
        <w:spacing w:after="0" w:line="240" w:lineRule="auto"/>
        <w:jc w:val="left"/>
        <w:rPr>
          <w:b/>
          <w:bCs/>
          <w:color w:val="000000"/>
          <w:sz w:val="32"/>
          <w:szCs w:val="32"/>
          <w:shd w:val="clear" w:color="auto" w:fill="auto"/>
          <w:lang w:eastAsia="pt-PT"/>
        </w:rPr>
      </w:pPr>
    </w:p>
    <w:p w:rsidR="001A146F" w:rsidRDefault="001A146F" w:rsidP="001A146F">
      <w:pPr>
        <w:autoSpaceDE w:val="0"/>
        <w:autoSpaceDN w:val="0"/>
        <w:adjustRightInd w:val="0"/>
        <w:spacing w:after="0" w:line="240" w:lineRule="auto"/>
        <w:jc w:val="left"/>
        <w:rPr>
          <w:b/>
          <w:bCs/>
          <w:color w:val="000000"/>
          <w:sz w:val="32"/>
          <w:szCs w:val="32"/>
          <w:shd w:val="clear" w:color="auto" w:fill="auto"/>
          <w:lang w:eastAsia="pt-PT"/>
        </w:rPr>
      </w:pPr>
    </w:p>
    <w:p w:rsidR="001A146F" w:rsidRPr="00FE70E1" w:rsidRDefault="00DE050F" w:rsidP="00C96AA1">
      <w:pPr>
        <w:autoSpaceDE w:val="0"/>
        <w:autoSpaceDN w:val="0"/>
        <w:adjustRightInd w:val="0"/>
        <w:spacing w:after="0"/>
        <w:jc w:val="center"/>
        <w:rPr>
          <w:b/>
          <w:bCs/>
          <w:color w:val="000000"/>
          <w:sz w:val="36"/>
          <w:szCs w:val="36"/>
          <w:shd w:val="clear" w:color="auto" w:fill="auto"/>
          <w:lang w:val="en-US" w:eastAsia="pt-PT"/>
        </w:rPr>
      </w:pPr>
      <w:r w:rsidRPr="00FE70E1">
        <w:rPr>
          <w:b/>
          <w:bCs/>
          <w:color w:val="000000"/>
          <w:sz w:val="32"/>
          <w:szCs w:val="32"/>
          <w:shd w:val="clear" w:color="auto" w:fill="auto"/>
          <w:lang w:val="en-US" w:eastAsia="pt-PT"/>
        </w:rPr>
        <w:t>“Black Dead Arm” e</w:t>
      </w:r>
      <w:r w:rsidR="004736EE" w:rsidRPr="00FE70E1">
        <w:rPr>
          <w:b/>
          <w:bCs/>
          <w:color w:val="000000"/>
          <w:sz w:val="32"/>
          <w:szCs w:val="32"/>
          <w:shd w:val="clear" w:color="auto" w:fill="auto"/>
          <w:lang w:val="en-US" w:eastAsia="pt-PT"/>
        </w:rPr>
        <w:t xml:space="preserve"> Escoriose</w:t>
      </w:r>
      <w:r w:rsidR="00903788" w:rsidRPr="00FE70E1">
        <w:rPr>
          <w:b/>
          <w:bCs/>
          <w:color w:val="000000"/>
          <w:sz w:val="32"/>
          <w:szCs w:val="32"/>
          <w:shd w:val="clear" w:color="auto" w:fill="auto"/>
          <w:lang w:val="en-US" w:eastAsia="pt-PT"/>
        </w:rPr>
        <w:t>:</w:t>
      </w:r>
    </w:p>
    <w:p w:rsidR="004736EE" w:rsidRPr="004C37A5" w:rsidRDefault="004736EE" w:rsidP="00C96AA1">
      <w:pPr>
        <w:autoSpaceDE w:val="0"/>
        <w:autoSpaceDN w:val="0"/>
        <w:adjustRightInd w:val="0"/>
        <w:spacing w:after="0"/>
        <w:jc w:val="center"/>
        <w:rPr>
          <w:b/>
          <w:i/>
          <w:sz w:val="28"/>
          <w:szCs w:val="28"/>
        </w:rPr>
      </w:pPr>
      <w:r w:rsidRPr="004C37A5">
        <w:rPr>
          <w:b/>
          <w:bCs/>
          <w:color w:val="000000"/>
          <w:sz w:val="28"/>
          <w:szCs w:val="28"/>
          <w:shd w:val="clear" w:color="auto" w:fill="auto"/>
          <w:lang w:eastAsia="pt-PT"/>
        </w:rPr>
        <w:t>Avaliações Epidemiológicas e Meios de Luta Químicos</w:t>
      </w:r>
    </w:p>
    <w:p w:rsidR="001A146F" w:rsidRDefault="001A146F" w:rsidP="001A146F">
      <w:pPr>
        <w:autoSpaceDE w:val="0"/>
        <w:autoSpaceDN w:val="0"/>
        <w:adjustRightInd w:val="0"/>
        <w:spacing w:after="0" w:line="240" w:lineRule="auto"/>
        <w:jc w:val="left"/>
        <w:rPr>
          <w:b/>
          <w:bCs/>
          <w:color w:val="000000"/>
          <w:sz w:val="28"/>
          <w:szCs w:val="28"/>
          <w:shd w:val="clear" w:color="auto" w:fill="auto"/>
          <w:lang w:eastAsia="pt-PT"/>
        </w:rPr>
      </w:pPr>
    </w:p>
    <w:p w:rsidR="00A2759E" w:rsidRDefault="00A2759E" w:rsidP="001A146F">
      <w:pPr>
        <w:autoSpaceDE w:val="0"/>
        <w:autoSpaceDN w:val="0"/>
        <w:adjustRightInd w:val="0"/>
        <w:spacing w:after="0" w:line="240" w:lineRule="auto"/>
        <w:jc w:val="left"/>
        <w:rPr>
          <w:b/>
          <w:bCs/>
          <w:color w:val="000000"/>
          <w:sz w:val="28"/>
          <w:szCs w:val="28"/>
          <w:shd w:val="clear" w:color="auto" w:fill="auto"/>
          <w:lang w:eastAsia="pt-PT"/>
        </w:rPr>
      </w:pPr>
    </w:p>
    <w:p w:rsidR="001A146F" w:rsidRDefault="001A146F" w:rsidP="001A146F">
      <w:pPr>
        <w:autoSpaceDE w:val="0"/>
        <w:autoSpaceDN w:val="0"/>
        <w:adjustRightInd w:val="0"/>
        <w:spacing w:after="0" w:line="240" w:lineRule="auto"/>
        <w:jc w:val="center"/>
        <w:rPr>
          <w:b/>
          <w:bCs/>
          <w:color w:val="000000"/>
          <w:sz w:val="28"/>
          <w:szCs w:val="28"/>
          <w:shd w:val="clear" w:color="auto" w:fill="auto"/>
          <w:lang w:eastAsia="pt-PT"/>
        </w:rPr>
      </w:pPr>
      <w:r>
        <w:rPr>
          <w:b/>
          <w:bCs/>
          <w:color w:val="000000"/>
          <w:sz w:val="28"/>
          <w:szCs w:val="28"/>
          <w:shd w:val="clear" w:color="auto" w:fill="auto"/>
          <w:lang w:eastAsia="pt-PT"/>
        </w:rPr>
        <w:t>Fernando João</w:t>
      </w:r>
      <w:r w:rsidRPr="001A146F">
        <w:rPr>
          <w:b/>
          <w:bCs/>
          <w:color w:val="000000"/>
          <w:sz w:val="28"/>
          <w:szCs w:val="28"/>
          <w:shd w:val="clear" w:color="auto" w:fill="auto"/>
          <w:lang w:eastAsia="pt-PT"/>
        </w:rPr>
        <w:t xml:space="preserve"> de Almeida </w:t>
      </w:r>
      <w:r>
        <w:rPr>
          <w:b/>
          <w:bCs/>
          <w:color w:val="000000"/>
          <w:sz w:val="28"/>
          <w:szCs w:val="28"/>
          <w:shd w:val="clear" w:color="auto" w:fill="auto"/>
          <w:lang w:eastAsia="pt-PT"/>
        </w:rPr>
        <w:t>Dias</w:t>
      </w:r>
    </w:p>
    <w:p w:rsidR="001A146F" w:rsidRDefault="001A146F" w:rsidP="001A146F">
      <w:pPr>
        <w:autoSpaceDE w:val="0"/>
        <w:autoSpaceDN w:val="0"/>
        <w:adjustRightInd w:val="0"/>
        <w:spacing w:after="0" w:line="240" w:lineRule="auto"/>
        <w:jc w:val="left"/>
        <w:rPr>
          <w:b/>
          <w:bCs/>
          <w:color w:val="000000"/>
          <w:sz w:val="28"/>
          <w:szCs w:val="28"/>
          <w:shd w:val="clear" w:color="auto" w:fill="auto"/>
          <w:lang w:eastAsia="pt-PT"/>
        </w:rPr>
      </w:pPr>
    </w:p>
    <w:p w:rsidR="00A2759E" w:rsidRDefault="00A2759E" w:rsidP="001A146F">
      <w:pPr>
        <w:autoSpaceDE w:val="0"/>
        <w:autoSpaceDN w:val="0"/>
        <w:adjustRightInd w:val="0"/>
        <w:spacing w:after="0" w:line="240" w:lineRule="auto"/>
        <w:jc w:val="left"/>
        <w:rPr>
          <w:b/>
          <w:bCs/>
          <w:color w:val="000000"/>
          <w:sz w:val="28"/>
          <w:szCs w:val="28"/>
          <w:shd w:val="clear" w:color="auto" w:fill="auto"/>
          <w:lang w:eastAsia="pt-PT"/>
        </w:rPr>
      </w:pPr>
    </w:p>
    <w:p w:rsidR="001A146F" w:rsidRDefault="001A146F" w:rsidP="00687B1C">
      <w:pPr>
        <w:autoSpaceDE w:val="0"/>
        <w:autoSpaceDN w:val="0"/>
        <w:adjustRightInd w:val="0"/>
        <w:spacing w:before="120" w:after="120"/>
        <w:jc w:val="center"/>
        <w:rPr>
          <w:color w:val="000000"/>
          <w:sz w:val="28"/>
          <w:szCs w:val="28"/>
          <w:shd w:val="clear" w:color="auto" w:fill="auto"/>
          <w:lang w:eastAsia="pt-PT"/>
        </w:rPr>
      </w:pPr>
      <w:r w:rsidRPr="001A146F">
        <w:rPr>
          <w:color w:val="000000"/>
          <w:sz w:val="28"/>
          <w:szCs w:val="28"/>
          <w:shd w:val="clear" w:color="auto" w:fill="auto"/>
          <w:lang w:eastAsia="pt-PT"/>
        </w:rPr>
        <w:t>Dissertação para obtenção do Grau de Mestre em</w:t>
      </w:r>
    </w:p>
    <w:p w:rsidR="004C37A5" w:rsidRDefault="001A146F" w:rsidP="00A2759E">
      <w:pPr>
        <w:autoSpaceDE w:val="0"/>
        <w:autoSpaceDN w:val="0"/>
        <w:adjustRightInd w:val="0"/>
        <w:spacing w:before="120" w:after="120"/>
        <w:jc w:val="center"/>
        <w:rPr>
          <w:b/>
          <w:bCs/>
          <w:color w:val="000000"/>
          <w:sz w:val="28"/>
          <w:szCs w:val="28"/>
          <w:shd w:val="clear" w:color="auto" w:fill="auto"/>
          <w:lang w:eastAsia="pt-PT"/>
        </w:rPr>
      </w:pPr>
      <w:r>
        <w:rPr>
          <w:b/>
          <w:bCs/>
          <w:color w:val="000000"/>
          <w:sz w:val="28"/>
          <w:szCs w:val="28"/>
          <w:shd w:val="clear" w:color="auto" w:fill="auto"/>
          <w:lang w:eastAsia="pt-PT"/>
        </w:rPr>
        <w:t>Engenharia A</w:t>
      </w:r>
      <w:r w:rsidRPr="001A146F">
        <w:rPr>
          <w:b/>
          <w:bCs/>
          <w:color w:val="000000"/>
          <w:sz w:val="28"/>
          <w:szCs w:val="28"/>
          <w:shd w:val="clear" w:color="auto" w:fill="auto"/>
          <w:lang w:eastAsia="pt-PT"/>
        </w:rPr>
        <w:t>gronómica</w:t>
      </w:r>
    </w:p>
    <w:p w:rsidR="00A2759E" w:rsidRDefault="00A2759E" w:rsidP="00A2759E">
      <w:pPr>
        <w:autoSpaceDE w:val="0"/>
        <w:autoSpaceDN w:val="0"/>
        <w:adjustRightInd w:val="0"/>
        <w:spacing w:before="120" w:after="120"/>
        <w:jc w:val="center"/>
        <w:rPr>
          <w:b/>
          <w:bCs/>
          <w:color w:val="000000"/>
          <w:sz w:val="28"/>
          <w:szCs w:val="28"/>
          <w:shd w:val="clear" w:color="auto" w:fill="auto"/>
          <w:lang w:eastAsia="pt-PT"/>
        </w:rPr>
      </w:pPr>
    </w:p>
    <w:p w:rsidR="004C37A5" w:rsidRDefault="001A146F" w:rsidP="00687B1C">
      <w:pPr>
        <w:autoSpaceDE w:val="0"/>
        <w:autoSpaceDN w:val="0"/>
        <w:adjustRightInd w:val="0"/>
        <w:spacing w:before="120" w:after="120"/>
        <w:jc w:val="left"/>
        <w:rPr>
          <w:color w:val="000000"/>
          <w:sz w:val="24"/>
          <w:szCs w:val="24"/>
          <w:shd w:val="clear" w:color="auto" w:fill="auto"/>
          <w:lang w:eastAsia="pt-PT"/>
        </w:rPr>
      </w:pPr>
      <w:r w:rsidRPr="004C37A5">
        <w:rPr>
          <w:color w:val="000000"/>
          <w:sz w:val="24"/>
          <w:szCs w:val="24"/>
          <w:shd w:val="clear" w:color="auto" w:fill="auto"/>
          <w:lang w:eastAsia="pt-PT"/>
        </w:rPr>
        <w:t xml:space="preserve">Orientador: </w:t>
      </w:r>
      <w:r w:rsidR="00A2759E" w:rsidRPr="00A2759E">
        <w:rPr>
          <w:sz w:val="24"/>
          <w:szCs w:val="24"/>
        </w:rPr>
        <w:t>Licenciada</w:t>
      </w:r>
      <w:r w:rsidRPr="004C37A5">
        <w:rPr>
          <w:color w:val="000000"/>
          <w:sz w:val="24"/>
          <w:szCs w:val="24"/>
          <w:shd w:val="clear" w:color="auto" w:fill="auto"/>
          <w:lang w:eastAsia="pt-PT"/>
        </w:rPr>
        <w:t xml:space="preserve"> Maria Cecília Nunes Farinha Rego</w:t>
      </w:r>
    </w:p>
    <w:p w:rsidR="001A146F" w:rsidRDefault="009E7CE8" w:rsidP="00687B1C">
      <w:pPr>
        <w:autoSpaceDE w:val="0"/>
        <w:autoSpaceDN w:val="0"/>
        <w:adjustRightInd w:val="0"/>
        <w:spacing w:before="120" w:after="120"/>
        <w:jc w:val="left"/>
        <w:rPr>
          <w:color w:val="000000"/>
          <w:shd w:val="clear" w:color="auto" w:fill="auto"/>
          <w:lang w:eastAsia="pt-PT"/>
        </w:rPr>
      </w:pPr>
      <w:r>
        <w:rPr>
          <w:color w:val="000000"/>
          <w:sz w:val="24"/>
          <w:szCs w:val="24"/>
          <w:shd w:val="clear" w:color="auto" w:fill="auto"/>
          <w:lang w:eastAsia="pt-PT"/>
        </w:rPr>
        <w:t xml:space="preserve">Co-Orientador: </w:t>
      </w:r>
      <w:r w:rsidR="001A146F" w:rsidRPr="004C37A5">
        <w:rPr>
          <w:color w:val="000000"/>
          <w:sz w:val="24"/>
          <w:szCs w:val="24"/>
          <w:shd w:val="clear" w:color="auto" w:fill="auto"/>
          <w:lang w:eastAsia="pt-PT"/>
        </w:rPr>
        <w:t>Doutora Maria Helena Mendes da Costa Ferreira Correia de Oliveira</w:t>
      </w:r>
      <w:r w:rsidR="001A146F" w:rsidRPr="00687B1C">
        <w:rPr>
          <w:color w:val="000000"/>
          <w:shd w:val="clear" w:color="auto" w:fill="auto"/>
          <w:lang w:eastAsia="pt-PT"/>
        </w:rPr>
        <w:t xml:space="preserve"> </w:t>
      </w:r>
    </w:p>
    <w:p w:rsidR="009E7CE8" w:rsidRPr="004C37A5" w:rsidRDefault="009E7CE8" w:rsidP="00687B1C">
      <w:pPr>
        <w:autoSpaceDE w:val="0"/>
        <w:autoSpaceDN w:val="0"/>
        <w:adjustRightInd w:val="0"/>
        <w:spacing w:before="120" w:after="120"/>
        <w:jc w:val="left"/>
        <w:rPr>
          <w:color w:val="000000"/>
          <w:sz w:val="24"/>
          <w:szCs w:val="24"/>
          <w:shd w:val="clear" w:color="auto" w:fill="auto"/>
          <w:lang w:eastAsia="pt-PT"/>
        </w:rPr>
      </w:pPr>
    </w:p>
    <w:p w:rsidR="004C37A5" w:rsidRDefault="004C37A5" w:rsidP="001A146F">
      <w:pPr>
        <w:autoSpaceDE w:val="0"/>
        <w:autoSpaceDN w:val="0"/>
        <w:adjustRightInd w:val="0"/>
        <w:spacing w:after="0" w:line="240" w:lineRule="auto"/>
      </w:pPr>
      <w:r w:rsidRPr="004C37A5">
        <w:rPr>
          <w:b/>
          <w:bCs/>
        </w:rPr>
        <w:t>Júri</w:t>
      </w:r>
      <w:r w:rsidRPr="004C37A5">
        <w:t xml:space="preserve">: </w:t>
      </w:r>
    </w:p>
    <w:p w:rsidR="004C37A5" w:rsidRDefault="004C37A5" w:rsidP="001A146F">
      <w:pPr>
        <w:autoSpaceDE w:val="0"/>
        <w:autoSpaceDN w:val="0"/>
        <w:adjustRightInd w:val="0"/>
        <w:spacing w:after="0" w:line="240" w:lineRule="auto"/>
      </w:pPr>
    </w:p>
    <w:p w:rsidR="004C37A5" w:rsidRDefault="004C37A5" w:rsidP="00A2759E">
      <w:pPr>
        <w:autoSpaceDE w:val="0"/>
        <w:autoSpaceDN w:val="0"/>
        <w:adjustRightInd w:val="0"/>
        <w:spacing w:after="0" w:line="240" w:lineRule="auto"/>
        <w:ind w:left="3"/>
      </w:pPr>
      <w:r w:rsidRPr="00A2759E">
        <w:t>Presidente</w:t>
      </w:r>
      <w:r w:rsidRPr="004C37A5">
        <w:t xml:space="preserve">: Doutora Cristina Maria Moniz Simões de Oliveira, Professora Associada do </w:t>
      </w:r>
      <w:r w:rsidR="00A2759E">
        <w:tab/>
      </w:r>
      <w:r w:rsidRPr="004C37A5">
        <w:t xml:space="preserve">Instituto Superior de Agronomia da Universidade Técnica de Lisboa </w:t>
      </w:r>
    </w:p>
    <w:p w:rsidR="004C37A5" w:rsidRDefault="004C37A5" w:rsidP="001A146F">
      <w:pPr>
        <w:autoSpaceDE w:val="0"/>
        <w:autoSpaceDN w:val="0"/>
        <w:adjustRightInd w:val="0"/>
        <w:spacing w:after="0" w:line="240" w:lineRule="auto"/>
      </w:pPr>
    </w:p>
    <w:p w:rsidR="004C37A5" w:rsidRDefault="004C37A5" w:rsidP="00A2759E">
      <w:pPr>
        <w:autoSpaceDE w:val="0"/>
        <w:autoSpaceDN w:val="0"/>
        <w:adjustRightInd w:val="0"/>
        <w:spacing w:after="0" w:line="240" w:lineRule="auto"/>
        <w:ind w:left="2"/>
      </w:pPr>
      <w:r w:rsidRPr="00A2759E">
        <w:t>Vogais</w:t>
      </w:r>
      <w:r w:rsidRPr="004C37A5">
        <w:t>: Doutora Maria Helena Mendes da Costa Ferreira Correia de Oliveira, Professora Associada do Instituto Superior de Agronomia da</w:t>
      </w:r>
      <w:r>
        <w:t xml:space="preserve"> Universidade Técnica de Lisboa</w:t>
      </w:r>
      <w:r w:rsidR="00A2759E">
        <w:t>;</w:t>
      </w:r>
    </w:p>
    <w:p w:rsidR="004C37A5" w:rsidRDefault="004C37A5" w:rsidP="001A146F">
      <w:pPr>
        <w:autoSpaceDE w:val="0"/>
        <w:autoSpaceDN w:val="0"/>
        <w:adjustRightInd w:val="0"/>
        <w:spacing w:after="0" w:line="240" w:lineRule="auto"/>
      </w:pPr>
      <w:r w:rsidRPr="004C37A5">
        <w:t>- Doutor Arlindo Lima, Professor Auxiliar do Instituto Superior de Agronomia da</w:t>
      </w:r>
      <w:r>
        <w:t xml:space="preserve"> Universidade Técnica de Lisboa</w:t>
      </w:r>
      <w:r w:rsidR="00A2759E">
        <w:t>;</w:t>
      </w:r>
    </w:p>
    <w:p w:rsidR="004C37A5" w:rsidRDefault="004C37A5" w:rsidP="001A146F">
      <w:pPr>
        <w:autoSpaceDE w:val="0"/>
        <w:autoSpaceDN w:val="0"/>
        <w:adjustRightInd w:val="0"/>
        <w:spacing w:after="0" w:line="240" w:lineRule="auto"/>
      </w:pPr>
      <w:r>
        <w:t>- Doutor Pedro Manuel Vieira Talhinhas, Investigador Auxiliar do Centro de Investigação das Ferrugens do Cafeeiro</w:t>
      </w:r>
      <w:r w:rsidR="00A2759E">
        <w:t xml:space="preserve"> do Instituto de Investigação Científica Tropical</w:t>
      </w:r>
    </w:p>
    <w:p w:rsidR="009E7CE8" w:rsidRPr="00F854E8" w:rsidRDefault="004C37A5" w:rsidP="001A146F">
      <w:pPr>
        <w:autoSpaceDE w:val="0"/>
        <w:autoSpaceDN w:val="0"/>
        <w:adjustRightInd w:val="0"/>
        <w:spacing w:after="0" w:line="240" w:lineRule="auto"/>
        <w:rPr>
          <w:color w:val="000000"/>
          <w:shd w:val="clear" w:color="auto" w:fill="auto"/>
          <w:lang w:eastAsia="pt-PT"/>
        </w:rPr>
      </w:pPr>
      <w:r w:rsidRPr="004C37A5">
        <w:t xml:space="preserve">- </w:t>
      </w:r>
      <w:r w:rsidR="00A2759E">
        <w:t>Licenciada</w:t>
      </w:r>
      <w:r w:rsidRPr="004C37A5">
        <w:t xml:space="preserve"> Maria Cecília Nunes Farinha Rego, Investigadora Auxiliar do Instituto Superior de Agronomia da Universidade Técnica de Lisboa</w:t>
      </w:r>
    </w:p>
    <w:p w:rsidR="002B6C78" w:rsidRDefault="002B6C78" w:rsidP="002B6C78">
      <w:pPr>
        <w:autoSpaceDE w:val="0"/>
        <w:autoSpaceDN w:val="0"/>
        <w:adjustRightInd w:val="0"/>
        <w:spacing w:after="0" w:line="240" w:lineRule="auto"/>
        <w:rPr>
          <w:b/>
          <w:bCs/>
          <w:color w:val="000000"/>
          <w:shd w:val="clear" w:color="auto" w:fill="auto"/>
          <w:lang w:eastAsia="pt-PT"/>
        </w:rPr>
      </w:pPr>
    </w:p>
    <w:p w:rsidR="00C84C2B" w:rsidRDefault="00C84C2B" w:rsidP="002B6C78">
      <w:pPr>
        <w:autoSpaceDE w:val="0"/>
        <w:autoSpaceDN w:val="0"/>
        <w:adjustRightInd w:val="0"/>
        <w:spacing w:after="0" w:line="240" w:lineRule="auto"/>
        <w:jc w:val="center"/>
        <w:rPr>
          <w:color w:val="000000"/>
          <w:sz w:val="23"/>
          <w:szCs w:val="23"/>
          <w:shd w:val="clear" w:color="auto" w:fill="auto"/>
          <w:lang w:eastAsia="pt-PT"/>
        </w:rPr>
      </w:pPr>
    </w:p>
    <w:p w:rsidR="00C84C2B" w:rsidRDefault="00C84C2B" w:rsidP="002B6C78">
      <w:pPr>
        <w:autoSpaceDE w:val="0"/>
        <w:autoSpaceDN w:val="0"/>
        <w:adjustRightInd w:val="0"/>
        <w:spacing w:after="0" w:line="240" w:lineRule="auto"/>
        <w:jc w:val="center"/>
        <w:rPr>
          <w:color w:val="000000"/>
          <w:sz w:val="23"/>
          <w:szCs w:val="23"/>
          <w:shd w:val="clear" w:color="auto" w:fill="auto"/>
          <w:lang w:eastAsia="pt-PT"/>
        </w:rPr>
      </w:pPr>
    </w:p>
    <w:p w:rsidR="00277AB0" w:rsidRDefault="001A146F" w:rsidP="002B6C78">
      <w:pPr>
        <w:autoSpaceDE w:val="0"/>
        <w:autoSpaceDN w:val="0"/>
        <w:adjustRightInd w:val="0"/>
        <w:spacing w:after="0" w:line="240" w:lineRule="auto"/>
        <w:jc w:val="center"/>
        <w:rPr>
          <w:color w:val="000000"/>
          <w:sz w:val="23"/>
          <w:szCs w:val="23"/>
          <w:shd w:val="clear" w:color="auto" w:fill="auto"/>
          <w:lang w:eastAsia="pt-PT"/>
        </w:rPr>
        <w:sectPr w:rsidR="00277AB0" w:rsidSect="00F854E8">
          <w:footerReference w:type="even" r:id="rId9"/>
          <w:footerReference w:type="default" r:id="rId10"/>
          <w:pgSz w:w="11906" w:h="16838"/>
          <w:pgMar w:top="1418" w:right="1418" w:bottom="1418" w:left="1418" w:header="709" w:footer="709" w:gutter="0"/>
          <w:pgNumType w:start="40"/>
          <w:cols w:space="708"/>
          <w:titlePg/>
          <w:docGrid w:linePitch="360"/>
        </w:sectPr>
      </w:pPr>
      <w:r w:rsidRPr="001A146F">
        <w:rPr>
          <w:color w:val="000000"/>
          <w:sz w:val="23"/>
          <w:szCs w:val="23"/>
          <w:shd w:val="clear" w:color="auto" w:fill="auto"/>
          <w:lang w:eastAsia="pt-PT"/>
        </w:rPr>
        <w:t>Lisboa, 2</w:t>
      </w:r>
      <w:r>
        <w:rPr>
          <w:color w:val="000000"/>
          <w:sz w:val="23"/>
          <w:szCs w:val="23"/>
          <w:shd w:val="clear" w:color="auto" w:fill="auto"/>
          <w:lang w:eastAsia="pt-PT"/>
        </w:rPr>
        <w:t>010</w:t>
      </w:r>
    </w:p>
    <w:p w:rsidR="00C26111" w:rsidRDefault="00C26111" w:rsidP="00C91DDE">
      <w:pPr>
        <w:pStyle w:val="Capitulo"/>
      </w:pPr>
      <w:bookmarkStart w:id="0" w:name="_Toc264890272"/>
      <w:r w:rsidRPr="00C91DDE">
        <w:lastRenderedPageBreak/>
        <w:t>ÍNDICE</w:t>
      </w:r>
      <w:bookmarkEnd w:id="0"/>
    </w:p>
    <w:p w:rsidR="000A6E4F" w:rsidRDefault="00EB3060">
      <w:pPr>
        <w:pStyle w:val="ndice1"/>
        <w:tabs>
          <w:tab w:val="right" w:leader="dot" w:pos="9060"/>
        </w:tabs>
        <w:rPr>
          <w:rFonts w:asciiTheme="minorHAnsi" w:eastAsiaTheme="minorEastAsia" w:hAnsiTheme="minorHAnsi" w:cstheme="minorBidi"/>
          <w:noProof/>
          <w:shd w:val="clear" w:color="auto" w:fill="auto"/>
          <w:lang w:eastAsia="pt-PT"/>
        </w:rPr>
      </w:pPr>
      <w:r>
        <w:fldChar w:fldCharType="begin"/>
      </w:r>
      <w:r w:rsidR="00BC3BA3">
        <w:instrText xml:space="preserve"> TOC \t "Título 1;3;Título 2;4;Título 3;5;Título 4;6;Título;2;Capitulo;1" </w:instrText>
      </w:r>
      <w:r>
        <w:fldChar w:fldCharType="separate"/>
      </w:r>
      <w:r w:rsidR="000A6E4F">
        <w:rPr>
          <w:noProof/>
        </w:rPr>
        <w:t>ÍNDICE</w:t>
      </w:r>
      <w:r w:rsidR="000A6E4F">
        <w:rPr>
          <w:noProof/>
        </w:rPr>
        <w:tab/>
      </w:r>
      <w:r>
        <w:rPr>
          <w:noProof/>
        </w:rPr>
        <w:fldChar w:fldCharType="begin"/>
      </w:r>
      <w:r w:rsidR="000A6E4F">
        <w:rPr>
          <w:noProof/>
        </w:rPr>
        <w:instrText xml:space="preserve"> PAGEREF _Toc264890272 \h </w:instrText>
      </w:r>
      <w:r>
        <w:rPr>
          <w:noProof/>
        </w:rPr>
      </w:r>
      <w:r>
        <w:rPr>
          <w:noProof/>
        </w:rPr>
        <w:fldChar w:fldCharType="separate"/>
      </w:r>
      <w:r w:rsidR="00E2640D">
        <w:rPr>
          <w:noProof/>
        </w:rPr>
        <w:t>I</w:t>
      </w:r>
      <w:r>
        <w:rPr>
          <w:noProof/>
        </w:rPr>
        <w:fldChar w:fldCharType="end"/>
      </w:r>
    </w:p>
    <w:p w:rsidR="000A6E4F" w:rsidRDefault="000A6E4F">
      <w:pPr>
        <w:pStyle w:val="ndice1"/>
        <w:tabs>
          <w:tab w:val="right" w:leader="dot" w:pos="9060"/>
        </w:tabs>
        <w:rPr>
          <w:rFonts w:asciiTheme="minorHAnsi" w:eastAsiaTheme="minorEastAsia" w:hAnsiTheme="minorHAnsi" w:cstheme="minorBidi"/>
          <w:noProof/>
          <w:shd w:val="clear" w:color="auto" w:fill="auto"/>
          <w:lang w:eastAsia="pt-PT"/>
        </w:rPr>
      </w:pPr>
      <w:r>
        <w:rPr>
          <w:noProof/>
        </w:rPr>
        <w:t>Índice de Figuras</w:t>
      </w:r>
      <w:r>
        <w:rPr>
          <w:noProof/>
        </w:rPr>
        <w:tab/>
      </w:r>
      <w:r w:rsidR="00EB3060">
        <w:rPr>
          <w:noProof/>
        </w:rPr>
        <w:fldChar w:fldCharType="begin"/>
      </w:r>
      <w:r>
        <w:rPr>
          <w:noProof/>
        </w:rPr>
        <w:instrText xml:space="preserve"> PAGEREF _Toc264890273 \h </w:instrText>
      </w:r>
      <w:r w:rsidR="00EB3060">
        <w:rPr>
          <w:noProof/>
        </w:rPr>
      </w:r>
      <w:r w:rsidR="00EB3060">
        <w:rPr>
          <w:noProof/>
        </w:rPr>
        <w:fldChar w:fldCharType="separate"/>
      </w:r>
      <w:r w:rsidR="00E2640D">
        <w:rPr>
          <w:noProof/>
        </w:rPr>
        <w:t>III</w:t>
      </w:r>
      <w:r w:rsidR="00EB3060">
        <w:rPr>
          <w:noProof/>
        </w:rPr>
        <w:fldChar w:fldCharType="end"/>
      </w:r>
    </w:p>
    <w:p w:rsidR="000A6E4F" w:rsidRDefault="000A6E4F">
      <w:pPr>
        <w:pStyle w:val="ndice1"/>
        <w:tabs>
          <w:tab w:val="right" w:leader="dot" w:pos="9060"/>
        </w:tabs>
        <w:rPr>
          <w:rFonts w:asciiTheme="minorHAnsi" w:eastAsiaTheme="minorEastAsia" w:hAnsiTheme="minorHAnsi" w:cstheme="minorBidi"/>
          <w:noProof/>
          <w:shd w:val="clear" w:color="auto" w:fill="auto"/>
          <w:lang w:eastAsia="pt-PT"/>
        </w:rPr>
      </w:pPr>
      <w:r>
        <w:rPr>
          <w:noProof/>
        </w:rPr>
        <w:t>Índice de quadros</w:t>
      </w:r>
      <w:r>
        <w:rPr>
          <w:noProof/>
        </w:rPr>
        <w:tab/>
      </w:r>
      <w:r w:rsidR="00EB3060">
        <w:rPr>
          <w:noProof/>
        </w:rPr>
        <w:fldChar w:fldCharType="begin"/>
      </w:r>
      <w:r>
        <w:rPr>
          <w:noProof/>
        </w:rPr>
        <w:instrText xml:space="preserve"> PAGEREF _Toc264890274 \h </w:instrText>
      </w:r>
      <w:r w:rsidR="00EB3060">
        <w:rPr>
          <w:noProof/>
        </w:rPr>
      </w:r>
      <w:r w:rsidR="00EB3060">
        <w:rPr>
          <w:noProof/>
        </w:rPr>
        <w:fldChar w:fldCharType="separate"/>
      </w:r>
      <w:r w:rsidR="00E2640D">
        <w:rPr>
          <w:noProof/>
        </w:rPr>
        <w:t>IV</w:t>
      </w:r>
      <w:r w:rsidR="00EB3060">
        <w:rPr>
          <w:noProof/>
        </w:rPr>
        <w:fldChar w:fldCharType="end"/>
      </w:r>
    </w:p>
    <w:p w:rsidR="000A6E4F" w:rsidRDefault="000A6E4F">
      <w:pPr>
        <w:pStyle w:val="ndice1"/>
        <w:tabs>
          <w:tab w:val="right" w:leader="dot" w:pos="9060"/>
        </w:tabs>
        <w:rPr>
          <w:rFonts w:asciiTheme="minorHAnsi" w:eastAsiaTheme="minorEastAsia" w:hAnsiTheme="minorHAnsi" w:cstheme="minorBidi"/>
          <w:noProof/>
          <w:shd w:val="clear" w:color="auto" w:fill="auto"/>
          <w:lang w:eastAsia="pt-PT"/>
        </w:rPr>
      </w:pPr>
      <w:r>
        <w:rPr>
          <w:noProof/>
        </w:rPr>
        <w:t>AGRADECIMENTOS</w:t>
      </w:r>
      <w:r>
        <w:rPr>
          <w:noProof/>
        </w:rPr>
        <w:tab/>
      </w:r>
      <w:r w:rsidR="00EB3060">
        <w:rPr>
          <w:noProof/>
        </w:rPr>
        <w:fldChar w:fldCharType="begin"/>
      </w:r>
      <w:r>
        <w:rPr>
          <w:noProof/>
        </w:rPr>
        <w:instrText xml:space="preserve"> PAGEREF _Toc264890275 \h </w:instrText>
      </w:r>
      <w:r w:rsidR="00EB3060">
        <w:rPr>
          <w:noProof/>
        </w:rPr>
      </w:r>
      <w:r w:rsidR="00EB3060">
        <w:rPr>
          <w:noProof/>
        </w:rPr>
        <w:fldChar w:fldCharType="separate"/>
      </w:r>
      <w:r w:rsidR="00E2640D">
        <w:rPr>
          <w:noProof/>
        </w:rPr>
        <w:t>V</w:t>
      </w:r>
      <w:r w:rsidR="00EB3060">
        <w:rPr>
          <w:noProof/>
        </w:rPr>
        <w:fldChar w:fldCharType="end"/>
      </w:r>
    </w:p>
    <w:p w:rsidR="000A6E4F" w:rsidRDefault="000A6E4F">
      <w:pPr>
        <w:pStyle w:val="ndice1"/>
        <w:tabs>
          <w:tab w:val="right" w:leader="dot" w:pos="9060"/>
        </w:tabs>
        <w:rPr>
          <w:rFonts w:asciiTheme="minorHAnsi" w:eastAsiaTheme="minorEastAsia" w:hAnsiTheme="minorHAnsi" w:cstheme="minorBidi"/>
          <w:noProof/>
          <w:shd w:val="clear" w:color="auto" w:fill="auto"/>
          <w:lang w:eastAsia="pt-PT"/>
        </w:rPr>
      </w:pPr>
      <w:r>
        <w:rPr>
          <w:noProof/>
        </w:rPr>
        <w:t>RESUMO</w:t>
      </w:r>
      <w:r>
        <w:rPr>
          <w:noProof/>
        </w:rPr>
        <w:tab/>
      </w:r>
      <w:r w:rsidR="00EB3060">
        <w:rPr>
          <w:noProof/>
        </w:rPr>
        <w:fldChar w:fldCharType="begin"/>
      </w:r>
      <w:r>
        <w:rPr>
          <w:noProof/>
        </w:rPr>
        <w:instrText xml:space="preserve"> PAGEREF _Toc264890276 \h </w:instrText>
      </w:r>
      <w:r w:rsidR="00EB3060">
        <w:rPr>
          <w:noProof/>
        </w:rPr>
      </w:r>
      <w:r w:rsidR="00EB3060">
        <w:rPr>
          <w:noProof/>
        </w:rPr>
        <w:fldChar w:fldCharType="separate"/>
      </w:r>
      <w:r w:rsidR="00E2640D">
        <w:rPr>
          <w:noProof/>
        </w:rPr>
        <w:t>VI</w:t>
      </w:r>
      <w:r w:rsidR="00EB3060">
        <w:rPr>
          <w:noProof/>
        </w:rPr>
        <w:fldChar w:fldCharType="end"/>
      </w:r>
    </w:p>
    <w:p w:rsidR="000A6E4F" w:rsidRDefault="000A6E4F">
      <w:pPr>
        <w:pStyle w:val="ndice1"/>
        <w:tabs>
          <w:tab w:val="right" w:leader="dot" w:pos="9060"/>
        </w:tabs>
        <w:rPr>
          <w:rFonts w:asciiTheme="minorHAnsi" w:eastAsiaTheme="minorEastAsia" w:hAnsiTheme="minorHAnsi" w:cstheme="minorBidi"/>
          <w:noProof/>
          <w:shd w:val="clear" w:color="auto" w:fill="auto"/>
          <w:lang w:eastAsia="pt-PT"/>
        </w:rPr>
      </w:pPr>
      <w:r w:rsidRPr="000A6E4F">
        <w:rPr>
          <w:noProof/>
        </w:rPr>
        <w:t>ABSTRACT</w:t>
      </w:r>
      <w:r>
        <w:rPr>
          <w:noProof/>
        </w:rPr>
        <w:tab/>
      </w:r>
      <w:r w:rsidR="00EB3060">
        <w:rPr>
          <w:noProof/>
        </w:rPr>
        <w:fldChar w:fldCharType="begin"/>
      </w:r>
      <w:r>
        <w:rPr>
          <w:noProof/>
        </w:rPr>
        <w:instrText xml:space="preserve"> PAGEREF _Toc264890277 \h </w:instrText>
      </w:r>
      <w:r w:rsidR="00EB3060">
        <w:rPr>
          <w:noProof/>
        </w:rPr>
      </w:r>
      <w:r w:rsidR="00EB3060">
        <w:rPr>
          <w:noProof/>
        </w:rPr>
        <w:fldChar w:fldCharType="separate"/>
      </w:r>
      <w:r w:rsidR="00E2640D">
        <w:rPr>
          <w:noProof/>
        </w:rPr>
        <w:t>VII</w:t>
      </w:r>
      <w:r w:rsidR="00EB3060">
        <w:rPr>
          <w:noProof/>
        </w:rPr>
        <w:fldChar w:fldCharType="end"/>
      </w:r>
    </w:p>
    <w:p w:rsidR="000A6E4F" w:rsidRDefault="000A6E4F">
      <w:pPr>
        <w:pStyle w:val="ndice1"/>
        <w:tabs>
          <w:tab w:val="right" w:leader="dot" w:pos="9060"/>
        </w:tabs>
        <w:rPr>
          <w:rFonts w:asciiTheme="minorHAnsi" w:eastAsiaTheme="minorEastAsia" w:hAnsiTheme="minorHAnsi" w:cstheme="minorBidi"/>
          <w:noProof/>
          <w:shd w:val="clear" w:color="auto" w:fill="auto"/>
          <w:lang w:eastAsia="pt-PT"/>
        </w:rPr>
      </w:pPr>
      <w:r w:rsidRPr="000A6E4F">
        <w:rPr>
          <w:noProof/>
        </w:rPr>
        <w:t>Extended Abstract</w:t>
      </w:r>
      <w:r>
        <w:rPr>
          <w:noProof/>
        </w:rPr>
        <w:tab/>
      </w:r>
      <w:r w:rsidR="00EB3060">
        <w:rPr>
          <w:noProof/>
        </w:rPr>
        <w:fldChar w:fldCharType="begin"/>
      </w:r>
      <w:r>
        <w:rPr>
          <w:noProof/>
        </w:rPr>
        <w:instrText xml:space="preserve"> PAGEREF _Toc264890278 \h </w:instrText>
      </w:r>
      <w:r w:rsidR="00EB3060">
        <w:rPr>
          <w:noProof/>
        </w:rPr>
      </w:r>
      <w:r w:rsidR="00EB3060">
        <w:rPr>
          <w:noProof/>
        </w:rPr>
        <w:fldChar w:fldCharType="separate"/>
      </w:r>
      <w:r w:rsidR="00E2640D">
        <w:rPr>
          <w:noProof/>
        </w:rPr>
        <w:t>VIII</w:t>
      </w:r>
      <w:r w:rsidR="00EB3060">
        <w:rPr>
          <w:noProof/>
        </w:rPr>
        <w:fldChar w:fldCharType="end"/>
      </w:r>
    </w:p>
    <w:p w:rsidR="000A6E4F" w:rsidRDefault="000A6E4F">
      <w:pPr>
        <w:pStyle w:val="ndice3"/>
        <w:tabs>
          <w:tab w:val="right" w:leader="dot" w:pos="9060"/>
        </w:tabs>
        <w:rPr>
          <w:rFonts w:asciiTheme="minorHAnsi" w:eastAsiaTheme="minorEastAsia" w:hAnsiTheme="minorHAnsi" w:cstheme="minorBidi"/>
          <w:noProof/>
          <w:shd w:val="clear" w:color="auto" w:fill="auto"/>
          <w:lang w:eastAsia="pt-PT"/>
        </w:rPr>
      </w:pPr>
      <w:r w:rsidRPr="00B05FE1">
        <w:rPr>
          <w:noProof/>
          <w:shd w:val="clear" w:color="auto" w:fill="auto"/>
        </w:rPr>
        <w:t>1.</w:t>
      </w:r>
      <w:r>
        <w:rPr>
          <w:noProof/>
        </w:rPr>
        <w:t xml:space="preserve"> Introdução</w:t>
      </w:r>
      <w:r>
        <w:rPr>
          <w:noProof/>
        </w:rPr>
        <w:tab/>
      </w:r>
      <w:r w:rsidR="00EB3060">
        <w:rPr>
          <w:noProof/>
        </w:rPr>
        <w:fldChar w:fldCharType="begin"/>
      </w:r>
      <w:r>
        <w:rPr>
          <w:noProof/>
        </w:rPr>
        <w:instrText xml:space="preserve"> PAGEREF _Toc264890279 \h </w:instrText>
      </w:r>
      <w:r w:rsidR="00EB3060">
        <w:rPr>
          <w:noProof/>
        </w:rPr>
      </w:r>
      <w:r w:rsidR="00EB3060">
        <w:rPr>
          <w:noProof/>
        </w:rPr>
        <w:fldChar w:fldCharType="separate"/>
      </w:r>
      <w:r w:rsidR="00E2640D">
        <w:rPr>
          <w:noProof/>
        </w:rPr>
        <w:t>1</w:t>
      </w:r>
      <w:r w:rsidR="00EB3060">
        <w:rPr>
          <w:noProof/>
        </w:rPr>
        <w:fldChar w:fldCharType="end"/>
      </w:r>
    </w:p>
    <w:p w:rsidR="000A6E4F" w:rsidRDefault="000A6E4F">
      <w:pPr>
        <w:pStyle w:val="ndice3"/>
        <w:tabs>
          <w:tab w:val="right" w:leader="dot" w:pos="9060"/>
        </w:tabs>
        <w:rPr>
          <w:rFonts w:asciiTheme="minorHAnsi" w:eastAsiaTheme="minorEastAsia" w:hAnsiTheme="minorHAnsi" w:cstheme="minorBidi"/>
          <w:noProof/>
          <w:shd w:val="clear" w:color="auto" w:fill="auto"/>
          <w:lang w:eastAsia="pt-PT"/>
        </w:rPr>
      </w:pPr>
      <w:r w:rsidRPr="00B05FE1">
        <w:rPr>
          <w:noProof/>
          <w:shd w:val="clear" w:color="auto" w:fill="auto"/>
        </w:rPr>
        <w:t>2.</w:t>
      </w:r>
      <w:r>
        <w:rPr>
          <w:noProof/>
        </w:rPr>
        <w:t xml:space="preserve"> Doenças da videira causadas por fungos </w:t>
      </w:r>
      <w:r w:rsidRPr="00B05FE1">
        <w:rPr>
          <w:i/>
          <w:noProof/>
        </w:rPr>
        <w:t>Botryosphaeria</w:t>
      </w:r>
      <w:r w:rsidRPr="00B05FE1">
        <w:rPr>
          <w:noProof/>
        </w:rPr>
        <w:t>ceae</w:t>
      </w:r>
      <w:r>
        <w:rPr>
          <w:noProof/>
        </w:rPr>
        <w:t xml:space="preserve"> e do género </w:t>
      </w:r>
      <w:r w:rsidRPr="00B05FE1">
        <w:rPr>
          <w:i/>
          <w:noProof/>
        </w:rPr>
        <w:t>Phomopsis</w:t>
      </w:r>
      <w:r>
        <w:rPr>
          <w:noProof/>
        </w:rPr>
        <w:tab/>
      </w:r>
      <w:r w:rsidR="00EB3060">
        <w:rPr>
          <w:noProof/>
        </w:rPr>
        <w:fldChar w:fldCharType="begin"/>
      </w:r>
      <w:r>
        <w:rPr>
          <w:noProof/>
        </w:rPr>
        <w:instrText xml:space="preserve"> PAGEREF _Toc264890280 \h </w:instrText>
      </w:r>
      <w:r w:rsidR="00EB3060">
        <w:rPr>
          <w:noProof/>
        </w:rPr>
      </w:r>
      <w:r w:rsidR="00EB3060">
        <w:rPr>
          <w:noProof/>
        </w:rPr>
        <w:fldChar w:fldCharType="separate"/>
      </w:r>
      <w:r w:rsidR="00E2640D">
        <w:rPr>
          <w:noProof/>
        </w:rPr>
        <w:t>3</w:t>
      </w:r>
      <w:r w:rsidR="00EB3060">
        <w:rPr>
          <w:noProof/>
        </w:rPr>
        <w:fldChar w:fldCharType="end"/>
      </w:r>
    </w:p>
    <w:p w:rsidR="000A6E4F" w:rsidRDefault="000A6E4F">
      <w:pPr>
        <w:pStyle w:val="ndice4"/>
        <w:tabs>
          <w:tab w:val="right" w:leader="dot" w:pos="9060"/>
        </w:tabs>
        <w:rPr>
          <w:rFonts w:asciiTheme="minorHAnsi" w:eastAsiaTheme="minorEastAsia" w:hAnsiTheme="minorHAnsi" w:cstheme="minorBidi"/>
          <w:noProof/>
          <w:shd w:val="clear" w:color="auto" w:fill="auto"/>
          <w:lang w:eastAsia="pt-PT"/>
        </w:rPr>
      </w:pPr>
      <w:r>
        <w:rPr>
          <w:noProof/>
        </w:rPr>
        <w:t xml:space="preserve">2.1. Doenças da videira causadas por fungos </w:t>
      </w:r>
      <w:r w:rsidRPr="00B05FE1">
        <w:rPr>
          <w:i/>
          <w:noProof/>
        </w:rPr>
        <w:t>Botryosphaeria</w:t>
      </w:r>
      <w:r>
        <w:rPr>
          <w:noProof/>
        </w:rPr>
        <w:t>ceae</w:t>
      </w:r>
      <w:r>
        <w:rPr>
          <w:noProof/>
        </w:rPr>
        <w:tab/>
      </w:r>
      <w:r w:rsidR="00EB3060">
        <w:rPr>
          <w:noProof/>
        </w:rPr>
        <w:fldChar w:fldCharType="begin"/>
      </w:r>
      <w:r>
        <w:rPr>
          <w:noProof/>
        </w:rPr>
        <w:instrText xml:space="preserve"> PAGEREF _Toc264890281 \h </w:instrText>
      </w:r>
      <w:r w:rsidR="00EB3060">
        <w:rPr>
          <w:noProof/>
        </w:rPr>
      </w:r>
      <w:r w:rsidR="00EB3060">
        <w:rPr>
          <w:noProof/>
        </w:rPr>
        <w:fldChar w:fldCharType="separate"/>
      </w:r>
      <w:r w:rsidR="00E2640D">
        <w:rPr>
          <w:noProof/>
        </w:rPr>
        <w:t>3</w:t>
      </w:r>
      <w:r w:rsidR="00EB3060">
        <w:rPr>
          <w:noProof/>
        </w:rPr>
        <w:fldChar w:fldCharType="end"/>
      </w:r>
    </w:p>
    <w:p w:rsidR="000A6E4F" w:rsidRDefault="000A6E4F">
      <w:pPr>
        <w:pStyle w:val="ndice5"/>
        <w:tabs>
          <w:tab w:val="right" w:leader="dot" w:pos="9060"/>
        </w:tabs>
        <w:rPr>
          <w:rFonts w:asciiTheme="minorHAnsi" w:eastAsiaTheme="minorEastAsia" w:hAnsiTheme="minorHAnsi" w:cstheme="minorBidi"/>
          <w:noProof/>
          <w:shd w:val="clear" w:color="auto" w:fill="auto"/>
          <w:lang w:eastAsia="pt-PT"/>
        </w:rPr>
      </w:pPr>
      <w:r>
        <w:rPr>
          <w:noProof/>
        </w:rPr>
        <w:t>2.1.1. Agentes causais</w:t>
      </w:r>
      <w:r>
        <w:rPr>
          <w:noProof/>
        </w:rPr>
        <w:tab/>
      </w:r>
      <w:r w:rsidR="00EB3060">
        <w:rPr>
          <w:noProof/>
        </w:rPr>
        <w:fldChar w:fldCharType="begin"/>
      </w:r>
      <w:r>
        <w:rPr>
          <w:noProof/>
        </w:rPr>
        <w:instrText xml:space="preserve"> PAGEREF _Toc264890282 \h </w:instrText>
      </w:r>
      <w:r w:rsidR="00EB3060">
        <w:rPr>
          <w:noProof/>
        </w:rPr>
      </w:r>
      <w:r w:rsidR="00EB3060">
        <w:rPr>
          <w:noProof/>
        </w:rPr>
        <w:fldChar w:fldCharType="separate"/>
      </w:r>
      <w:r w:rsidR="00E2640D">
        <w:rPr>
          <w:noProof/>
        </w:rPr>
        <w:t>3</w:t>
      </w:r>
      <w:r w:rsidR="00EB3060">
        <w:rPr>
          <w:noProof/>
        </w:rPr>
        <w:fldChar w:fldCharType="end"/>
      </w:r>
    </w:p>
    <w:p w:rsidR="000A6E4F" w:rsidRDefault="000A6E4F">
      <w:pPr>
        <w:pStyle w:val="ndice5"/>
        <w:tabs>
          <w:tab w:val="right" w:leader="dot" w:pos="9060"/>
        </w:tabs>
        <w:rPr>
          <w:rFonts w:asciiTheme="minorHAnsi" w:eastAsiaTheme="minorEastAsia" w:hAnsiTheme="minorHAnsi" w:cstheme="minorBidi"/>
          <w:noProof/>
          <w:shd w:val="clear" w:color="auto" w:fill="auto"/>
          <w:lang w:eastAsia="pt-PT"/>
        </w:rPr>
      </w:pPr>
      <w:r>
        <w:rPr>
          <w:noProof/>
        </w:rPr>
        <w:t>2.1.2. Bioecologia</w:t>
      </w:r>
      <w:r>
        <w:rPr>
          <w:noProof/>
        </w:rPr>
        <w:tab/>
      </w:r>
      <w:r w:rsidR="00EB3060">
        <w:rPr>
          <w:noProof/>
        </w:rPr>
        <w:fldChar w:fldCharType="begin"/>
      </w:r>
      <w:r>
        <w:rPr>
          <w:noProof/>
        </w:rPr>
        <w:instrText xml:space="preserve"> PAGEREF _Toc264890283 \h </w:instrText>
      </w:r>
      <w:r w:rsidR="00EB3060">
        <w:rPr>
          <w:noProof/>
        </w:rPr>
      </w:r>
      <w:r w:rsidR="00EB3060">
        <w:rPr>
          <w:noProof/>
        </w:rPr>
        <w:fldChar w:fldCharType="separate"/>
      </w:r>
      <w:r w:rsidR="00E2640D">
        <w:rPr>
          <w:noProof/>
        </w:rPr>
        <w:t>5</w:t>
      </w:r>
      <w:r w:rsidR="00EB3060">
        <w:rPr>
          <w:noProof/>
        </w:rPr>
        <w:fldChar w:fldCharType="end"/>
      </w:r>
    </w:p>
    <w:p w:rsidR="000A6E4F" w:rsidRDefault="000A6E4F">
      <w:pPr>
        <w:pStyle w:val="ndice5"/>
        <w:tabs>
          <w:tab w:val="right" w:leader="dot" w:pos="9060"/>
        </w:tabs>
        <w:rPr>
          <w:rFonts w:asciiTheme="minorHAnsi" w:eastAsiaTheme="minorEastAsia" w:hAnsiTheme="minorHAnsi" w:cstheme="minorBidi"/>
          <w:noProof/>
          <w:shd w:val="clear" w:color="auto" w:fill="auto"/>
          <w:lang w:eastAsia="pt-PT"/>
        </w:rPr>
      </w:pPr>
      <w:r>
        <w:rPr>
          <w:noProof/>
        </w:rPr>
        <w:t>2.1.3. Sintomas</w:t>
      </w:r>
      <w:r>
        <w:rPr>
          <w:noProof/>
        </w:rPr>
        <w:tab/>
      </w:r>
      <w:r w:rsidR="00EB3060">
        <w:rPr>
          <w:noProof/>
        </w:rPr>
        <w:fldChar w:fldCharType="begin"/>
      </w:r>
      <w:r>
        <w:rPr>
          <w:noProof/>
        </w:rPr>
        <w:instrText xml:space="preserve"> PAGEREF _Toc264890284 \h </w:instrText>
      </w:r>
      <w:r w:rsidR="00EB3060">
        <w:rPr>
          <w:noProof/>
        </w:rPr>
      </w:r>
      <w:r w:rsidR="00EB3060">
        <w:rPr>
          <w:noProof/>
        </w:rPr>
        <w:fldChar w:fldCharType="separate"/>
      </w:r>
      <w:r w:rsidR="00E2640D">
        <w:rPr>
          <w:noProof/>
        </w:rPr>
        <w:t>8</w:t>
      </w:r>
      <w:r w:rsidR="00EB3060">
        <w:rPr>
          <w:noProof/>
        </w:rPr>
        <w:fldChar w:fldCharType="end"/>
      </w:r>
    </w:p>
    <w:p w:rsidR="000A6E4F" w:rsidRDefault="000A6E4F">
      <w:pPr>
        <w:pStyle w:val="ndice5"/>
        <w:tabs>
          <w:tab w:val="right" w:leader="dot" w:pos="9060"/>
        </w:tabs>
        <w:rPr>
          <w:rFonts w:asciiTheme="minorHAnsi" w:eastAsiaTheme="minorEastAsia" w:hAnsiTheme="minorHAnsi" w:cstheme="minorBidi"/>
          <w:noProof/>
          <w:shd w:val="clear" w:color="auto" w:fill="auto"/>
          <w:lang w:eastAsia="pt-PT"/>
        </w:rPr>
      </w:pPr>
      <w:r>
        <w:rPr>
          <w:noProof/>
        </w:rPr>
        <w:t>2.1.4. Meios de luta</w:t>
      </w:r>
      <w:r>
        <w:rPr>
          <w:noProof/>
        </w:rPr>
        <w:tab/>
      </w:r>
      <w:r w:rsidR="00EB3060">
        <w:rPr>
          <w:noProof/>
        </w:rPr>
        <w:fldChar w:fldCharType="begin"/>
      </w:r>
      <w:r>
        <w:rPr>
          <w:noProof/>
        </w:rPr>
        <w:instrText xml:space="preserve"> PAGEREF _Toc264890285 \h </w:instrText>
      </w:r>
      <w:r w:rsidR="00EB3060">
        <w:rPr>
          <w:noProof/>
        </w:rPr>
      </w:r>
      <w:r w:rsidR="00EB3060">
        <w:rPr>
          <w:noProof/>
        </w:rPr>
        <w:fldChar w:fldCharType="separate"/>
      </w:r>
      <w:r w:rsidR="00E2640D">
        <w:rPr>
          <w:noProof/>
        </w:rPr>
        <w:t>12</w:t>
      </w:r>
      <w:r w:rsidR="00EB3060">
        <w:rPr>
          <w:noProof/>
        </w:rPr>
        <w:fldChar w:fldCharType="end"/>
      </w:r>
    </w:p>
    <w:p w:rsidR="000A6E4F" w:rsidRDefault="000A6E4F">
      <w:pPr>
        <w:pStyle w:val="ndice6"/>
        <w:tabs>
          <w:tab w:val="right" w:leader="dot" w:pos="9060"/>
        </w:tabs>
        <w:rPr>
          <w:rFonts w:asciiTheme="minorHAnsi" w:eastAsiaTheme="minorEastAsia" w:hAnsiTheme="minorHAnsi" w:cstheme="minorBidi"/>
          <w:noProof/>
          <w:shd w:val="clear" w:color="auto" w:fill="auto"/>
          <w:lang w:eastAsia="pt-PT"/>
        </w:rPr>
      </w:pPr>
      <w:r w:rsidRPr="00B05FE1">
        <w:rPr>
          <w:noProof/>
          <w:shd w:val="clear" w:color="auto" w:fill="auto"/>
        </w:rPr>
        <w:t>2.1.4.1.</w:t>
      </w:r>
      <w:r>
        <w:rPr>
          <w:noProof/>
        </w:rPr>
        <w:t xml:space="preserve"> Culturais</w:t>
      </w:r>
      <w:r>
        <w:rPr>
          <w:noProof/>
        </w:rPr>
        <w:tab/>
      </w:r>
      <w:r w:rsidR="00EB3060">
        <w:rPr>
          <w:noProof/>
        </w:rPr>
        <w:fldChar w:fldCharType="begin"/>
      </w:r>
      <w:r>
        <w:rPr>
          <w:noProof/>
        </w:rPr>
        <w:instrText xml:space="preserve"> PAGEREF _Toc264890286 \h </w:instrText>
      </w:r>
      <w:r w:rsidR="00EB3060">
        <w:rPr>
          <w:noProof/>
        </w:rPr>
      </w:r>
      <w:r w:rsidR="00EB3060">
        <w:rPr>
          <w:noProof/>
        </w:rPr>
        <w:fldChar w:fldCharType="separate"/>
      </w:r>
      <w:r w:rsidR="00E2640D">
        <w:rPr>
          <w:noProof/>
        </w:rPr>
        <w:t>12</w:t>
      </w:r>
      <w:r w:rsidR="00EB3060">
        <w:rPr>
          <w:noProof/>
        </w:rPr>
        <w:fldChar w:fldCharType="end"/>
      </w:r>
    </w:p>
    <w:p w:rsidR="000A6E4F" w:rsidRDefault="000A6E4F">
      <w:pPr>
        <w:pStyle w:val="ndice6"/>
        <w:tabs>
          <w:tab w:val="right" w:leader="dot" w:pos="9060"/>
        </w:tabs>
        <w:rPr>
          <w:rFonts w:asciiTheme="minorHAnsi" w:eastAsiaTheme="minorEastAsia" w:hAnsiTheme="minorHAnsi" w:cstheme="minorBidi"/>
          <w:noProof/>
          <w:shd w:val="clear" w:color="auto" w:fill="auto"/>
          <w:lang w:eastAsia="pt-PT"/>
        </w:rPr>
      </w:pPr>
      <w:r w:rsidRPr="00B05FE1">
        <w:rPr>
          <w:noProof/>
          <w:shd w:val="clear" w:color="auto" w:fill="auto"/>
        </w:rPr>
        <w:t>2.1.4.2.</w:t>
      </w:r>
      <w:r>
        <w:rPr>
          <w:noProof/>
        </w:rPr>
        <w:t xml:space="preserve"> Químicos</w:t>
      </w:r>
      <w:r>
        <w:rPr>
          <w:noProof/>
        </w:rPr>
        <w:tab/>
      </w:r>
      <w:r w:rsidR="00EB3060">
        <w:rPr>
          <w:noProof/>
        </w:rPr>
        <w:fldChar w:fldCharType="begin"/>
      </w:r>
      <w:r>
        <w:rPr>
          <w:noProof/>
        </w:rPr>
        <w:instrText xml:space="preserve"> PAGEREF _Toc264890287 \h </w:instrText>
      </w:r>
      <w:r w:rsidR="00EB3060">
        <w:rPr>
          <w:noProof/>
        </w:rPr>
      </w:r>
      <w:r w:rsidR="00EB3060">
        <w:rPr>
          <w:noProof/>
        </w:rPr>
        <w:fldChar w:fldCharType="separate"/>
      </w:r>
      <w:r w:rsidR="00E2640D">
        <w:rPr>
          <w:noProof/>
        </w:rPr>
        <w:t>12</w:t>
      </w:r>
      <w:r w:rsidR="00EB3060">
        <w:rPr>
          <w:noProof/>
        </w:rPr>
        <w:fldChar w:fldCharType="end"/>
      </w:r>
    </w:p>
    <w:p w:rsidR="000A6E4F" w:rsidRDefault="000A6E4F">
      <w:pPr>
        <w:pStyle w:val="ndice6"/>
        <w:tabs>
          <w:tab w:val="right" w:leader="dot" w:pos="9060"/>
        </w:tabs>
        <w:rPr>
          <w:rFonts w:asciiTheme="minorHAnsi" w:eastAsiaTheme="minorEastAsia" w:hAnsiTheme="minorHAnsi" w:cstheme="minorBidi"/>
          <w:noProof/>
          <w:shd w:val="clear" w:color="auto" w:fill="auto"/>
          <w:lang w:eastAsia="pt-PT"/>
        </w:rPr>
      </w:pPr>
      <w:r w:rsidRPr="00B05FE1">
        <w:rPr>
          <w:noProof/>
          <w:shd w:val="clear" w:color="auto" w:fill="auto"/>
        </w:rPr>
        <w:t>2.1.4.3.</w:t>
      </w:r>
      <w:r>
        <w:rPr>
          <w:noProof/>
        </w:rPr>
        <w:t xml:space="preserve"> Biológicos</w:t>
      </w:r>
      <w:r>
        <w:rPr>
          <w:noProof/>
        </w:rPr>
        <w:tab/>
      </w:r>
      <w:r w:rsidR="00EB3060">
        <w:rPr>
          <w:noProof/>
        </w:rPr>
        <w:fldChar w:fldCharType="begin"/>
      </w:r>
      <w:r>
        <w:rPr>
          <w:noProof/>
        </w:rPr>
        <w:instrText xml:space="preserve"> PAGEREF _Toc264890288 \h </w:instrText>
      </w:r>
      <w:r w:rsidR="00EB3060">
        <w:rPr>
          <w:noProof/>
        </w:rPr>
      </w:r>
      <w:r w:rsidR="00EB3060">
        <w:rPr>
          <w:noProof/>
        </w:rPr>
        <w:fldChar w:fldCharType="separate"/>
      </w:r>
      <w:r w:rsidR="00E2640D">
        <w:rPr>
          <w:noProof/>
        </w:rPr>
        <w:t>13</w:t>
      </w:r>
      <w:r w:rsidR="00EB3060">
        <w:rPr>
          <w:noProof/>
        </w:rPr>
        <w:fldChar w:fldCharType="end"/>
      </w:r>
    </w:p>
    <w:p w:rsidR="000A6E4F" w:rsidRDefault="000A6E4F">
      <w:pPr>
        <w:pStyle w:val="ndice6"/>
        <w:tabs>
          <w:tab w:val="right" w:leader="dot" w:pos="9060"/>
        </w:tabs>
        <w:rPr>
          <w:rFonts w:asciiTheme="minorHAnsi" w:eastAsiaTheme="minorEastAsia" w:hAnsiTheme="minorHAnsi" w:cstheme="minorBidi"/>
          <w:noProof/>
          <w:shd w:val="clear" w:color="auto" w:fill="auto"/>
          <w:lang w:eastAsia="pt-PT"/>
        </w:rPr>
      </w:pPr>
      <w:r w:rsidRPr="00B05FE1">
        <w:rPr>
          <w:noProof/>
          <w:shd w:val="clear" w:color="auto" w:fill="auto"/>
        </w:rPr>
        <w:t>2.1.4.4.</w:t>
      </w:r>
      <w:r>
        <w:rPr>
          <w:noProof/>
        </w:rPr>
        <w:t xml:space="preserve"> Indutores de mecanismos de defesa</w:t>
      </w:r>
      <w:r>
        <w:rPr>
          <w:noProof/>
        </w:rPr>
        <w:tab/>
      </w:r>
      <w:r w:rsidR="00EB3060">
        <w:rPr>
          <w:noProof/>
        </w:rPr>
        <w:fldChar w:fldCharType="begin"/>
      </w:r>
      <w:r>
        <w:rPr>
          <w:noProof/>
        </w:rPr>
        <w:instrText xml:space="preserve"> PAGEREF _Toc264890289 \h </w:instrText>
      </w:r>
      <w:r w:rsidR="00EB3060">
        <w:rPr>
          <w:noProof/>
        </w:rPr>
      </w:r>
      <w:r w:rsidR="00EB3060">
        <w:rPr>
          <w:noProof/>
        </w:rPr>
        <w:fldChar w:fldCharType="separate"/>
      </w:r>
      <w:r w:rsidR="00E2640D">
        <w:rPr>
          <w:noProof/>
        </w:rPr>
        <w:t>14</w:t>
      </w:r>
      <w:r w:rsidR="00EB3060">
        <w:rPr>
          <w:noProof/>
        </w:rPr>
        <w:fldChar w:fldCharType="end"/>
      </w:r>
    </w:p>
    <w:p w:rsidR="000A6E4F" w:rsidRDefault="000A6E4F">
      <w:pPr>
        <w:pStyle w:val="ndice4"/>
        <w:tabs>
          <w:tab w:val="right" w:leader="dot" w:pos="9060"/>
        </w:tabs>
        <w:rPr>
          <w:rFonts w:asciiTheme="minorHAnsi" w:eastAsiaTheme="minorEastAsia" w:hAnsiTheme="minorHAnsi" w:cstheme="minorBidi"/>
          <w:noProof/>
          <w:shd w:val="clear" w:color="auto" w:fill="auto"/>
          <w:lang w:eastAsia="pt-PT"/>
        </w:rPr>
      </w:pPr>
      <w:r>
        <w:rPr>
          <w:noProof/>
        </w:rPr>
        <w:t xml:space="preserve">2.2. Doenças da videira causadas por fungos do género </w:t>
      </w:r>
      <w:r w:rsidRPr="00B05FE1">
        <w:rPr>
          <w:i/>
          <w:noProof/>
        </w:rPr>
        <w:t>Phomopsis</w:t>
      </w:r>
      <w:r>
        <w:rPr>
          <w:noProof/>
        </w:rPr>
        <w:tab/>
      </w:r>
      <w:r w:rsidR="00EB3060">
        <w:rPr>
          <w:noProof/>
        </w:rPr>
        <w:fldChar w:fldCharType="begin"/>
      </w:r>
      <w:r>
        <w:rPr>
          <w:noProof/>
        </w:rPr>
        <w:instrText xml:space="preserve"> PAGEREF _Toc264890290 \h </w:instrText>
      </w:r>
      <w:r w:rsidR="00EB3060">
        <w:rPr>
          <w:noProof/>
        </w:rPr>
      </w:r>
      <w:r w:rsidR="00EB3060">
        <w:rPr>
          <w:noProof/>
        </w:rPr>
        <w:fldChar w:fldCharType="separate"/>
      </w:r>
      <w:r w:rsidR="00E2640D">
        <w:rPr>
          <w:noProof/>
        </w:rPr>
        <w:t>14</w:t>
      </w:r>
      <w:r w:rsidR="00EB3060">
        <w:rPr>
          <w:noProof/>
        </w:rPr>
        <w:fldChar w:fldCharType="end"/>
      </w:r>
    </w:p>
    <w:p w:rsidR="000A6E4F" w:rsidRDefault="000A6E4F">
      <w:pPr>
        <w:pStyle w:val="ndice5"/>
        <w:tabs>
          <w:tab w:val="right" w:leader="dot" w:pos="9060"/>
        </w:tabs>
        <w:rPr>
          <w:rFonts w:asciiTheme="minorHAnsi" w:eastAsiaTheme="minorEastAsia" w:hAnsiTheme="minorHAnsi" w:cstheme="minorBidi"/>
          <w:noProof/>
          <w:shd w:val="clear" w:color="auto" w:fill="auto"/>
          <w:lang w:eastAsia="pt-PT"/>
        </w:rPr>
      </w:pPr>
      <w:r>
        <w:rPr>
          <w:noProof/>
        </w:rPr>
        <w:t>2.2.1. Agentes causais</w:t>
      </w:r>
      <w:r>
        <w:rPr>
          <w:noProof/>
        </w:rPr>
        <w:tab/>
      </w:r>
      <w:r w:rsidR="00EB3060">
        <w:rPr>
          <w:noProof/>
        </w:rPr>
        <w:fldChar w:fldCharType="begin"/>
      </w:r>
      <w:r>
        <w:rPr>
          <w:noProof/>
        </w:rPr>
        <w:instrText xml:space="preserve"> PAGEREF _Toc264890291 \h </w:instrText>
      </w:r>
      <w:r w:rsidR="00EB3060">
        <w:rPr>
          <w:noProof/>
        </w:rPr>
      </w:r>
      <w:r w:rsidR="00EB3060">
        <w:rPr>
          <w:noProof/>
        </w:rPr>
        <w:fldChar w:fldCharType="separate"/>
      </w:r>
      <w:r w:rsidR="00E2640D">
        <w:rPr>
          <w:noProof/>
        </w:rPr>
        <w:t>15</w:t>
      </w:r>
      <w:r w:rsidR="00EB3060">
        <w:rPr>
          <w:noProof/>
        </w:rPr>
        <w:fldChar w:fldCharType="end"/>
      </w:r>
    </w:p>
    <w:p w:rsidR="000A6E4F" w:rsidRDefault="000A6E4F">
      <w:pPr>
        <w:pStyle w:val="ndice5"/>
        <w:tabs>
          <w:tab w:val="right" w:leader="dot" w:pos="9060"/>
        </w:tabs>
        <w:rPr>
          <w:rFonts w:asciiTheme="minorHAnsi" w:eastAsiaTheme="minorEastAsia" w:hAnsiTheme="minorHAnsi" w:cstheme="minorBidi"/>
          <w:noProof/>
          <w:shd w:val="clear" w:color="auto" w:fill="auto"/>
          <w:lang w:eastAsia="pt-PT"/>
        </w:rPr>
      </w:pPr>
      <w:r>
        <w:rPr>
          <w:noProof/>
        </w:rPr>
        <w:t>2.2.2. Bioecologia</w:t>
      </w:r>
      <w:r>
        <w:rPr>
          <w:noProof/>
        </w:rPr>
        <w:tab/>
      </w:r>
      <w:r w:rsidR="00EB3060">
        <w:rPr>
          <w:noProof/>
        </w:rPr>
        <w:fldChar w:fldCharType="begin"/>
      </w:r>
      <w:r>
        <w:rPr>
          <w:noProof/>
        </w:rPr>
        <w:instrText xml:space="preserve"> PAGEREF _Toc264890292 \h </w:instrText>
      </w:r>
      <w:r w:rsidR="00EB3060">
        <w:rPr>
          <w:noProof/>
        </w:rPr>
      </w:r>
      <w:r w:rsidR="00EB3060">
        <w:rPr>
          <w:noProof/>
        </w:rPr>
        <w:fldChar w:fldCharType="separate"/>
      </w:r>
      <w:r w:rsidR="00E2640D">
        <w:rPr>
          <w:noProof/>
        </w:rPr>
        <w:t>16</w:t>
      </w:r>
      <w:r w:rsidR="00EB3060">
        <w:rPr>
          <w:noProof/>
        </w:rPr>
        <w:fldChar w:fldCharType="end"/>
      </w:r>
    </w:p>
    <w:p w:rsidR="000A6E4F" w:rsidRDefault="000A6E4F">
      <w:pPr>
        <w:pStyle w:val="ndice5"/>
        <w:tabs>
          <w:tab w:val="right" w:leader="dot" w:pos="9060"/>
        </w:tabs>
        <w:rPr>
          <w:rFonts w:asciiTheme="minorHAnsi" w:eastAsiaTheme="minorEastAsia" w:hAnsiTheme="minorHAnsi" w:cstheme="minorBidi"/>
          <w:noProof/>
          <w:shd w:val="clear" w:color="auto" w:fill="auto"/>
          <w:lang w:eastAsia="pt-PT"/>
        </w:rPr>
      </w:pPr>
      <w:r>
        <w:rPr>
          <w:noProof/>
        </w:rPr>
        <w:t>2.2.3. Sintomas</w:t>
      </w:r>
      <w:r>
        <w:rPr>
          <w:noProof/>
        </w:rPr>
        <w:tab/>
      </w:r>
      <w:r w:rsidR="00EB3060">
        <w:rPr>
          <w:noProof/>
        </w:rPr>
        <w:fldChar w:fldCharType="begin"/>
      </w:r>
      <w:r>
        <w:rPr>
          <w:noProof/>
        </w:rPr>
        <w:instrText xml:space="preserve"> PAGEREF _Toc264890293 \h </w:instrText>
      </w:r>
      <w:r w:rsidR="00EB3060">
        <w:rPr>
          <w:noProof/>
        </w:rPr>
      </w:r>
      <w:r w:rsidR="00EB3060">
        <w:rPr>
          <w:noProof/>
        </w:rPr>
        <w:fldChar w:fldCharType="separate"/>
      </w:r>
      <w:r w:rsidR="00E2640D">
        <w:rPr>
          <w:noProof/>
        </w:rPr>
        <w:t>18</w:t>
      </w:r>
      <w:r w:rsidR="00EB3060">
        <w:rPr>
          <w:noProof/>
        </w:rPr>
        <w:fldChar w:fldCharType="end"/>
      </w:r>
    </w:p>
    <w:p w:rsidR="000A6E4F" w:rsidRDefault="000A6E4F">
      <w:pPr>
        <w:pStyle w:val="ndice5"/>
        <w:tabs>
          <w:tab w:val="right" w:leader="dot" w:pos="9060"/>
        </w:tabs>
        <w:rPr>
          <w:rFonts w:asciiTheme="minorHAnsi" w:eastAsiaTheme="minorEastAsia" w:hAnsiTheme="minorHAnsi" w:cstheme="minorBidi"/>
          <w:noProof/>
          <w:shd w:val="clear" w:color="auto" w:fill="auto"/>
          <w:lang w:eastAsia="pt-PT"/>
        </w:rPr>
      </w:pPr>
      <w:r>
        <w:rPr>
          <w:noProof/>
        </w:rPr>
        <w:t>2.2.4. Meios de luta</w:t>
      </w:r>
      <w:r>
        <w:rPr>
          <w:noProof/>
        </w:rPr>
        <w:tab/>
      </w:r>
      <w:r w:rsidR="00EB3060">
        <w:rPr>
          <w:noProof/>
        </w:rPr>
        <w:fldChar w:fldCharType="begin"/>
      </w:r>
      <w:r>
        <w:rPr>
          <w:noProof/>
        </w:rPr>
        <w:instrText xml:space="preserve"> PAGEREF _Toc264890294 \h </w:instrText>
      </w:r>
      <w:r w:rsidR="00EB3060">
        <w:rPr>
          <w:noProof/>
        </w:rPr>
      </w:r>
      <w:r w:rsidR="00EB3060">
        <w:rPr>
          <w:noProof/>
        </w:rPr>
        <w:fldChar w:fldCharType="separate"/>
      </w:r>
      <w:r w:rsidR="00E2640D">
        <w:rPr>
          <w:noProof/>
        </w:rPr>
        <w:t>21</w:t>
      </w:r>
      <w:r w:rsidR="00EB3060">
        <w:rPr>
          <w:noProof/>
        </w:rPr>
        <w:fldChar w:fldCharType="end"/>
      </w:r>
    </w:p>
    <w:p w:rsidR="000A6E4F" w:rsidRDefault="000A6E4F">
      <w:pPr>
        <w:pStyle w:val="ndice6"/>
        <w:tabs>
          <w:tab w:val="right" w:leader="dot" w:pos="9060"/>
        </w:tabs>
        <w:rPr>
          <w:rFonts w:asciiTheme="minorHAnsi" w:eastAsiaTheme="minorEastAsia" w:hAnsiTheme="minorHAnsi" w:cstheme="minorBidi"/>
          <w:noProof/>
          <w:shd w:val="clear" w:color="auto" w:fill="auto"/>
          <w:lang w:eastAsia="pt-PT"/>
        </w:rPr>
      </w:pPr>
      <w:r w:rsidRPr="00B05FE1">
        <w:rPr>
          <w:noProof/>
          <w:shd w:val="clear" w:color="auto" w:fill="auto"/>
        </w:rPr>
        <w:t>2.2.4.1.</w:t>
      </w:r>
      <w:r>
        <w:rPr>
          <w:noProof/>
        </w:rPr>
        <w:t xml:space="preserve"> Culturais</w:t>
      </w:r>
      <w:r>
        <w:rPr>
          <w:noProof/>
        </w:rPr>
        <w:tab/>
      </w:r>
      <w:r w:rsidR="00EB3060">
        <w:rPr>
          <w:noProof/>
        </w:rPr>
        <w:fldChar w:fldCharType="begin"/>
      </w:r>
      <w:r>
        <w:rPr>
          <w:noProof/>
        </w:rPr>
        <w:instrText xml:space="preserve"> PAGEREF _Toc264890295 \h </w:instrText>
      </w:r>
      <w:r w:rsidR="00EB3060">
        <w:rPr>
          <w:noProof/>
        </w:rPr>
      </w:r>
      <w:r w:rsidR="00EB3060">
        <w:rPr>
          <w:noProof/>
        </w:rPr>
        <w:fldChar w:fldCharType="separate"/>
      </w:r>
      <w:r w:rsidR="00E2640D">
        <w:rPr>
          <w:noProof/>
        </w:rPr>
        <w:t>21</w:t>
      </w:r>
      <w:r w:rsidR="00EB3060">
        <w:rPr>
          <w:noProof/>
        </w:rPr>
        <w:fldChar w:fldCharType="end"/>
      </w:r>
    </w:p>
    <w:p w:rsidR="000A6E4F" w:rsidRDefault="000A6E4F">
      <w:pPr>
        <w:pStyle w:val="ndice6"/>
        <w:tabs>
          <w:tab w:val="right" w:leader="dot" w:pos="9060"/>
        </w:tabs>
        <w:rPr>
          <w:rFonts w:asciiTheme="minorHAnsi" w:eastAsiaTheme="minorEastAsia" w:hAnsiTheme="minorHAnsi" w:cstheme="minorBidi"/>
          <w:noProof/>
          <w:shd w:val="clear" w:color="auto" w:fill="auto"/>
          <w:lang w:eastAsia="pt-PT"/>
        </w:rPr>
      </w:pPr>
      <w:r w:rsidRPr="00B05FE1">
        <w:rPr>
          <w:noProof/>
          <w:shd w:val="clear" w:color="auto" w:fill="auto"/>
        </w:rPr>
        <w:t>2.2.4.2.</w:t>
      </w:r>
      <w:r>
        <w:rPr>
          <w:noProof/>
        </w:rPr>
        <w:t xml:space="preserve"> Químicos</w:t>
      </w:r>
      <w:r>
        <w:rPr>
          <w:noProof/>
        </w:rPr>
        <w:tab/>
      </w:r>
      <w:r w:rsidR="00EB3060">
        <w:rPr>
          <w:noProof/>
        </w:rPr>
        <w:fldChar w:fldCharType="begin"/>
      </w:r>
      <w:r>
        <w:rPr>
          <w:noProof/>
        </w:rPr>
        <w:instrText xml:space="preserve"> PAGEREF _Toc264890296 \h </w:instrText>
      </w:r>
      <w:r w:rsidR="00EB3060">
        <w:rPr>
          <w:noProof/>
        </w:rPr>
      </w:r>
      <w:r w:rsidR="00EB3060">
        <w:rPr>
          <w:noProof/>
        </w:rPr>
        <w:fldChar w:fldCharType="separate"/>
      </w:r>
      <w:r w:rsidR="00E2640D">
        <w:rPr>
          <w:noProof/>
        </w:rPr>
        <w:t>22</w:t>
      </w:r>
      <w:r w:rsidR="00EB3060">
        <w:rPr>
          <w:noProof/>
        </w:rPr>
        <w:fldChar w:fldCharType="end"/>
      </w:r>
    </w:p>
    <w:p w:rsidR="000A6E4F" w:rsidRDefault="000A6E4F">
      <w:pPr>
        <w:pStyle w:val="ndice6"/>
        <w:tabs>
          <w:tab w:val="right" w:leader="dot" w:pos="9060"/>
        </w:tabs>
        <w:rPr>
          <w:rFonts w:asciiTheme="minorHAnsi" w:eastAsiaTheme="minorEastAsia" w:hAnsiTheme="minorHAnsi" w:cstheme="minorBidi"/>
          <w:noProof/>
          <w:shd w:val="clear" w:color="auto" w:fill="auto"/>
          <w:lang w:eastAsia="pt-PT"/>
        </w:rPr>
      </w:pPr>
      <w:r w:rsidRPr="00B05FE1">
        <w:rPr>
          <w:noProof/>
          <w:shd w:val="clear" w:color="auto" w:fill="auto"/>
        </w:rPr>
        <w:t>2.2.4.3.</w:t>
      </w:r>
      <w:r>
        <w:rPr>
          <w:noProof/>
        </w:rPr>
        <w:t xml:space="preserve"> Biológicos</w:t>
      </w:r>
      <w:r>
        <w:rPr>
          <w:noProof/>
        </w:rPr>
        <w:tab/>
      </w:r>
      <w:r w:rsidR="00EB3060">
        <w:rPr>
          <w:noProof/>
        </w:rPr>
        <w:fldChar w:fldCharType="begin"/>
      </w:r>
      <w:r>
        <w:rPr>
          <w:noProof/>
        </w:rPr>
        <w:instrText xml:space="preserve"> PAGEREF _Toc264890297 \h </w:instrText>
      </w:r>
      <w:r w:rsidR="00EB3060">
        <w:rPr>
          <w:noProof/>
        </w:rPr>
      </w:r>
      <w:r w:rsidR="00EB3060">
        <w:rPr>
          <w:noProof/>
        </w:rPr>
        <w:fldChar w:fldCharType="separate"/>
      </w:r>
      <w:r w:rsidR="00E2640D">
        <w:rPr>
          <w:noProof/>
        </w:rPr>
        <w:t>24</w:t>
      </w:r>
      <w:r w:rsidR="00EB3060">
        <w:rPr>
          <w:noProof/>
        </w:rPr>
        <w:fldChar w:fldCharType="end"/>
      </w:r>
    </w:p>
    <w:p w:rsidR="000A6E4F" w:rsidRDefault="000A6E4F">
      <w:pPr>
        <w:pStyle w:val="ndice6"/>
        <w:tabs>
          <w:tab w:val="right" w:leader="dot" w:pos="9060"/>
        </w:tabs>
        <w:rPr>
          <w:rFonts w:asciiTheme="minorHAnsi" w:eastAsiaTheme="minorEastAsia" w:hAnsiTheme="minorHAnsi" w:cstheme="minorBidi"/>
          <w:noProof/>
          <w:shd w:val="clear" w:color="auto" w:fill="auto"/>
          <w:lang w:eastAsia="pt-PT"/>
        </w:rPr>
      </w:pPr>
      <w:r w:rsidRPr="00B05FE1">
        <w:rPr>
          <w:noProof/>
          <w:shd w:val="clear" w:color="auto" w:fill="auto"/>
        </w:rPr>
        <w:lastRenderedPageBreak/>
        <w:t>2.2.4.4.</w:t>
      </w:r>
      <w:r>
        <w:rPr>
          <w:noProof/>
        </w:rPr>
        <w:t xml:space="preserve"> Genéticos</w:t>
      </w:r>
      <w:r>
        <w:rPr>
          <w:noProof/>
        </w:rPr>
        <w:tab/>
      </w:r>
      <w:r w:rsidR="00EB3060">
        <w:rPr>
          <w:noProof/>
        </w:rPr>
        <w:fldChar w:fldCharType="begin"/>
      </w:r>
      <w:r>
        <w:rPr>
          <w:noProof/>
        </w:rPr>
        <w:instrText xml:space="preserve"> PAGEREF _Toc264890298 \h </w:instrText>
      </w:r>
      <w:r w:rsidR="00EB3060">
        <w:rPr>
          <w:noProof/>
        </w:rPr>
      </w:r>
      <w:r w:rsidR="00EB3060">
        <w:rPr>
          <w:noProof/>
        </w:rPr>
        <w:fldChar w:fldCharType="separate"/>
      </w:r>
      <w:r w:rsidR="00E2640D">
        <w:rPr>
          <w:noProof/>
        </w:rPr>
        <w:t>24</w:t>
      </w:r>
      <w:r w:rsidR="00EB3060">
        <w:rPr>
          <w:noProof/>
        </w:rPr>
        <w:fldChar w:fldCharType="end"/>
      </w:r>
    </w:p>
    <w:p w:rsidR="000A6E4F" w:rsidRDefault="000A6E4F">
      <w:pPr>
        <w:pStyle w:val="ndice3"/>
        <w:tabs>
          <w:tab w:val="right" w:leader="dot" w:pos="9060"/>
        </w:tabs>
        <w:rPr>
          <w:rFonts w:asciiTheme="minorHAnsi" w:eastAsiaTheme="minorEastAsia" w:hAnsiTheme="minorHAnsi" w:cstheme="minorBidi"/>
          <w:noProof/>
          <w:shd w:val="clear" w:color="auto" w:fill="auto"/>
          <w:lang w:eastAsia="pt-PT"/>
        </w:rPr>
      </w:pPr>
      <w:r w:rsidRPr="00B05FE1">
        <w:rPr>
          <w:noProof/>
          <w:shd w:val="clear" w:color="auto" w:fill="auto"/>
        </w:rPr>
        <w:t>3.</w:t>
      </w:r>
      <w:r>
        <w:rPr>
          <w:noProof/>
        </w:rPr>
        <w:t xml:space="preserve"> Material e Métodos</w:t>
      </w:r>
      <w:r>
        <w:rPr>
          <w:noProof/>
        </w:rPr>
        <w:tab/>
      </w:r>
      <w:r w:rsidR="00EB3060">
        <w:rPr>
          <w:noProof/>
        </w:rPr>
        <w:fldChar w:fldCharType="begin"/>
      </w:r>
      <w:r>
        <w:rPr>
          <w:noProof/>
        </w:rPr>
        <w:instrText xml:space="preserve"> PAGEREF _Toc264890299 \h </w:instrText>
      </w:r>
      <w:r w:rsidR="00EB3060">
        <w:rPr>
          <w:noProof/>
        </w:rPr>
      </w:r>
      <w:r w:rsidR="00EB3060">
        <w:rPr>
          <w:noProof/>
        </w:rPr>
        <w:fldChar w:fldCharType="separate"/>
      </w:r>
      <w:r w:rsidR="00E2640D">
        <w:rPr>
          <w:noProof/>
        </w:rPr>
        <w:t>26</w:t>
      </w:r>
      <w:r w:rsidR="00EB3060">
        <w:rPr>
          <w:noProof/>
        </w:rPr>
        <w:fldChar w:fldCharType="end"/>
      </w:r>
    </w:p>
    <w:p w:rsidR="000A6E4F" w:rsidRDefault="000A6E4F">
      <w:pPr>
        <w:pStyle w:val="ndice4"/>
        <w:tabs>
          <w:tab w:val="right" w:leader="dot" w:pos="9060"/>
        </w:tabs>
        <w:rPr>
          <w:rFonts w:asciiTheme="minorHAnsi" w:eastAsiaTheme="minorEastAsia" w:hAnsiTheme="minorHAnsi" w:cstheme="minorBidi"/>
          <w:noProof/>
          <w:shd w:val="clear" w:color="auto" w:fill="auto"/>
          <w:lang w:eastAsia="pt-PT"/>
        </w:rPr>
      </w:pPr>
      <w:r>
        <w:rPr>
          <w:noProof/>
        </w:rPr>
        <w:t xml:space="preserve">3.1. Epidemiologia de </w:t>
      </w:r>
      <w:r w:rsidRPr="00B05FE1">
        <w:rPr>
          <w:i/>
          <w:noProof/>
        </w:rPr>
        <w:t>Botryosphaeria</w:t>
      </w:r>
      <w:r>
        <w:rPr>
          <w:noProof/>
        </w:rPr>
        <w:t>ceae</w:t>
      </w:r>
      <w:r>
        <w:rPr>
          <w:noProof/>
        </w:rPr>
        <w:tab/>
      </w:r>
      <w:r w:rsidR="00EB3060">
        <w:rPr>
          <w:noProof/>
        </w:rPr>
        <w:fldChar w:fldCharType="begin"/>
      </w:r>
      <w:r>
        <w:rPr>
          <w:noProof/>
        </w:rPr>
        <w:instrText xml:space="preserve"> PAGEREF _Toc264890300 \h </w:instrText>
      </w:r>
      <w:r w:rsidR="00EB3060">
        <w:rPr>
          <w:noProof/>
        </w:rPr>
      </w:r>
      <w:r w:rsidR="00EB3060">
        <w:rPr>
          <w:noProof/>
        </w:rPr>
        <w:fldChar w:fldCharType="separate"/>
      </w:r>
      <w:r w:rsidR="00E2640D">
        <w:rPr>
          <w:noProof/>
        </w:rPr>
        <w:t>26</w:t>
      </w:r>
      <w:r w:rsidR="00EB3060">
        <w:rPr>
          <w:noProof/>
        </w:rPr>
        <w:fldChar w:fldCharType="end"/>
      </w:r>
    </w:p>
    <w:p w:rsidR="000A6E4F" w:rsidRDefault="000A6E4F">
      <w:pPr>
        <w:pStyle w:val="ndice4"/>
        <w:tabs>
          <w:tab w:val="right" w:leader="dot" w:pos="9060"/>
        </w:tabs>
        <w:rPr>
          <w:rFonts w:asciiTheme="minorHAnsi" w:eastAsiaTheme="minorEastAsia" w:hAnsiTheme="minorHAnsi" w:cstheme="minorBidi"/>
          <w:noProof/>
          <w:shd w:val="clear" w:color="auto" w:fill="auto"/>
          <w:lang w:eastAsia="pt-PT"/>
        </w:rPr>
      </w:pPr>
      <w:r>
        <w:rPr>
          <w:noProof/>
        </w:rPr>
        <w:t>3.2. Ensaio de campo contra o “black dead arm” e de escoriose da videira</w:t>
      </w:r>
      <w:r>
        <w:rPr>
          <w:noProof/>
        </w:rPr>
        <w:tab/>
      </w:r>
      <w:r w:rsidR="00EB3060">
        <w:rPr>
          <w:noProof/>
        </w:rPr>
        <w:fldChar w:fldCharType="begin"/>
      </w:r>
      <w:r>
        <w:rPr>
          <w:noProof/>
        </w:rPr>
        <w:instrText xml:space="preserve"> PAGEREF _Toc264890301 \h </w:instrText>
      </w:r>
      <w:r w:rsidR="00EB3060">
        <w:rPr>
          <w:noProof/>
        </w:rPr>
      </w:r>
      <w:r w:rsidR="00EB3060">
        <w:rPr>
          <w:noProof/>
        </w:rPr>
        <w:fldChar w:fldCharType="separate"/>
      </w:r>
      <w:r w:rsidR="00E2640D">
        <w:rPr>
          <w:noProof/>
        </w:rPr>
        <w:t>28</w:t>
      </w:r>
      <w:r w:rsidR="00EB3060">
        <w:rPr>
          <w:noProof/>
        </w:rPr>
        <w:fldChar w:fldCharType="end"/>
      </w:r>
    </w:p>
    <w:p w:rsidR="000A6E4F" w:rsidRDefault="000A6E4F">
      <w:pPr>
        <w:pStyle w:val="ndice5"/>
        <w:tabs>
          <w:tab w:val="right" w:leader="dot" w:pos="9060"/>
        </w:tabs>
        <w:rPr>
          <w:rFonts w:asciiTheme="minorHAnsi" w:eastAsiaTheme="minorEastAsia" w:hAnsiTheme="minorHAnsi" w:cstheme="minorBidi"/>
          <w:noProof/>
          <w:shd w:val="clear" w:color="auto" w:fill="auto"/>
          <w:lang w:eastAsia="pt-PT"/>
        </w:rPr>
      </w:pPr>
      <w:r w:rsidRPr="00B05FE1">
        <w:rPr>
          <w:noProof/>
        </w:rPr>
        <w:t>3.2.1. Colheita de videiras doentes, isolamentos microbiológicos e identificação de fungos</w:t>
      </w:r>
      <w:r>
        <w:rPr>
          <w:noProof/>
        </w:rPr>
        <w:tab/>
      </w:r>
      <w:r w:rsidR="00EB3060">
        <w:rPr>
          <w:noProof/>
        </w:rPr>
        <w:fldChar w:fldCharType="begin"/>
      </w:r>
      <w:r>
        <w:rPr>
          <w:noProof/>
        </w:rPr>
        <w:instrText xml:space="preserve"> PAGEREF _Toc264890302 \h </w:instrText>
      </w:r>
      <w:r w:rsidR="00EB3060">
        <w:rPr>
          <w:noProof/>
        </w:rPr>
      </w:r>
      <w:r w:rsidR="00EB3060">
        <w:rPr>
          <w:noProof/>
        </w:rPr>
        <w:fldChar w:fldCharType="separate"/>
      </w:r>
      <w:r w:rsidR="00E2640D">
        <w:rPr>
          <w:noProof/>
        </w:rPr>
        <w:t>28</w:t>
      </w:r>
      <w:r w:rsidR="00EB3060">
        <w:rPr>
          <w:noProof/>
        </w:rPr>
        <w:fldChar w:fldCharType="end"/>
      </w:r>
    </w:p>
    <w:p w:rsidR="000A6E4F" w:rsidRDefault="000A6E4F">
      <w:pPr>
        <w:pStyle w:val="ndice5"/>
        <w:tabs>
          <w:tab w:val="right" w:leader="dot" w:pos="9060"/>
        </w:tabs>
        <w:rPr>
          <w:rFonts w:asciiTheme="minorHAnsi" w:eastAsiaTheme="minorEastAsia" w:hAnsiTheme="minorHAnsi" w:cstheme="minorBidi"/>
          <w:noProof/>
          <w:shd w:val="clear" w:color="auto" w:fill="auto"/>
          <w:lang w:eastAsia="pt-PT"/>
        </w:rPr>
      </w:pPr>
      <w:r>
        <w:rPr>
          <w:noProof/>
        </w:rPr>
        <w:t>3.2.2. Delineamento experimental do ensaio</w:t>
      </w:r>
      <w:r>
        <w:rPr>
          <w:noProof/>
        </w:rPr>
        <w:tab/>
      </w:r>
      <w:r w:rsidR="00EB3060">
        <w:rPr>
          <w:noProof/>
        </w:rPr>
        <w:fldChar w:fldCharType="begin"/>
      </w:r>
      <w:r>
        <w:rPr>
          <w:noProof/>
        </w:rPr>
        <w:instrText xml:space="preserve"> PAGEREF _Toc264890303 \h </w:instrText>
      </w:r>
      <w:r w:rsidR="00EB3060">
        <w:rPr>
          <w:noProof/>
        </w:rPr>
      </w:r>
      <w:r w:rsidR="00EB3060">
        <w:rPr>
          <w:noProof/>
        </w:rPr>
        <w:fldChar w:fldCharType="separate"/>
      </w:r>
      <w:r w:rsidR="00E2640D">
        <w:rPr>
          <w:noProof/>
        </w:rPr>
        <w:t>29</w:t>
      </w:r>
      <w:r w:rsidR="00EB3060">
        <w:rPr>
          <w:noProof/>
        </w:rPr>
        <w:fldChar w:fldCharType="end"/>
      </w:r>
    </w:p>
    <w:p w:rsidR="000A6E4F" w:rsidRDefault="000A6E4F">
      <w:pPr>
        <w:pStyle w:val="ndice5"/>
        <w:tabs>
          <w:tab w:val="right" w:leader="dot" w:pos="9060"/>
        </w:tabs>
        <w:rPr>
          <w:rFonts w:asciiTheme="minorHAnsi" w:eastAsiaTheme="minorEastAsia" w:hAnsiTheme="minorHAnsi" w:cstheme="minorBidi"/>
          <w:noProof/>
          <w:shd w:val="clear" w:color="auto" w:fill="auto"/>
          <w:lang w:eastAsia="pt-PT"/>
        </w:rPr>
      </w:pPr>
      <w:r>
        <w:rPr>
          <w:noProof/>
        </w:rPr>
        <w:t>3.2.3. Parâmetros avaliados</w:t>
      </w:r>
      <w:r>
        <w:rPr>
          <w:noProof/>
        </w:rPr>
        <w:tab/>
      </w:r>
      <w:r w:rsidR="00EB3060">
        <w:rPr>
          <w:noProof/>
        </w:rPr>
        <w:fldChar w:fldCharType="begin"/>
      </w:r>
      <w:r>
        <w:rPr>
          <w:noProof/>
        </w:rPr>
        <w:instrText xml:space="preserve"> PAGEREF _Toc264890304 \h </w:instrText>
      </w:r>
      <w:r w:rsidR="00EB3060">
        <w:rPr>
          <w:noProof/>
        </w:rPr>
      </w:r>
      <w:r w:rsidR="00EB3060">
        <w:rPr>
          <w:noProof/>
        </w:rPr>
        <w:fldChar w:fldCharType="separate"/>
      </w:r>
      <w:r w:rsidR="00E2640D">
        <w:rPr>
          <w:noProof/>
        </w:rPr>
        <w:t>32</w:t>
      </w:r>
      <w:r w:rsidR="00EB3060">
        <w:rPr>
          <w:noProof/>
        </w:rPr>
        <w:fldChar w:fldCharType="end"/>
      </w:r>
    </w:p>
    <w:p w:rsidR="000A6E4F" w:rsidRDefault="000A6E4F">
      <w:pPr>
        <w:pStyle w:val="ndice5"/>
        <w:tabs>
          <w:tab w:val="right" w:leader="dot" w:pos="9060"/>
        </w:tabs>
        <w:rPr>
          <w:rFonts w:asciiTheme="minorHAnsi" w:eastAsiaTheme="minorEastAsia" w:hAnsiTheme="minorHAnsi" w:cstheme="minorBidi"/>
          <w:noProof/>
          <w:shd w:val="clear" w:color="auto" w:fill="auto"/>
          <w:lang w:eastAsia="pt-PT"/>
        </w:rPr>
      </w:pPr>
      <w:r>
        <w:rPr>
          <w:noProof/>
        </w:rPr>
        <w:t>3.2.4. Análise estatística dos dados</w:t>
      </w:r>
      <w:r>
        <w:rPr>
          <w:noProof/>
        </w:rPr>
        <w:tab/>
      </w:r>
      <w:r w:rsidR="00EB3060">
        <w:rPr>
          <w:noProof/>
        </w:rPr>
        <w:fldChar w:fldCharType="begin"/>
      </w:r>
      <w:r>
        <w:rPr>
          <w:noProof/>
        </w:rPr>
        <w:instrText xml:space="preserve"> PAGEREF _Toc264890305 \h </w:instrText>
      </w:r>
      <w:r w:rsidR="00EB3060">
        <w:rPr>
          <w:noProof/>
        </w:rPr>
      </w:r>
      <w:r w:rsidR="00EB3060">
        <w:rPr>
          <w:noProof/>
        </w:rPr>
        <w:fldChar w:fldCharType="separate"/>
      </w:r>
      <w:r w:rsidR="00E2640D">
        <w:rPr>
          <w:noProof/>
        </w:rPr>
        <w:t>33</w:t>
      </w:r>
      <w:r w:rsidR="00EB3060">
        <w:rPr>
          <w:noProof/>
        </w:rPr>
        <w:fldChar w:fldCharType="end"/>
      </w:r>
    </w:p>
    <w:p w:rsidR="000A6E4F" w:rsidRDefault="000A6E4F">
      <w:pPr>
        <w:pStyle w:val="ndice3"/>
        <w:tabs>
          <w:tab w:val="right" w:leader="dot" w:pos="9060"/>
        </w:tabs>
        <w:rPr>
          <w:rFonts w:asciiTheme="minorHAnsi" w:eastAsiaTheme="minorEastAsia" w:hAnsiTheme="minorHAnsi" w:cstheme="minorBidi"/>
          <w:noProof/>
          <w:shd w:val="clear" w:color="auto" w:fill="auto"/>
          <w:lang w:eastAsia="pt-PT"/>
        </w:rPr>
      </w:pPr>
      <w:r w:rsidRPr="00B05FE1">
        <w:rPr>
          <w:noProof/>
          <w:shd w:val="clear" w:color="auto" w:fill="auto"/>
        </w:rPr>
        <w:t>4.</w:t>
      </w:r>
      <w:r>
        <w:rPr>
          <w:noProof/>
        </w:rPr>
        <w:t xml:space="preserve"> Resultados e Discussão</w:t>
      </w:r>
      <w:r>
        <w:rPr>
          <w:noProof/>
        </w:rPr>
        <w:tab/>
      </w:r>
      <w:r w:rsidR="00EB3060">
        <w:rPr>
          <w:noProof/>
        </w:rPr>
        <w:fldChar w:fldCharType="begin"/>
      </w:r>
      <w:r>
        <w:rPr>
          <w:noProof/>
        </w:rPr>
        <w:instrText xml:space="preserve"> PAGEREF _Toc264890306 \h </w:instrText>
      </w:r>
      <w:r w:rsidR="00EB3060">
        <w:rPr>
          <w:noProof/>
        </w:rPr>
      </w:r>
      <w:r w:rsidR="00EB3060">
        <w:rPr>
          <w:noProof/>
        </w:rPr>
        <w:fldChar w:fldCharType="separate"/>
      </w:r>
      <w:r w:rsidR="00E2640D">
        <w:rPr>
          <w:noProof/>
        </w:rPr>
        <w:t>34</w:t>
      </w:r>
      <w:r w:rsidR="00EB3060">
        <w:rPr>
          <w:noProof/>
        </w:rPr>
        <w:fldChar w:fldCharType="end"/>
      </w:r>
    </w:p>
    <w:p w:rsidR="000A6E4F" w:rsidRDefault="000A6E4F">
      <w:pPr>
        <w:pStyle w:val="ndice4"/>
        <w:tabs>
          <w:tab w:val="right" w:leader="dot" w:pos="9060"/>
        </w:tabs>
        <w:rPr>
          <w:rFonts w:asciiTheme="minorHAnsi" w:eastAsiaTheme="minorEastAsia" w:hAnsiTheme="minorHAnsi" w:cstheme="minorBidi"/>
          <w:noProof/>
          <w:shd w:val="clear" w:color="auto" w:fill="auto"/>
          <w:lang w:eastAsia="pt-PT"/>
        </w:rPr>
      </w:pPr>
      <w:r>
        <w:rPr>
          <w:noProof/>
        </w:rPr>
        <w:t xml:space="preserve">4.1. Epidemiologia de </w:t>
      </w:r>
      <w:r w:rsidRPr="00B05FE1">
        <w:rPr>
          <w:i/>
          <w:noProof/>
        </w:rPr>
        <w:t>Botryosphaeria</w:t>
      </w:r>
      <w:r>
        <w:rPr>
          <w:noProof/>
        </w:rPr>
        <w:t>ceae na parcela em estudo</w:t>
      </w:r>
      <w:r>
        <w:rPr>
          <w:noProof/>
        </w:rPr>
        <w:tab/>
      </w:r>
      <w:r w:rsidR="00EB3060">
        <w:rPr>
          <w:noProof/>
        </w:rPr>
        <w:fldChar w:fldCharType="begin"/>
      </w:r>
      <w:r>
        <w:rPr>
          <w:noProof/>
        </w:rPr>
        <w:instrText xml:space="preserve"> PAGEREF _Toc264890307 \h </w:instrText>
      </w:r>
      <w:r w:rsidR="00EB3060">
        <w:rPr>
          <w:noProof/>
        </w:rPr>
      </w:r>
      <w:r w:rsidR="00EB3060">
        <w:rPr>
          <w:noProof/>
        </w:rPr>
        <w:fldChar w:fldCharType="separate"/>
      </w:r>
      <w:r w:rsidR="00E2640D">
        <w:rPr>
          <w:noProof/>
        </w:rPr>
        <w:t>34</w:t>
      </w:r>
      <w:r w:rsidR="00EB3060">
        <w:rPr>
          <w:noProof/>
        </w:rPr>
        <w:fldChar w:fldCharType="end"/>
      </w:r>
    </w:p>
    <w:p w:rsidR="000A6E4F" w:rsidRDefault="000A6E4F">
      <w:pPr>
        <w:pStyle w:val="ndice4"/>
        <w:tabs>
          <w:tab w:val="right" w:leader="dot" w:pos="9060"/>
        </w:tabs>
        <w:rPr>
          <w:rFonts w:asciiTheme="minorHAnsi" w:eastAsiaTheme="minorEastAsia" w:hAnsiTheme="minorHAnsi" w:cstheme="minorBidi"/>
          <w:noProof/>
          <w:shd w:val="clear" w:color="auto" w:fill="auto"/>
          <w:lang w:eastAsia="pt-PT"/>
        </w:rPr>
      </w:pPr>
      <w:r>
        <w:rPr>
          <w:noProof/>
        </w:rPr>
        <w:t>4.2. Ensaio de campo contra o “black dead arm” e de escoriose da videira</w:t>
      </w:r>
      <w:r>
        <w:rPr>
          <w:noProof/>
        </w:rPr>
        <w:tab/>
      </w:r>
      <w:r w:rsidR="00EB3060">
        <w:rPr>
          <w:noProof/>
        </w:rPr>
        <w:fldChar w:fldCharType="begin"/>
      </w:r>
      <w:r>
        <w:rPr>
          <w:noProof/>
        </w:rPr>
        <w:instrText xml:space="preserve"> PAGEREF _Toc264890308 \h </w:instrText>
      </w:r>
      <w:r w:rsidR="00EB3060">
        <w:rPr>
          <w:noProof/>
        </w:rPr>
      </w:r>
      <w:r w:rsidR="00EB3060">
        <w:rPr>
          <w:noProof/>
        </w:rPr>
        <w:fldChar w:fldCharType="separate"/>
      </w:r>
      <w:r w:rsidR="00E2640D">
        <w:rPr>
          <w:noProof/>
        </w:rPr>
        <w:t>37</w:t>
      </w:r>
      <w:r w:rsidR="00EB3060">
        <w:rPr>
          <w:noProof/>
        </w:rPr>
        <w:fldChar w:fldCharType="end"/>
      </w:r>
    </w:p>
    <w:p w:rsidR="000A6E4F" w:rsidRDefault="000A6E4F">
      <w:pPr>
        <w:pStyle w:val="ndice5"/>
        <w:tabs>
          <w:tab w:val="right" w:leader="dot" w:pos="9060"/>
        </w:tabs>
        <w:rPr>
          <w:rFonts w:asciiTheme="minorHAnsi" w:eastAsiaTheme="minorEastAsia" w:hAnsiTheme="minorHAnsi" w:cstheme="minorBidi"/>
          <w:noProof/>
          <w:shd w:val="clear" w:color="auto" w:fill="auto"/>
          <w:lang w:eastAsia="pt-PT"/>
        </w:rPr>
      </w:pPr>
      <w:r w:rsidRPr="00B05FE1">
        <w:rPr>
          <w:noProof/>
        </w:rPr>
        <w:t>4.2.1. Colheita de videiras doentes, isolamentos microbiológicos e identificação de fungos</w:t>
      </w:r>
      <w:r>
        <w:rPr>
          <w:noProof/>
        </w:rPr>
        <w:tab/>
      </w:r>
      <w:r w:rsidR="00EB3060">
        <w:rPr>
          <w:noProof/>
        </w:rPr>
        <w:fldChar w:fldCharType="begin"/>
      </w:r>
      <w:r>
        <w:rPr>
          <w:noProof/>
        </w:rPr>
        <w:instrText xml:space="preserve"> PAGEREF _Toc264890309 \h </w:instrText>
      </w:r>
      <w:r w:rsidR="00EB3060">
        <w:rPr>
          <w:noProof/>
        </w:rPr>
      </w:r>
      <w:r w:rsidR="00EB3060">
        <w:rPr>
          <w:noProof/>
        </w:rPr>
        <w:fldChar w:fldCharType="separate"/>
      </w:r>
      <w:r w:rsidR="00E2640D">
        <w:rPr>
          <w:noProof/>
        </w:rPr>
        <w:t>37</w:t>
      </w:r>
      <w:r w:rsidR="00EB3060">
        <w:rPr>
          <w:noProof/>
        </w:rPr>
        <w:fldChar w:fldCharType="end"/>
      </w:r>
    </w:p>
    <w:p w:rsidR="000A6E4F" w:rsidRDefault="000A6E4F">
      <w:pPr>
        <w:pStyle w:val="ndice5"/>
        <w:tabs>
          <w:tab w:val="right" w:leader="dot" w:pos="9060"/>
        </w:tabs>
        <w:rPr>
          <w:rFonts w:asciiTheme="minorHAnsi" w:eastAsiaTheme="minorEastAsia" w:hAnsiTheme="minorHAnsi" w:cstheme="minorBidi"/>
          <w:noProof/>
          <w:shd w:val="clear" w:color="auto" w:fill="auto"/>
          <w:lang w:eastAsia="pt-PT"/>
        </w:rPr>
      </w:pPr>
      <w:r>
        <w:rPr>
          <w:noProof/>
        </w:rPr>
        <w:t>4.2.2.</w:t>
      </w:r>
      <w:r w:rsidRPr="00B05FE1">
        <w:rPr>
          <w:noProof/>
        </w:rPr>
        <w:t xml:space="preserve"> Incidências</w:t>
      </w:r>
      <w:r>
        <w:rPr>
          <w:noProof/>
        </w:rPr>
        <w:t xml:space="preserve"> das doenças</w:t>
      </w:r>
      <w:r>
        <w:rPr>
          <w:noProof/>
        </w:rPr>
        <w:tab/>
      </w:r>
      <w:r w:rsidR="00EB3060">
        <w:rPr>
          <w:noProof/>
        </w:rPr>
        <w:fldChar w:fldCharType="begin"/>
      </w:r>
      <w:r>
        <w:rPr>
          <w:noProof/>
        </w:rPr>
        <w:instrText xml:space="preserve"> PAGEREF _Toc264890310 \h </w:instrText>
      </w:r>
      <w:r w:rsidR="00EB3060">
        <w:rPr>
          <w:noProof/>
        </w:rPr>
      </w:r>
      <w:r w:rsidR="00EB3060">
        <w:rPr>
          <w:noProof/>
        </w:rPr>
        <w:fldChar w:fldCharType="separate"/>
      </w:r>
      <w:r w:rsidR="00E2640D">
        <w:rPr>
          <w:noProof/>
        </w:rPr>
        <w:t>37</w:t>
      </w:r>
      <w:r w:rsidR="00EB3060">
        <w:rPr>
          <w:noProof/>
        </w:rPr>
        <w:fldChar w:fldCharType="end"/>
      </w:r>
    </w:p>
    <w:p w:rsidR="000A6E4F" w:rsidRDefault="000A6E4F">
      <w:pPr>
        <w:pStyle w:val="ndice5"/>
        <w:tabs>
          <w:tab w:val="right" w:leader="dot" w:pos="9060"/>
        </w:tabs>
        <w:rPr>
          <w:rFonts w:asciiTheme="minorHAnsi" w:eastAsiaTheme="minorEastAsia" w:hAnsiTheme="minorHAnsi" w:cstheme="minorBidi"/>
          <w:noProof/>
          <w:shd w:val="clear" w:color="auto" w:fill="auto"/>
          <w:lang w:eastAsia="pt-PT"/>
        </w:rPr>
      </w:pPr>
      <w:r>
        <w:rPr>
          <w:noProof/>
        </w:rPr>
        <w:t>4.2.3. Severidade das doenças</w:t>
      </w:r>
      <w:r>
        <w:rPr>
          <w:noProof/>
        </w:rPr>
        <w:tab/>
      </w:r>
      <w:r w:rsidR="00EB3060">
        <w:rPr>
          <w:noProof/>
        </w:rPr>
        <w:fldChar w:fldCharType="begin"/>
      </w:r>
      <w:r>
        <w:rPr>
          <w:noProof/>
        </w:rPr>
        <w:instrText xml:space="preserve"> PAGEREF _Toc264890311 \h </w:instrText>
      </w:r>
      <w:r w:rsidR="00EB3060">
        <w:rPr>
          <w:noProof/>
        </w:rPr>
      </w:r>
      <w:r w:rsidR="00EB3060">
        <w:rPr>
          <w:noProof/>
        </w:rPr>
        <w:fldChar w:fldCharType="separate"/>
      </w:r>
      <w:r w:rsidR="00E2640D">
        <w:rPr>
          <w:noProof/>
        </w:rPr>
        <w:t>41</w:t>
      </w:r>
      <w:r w:rsidR="00EB3060">
        <w:rPr>
          <w:noProof/>
        </w:rPr>
        <w:fldChar w:fldCharType="end"/>
      </w:r>
    </w:p>
    <w:p w:rsidR="000A6E4F" w:rsidRDefault="000A6E4F">
      <w:pPr>
        <w:pStyle w:val="ndice3"/>
        <w:tabs>
          <w:tab w:val="right" w:leader="dot" w:pos="9060"/>
        </w:tabs>
        <w:rPr>
          <w:rFonts w:asciiTheme="minorHAnsi" w:eastAsiaTheme="minorEastAsia" w:hAnsiTheme="minorHAnsi" w:cstheme="minorBidi"/>
          <w:noProof/>
          <w:shd w:val="clear" w:color="auto" w:fill="auto"/>
          <w:lang w:eastAsia="pt-PT"/>
        </w:rPr>
      </w:pPr>
      <w:r w:rsidRPr="00B05FE1">
        <w:rPr>
          <w:noProof/>
          <w:shd w:val="clear" w:color="auto" w:fill="auto"/>
        </w:rPr>
        <w:t>5.</w:t>
      </w:r>
      <w:r>
        <w:rPr>
          <w:noProof/>
        </w:rPr>
        <w:t xml:space="preserve"> Conclusões</w:t>
      </w:r>
      <w:r>
        <w:rPr>
          <w:noProof/>
        </w:rPr>
        <w:tab/>
      </w:r>
      <w:r w:rsidR="00EB3060">
        <w:rPr>
          <w:noProof/>
        </w:rPr>
        <w:fldChar w:fldCharType="begin"/>
      </w:r>
      <w:r>
        <w:rPr>
          <w:noProof/>
        </w:rPr>
        <w:instrText xml:space="preserve"> PAGEREF _Toc264890312 \h </w:instrText>
      </w:r>
      <w:r w:rsidR="00EB3060">
        <w:rPr>
          <w:noProof/>
        </w:rPr>
      </w:r>
      <w:r w:rsidR="00EB3060">
        <w:rPr>
          <w:noProof/>
        </w:rPr>
        <w:fldChar w:fldCharType="separate"/>
      </w:r>
      <w:r w:rsidR="00E2640D">
        <w:rPr>
          <w:noProof/>
        </w:rPr>
        <w:t>44</w:t>
      </w:r>
      <w:r w:rsidR="00EB3060">
        <w:rPr>
          <w:noProof/>
        </w:rPr>
        <w:fldChar w:fldCharType="end"/>
      </w:r>
    </w:p>
    <w:p w:rsidR="000A6E4F" w:rsidRDefault="000A6E4F">
      <w:pPr>
        <w:pStyle w:val="ndice3"/>
        <w:tabs>
          <w:tab w:val="right" w:leader="dot" w:pos="9060"/>
        </w:tabs>
        <w:rPr>
          <w:rFonts w:asciiTheme="minorHAnsi" w:eastAsiaTheme="minorEastAsia" w:hAnsiTheme="minorHAnsi" w:cstheme="minorBidi"/>
          <w:noProof/>
          <w:shd w:val="clear" w:color="auto" w:fill="auto"/>
          <w:lang w:eastAsia="pt-PT"/>
        </w:rPr>
      </w:pPr>
      <w:r w:rsidRPr="0084255B">
        <w:rPr>
          <w:noProof/>
          <w:shd w:val="clear" w:color="auto" w:fill="auto"/>
        </w:rPr>
        <w:t>6.</w:t>
      </w:r>
      <w:r w:rsidRPr="0084255B">
        <w:rPr>
          <w:noProof/>
        </w:rPr>
        <w:t xml:space="preserve"> Bibliografia</w:t>
      </w:r>
      <w:r>
        <w:rPr>
          <w:noProof/>
        </w:rPr>
        <w:tab/>
      </w:r>
      <w:r w:rsidR="00EB3060">
        <w:rPr>
          <w:noProof/>
        </w:rPr>
        <w:fldChar w:fldCharType="begin"/>
      </w:r>
      <w:r>
        <w:rPr>
          <w:noProof/>
        </w:rPr>
        <w:instrText xml:space="preserve"> PAGEREF _Toc264890313 \h </w:instrText>
      </w:r>
      <w:r w:rsidR="00EB3060">
        <w:rPr>
          <w:noProof/>
        </w:rPr>
      </w:r>
      <w:r w:rsidR="00EB3060">
        <w:rPr>
          <w:noProof/>
        </w:rPr>
        <w:fldChar w:fldCharType="separate"/>
      </w:r>
      <w:r w:rsidR="00E2640D">
        <w:rPr>
          <w:noProof/>
        </w:rPr>
        <w:t>45</w:t>
      </w:r>
      <w:r w:rsidR="00EB3060">
        <w:rPr>
          <w:noProof/>
        </w:rPr>
        <w:fldChar w:fldCharType="end"/>
      </w:r>
    </w:p>
    <w:p w:rsidR="00687B1C" w:rsidRPr="00687B1C" w:rsidRDefault="00EB3060" w:rsidP="00687B1C">
      <w:r>
        <w:fldChar w:fldCharType="end"/>
      </w:r>
    </w:p>
    <w:p w:rsidR="00C161FB" w:rsidRDefault="00C161FB">
      <w:pPr>
        <w:spacing w:after="0" w:line="240" w:lineRule="auto"/>
        <w:jc w:val="left"/>
        <w:rPr>
          <w:rFonts w:ascii="Verdana" w:hAnsi="Verdana" w:cs="Verdana"/>
          <w:b/>
          <w:bCs/>
          <w:color w:val="000000"/>
          <w:sz w:val="20"/>
          <w:szCs w:val="20"/>
          <w:shd w:val="clear" w:color="auto" w:fill="auto"/>
          <w:lang w:eastAsia="pt-PT"/>
        </w:rPr>
      </w:pPr>
      <w:r>
        <w:rPr>
          <w:rFonts w:ascii="Verdana" w:hAnsi="Verdana" w:cs="Verdana"/>
          <w:bCs/>
          <w:smallCaps/>
          <w:color w:val="000000"/>
          <w:sz w:val="20"/>
          <w:szCs w:val="20"/>
          <w:shd w:val="clear" w:color="auto" w:fill="auto"/>
          <w:lang w:eastAsia="pt-PT"/>
        </w:rPr>
        <w:br w:type="page"/>
      </w:r>
    </w:p>
    <w:p w:rsidR="00BC3BA3" w:rsidRDefault="001A146F" w:rsidP="00C91DDE">
      <w:pPr>
        <w:pStyle w:val="Capitulo"/>
      </w:pPr>
      <w:bookmarkStart w:id="1" w:name="_Toc264890273"/>
      <w:r w:rsidRPr="00C91DDE">
        <w:lastRenderedPageBreak/>
        <w:t xml:space="preserve">Índice de </w:t>
      </w:r>
      <w:r w:rsidR="00C91DDE">
        <w:t>F</w:t>
      </w:r>
      <w:r w:rsidRPr="00C91DDE">
        <w:t>iguras</w:t>
      </w:r>
      <w:bookmarkEnd w:id="1"/>
    </w:p>
    <w:p w:rsidR="000A6E4F" w:rsidRDefault="00EB3060">
      <w:pPr>
        <w:pStyle w:val="ndicedeilustraes"/>
        <w:tabs>
          <w:tab w:val="right" w:leader="dot" w:pos="9060"/>
        </w:tabs>
        <w:rPr>
          <w:rFonts w:asciiTheme="minorHAnsi" w:eastAsiaTheme="minorEastAsia" w:hAnsiTheme="minorHAnsi" w:cstheme="minorBidi"/>
          <w:noProof/>
          <w:shd w:val="clear" w:color="auto" w:fill="auto"/>
          <w:lang w:eastAsia="pt-PT"/>
        </w:rPr>
      </w:pPr>
      <w:r>
        <w:fldChar w:fldCharType="begin"/>
      </w:r>
      <w:r w:rsidR="00BC3BA3">
        <w:instrText xml:space="preserve"> TOC \c "Figura" </w:instrText>
      </w:r>
      <w:r>
        <w:fldChar w:fldCharType="separate"/>
      </w:r>
      <w:r w:rsidR="000A6E4F">
        <w:rPr>
          <w:noProof/>
        </w:rPr>
        <w:t xml:space="preserve">Figura 2.1. Sintomas associados a </w:t>
      </w:r>
      <w:r w:rsidR="000A6E4F" w:rsidRPr="00084744">
        <w:rPr>
          <w:i/>
          <w:noProof/>
        </w:rPr>
        <w:t>Botryosphaeria</w:t>
      </w:r>
      <w:r w:rsidR="000A6E4F">
        <w:rPr>
          <w:noProof/>
        </w:rPr>
        <w:t>ceae em videira: a) apoplexia da videira; b) necrose sectorial na secção transversal do lenho; c) cepa com braço morto; d) cancros nos sarmentos herbáceos</w:t>
      </w:r>
      <w:r w:rsidR="000A6E4F">
        <w:rPr>
          <w:noProof/>
        </w:rPr>
        <w:tab/>
      </w:r>
      <w:r>
        <w:rPr>
          <w:noProof/>
        </w:rPr>
        <w:fldChar w:fldCharType="begin"/>
      </w:r>
      <w:r w:rsidR="000A6E4F">
        <w:rPr>
          <w:noProof/>
        </w:rPr>
        <w:instrText xml:space="preserve"> PAGEREF _Toc264890314 \h </w:instrText>
      </w:r>
      <w:r>
        <w:rPr>
          <w:noProof/>
        </w:rPr>
      </w:r>
      <w:r>
        <w:rPr>
          <w:noProof/>
        </w:rPr>
        <w:fldChar w:fldCharType="separate"/>
      </w:r>
      <w:r w:rsidR="00E2640D">
        <w:rPr>
          <w:noProof/>
        </w:rPr>
        <w:t>9</w:t>
      </w:r>
      <w:r>
        <w:rPr>
          <w:noProof/>
        </w:rPr>
        <w:fldChar w:fldCharType="end"/>
      </w:r>
    </w:p>
    <w:p w:rsidR="000A6E4F" w:rsidRDefault="000A6E4F">
      <w:pPr>
        <w:pStyle w:val="ndicedeilustraes"/>
        <w:tabs>
          <w:tab w:val="right" w:leader="dot" w:pos="9060"/>
        </w:tabs>
        <w:rPr>
          <w:rFonts w:asciiTheme="minorHAnsi" w:eastAsiaTheme="minorEastAsia" w:hAnsiTheme="minorHAnsi" w:cstheme="minorBidi"/>
          <w:noProof/>
          <w:shd w:val="clear" w:color="auto" w:fill="auto"/>
          <w:lang w:eastAsia="pt-PT"/>
        </w:rPr>
      </w:pPr>
      <w:r>
        <w:rPr>
          <w:noProof/>
        </w:rPr>
        <w:t xml:space="preserve">Figura 2.2. Ciclo Biológico do fungo </w:t>
      </w:r>
      <w:r w:rsidRPr="00FE70E1">
        <w:rPr>
          <w:i/>
          <w:noProof/>
        </w:rPr>
        <w:t>Phomopsis viticola</w:t>
      </w:r>
      <w:r>
        <w:rPr>
          <w:noProof/>
        </w:rPr>
        <w:t xml:space="preserve"> (Sacc.).</w:t>
      </w:r>
      <w:r>
        <w:rPr>
          <w:noProof/>
        </w:rPr>
        <w:tab/>
      </w:r>
      <w:r w:rsidR="00EB3060">
        <w:rPr>
          <w:noProof/>
        </w:rPr>
        <w:fldChar w:fldCharType="begin"/>
      </w:r>
      <w:r>
        <w:rPr>
          <w:noProof/>
        </w:rPr>
        <w:instrText xml:space="preserve"> PAGEREF _Toc264890315 \h </w:instrText>
      </w:r>
      <w:r w:rsidR="00EB3060">
        <w:rPr>
          <w:noProof/>
        </w:rPr>
      </w:r>
      <w:r w:rsidR="00EB3060">
        <w:rPr>
          <w:noProof/>
        </w:rPr>
        <w:fldChar w:fldCharType="separate"/>
      </w:r>
      <w:r w:rsidR="00E2640D">
        <w:rPr>
          <w:noProof/>
        </w:rPr>
        <w:t>16</w:t>
      </w:r>
      <w:r w:rsidR="00EB3060">
        <w:rPr>
          <w:noProof/>
        </w:rPr>
        <w:fldChar w:fldCharType="end"/>
      </w:r>
    </w:p>
    <w:p w:rsidR="000A6E4F" w:rsidRDefault="000A6E4F">
      <w:pPr>
        <w:pStyle w:val="ndicedeilustraes"/>
        <w:tabs>
          <w:tab w:val="right" w:leader="dot" w:pos="9060"/>
        </w:tabs>
        <w:rPr>
          <w:rFonts w:asciiTheme="minorHAnsi" w:eastAsiaTheme="minorEastAsia" w:hAnsiTheme="minorHAnsi" w:cstheme="minorBidi"/>
          <w:noProof/>
          <w:shd w:val="clear" w:color="auto" w:fill="auto"/>
          <w:lang w:eastAsia="pt-PT"/>
        </w:rPr>
      </w:pPr>
      <w:r>
        <w:rPr>
          <w:noProof/>
        </w:rPr>
        <w:t>Figura 2.3. Sintomas em folhas mais novas, no início da estação</w:t>
      </w:r>
      <w:r>
        <w:rPr>
          <w:noProof/>
        </w:rPr>
        <w:tab/>
      </w:r>
      <w:r w:rsidR="00EB3060">
        <w:rPr>
          <w:noProof/>
        </w:rPr>
        <w:fldChar w:fldCharType="begin"/>
      </w:r>
      <w:r>
        <w:rPr>
          <w:noProof/>
        </w:rPr>
        <w:instrText xml:space="preserve"> PAGEREF _Toc264890316 \h </w:instrText>
      </w:r>
      <w:r w:rsidR="00EB3060">
        <w:rPr>
          <w:noProof/>
        </w:rPr>
      </w:r>
      <w:r w:rsidR="00EB3060">
        <w:rPr>
          <w:noProof/>
        </w:rPr>
        <w:fldChar w:fldCharType="separate"/>
      </w:r>
      <w:r w:rsidR="00E2640D">
        <w:rPr>
          <w:noProof/>
        </w:rPr>
        <w:t>19</w:t>
      </w:r>
      <w:r w:rsidR="00EB3060">
        <w:rPr>
          <w:noProof/>
        </w:rPr>
        <w:fldChar w:fldCharType="end"/>
      </w:r>
    </w:p>
    <w:p w:rsidR="000A6E4F" w:rsidRDefault="000A6E4F">
      <w:pPr>
        <w:pStyle w:val="ndicedeilustraes"/>
        <w:tabs>
          <w:tab w:val="right" w:leader="dot" w:pos="9060"/>
        </w:tabs>
        <w:rPr>
          <w:rFonts w:asciiTheme="minorHAnsi" w:eastAsiaTheme="minorEastAsia" w:hAnsiTheme="minorHAnsi" w:cstheme="minorBidi"/>
          <w:noProof/>
          <w:shd w:val="clear" w:color="auto" w:fill="auto"/>
          <w:lang w:eastAsia="pt-PT"/>
        </w:rPr>
      </w:pPr>
      <w:r>
        <w:rPr>
          <w:noProof/>
        </w:rPr>
        <w:t xml:space="preserve">Figura 2.4. Manchas e fendilhamentos causadas por </w:t>
      </w:r>
      <w:r w:rsidRPr="00FE70E1">
        <w:rPr>
          <w:i/>
          <w:noProof/>
        </w:rPr>
        <w:t>Phomopsis viticola</w:t>
      </w:r>
      <w:r>
        <w:rPr>
          <w:noProof/>
        </w:rPr>
        <w:tab/>
      </w:r>
      <w:r w:rsidR="00EB3060">
        <w:rPr>
          <w:noProof/>
        </w:rPr>
        <w:fldChar w:fldCharType="begin"/>
      </w:r>
      <w:r>
        <w:rPr>
          <w:noProof/>
        </w:rPr>
        <w:instrText xml:space="preserve"> PAGEREF _Toc264890317 \h </w:instrText>
      </w:r>
      <w:r w:rsidR="00EB3060">
        <w:rPr>
          <w:noProof/>
        </w:rPr>
      </w:r>
      <w:r w:rsidR="00EB3060">
        <w:rPr>
          <w:noProof/>
        </w:rPr>
        <w:fldChar w:fldCharType="separate"/>
      </w:r>
      <w:r w:rsidR="00E2640D">
        <w:rPr>
          <w:noProof/>
        </w:rPr>
        <w:t>19</w:t>
      </w:r>
      <w:r w:rsidR="00EB3060">
        <w:rPr>
          <w:noProof/>
        </w:rPr>
        <w:fldChar w:fldCharType="end"/>
      </w:r>
    </w:p>
    <w:p w:rsidR="000A6E4F" w:rsidRDefault="000A6E4F">
      <w:pPr>
        <w:pStyle w:val="ndicedeilustraes"/>
        <w:tabs>
          <w:tab w:val="right" w:leader="dot" w:pos="9060"/>
        </w:tabs>
        <w:rPr>
          <w:rFonts w:asciiTheme="minorHAnsi" w:eastAsiaTheme="minorEastAsia" w:hAnsiTheme="minorHAnsi" w:cstheme="minorBidi"/>
          <w:noProof/>
          <w:shd w:val="clear" w:color="auto" w:fill="auto"/>
          <w:lang w:eastAsia="pt-PT"/>
        </w:rPr>
      </w:pPr>
      <w:r>
        <w:rPr>
          <w:noProof/>
        </w:rPr>
        <w:t>Figura 2.5. Sintomas em folhas mais velhas, no fim da estação</w:t>
      </w:r>
      <w:r>
        <w:rPr>
          <w:noProof/>
        </w:rPr>
        <w:tab/>
      </w:r>
      <w:r w:rsidR="00EB3060">
        <w:rPr>
          <w:noProof/>
        </w:rPr>
        <w:fldChar w:fldCharType="begin"/>
      </w:r>
      <w:r>
        <w:rPr>
          <w:noProof/>
        </w:rPr>
        <w:instrText xml:space="preserve"> PAGEREF _Toc264890318 \h </w:instrText>
      </w:r>
      <w:r w:rsidR="00EB3060">
        <w:rPr>
          <w:noProof/>
        </w:rPr>
      </w:r>
      <w:r w:rsidR="00EB3060">
        <w:rPr>
          <w:noProof/>
        </w:rPr>
        <w:fldChar w:fldCharType="separate"/>
      </w:r>
      <w:r w:rsidR="00E2640D">
        <w:rPr>
          <w:noProof/>
        </w:rPr>
        <w:t>19</w:t>
      </w:r>
      <w:r w:rsidR="00EB3060">
        <w:rPr>
          <w:noProof/>
        </w:rPr>
        <w:fldChar w:fldCharType="end"/>
      </w:r>
    </w:p>
    <w:p w:rsidR="000A6E4F" w:rsidRPr="00FE70E1" w:rsidRDefault="000A6E4F">
      <w:pPr>
        <w:pStyle w:val="ndicedeilustraes"/>
        <w:tabs>
          <w:tab w:val="right" w:leader="dot" w:pos="9060"/>
        </w:tabs>
        <w:rPr>
          <w:rFonts w:asciiTheme="minorHAnsi" w:eastAsiaTheme="minorEastAsia" w:hAnsiTheme="minorHAnsi" w:cstheme="minorBidi"/>
          <w:noProof/>
          <w:shd w:val="clear" w:color="auto" w:fill="auto"/>
          <w:lang w:eastAsia="pt-PT"/>
        </w:rPr>
      </w:pPr>
      <w:r>
        <w:rPr>
          <w:noProof/>
        </w:rPr>
        <w:t xml:space="preserve">Figura 2.6. </w:t>
      </w:r>
      <w:r w:rsidR="007B1E40">
        <w:rPr>
          <w:noProof/>
        </w:rPr>
        <w:t>Sintomas de in</w:t>
      </w:r>
      <w:r w:rsidR="007B1E40" w:rsidRPr="00FE70E1">
        <w:rPr>
          <w:noProof/>
        </w:rPr>
        <w:t>fecção nos frutos</w:t>
      </w:r>
      <w:r w:rsidRPr="00FE70E1">
        <w:rPr>
          <w:noProof/>
        </w:rPr>
        <w:tab/>
      </w:r>
      <w:r w:rsidR="00EB3060" w:rsidRPr="00FE70E1">
        <w:rPr>
          <w:noProof/>
        </w:rPr>
        <w:fldChar w:fldCharType="begin"/>
      </w:r>
      <w:r w:rsidRPr="00FE70E1">
        <w:rPr>
          <w:noProof/>
        </w:rPr>
        <w:instrText xml:space="preserve"> PAGEREF _Toc264890319 \h </w:instrText>
      </w:r>
      <w:r w:rsidR="00EB3060" w:rsidRPr="00FE70E1">
        <w:rPr>
          <w:noProof/>
        </w:rPr>
      </w:r>
      <w:r w:rsidR="00EB3060" w:rsidRPr="00FE70E1">
        <w:rPr>
          <w:noProof/>
        </w:rPr>
        <w:fldChar w:fldCharType="separate"/>
      </w:r>
      <w:r w:rsidR="00E2640D">
        <w:rPr>
          <w:noProof/>
        </w:rPr>
        <w:t>20</w:t>
      </w:r>
      <w:r w:rsidR="00EB3060" w:rsidRPr="00FE70E1">
        <w:rPr>
          <w:noProof/>
        </w:rPr>
        <w:fldChar w:fldCharType="end"/>
      </w:r>
    </w:p>
    <w:p w:rsidR="000A6E4F" w:rsidRDefault="000A6E4F">
      <w:pPr>
        <w:pStyle w:val="ndicedeilustraes"/>
        <w:tabs>
          <w:tab w:val="right" w:leader="dot" w:pos="9060"/>
        </w:tabs>
        <w:rPr>
          <w:rFonts w:asciiTheme="minorHAnsi" w:eastAsiaTheme="minorEastAsia" w:hAnsiTheme="minorHAnsi" w:cstheme="minorBidi"/>
          <w:noProof/>
          <w:shd w:val="clear" w:color="auto" w:fill="auto"/>
          <w:lang w:eastAsia="pt-PT"/>
        </w:rPr>
      </w:pPr>
      <w:r w:rsidRPr="00FE70E1">
        <w:rPr>
          <w:noProof/>
        </w:rPr>
        <w:t xml:space="preserve">Figura 2.7. </w:t>
      </w:r>
      <w:r w:rsidR="007B1E40" w:rsidRPr="00FE70E1">
        <w:rPr>
          <w:noProof/>
        </w:rPr>
        <w:t xml:space="preserve">Picnídios de </w:t>
      </w:r>
      <w:r w:rsidR="007B1E40" w:rsidRPr="00FE70E1">
        <w:rPr>
          <w:i/>
          <w:noProof/>
        </w:rPr>
        <w:t>Phomopsis viticola</w:t>
      </w:r>
      <w:r w:rsidR="007B1E40" w:rsidRPr="00FE70E1">
        <w:rPr>
          <w:noProof/>
        </w:rPr>
        <w:t xml:space="preserve"> n</w:t>
      </w:r>
      <w:r w:rsidR="007B1E40">
        <w:rPr>
          <w:noProof/>
        </w:rPr>
        <w:t>um sarmento no repouso vegetativo</w:t>
      </w:r>
      <w:r>
        <w:rPr>
          <w:noProof/>
        </w:rPr>
        <w:tab/>
      </w:r>
      <w:r w:rsidR="00EB3060">
        <w:rPr>
          <w:noProof/>
        </w:rPr>
        <w:fldChar w:fldCharType="begin"/>
      </w:r>
      <w:r>
        <w:rPr>
          <w:noProof/>
        </w:rPr>
        <w:instrText xml:space="preserve"> PAGEREF _Toc264890320 \h </w:instrText>
      </w:r>
      <w:r w:rsidR="00EB3060">
        <w:rPr>
          <w:noProof/>
        </w:rPr>
      </w:r>
      <w:r w:rsidR="00EB3060">
        <w:rPr>
          <w:noProof/>
        </w:rPr>
        <w:fldChar w:fldCharType="separate"/>
      </w:r>
      <w:r w:rsidR="00E2640D">
        <w:rPr>
          <w:noProof/>
        </w:rPr>
        <w:t>20</w:t>
      </w:r>
      <w:r w:rsidR="00EB3060">
        <w:rPr>
          <w:noProof/>
        </w:rPr>
        <w:fldChar w:fldCharType="end"/>
      </w:r>
    </w:p>
    <w:p w:rsidR="000A6E4F" w:rsidRDefault="000A6E4F">
      <w:pPr>
        <w:pStyle w:val="ndicedeilustraes"/>
        <w:tabs>
          <w:tab w:val="right" w:leader="dot" w:pos="9060"/>
        </w:tabs>
        <w:rPr>
          <w:rFonts w:asciiTheme="minorHAnsi" w:eastAsiaTheme="minorEastAsia" w:hAnsiTheme="minorHAnsi" w:cstheme="minorBidi"/>
          <w:noProof/>
          <w:shd w:val="clear" w:color="auto" w:fill="auto"/>
          <w:lang w:eastAsia="pt-PT"/>
        </w:rPr>
      </w:pPr>
      <w:r>
        <w:rPr>
          <w:noProof/>
        </w:rPr>
        <w:t>Figura 3.1. Armadilha de esporos colocada na videira ao nível dos cortes de poda.</w:t>
      </w:r>
      <w:r>
        <w:rPr>
          <w:noProof/>
        </w:rPr>
        <w:tab/>
      </w:r>
      <w:r w:rsidR="00EB3060">
        <w:rPr>
          <w:noProof/>
        </w:rPr>
        <w:fldChar w:fldCharType="begin"/>
      </w:r>
      <w:r>
        <w:rPr>
          <w:noProof/>
        </w:rPr>
        <w:instrText xml:space="preserve"> PAGEREF _Toc264890321 \h </w:instrText>
      </w:r>
      <w:r w:rsidR="00EB3060">
        <w:rPr>
          <w:noProof/>
        </w:rPr>
      </w:r>
      <w:r w:rsidR="00EB3060">
        <w:rPr>
          <w:noProof/>
        </w:rPr>
        <w:fldChar w:fldCharType="separate"/>
      </w:r>
      <w:r w:rsidR="00E2640D">
        <w:rPr>
          <w:noProof/>
        </w:rPr>
        <w:t>27</w:t>
      </w:r>
      <w:r w:rsidR="00EB3060">
        <w:rPr>
          <w:noProof/>
        </w:rPr>
        <w:fldChar w:fldCharType="end"/>
      </w:r>
    </w:p>
    <w:p w:rsidR="000A6E4F" w:rsidRDefault="000A6E4F">
      <w:pPr>
        <w:pStyle w:val="ndicedeilustraes"/>
        <w:tabs>
          <w:tab w:val="right" w:leader="dot" w:pos="9060"/>
        </w:tabs>
        <w:rPr>
          <w:noProof/>
        </w:rPr>
      </w:pPr>
      <w:r>
        <w:rPr>
          <w:noProof/>
        </w:rPr>
        <w:t>Figura 3.2. Estação Meteorológica CIMEL 400, localizada na S. Agr. Quinta do Carmo</w:t>
      </w:r>
      <w:r>
        <w:rPr>
          <w:noProof/>
        </w:rPr>
        <w:tab/>
      </w:r>
      <w:r w:rsidR="00EB3060">
        <w:rPr>
          <w:noProof/>
        </w:rPr>
        <w:fldChar w:fldCharType="begin"/>
      </w:r>
      <w:r>
        <w:rPr>
          <w:noProof/>
        </w:rPr>
        <w:instrText xml:space="preserve"> PAGEREF _Toc264890322 \h </w:instrText>
      </w:r>
      <w:r w:rsidR="00EB3060">
        <w:rPr>
          <w:noProof/>
        </w:rPr>
      </w:r>
      <w:r w:rsidR="00EB3060">
        <w:rPr>
          <w:noProof/>
        </w:rPr>
        <w:fldChar w:fldCharType="separate"/>
      </w:r>
      <w:r w:rsidR="00E2640D">
        <w:rPr>
          <w:noProof/>
        </w:rPr>
        <w:t>27</w:t>
      </w:r>
      <w:r w:rsidR="00EB3060">
        <w:rPr>
          <w:noProof/>
        </w:rPr>
        <w:fldChar w:fldCharType="end"/>
      </w:r>
    </w:p>
    <w:p w:rsidR="00F8370B" w:rsidRDefault="00F8370B" w:rsidP="00F8370B">
      <w:pPr>
        <w:pStyle w:val="ndicedeilustraes"/>
        <w:tabs>
          <w:tab w:val="right" w:leader="dot" w:pos="9060"/>
        </w:tabs>
        <w:rPr>
          <w:noProof/>
        </w:rPr>
      </w:pPr>
      <w:r>
        <w:rPr>
          <w:noProof/>
        </w:rPr>
        <w:t xml:space="preserve">Figura 3.3. </w:t>
      </w:r>
      <w:r w:rsidRPr="00F8370B">
        <w:rPr>
          <w:bCs/>
        </w:rPr>
        <w:t>Avaliação de estado sanitário de algumas cepas através da realização de cortes transversais no lenho</w:t>
      </w:r>
      <w:r>
        <w:rPr>
          <w:noProof/>
        </w:rPr>
        <w:tab/>
      </w:r>
      <w:r w:rsidR="00EB3060">
        <w:rPr>
          <w:noProof/>
        </w:rPr>
        <w:fldChar w:fldCharType="begin"/>
      </w:r>
      <w:r>
        <w:rPr>
          <w:noProof/>
        </w:rPr>
        <w:instrText xml:space="preserve"> PAGEREF _Toc264890322 \h </w:instrText>
      </w:r>
      <w:r w:rsidR="00EB3060">
        <w:rPr>
          <w:noProof/>
        </w:rPr>
      </w:r>
      <w:r w:rsidR="00EB3060">
        <w:rPr>
          <w:noProof/>
        </w:rPr>
        <w:fldChar w:fldCharType="separate"/>
      </w:r>
      <w:r w:rsidR="00E2640D">
        <w:rPr>
          <w:noProof/>
        </w:rPr>
        <w:t>27</w:t>
      </w:r>
      <w:r w:rsidR="00EB3060">
        <w:rPr>
          <w:noProof/>
        </w:rPr>
        <w:fldChar w:fldCharType="end"/>
      </w:r>
    </w:p>
    <w:p w:rsidR="00F8370B" w:rsidRDefault="00F8370B" w:rsidP="00F8370B">
      <w:pPr>
        <w:pStyle w:val="ndicedeilustraes"/>
        <w:tabs>
          <w:tab w:val="right" w:leader="dot" w:pos="9060"/>
        </w:tabs>
        <w:rPr>
          <w:noProof/>
        </w:rPr>
      </w:pPr>
      <w:r>
        <w:rPr>
          <w:noProof/>
        </w:rPr>
        <w:t xml:space="preserve">Figura 3.4. </w:t>
      </w:r>
      <w:r>
        <w:t>Pontuações</w:t>
      </w:r>
      <w:r w:rsidRPr="008724C9">
        <w:t xml:space="preserve"> no lenho</w:t>
      </w:r>
      <w:r>
        <w:rPr>
          <w:noProof/>
        </w:rPr>
        <w:tab/>
        <w:t>28</w:t>
      </w:r>
    </w:p>
    <w:p w:rsidR="000A6E4F" w:rsidRDefault="00F8370B">
      <w:pPr>
        <w:pStyle w:val="ndicedeilustraes"/>
        <w:tabs>
          <w:tab w:val="right" w:leader="dot" w:pos="9060"/>
        </w:tabs>
        <w:rPr>
          <w:rFonts w:asciiTheme="minorHAnsi" w:eastAsiaTheme="minorEastAsia" w:hAnsiTheme="minorHAnsi" w:cstheme="minorBidi"/>
          <w:noProof/>
          <w:shd w:val="clear" w:color="auto" w:fill="auto"/>
          <w:lang w:eastAsia="pt-PT"/>
        </w:rPr>
      </w:pPr>
      <w:r>
        <w:rPr>
          <w:noProof/>
        </w:rPr>
        <w:t>Figura 3.5</w:t>
      </w:r>
      <w:r w:rsidR="000A6E4F">
        <w:rPr>
          <w:noProof/>
        </w:rPr>
        <w:t>. Aspecto geral do ensaio de campo contra o “black dead arm” e escoriose na Quinta do Carmo, em Estremoz</w:t>
      </w:r>
      <w:r w:rsidR="000A6E4F">
        <w:rPr>
          <w:noProof/>
        </w:rPr>
        <w:tab/>
      </w:r>
      <w:r w:rsidR="00EB3060">
        <w:rPr>
          <w:noProof/>
        </w:rPr>
        <w:fldChar w:fldCharType="begin"/>
      </w:r>
      <w:r w:rsidR="000A6E4F">
        <w:rPr>
          <w:noProof/>
        </w:rPr>
        <w:instrText xml:space="preserve"> PAGEREF _Toc264890323 \h </w:instrText>
      </w:r>
      <w:r w:rsidR="00EB3060">
        <w:rPr>
          <w:noProof/>
        </w:rPr>
      </w:r>
      <w:r w:rsidR="00EB3060">
        <w:rPr>
          <w:noProof/>
        </w:rPr>
        <w:fldChar w:fldCharType="separate"/>
      </w:r>
      <w:r w:rsidR="00E2640D">
        <w:rPr>
          <w:noProof/>
        </w:rPr>
        <w:t>30</w:t>
      </w:r>
      <w:r w:rsidR="00EB3060">
        <w:rPr>
          <w:noProof/>
        </w:rPr>
        <w:fldChar w:fldCharType="end"/>
      </w:r>
    </w:p>
    <w:p w:rsidR="000A6E4F" w:rsidRDefault="00F8370B">
      <w:pPr>
        <w:pStyle w:val="ndicedeilustraes"/>
        <w:tabs>
          <w:tab w:val="right" w:leader="dot" w:pos="9060"/>
        </w:tabs>
        <w:rPr>
          <w:rFonts w:asciiTheme="minorHAnsi" w:eastAsiaTheme="minorEastAsia" w:hAnsiTheme="minorHAnsi" w:cstheme="minorBidi"/>
          <w:noProof/>
          <w:shd w:val="clear" w:color="auto" w:fill="auto"/>
          <w:lang w:eastAsia="pt-PT"/>
        </w:rPr>
      </w:pPr>
      <w:r>
        <w:rPr>
          <w:noProof/>
        </w:rPr>
        <w:t>Figura 3.6</w:t>
      </w:r>
      <w:r w:rsidR="000A6E4F">
        <w:rPr>
          <w:noProof/>
        </w:rPr>
        <w:t>. Pulverização manual do ensaio contra o “black dead arm” e escoriose na casta Aragonês</w:t>
      </w:r>
      <w:r w:rsidR="00F7107D" w:rsidRPr="00F7107D">
        <w:t xml:space="preserve"> </w:t>
      </w:r>
      <w:r w:rsidR="00F7107D">
        <w:t>e pormenor do estado fenológico de uma videira</w:t>
      </w:r>
      <w:r w:rsidR="000A6E4F">
        <w:rPr>
          <w:noProof/>
        </w:rPr>
        <w:t>.</w:t>
      </w:r>
      <w:r w:rsidR="000A6E4F">
        <w:rPr>
          <w:noProof/>
        </w:rPr>
        <w:tab/>
      </w:r>
      <w:r w:rsidR="00EB3060">
        <w:rPr>
          <w:noProof/>
        </w:rPr>
        <w:fldChar w:fldCharType="begin"/>
      </w:r>
      <w:r w:rsidR="000A6E4F">
        <w:rPr>
          <w:noProof/>
        </w:rPr>
        <w:instrText xml:space="preserve"> PAGEREF _Toc264890324 \h </w:instrText>
      </w:r>
      <w:r w:rsidR="00EB3060">
        <w:rPr>
          <w:noProof/>
        </w:rPr>
      </w:r>
      <w:r w:rsidR="00EB3060">
        <w:rPr>
          <w:noProof/>
        </w:rPr>
        <w:fldChar w:fldCharType="separate"/>
      </w:r>
      <w:r w:rsidR="00E2640D">
        <w:rPr>
          <w:noProof/>
        </w:rPr>
        <w:t>32</w:t>
      </w:r>
      <w:r w:rsidR="00EB3060">
        <w:rPr>
          <w:noProof/>
        </w:rPr>
        <w:fldChar w:fldCharType="end"/>
      </w:r>
    </w:p>
    <w:p w:rsidR="000A6E4F" w:rsidRPr="00FE70E1" w:rsidRDefault="000A6E4F">
      <w:pPr>
        <w:pStyle w:val="ndicedeilustraes"/>
        <w:tabs>
          <w:tab w:val="right" w:leader="dot" w:pos="9060"/>
        </w:tabs>
        <w:rPr>
          <w:rFonts w:asciiTheme="minorHAnsi" w:eastAsiaTheme="minorEastAsia" w:hAnsiTheme="minorHAnsi" w:cstheme="minorBidi"/>
          <w:noProof/>
          <w:shd w:val="clear" w:color="auto" w:fill="auto"/>
          <w:lang w:eastAsia="pt-PT"/>
        </w:rPr>
      </w:pPr>
      <w:r>
        <w:rPr>
          <w:noProof/>
        </w:rPr>
        <w:t>Figura 4.1. Evolução meteorológica de Novembro de 2007 a Junho de 2009: precipitação (mm) e temperatura média (ºC)</w:t>
      </w:r>
      <w:r>
        <w:rPr>
          <w:noProof/>
        </w:rPr>
        <w:tab/>
      </w:r>
      <w:r w:rsidR="00EB3060" w:rsidRPr="00FE70E1">
        <w:rPr>
          <w:noProof/>
        </w:rPr>
        <w:fldChar w:fldCharType="begin"/>
      </w:r>
      <w:r w:rsidRPr="00FE70E1">
        <w:rPr>
          <w:noProof/>
        </w:rPr>
        <w:instrText xml:space="preserve"> PAGEREF _Toc264890325 \h </w:instrText>
      </w:r>
      <w:r w:rsidR="00EB3060" w:rsidRPr="00FE70E1">
        <w:rPr>
          <w:noProof/>
        </w:rPr>
      </w:r>
      <w:r w:rsidR="00EB3060" w:rsidRPr="00FE70E1">
        <w:rPr>
          <w:noProof/>
        </w:rPr>
        <w:fldChar w:fldCharType="separate"/>
      </w:r>
      <w:r w:rsidR="00E2640D">
        <w:rPr>
          <w:noProof/>
        </w:rPr>
        <w:t>34</w:t>
      </w:r>
      <w:r w:rsidR="00EB3060" w:rsidRPr="00FE70E1">
        <w:rPr>
          <w:noProof/>
        </w:rPr>
        <w:fldChar w:fldCharType="end"/>
      </w:r>
    </w:p>
    <w:p w:rsidR="000A6E4F" w:rsidRDefault="000A6E4F">
      <w:pPr>
        <w:pStyle w:val="ndicedeilustraes"/>
        <w:tabs>
          <w:tab w:val="right" w:leader="dot" w:pos="9060"/>
        </w:tabs>
        <w:rPr>
          <w:rFonts w:asciiTheme="minorHAnsi" w:eastAsiaTheme="minorEastAsia" w:hAnsiTheme="minorHAnsi" w:cstheme="minorBidi"/>
          <w:noProof/>
          <w:shd w:val="clear" w:color="auto" w:fill="auto"/>
          <w:lang w:eastAsia="pt-PT"/>
        </w:rPr>
      </w:pPr>
      <w:r w:rsidRPr="00FE70E1">
        <w:rPr>
          <w:noProof/>
        </w:rPr>
        <w:t xml:space="preserve">Figura 4.2. Número de esporos de </w:t>
      </w:r>
      <w:r w:rsidRPr="00FE70E1">
        <w:rPr>
          <w:i/>
          <w:noProof/>
        </w:rPr>
        <w:t>Botryosphaeriaceae</w:t>
      </w:r>
      <w:r w:rsidRPr="00FE70E1">
        <w:rPr>
          <w:noProof/>
        </w:rPr>
        <w:t xml:space="preserve"> capturados  nas vinte lâminas-armadilha e </w:t>
      </w:r>
      <w:r w:rsidR="00722E7B" w:rsidRPr="00FE70E1">
        <w:t>e respectiva data de captura, entre 1/Janeiro/2008 e 15/Junho/2009</w:t>
      </w:r>
      <w:r>
        <w:rPr>
          <w:noProof/>
        </w:rPr>
        <w:tab/>
      </w:r>
      <w:r w:rsidR="00EB3060">
        <w:rPr>
          <w:noProof/>
        </w:rPr>
        <w:fldChar w:fldCharType="begin"/>
      </w:r>
      <w:r>
        <w:rPr>
          <w:noProof/>
        </w:rPr>
        <w:instrText xml:space="preserve"> PAGEREF _Toc264890326 \h </w:instrText>
      </w:r>
      <w:r w:rsidR="00EB3060">
        <w:rPr>
          <w:noProof/>
        </w:rPr>
      </w:r>
      <w:r w:rsidR="00EB3060">
        <w:rPr>
          <w:noProof/>
        </w:rPr>
        <w:fldChar w:fldCharType="separate"/>
      </w:r>
      <w:r w:rsidR="00E2640D">
        <w:rPr>
          <w:noProof/>
        </w:rPr>
        <w:t>35</w:t>
      </w:r>
      <w:r w:rsidR="00EB3060">
        <w:rPr>
          <w:noProof/>
        </w:rPr>
        <w:fldChar w:fldCharType="end"/>
      </w:r>
    </w:p>
    <w:p w:rsidR="000A6E4F" w:rsidRDefault="000A6E4F">
      <w:pPr>
        <w:pStyle w:val="ndicedeilustraes"/>
        <w:tabs>
          <w:tab w:val="right" w:leader="dot" w:pos="9060"/>
        </w:tabs>
        <w:rPr>
          <w:rFonts w:asciiTheme="minorHAnsi" w:eastAsiaTheme="minorEastAsia" w:hAnsiTheme="minorHAnsi" w:cstheme="minorBidi"/>
          <w:noProof/>
          <w:shd w:val="clear" w:color="auto" w:fill="auto"/>
          <w:lang w:eastAsia="pt-PT"/>
        </w:rPr>
      </w:pPr>
      <w:r>
        <w:rPr>
          <w:noProof/>
        </w:rPr>
        <w:t>Figura 4.3. Sintomas de black dead arm (a) e escoriose (b) em sarmentos da casta Aragonês</w:t>
      </w:r>
      <w:r>
        <w:rPr>
          <w:noProof/>
        </w:rPr>
        <w:tab/>
      </w:r>
      <w:r w:rsidR="00EB3060">
        <w:rPr>
          <w:noProof/>
        </w:rPr>
        <w:fldChar w:fldCharType="begin"/>
      </w:r>
      <w:r>
        <w:rPr>
          <w:noProof/>
        </w:rPr>
        <w:instrText xml:space="preserve"> PAGEREF _Toc264890327 \h </w:instrText>
      </w:r>
      <w:r w:rsidR="00EB3060">
        <w:rPr>
          <w:noProof/>
        </w:rPr>
      </w:r>
      <w:r w:rsidR="00EB3060">
        <w:rPr>
          <w:noProof/>
        </w:rPr>
        <w:fldChar w:fldCharType="separate"/>
      </w:r>
      <w:r w:rsidR="00E2640D">
        <w:rPr>
          <w:noProof/>
        </w:rPr>
        <w:t>38</w:t>
      </w:r>
      <w:r w:rsidR="00EB3060">
        <w:rPr>
          <w:noProof/>
        </w:rPr>
        <w:fldChar w:fldCharType="end"/>
      </w:r>
    </w:p>
    <w:p w:rsidR="00BC3BA3" w:rsidRPr="00BC3BA3" w:rsidRDefault="00EB3060" w:rsidP="00BC3BA3">
      <w:r>
        <w:fldChar w:fldCharType="end"/>
      </w:r>
    </w:p>
    <w:p w:rsidR="001A146F" w:rsidRPr="00C91DDE" w:rsidRDefault="001A146F" w:rsidP="00BC3BA3">
      <w:r w:rsidRPr="00C91DDE">
        <w:br w:type="page"/>
      </w:r>
    </w:p>
    <w:p w:rsidR="001A146F" w:rsidRPr="00C91DDE" w:rsidRDefault="001A146F" w:rsidP="00C91DDE">
      <w:pPr>
        <w:pStyle w:val="Capitulo"/>
        <w:rPr>
          <w:szCs w:val="20"/>
        </w:rPr>
      </w:pPr>
      <w:bookmarkStart w:id="2" w:name="_Toc264890274"/>
      <w:r w:rsidRPr="00C91DDE">
        <w:lastRenderedPageBreak/>
        <w:t>Índice de quadros</w:t>
      </w:r>
      <w:bookmarkEnd w:id="2"/>
      <w:r w:rsidRPr="00C91DDE">
        <w:t xml:space="preserve"> </w:t>
      </w:r>
    </w:p>
    <w:p w:rsidR="000A6E4F" w:rsidRDefault="00EB3060">
      <w:pPr>
        <w:pStyle w:val="ndicedeilustraes"/>
        <w:tabs>
          <w:tab w:val="right" w:leader="dot" w:pos="9060"/>
        </w:tabs>
        <w:rPr>
          <w:rFonts w:asciiTheme="minorHAnsi" w:eastAsiaTheme="minorEastAsia" w:hAnsiTheme="minorHAnsi" w:cstheme="minorBidi"/>
          <w:noProof/>
          <w:shd w:val="clear" w:color="auto" w:fill="auto"/>
          <w:lang w:eastAsia="pt-PT"/>
        </w:rPr>
      </w:pPr>
      <w:r w:rsidRPr="00EB3060">
        <w:rPr>
          <w:b/>
          <w:bCs/>
          <w:sz w:val="20"/>
          <w:szCs w:val="20"/>
        </w:rPr>
        <w:fldChar w:fldCharType="begin"/>
      </w:r>
      <w:r w:rsidR="00BC3BA3">
        <w:rPr>
          <w:b/>
          <w:bCs/>
          <w:sz w:val="20"/>
          <w:szCs w:val="20"/>
        </w:rPr>
        <w:instrText xml:space="preserve"> TOC \c "Quadro" </w:instrText>
      </w:r>
      <w:r w:rsidRPr="00EB3060">
        <w:rPr>
          <w:b/>
          <w:bCs/>
          <w:sz w:val="20"/>
          <w:szCs w:val="20"/>
        </w:rPr>
        <w:fldChar w:fldCharType="separate"/>
      </w:r>
      <w:r w:rsidR="000A6E4F">
        <w:rPr>
          <w:noProof/>
        </w:rPr>
        <w:t xml:space="preserve">Quadro 2.1. Espécies dos géneros </w:t>
      </w:r>
      <w:r w:rsidR="000A6E4F" w:rsidRPr="00E8731C">
        <w:rPr>
          <w:i/>
          <w:iCs/>
          <w:noProof/>
        </w:rPr>
        <w:t xml:space="preserve">Botryosphaeria </w:t>
      </w:r>
      <w:r w:rsidR="000A6E4F">
        <w:rPr>
          <w:noProof/>
        </w:rPr>
        <w:t xml:space="preserve">e semelhantes a </w:t>
      </w:r>
      <w:r w:rsidR="000A6E4F" w:rsidRPr="00E8731C">
        <w:rPr>
          <w:i/>
          <w:iCs/>
          <w:noProof/>
        </w:rPr>
        <w:t>Botryosphaeria</w:t>
      </w:r>
      <w:r w:rsidR="000A6E4F">
        <w:rPr>
          <w:noProof/>
        </w:rPr>
        <w:t xml:space="preserve"> descritas em videira e seus anamorfos (adaptado de Crous </w:t>
      </w:r>
      <w:r w:rsidR="000A6E4F" w:rsidRPr="00E8731C">
        <w:rPr>
          <w:i/>
          <w:iCs/>
          <w:noProof/>
        </w:rPr>
        <w:t>et al.</w:t>
      </w:r>
      <w:r w:rsidR="000A6E4F">
        <w:rPr>
          <w:noProof/>
        </w:rPr>
        <w:t>, 2006)</w:t>
      </w:r>
      <w:r w:rsidR="000A6E4F">
        <w:rPr>
          <w:noProof/>
        </w:rPr>
        <w:tab/>
      </w:r>
      <w:r>
        <w:rPr>
          <w:noProof/>
        </w:rPr>
        <w:fldChar w:fldCharType="begin"/>
      </w:r>
      <w:r w:rsidR="000A6E4F">
        <w:rPr>
          <w:noProof/>
        </w:rPr>
        <w:instrText xml:space="preserve"> PAGEREF _Toc264890328 \h </w:instrText>
      </w:r>
      <w:r>
        <w:rPr>
          <w:noProof/>
        </w:rPr>
      </w:r>
      <w:r>
        <w:rPr>
          <w:noProof/>
        </w:rPr>
        <w:fldChar w:fldCharType="separate"/>
      </w:r>
      <w:r w:rsidR="00E2640D">
        <w:rPr>
          <w:noProof/>
        </w:rPr>
        <w:t>5</w:t>
      </w:r>
      <w:r>
        <w:rPr>
          <w:noProof/>
        </w:rPr>
        <w:fldChar w:fldCharType="end"/>
      </w:r>
    </w:p>
    <w:p w:rsidR="000A6E4F" w:rsidRDefault="000A6E4F">
      <w:pPr>
        <w:pStyle w:val="ndicedeilustraes"/>
        <w:tabs>
          <w:tab w:val="right" w:leader="dot" w:pos="9060"/>
        </w:tabs>
        <w:rPr>
          <w:rFonts w:asciiTheme="minorHAnsi" w:eastAsiaTheme="minorEastAsia" w:hAnsiTheme="minorHAnsi" w:cstheme="minorBidi"/>
          <w:noProof/>
          <w:shd w:val="clear" w:color="auto" w:fill="auto"/>
          <w:lang w:eastAsia="pt-PT"/>
        </w:rPr>
      </w:pPr>
      <w:r>
        <w:rPr>
          <w:noProof/>
        </w:rPr>
        <w:t xml:space="preserve">Quadro 2.2. Espécies de </w:t>
      </w:r>
      <w:r w:rsidRPr="00E8731C">
        <w:rPr>
          <w:i/>
          <w:noProof/>
        </w:rPr>
        <w:t>Botryosphaeriaceae</w:t>
      </w:r>
      <w:r>
        <w:rPr>
          <w:noProof/>
        </w:rPr>
        <w:t>, doença/sintomas associados, referência bibliográfica associada e distribuição geográfica</w:t>
      </w:r>
      <w:r>
        <w:rPr>
          <w:noProof/>
        </w:rPr>
        <w:tab/>
      </w:r>
      <w:r w:rsidR="00EB3060">
        <w:rPr>
          <w:noProof/>
        </w:rPr>
        <w:fldChar w:fldCharType="begin"/>
      </w:r>
      <w:r>
        <w:rPr>
          <w:noProof/>
        </w:rPr>
        <w:instrText xml:space="preserve"> PAGEREF _Toc264890329 \h </w:instrText>
      </w:r>
      <w:r w:rsidR="00EB3060">
        <w:rPr>
          <w:noProof/>
        </w:rPr>
      </w:r>
      <w:r w:rsidR="00EB3060">
        <w:rPr>
          <w:noProof/>
        </w:rPr>
        <w:fldChar w:fldCharType="separate"/>
      </w:r>
      <w:r w:rsidR="00E2640D">
        <w:rPr>
          <w:noProof/>
        </w:rPr>
        <w:t>11</w:t>
      </w:r>
      <w:r w:rsidR="00EB3060">
        <w:rPr>
          <w:noProof/>
        </w:rPr>
        <w:fldChar w:fldCharType="end"/>
      </w:r>
    </w:p>
    <w:p w:rsidR="000A6E4F" w:rsidRDefault="000A6E4F">
      <w:pPr>
        <w:pStyle w:val="ndicedeilustraes"/>
        <w:tabs>
          <w:tab w:val="right" w:leader="dot" w:pos="9060"/>
        </w:tabs>
        <w:rPr>
          <w:rFonts w:asciiTheme="minorHAnsi" w:eastAsiaTheme="minorEastAsia" w:hAnsiTheme="minorHAnsi" w:cstheme="minorBidi"/>
          <w:noProof/>
          <w:shd w:val="clear" w:color="auto" w:fill="auto"/>
          <w:lang w:eastAsia="pt-PT"/>
        </w:rPr>
      </w:pPr>
      <w:r>
        <w:rPr>
          <w:noProof/>
        </w:rPr>
        <w:t>Quadro 2.3. Fungicidas autorizados ou de uso condicionado em protecção integrada</w:t>
      </w:r>
      <w:r>
        <w:rPr>
          <w:noProof/>
        </w:rPr>
        <w:tab/>
      </w:r>
      <w:r w:rsidR="00EB3060">
        <w:rPr>
          <w:noProof/>
        </w:rPr>
        <w:fldChar w:fldCharType="begin"/>
      </w:r>
      <w:r>
        <w:rPr>
          <w:noProof/>
        </w:rPr>
        <w:instrText xml:space="preserve"> PAGEREF _Toc264890330 \h </w:instrText>
      </w:r>
      <w:r w:rsidR="00EB3060">
        <w:rPr>
          <w:noProof/>
        </w:rPr>
      </w:r>
      <w:r w:rsidR="00EB3060">
        <w:rPr>
          <w:noProof/>
        </w:rPr>
        <w:fldChar w:fldCharType="separate"/>
      </w:r>
      <w:r w:rsidR="00E2640D">
        <w:rPr>
          <w:noProof/>
        </w:rPr>
        <w:t>24</w:t>
      </w:r>
      <w:r w:rsidR="00EB3060">
        <w:rPr>
          <w:noProof/>
        </w:rPr>
        <w:fldChar w:fldCharType="end"/>
      </w:r>
    </w:p>
    <w:p w:rsidR="000A6E4F" w:rsidRDefault="000A6E4F">
      <w:pPr>
        <w:pStyle w:val="ndicedeilustraes"/>
        <w:tabs>
          <w:tab w:val="right" w:leader="dot" w:pos="9060"/>
        </w:tabs>
        <w:rPr>
          <w:rFonts w:asciiTheme="minorHAnsi" w:eastAsiaTheme="minorEastAsia" w:hAnsiTheme="minorHAnsi" w:cstheme="minorBidi"/>
          <w:noProof/>
          <w:shd w:val="clear" w:color="auto" w:fill="auto"/>
          <w:lang w:eastAsia="pt-PT"/>
        </w:rPr>
      </w:pPr>
      <w:r>
        <w:rPr>
          <w:noProof/>
        </w:rPr>
        <w:t>Quadro 3.1. Modalidades ensaiadas: épocas de aplicação e fungicidas utilizados</w:t>
      </w:r>
      <w:r>
        <w:rPr>
          <w:noProof/>
        </w:rPr>
        <w:tab/>
      </w:r>
      <w:r w:rsidR="00EB3060">
        <w:rPr>
          <w:noProof/>
        </w:rPr>
        <w:fldChar w:fldCharType="begin"/>
      </w:r>
      <w:r>
        <w:rPr>
          <w:noProof/>
        </w:rPr>
        <w:instrText xml:space="preserve"> PAGEREF _Toc264890331 \h </w:instrText>
      </w:r>
      <w:r w:rsidR="00EB3060">
        <w:rPr>
          <w:noProof/>
        </w:rPr>
      </w:r>
      <w:r w:rsidR="00EB3060">
        <w:rPr>
          <w:noProof/>
        </w:rPr>
        <w:fldChar w:fldCharType="separate"/>
      </w:r>
      <w:r w:rsidR="00E2640D">
        <w:rPr>
          <w:noProof/>
        </w:rPr>
        <w:t>30</w:t>
      </w:r>
      <w:r w:rsidR="00EB3060">
        <w:rPr>
          <w:noProof/>
        </w:rPr>
        <w:fldChar w:fldCharType="end"/>
      </w:r>
    </w:p>
    <w:p w:rsidR="000A6E4F" w:rsidRDefault="000A6E4F">
      <w:pPr>
        <w:pStyle w:val="ndicedeilustraes"/>
        <w:tabs>
          <w:tab w:val="right" w:leader="dot" w:pos="9060"/>
        </w:tabs>
        <w:rPr>
          <w:rFonts w:asciiTheme="minorHAnsi" w:eastAsiaTheme="minorEastAsia" w:hAnsiTheme="minorHAnsi" w:cstheme="minorBidi"/>
          <w:noProof/>
          <w:shd w:val="clear" w:color="auto" w:fill="auto"/>
          <w:lang w:eastAsia="pt-PT"/>
        </w:rPr>
      </w:pPr>
      <w:r>
        <w:rPr>
          <w:noProof/>
        </w:rPr>
        <w:t>Quadro 3.2. Principais características dos fungicidas utilizados no ensaio de campo</w:t>
      </w:r>
      <w:r>
        <w:rPr>
          <w:noProof/>
        </w:rPr>
        <w:tab/>
      </w:r>
      <w:r w:rsidR="00EB3060">
        <w:rPr>
          <w:noProof/>
        </w:rPr>
        <w:fldChar w:fldCharType="begin"/>
      </w:r>
      <w:r>
        <w:rPr>
          <w:noProof/>
        </w:rPr>
        <w:instrText xml:space="preserve"> PAGEREF _Toc264890332 \h </w:instrText>
      </w:r>
      <w:r w:rsidR="00EB3060">
        <w:rPr>
          <w:noProof/>
        </w:rPr>
      </w:r>
      <w:r w:rsidR="00EB3060">
        <w:rPr>
          <w:noProof/>
        </w:rPr>
        <w:fldChar w:fldCharType="separate"/>
      </w:r>
      <w:r w:rsidR="00E2640D">
        <w:rPr>
          <w:noProof/>
        </w:rPr>
        <w:t>31</w:t>
      </w:r>
      <w:r w:rsidR="00EB3060">
        <w:rPr>
          <w:noProof/>
        </w:rPr>
        <w:fldChar w:fldCharType="end"/>
      </w:r>
    </w:p>
    <w:p w:rsidR="000A6E4F" w:rsidRDefault="000A6E4F">
      <w:pPr>
        <w:pStyle w:val="ndicedeilustraes"/>
        <w:tabs>
          <w:tab w:val="right" w:leader="dot" w:pos="9060"/>
        </w:tabs>
        <w:rPr>
          <w:rFonts w:asciiTheme="minorHAnsi" w:eastAsiaTheme="minorEastAsia" w:hAnsiTheme="minorHAnsi" w:cstheme="minorBidi"/>
          <w:noProof/>
          <w:shd w:val="clear" w:color="auto" w:fill="auto"/>
          <w:lang w:eastAsia="pt-PT"/>
        </w:rPr>
      </w:pPr>
      <w:r>
        <w:rPr>
          <w:noProof/>
        </w:rPr>
        <w:t>Quadro 4.1. Principais características morfológicas e culturais (em meio de cultura PDA) dos fungos isolados do lenho de videiras da casta Aragonês, colhidas na parcela em ensaio</w:t>
      </w:r>
      <w:r>
        <w:rPr>
          <w:noProof/>
        </w:rPr>
        <w:tab/>
      </w:r>
      <w:r w:rsidR="00EB3060">
        <w:rPr>
          <w:noProof/>
        </w:rPr>
        <w:fldChar w:fldCharType="begin"/>
      </w:r>
      <w:r>
        <w:rPr>
          <w:noProof/>
        </w:rPr>
        <w:instrText xml:space="preserve"> PAGEREF _Toc264890333 \h </w:instrText>
      </w:r>
      <w:r w:rsidR="00EB3060">
        <w:rPr>
          <w:noProof/>
        </w:rPr>
      </w:r>
      <w:r w:rsidR="00EB3060">
        <w:rPr>
          <w:noProof/>
        </w:rPr>
        <w:fldChar w:fldCharType="separate"/>
      </w:r>
      <w:r w:rsidR="00E2640D">
        <w:rPr>
          <w:noProof/>
        </w:rPr>
        <w:t>37</w:t>
      </w:r>
      <w:r w:rsidR="00EB3060">
        <w:rPr>
          <w:noProof/>
        </w:rPr>
        <w:fldChar w:fldCharType="end"/>
      </w:r>
    </w:p>
    <w:p w:rsidR="000A6E4F" w:rsidRDefault="000A6E4F">
      <w:pPr>
        <w:pStyle w:val="ndicedeilustraes"/>
        <w:tabs>
          <w:tab w:val="right" w:leader="dot" w:pos="9060"/>
        </w:tabs>
        <w:rPr>
          <w:rFonts w:asciiTheme="minorHAnsi" w:eastAsiaTheme="minorEastAsia" w:hAnsiTheme="minorHAnsi" w:cstheme="minorBidi"/>
          <w:noProof/>
          <w:shd w:val="clear" w:color="auto" w:fill="auto"/>
          <w:lang w:eastAsia="pt-PT"/>
        </w:rPr>
      </w:pPr>
      <w:r>
        <w:rPr>
          <w:noProof/>
        </w:rPr>
        <w:t>Quadro 4.2. Comparação das médias relativas à incidência de “black dead arm” e escoriose americana obtidas nos dois anos de ensaio (2008 e 2009) e nas três épocas de aplicação, através dos testes de Tuckey</w:t>
      </w:r>
      <w:r>
        <w:rPr>
          <w:noProof/>
        </w:rPr>
        <w:tab/>
      </w:r>
      <w:r w:rsidR="00EB3060">
        <w:rPr>
          <w:noProof/>
        </w:rPr>
        <w:fldChar w:fldCharType="begin"/>
      </w:r>
      <w:r>
        <w:rPr>
          <w:noProof/>
        </w:rPr>
        <w:instrText xml:space="preserve"> PAGEREF _Toc264890334 \h </w:instrText>
      </w:r>
      <w:r w:rsidR="00EB3060">
        <w:rPr>
          <w:noProof/>
        </w:rPr>
      </w:r>
      <w:r w:rsidR="00EB3060">
        <w:rPr>
          <w:noProof/>
        </w:rPr>
        <w:fldChar w:fldCharType="separate"/>
      </w:r>
      <w:r w:rsidR="00E2640D">
        <w:rPr>
          <w:noProof/>
        </w:rPr>
        <w:t>39</w:t>
      </w:r>
      <w:r w:rsidR="00EB3060">
        <w:rPr>
          <w:noProof/>
        </w:rPr>
        <w:fldChar w:fldCharType="end"/>
      </w:r>
    </w:p>
    <w:p w:rsidR="000A6E4F" w:rsidRDefault="000A6E4F">
      <w:pPr>
        <w:pStyle w:val="ndicedeilustraes"/>
        <w:tabs>
          <w:tab w:val="right" w:leader="dot" w:pos="9060"/>
        </w:tabs>
        <w:rPr>
          <w:rFonts w:asciiTheme="minorHAnsi" w:eastAsiaTheme="minorEastAsia" w:hAnsiTheme="minorHAnsi" w:cstheme="minorBidi"/>
          <w:noProof/>
          <w:shd w:val="clear" w:color="auto" w:fill="auto"/>
          <w:lang w:eastAsia="pt-PT"/>
        </w:rPr>
      </w:pPr>
      <w:r>
        <w:rPr>
          <w:noProof/>
        </w:rPr>
        <w:t>Quadro 4.3. Comparação das médias relativas à incidência de “black dead arm” e escoriose americana obtidas nos dois anos de ensaio e para os seis tratamentos em estudo, através dos testes de Tuckey</w:t>
      </w:r>
      <w:r>
        <w:rPr>
          <w:noProof/>
        </w:rPr>
        <w:tab/>
      </w:r>
      <w:r w:rsidR="00EB3060">
        <w:rPr>
          <w:noProof/>
        </w:rPr>
        <w:fldChar w:fldCharType="begin"/>
      </w:r>
      <w:r>
        <w:rPr>
          <w:noProof/>
        </w:rPr>
        <w:instrText xml:space="preserve"> PAGEREF _Toc264890335 \h </w:instrText>
      </w:r>
      <w:r w:rsidR="00EB3060">
        <w:rPr>
          <w:noProof/>
        </w:rPr>
      </w:r>
      <w:r w:rsidR="00EB3060">
        <w:rPr>
          <w:noProof/>
        </w:rPr>
        <w:fldChar w:fldCharType="separate"/>
      </w:r>
      <w:r w:rsidR="00E2640D">
        <w:rPr>
          <w:noProof/>
        </w:rPr>
        <w:t>39</w:t>
      </w:r>
      <w:r w:rsidR="00EB3060">
        <w:rPr>
          <w:noProof/>
        </w:rPr>
        <w:fldChar w:fldCharType="end"/>
      </w:r>
    </w:p>
    <w:p w:rsidR="000A6E4F" w:rsidRDefault="000A6E4F">
      <w:pPr>
        <w:pStyle w:val="ndicedeilustraes"/>
        <w:tabs>
          <w:tab w:val="right" w:leader="dot" w:pos="9060"/>
        </w:tabs>
        <w:rPr>
          <w:rFonts w:asciiTheme="minorHAnsi" w:eastAsiaTheme="minorEastAsia" w:hAnsiTheme="minorHAnsi" w:cstheme="minorBidi"/>
          <w:noProof/>
          <w:shd w:val="clear" w:color="auto" w:fill="auto"/>
          <w:lang w:eastAsia="pt-PT"/>
        </w:rPr>
      </w:pPr>
      <w:r>
        <w:rPr>
          <w:noProof/>
        </w:rPr>
        <w:t>Quadro 4.4. Comparação das médias relativas à incidência de “black dead arm” e escoriose americana obtidas para os dois anos de ensaio, as três épocas de aplicação e para os seis tratamentos em estudo, através dos testes de Tuckey</w:t>
      </w:r>
      <w:r>
        <w:rPr>
          <w:noProof/>
        </w:rPr>
        <w:tab/>
      </w:r>
      <w:r w:rsidR="00EB3060">
        <w:rPr>
          <w:noProof/>
        </w:rPr>
        <w:fldChar w:fldCharType="begin"/>
      </w:r>
      <w:r>
        <w:rPr>
          <w:noProof/>
        </w:rPr>
        <w:instrText xml:space="preserve"> PAGEREF _Toc264890336 \h </w:instrText>
      </w:r>
      <w:r w:rsidR="00EB3060">
        <w:rPr>
          <w:noProof/>
        </w:rPr>
      </w:r>
      <w:r w:rsidR="00EB3060">
        <w:rPr>
          <w:noProof/>
        </w:rPr>
        <w:fldChar w:fldCharType="separate"/>
      </w:r>
      <w:r w:rsidR="00E2640D">
        <w:rPr>
          <w:noProof/>
        </w:rPr>
        <w:t>40</w:t>
      </w:r>
      <w:r w:rsidR="00EB3060">
        <w:rPr>
          <w:noProof/>
        </w:rPr>
        <w:fldChar w:fldCharType="end"/>
      </w:r>
    </w:p>
    <w:p w:rsidR="000A6E4F" w:rsidRDefault="000A6E4F">
      <w:pPr>
        <w:pStyle w:val="ndicedeilustraes"/>
        <w:tabs>
          <w:tab w:val="right" w:leader="dot" w:pos="9060"/>
        </w:tabs>
        <w:rPr>
          <w:rFonts w:asciiTheme="minorHAnsi" w:eastAsiaTheme="minorEastAsia" w:hAnsiTheme="minorHAnsi" w:cstheme="minorBidi"/>
          <w:noProof/>
          <w:shd w:val="clear" w:color="auto" w:fill="auto"/>
          <w:lang w:eastAsia="pt-PT"/>
        </w:rPr>
      </w:pPr>
      <w:r>
        <w:rPr>
          <w:noProof/>
        </w:rPr>
        <w:t>Quadro 4.5. Comparação das médias relativas à severidade de “black dead arm” e escoriose americana obtidas nos dois anos de ensaio (2008 e 2009) e nas três épocas de aplicação, através dos testes de Tuckey</w:t>
      </w:r>
      <w:r>
        <w:rPr>
          <w:noProof/>
        </w:rPr>
        <w:tab/>
      </w:r>
      <w:r w:rsidR="00EB3060">
        <w:rPr>
          <w:noProof/>
        </w:rPr>
        <w:fldChar w:fldCharType="begin"/>
      </w:r>
      <w:r>
        <w:rPr>
          <w:noProof/>
        </w:rPr>
        <w:instrText xml:space="preserve"> PAGEREF _Toc264890337 \h </w:instrText>
      </w:r>
      <w:r w:rsidR="00EB3060">
        <w:rPr>
          <w:noProof/>
        </w:rPr>
      </w:r>
      <w:r w:rsidR="00EB3060">
        <w:rPr>
          <w:noProof/>
        </w:rPr>
        <w:fldChar w:fldCharType="separate"/>
      </w:r>
      <w:r w:rsidR="00E2640D">
        <w:rPr>
          <w:noProof/>
        </w:rPr>
        <w:t>41</w:t>
      </w:r>
      <w:r w:rsidR="00EB3060">
        <w:rPr>
          <w:noProof/>
        </w:rPr>
        <w:fldChar w:fldCharType="end"/>
      </w:r>
    </w:p>
    <w:p w:rsidR="000A6E4F" w:rsidRDefault="000A6E4F">
      <w:pPr>
        <w:pStyle w:val="ndicedeilustraes"/>
        <w:tabs>
          <w:tab w:val="right" w:leader="dot" w:pos="9060"/>
        </w:tabs>
        <w:rPr>
          <w:rFonts w:asciiTheme="minorHAnsi" w:eastAsiaTheme="minorEastAsia" w:hAnsiTheme="minorHAnsi" w:cstheme="minorBidi"/>
          <w:noProof/>
          <w:shd w:val="clear" w:color="auto" w:fill="auto"/>
          <w:lang w:eastAsia="pt-PT"/>
        </w:rPr>
      </w:pPr>
      <w:r>
        <w:rPr>
          <w:noProof/>
        </w:rPr>
        <w:t>Quadro 4.6. Comparação das médias relativas à incidência de “black dead arm” e escoriose europeia obtidas nos dois anos de ensaio, para os seis tratamentos em estudo, através dos testes de Tuckey</w:t>
      </w:r>
      <w:r>
        <w:rPr>
          <w:noProof/>
        </w:rPr>
        <w:tab/>
      </w:r>
      <w:r w:rsidR="00EB3060">
        <w:rPr>
          <w:noProof/>
        </w:rPr>
        <w:fldChar w:fldCharType="begin"/>
      </w:r>
      <w:r>
        <w:rPr>
          <w:noProof/>
        </w:rPr>
        <w:instrText xml:space="preserve"> PAGEREF _Toc264890338 \h </w:instrText>
      </w:r>
      <w:r w:rsidR="00EB3060">
        <w:rPr>
          <w:noProof/>
        </w:rPr>
      </w:r>
      <w:r w:rsidR="00EB3060">
        <w:rPr>
          <w:noProof/>
        </w:rPr>
        <w:fldChar w:fldCharType="separate"/>
      </w:r>
      <w:r w:rsidR="00E2640D">
        <w:rPr>
          <w:noProof/>
        </w:rPr>
        <w:t>42</w:t>
      </w:r>
      <w:r w:rsidR="00EB3060">
        <w:rPr>
          <w:noProof/>
        </w:rPr>
        <w:fldChar w:fldCharType="end"/>
      </w:r>
    </w:p>
    <w:p w:rsidR="000A6E4F" w:rsidRDefault="000A6E4F">
      <w:pPr>
        <w:pStyle w:val="ndicedeilustraes"/>
        <w:tabs>
          <w:tab w:val="right" w:leader="dot" w:pos="9060"/>
        </w:tabs>
        <w:rPr>
          <w:rFonts w:asciiTheme="minorHAnsi" w:eastAsiaTheme="minorEastAsia" w:hAnsiTheme="minorHAnsi" w:cstheme="minorBidi"/>
          <w:noProof/>
          <w:shd w:val="clear" w:color="auto" w:fill="auto"/>
          <w:lang w:eastAsia="pt-PT"/>
        </w:rPr>
      </w:pPr>
      <w:r>
        <w:rPr>
          <w:noProof/>
        </w:rPr>
        <w:t>Quadro 4.7. Comparação das médias relativas à severidade de “black dead arm” e escoriose europeia obtidas para as três épocas de aplicação e para os seis tratamentos em estudo, através dos testes de Tuckey</w:t>
      </w:r>
      <w:r>
        <w:rPr>
          <w:noProof/>
        </w:rPr>
        <w:tab/>
      </w:r>
      <w:r w:rsidR="00EB3060">
        <w:rPr>
          <w:noProof/>
        </w:rPr>
        <w:fldChar w:fldCharType="begin"/>
      </w:r>
      <w:r>
        <w:rPr>
          <w:noProof/>
        </w:rPr>
        <w:instrText xml:space="preserve"> PAGEREF _Toc264890339 \h </w:instrText>
      </w:r>
      <w:r w:rsidR="00EB3060">
        <w:rPr>
          <w:noProof/>
        </w:rPr>
      </w:r>
      <w:r w:rsidR="00EB3060">
        <w:rPr>
          <w:noProof/>
        </w:rPr>
        <w:fldChar w:fldCharType="separate"/>
      </w:r>
      <w:r w:rsidR="00E2640D">
        <w:rPr>
          <w:noProof/>
        </w:rPr>
        <w:t>43</w:t>
      </w:r>
      <w:r w:rsidR="00EB3060">
        <w:rPr>
          <w:noProof/>
        </w:rPr>
        <w:fldChar w:fldCharType="end"/>
      </w:r>
    </w:p>
    <w:p w:rsidR="001A146F" w:rsidRDefault="00EB3060" w:rsidP="001A146F">
      <w:pPr>
        <w:pStyle w:val="Default"/>
        <w:rPr>
          <w:b/>
          <w:bCs/>
          <w:sz w:val="20"/>
          <w:szCs w:val="20"/>
        </w:rPr>
      </w:pPr>
      <w:r>
        <w:rPr>
          <w:b/>
          <w:bCs/>
          <w:sz w:val="20"/>
          <w:szCs w:val="20"/>
        </w:rPr>
        <w:fldChar w:fldCharType="end"/>
      </w:r>
    </w:p>
    <w:p w:rsidR="00733692" w:rsidRDefault="00733692" w:rsidP="00733692">
      <w:pPr>
        <w:pStyle w:val="Capitulo"/>
      </w:pPr>
      <w:bookmarkStart w:id="3" w:name="_Toc263675261"/>
      <w:bookmarkStart w:id="4" w:name="_Toc264890275"/>
      <w:r w:rsidRPr="00C91DDE">
        <w:lastRenderedPageBreak/>
        <w:t>AGRADECIMENTOS</w:t>
      </w:r>
      <w:bookmarkEnd w:id="3"/>
      <w:bookmarkEnd w:id="4"/>
      <w:r w:rsidRPr="006E6585">
        <w:t xml:space="preserve"> </w:t>
      </w:r>
    </w:p>
    <w:p w:rsidR="00733692" w:rsidRPr="00C92824" w:rsidRDefault="00733692" w:rsidP="00733692">
      <w:r w:rsidRPr="00C92824">
        <w:t>Agradeço a Deus por ter atingido este objectivo tão complicado!</w:t>
      </w:r>
    </w:p>
    <w:p w:rsidR="00733692" w:rsidRPr="00C92824" w:rsidRDefault="00733692" w:rsidP="00733692">
      <w:r w:rsidRPr="00C92824">
        <w:t xml:space="preserve">Agradeço à Sr.ª </w:t>
      </w:r>
      <w:r w:rsidR="008638F0">
        <w:t xml:space="preserve">Investigadora </w:t>
      </w:r>
      <w:r w:rsidRPr="00C92824">
        <w:t>Eng.ª Cecília Rego a sua paciência, compreensão e ensinamentos que me foi dando ao longo de todo o trabalho. Ao longo de tantos quilómetros percorridos, de carro, a pé, ao calor escaldante e ao frio cortante, mostrou sempre a coragem e a força exigíveis para levar esta tarefa até ao fim. Obrigado pela sua orientação!</w:t>
      </w:r>
    </w:p>
    <w:p w:rsidR="00733692" w:rsidRPr="00C92824" w:rsidRDefault="00733692" w:rsidP="00733692">
      <w:r w:rsidRPr="00C92824">
        <w:t xml:space="preserve">Agradeço à Sr.ª Professora Doutora Maria Helena Oliveira a imediata receptividade para me aceitar neste trabalho, mesmo atendendo à sua falta de disponibilidade no momento. Agradeço tudo o que fez por mim até hoje, até mesmo durante o tempo da licenciatura. </w:t>
      </w:r>
    </w:p>
    <w:p w:rsidR="00733692" w:rsidRDefault="00733692" w:rsidP="00733692">
      <w:r w:rsidRPr="00C92824">
        <w:t>À Sr.ª Eng.ª Teresa Nascimento os meus agradecimentos pelo apoio nas dúvidas que me foi esclarecendo e no apoio no laboratório.</w:t>
      </w:r>
    </w:p>
    <w:p w:rsidR="003E4AC6" w:rsidRPr="00C92824" w:rsidRDefault="003E4AC6" w:rsidP="00733692">
      <w:r>
        <w:t>Ao Sr. Professor Doutor Arlindo Lima pela ajuda nas correcções.</w:t>
      </w:r>
    </w:p>
    <w:p w:rsidR="00733692" w:rsidRPr="00C92824" w:rsidRDefault="00733692" w:rsidP="00733692">
      <w:r w:rsidRPr="00C92824">
        <w:t>A todos os colaboradores pelo apoio prestado, especialmente à Sr.ª D. Amélia Marques, à Sr.ª D. Olga Nogueira e ao Sr. Joaquim Antunes.</w:t>
      </w:r>
    </w:p>
    <w:p w:rsidR="00733692" w:rsidRPr="00FE70E1" w:rsidRDefault="00733692" w:rsidP="00733692">
      <w:r w:rsidRPr="00C92824">
        <w:t xml:space="preserve">Aos meus colegas pela força e apoio que me deram para concluir esta etapa, especialmente </w:t>
      </w:r>
      <w:r w:rsidRPr="00FE70E1">
        <w:t xml:space="preserve">à Ana Teresa Vaz. </w:t>
      </w:r>
    </w:p>
    <w:p w:rsidR="00B8770E" w:rsidRDefault="00B8770E" w:rsidP="00733692">
      <w:r w:rsidRPr="00FE70E1">
        <w:t>À Syngenta Crop Protection pelo apoio financeiro que permitiu a realização deste trabalho.</w:t>
      </w:r>
    </w:p>
    <w:p w:rsidR="00733692" w:rsidRDefault="00733692" w:rsidP="00733692">
      <w:r w:rsidRPr="00C92824">
        <w:t xml:space="preserve">Aos meus amigos e família, pela paciência </w:t>
      </w:r>
      <w:r>
        <w:t xml:space="preserve">e força </w:t>
      </w:r>
      <w:r w:rsidRPr="00C92824">
        <w:t>nos momentos de maior pressão.</w:t>
      </w:r>
      <w:r>
        <w:t xml:space="preserve"> </w:t>
      </w:r>
    </w:p>
    <w:p w:rsidR="00733692" w:rsidRPr="00C92824" w:rsidRDefault="00733692" w:rsidP="00733692">
      <w:r>
        <w:t>À motivação gerada pelo prazer que a minha mãe e o meu pai, que já não está entre nós, sempre mostraram na realização deste trabalho.</w:t>
      </w:r>
    </w:p>
    <w:p w:rsidR="00733692" w:rsidRDefault="00733692" w:rsidP="00733692">
      <w:r w:rsidRPr="00D505B8">
        <w:t>A todos os que de alguma forma contribuíram</w:t>
      </w:r>
      <w:r>
        <w:t xml:space="preserve"> e apoiaram</w:t>
      </w:r>
      <w:r w:rsidRPr="00D505B8">
        <w:t>.</w:t>
      </w:r>
    </w:p>
    <w:p w:rsidR="00733692" w:rsidRPr="006E6585" w:rsidRDefault="00733692" w:rsidP="00733692">
      <w:r>
        <w:t>Obrigado!</w:t>
      </w:r>
    </w:p>
    <w:p w:rsidR="00733692" w:rsidRPr="00C91DDE" w:rsidRDefault="00733692" w:rsidP="00733692">
      <w:pPr>
        <w:pStyle w:val="Capitulo"/>
      </w:pPr>
      <w:bookmarkStart w:id="5" w:name="_Toc263675262"/>
      <w:bookmarkStart w:id="6" w:name="_Toc264890276"/>
      <w:r w:rsidRPr="00C91DDE">
        <w:lastRenderedPageBreak/>
        <w:t>RESUMO</w:t>
      </w:r>
      <w:bookmarkEnd w:id="5"/>
      <w:bookmarkEnd w:id="6"/>
      <w:r w:rsidRPr="00C91DDE">
        <w:t xml:space="preserve"> </w:t>
      </w:r>
    </w:p>
    <w:p w:rsidR="00733692" w:rsidRPr="00C92824" w:rsidRDefault="00733692" w:rsidP="00733692">
      <w:r w:rsidRPr="00C92824">
        <w:t xml:space="preserve">As doenças do lenho são presentemente uma preocupação a nível mundial. </w:t>
      </w:r>
      <w:r>
        <w:t xml:space="preserve">A intenção de melhorar o conhecimento sobre alguns aspectos da epidemiologia e meios de luta contra </w:t>
      </w:r>
      <w:r w:rsidR="00016F11" w:rsidRPr="00016F11">
        <w:rPr>
          <w:i/>
        </w:rPr>
        <w:t>Botryosphaeria</w:t>
      </w:r>
      <w:r>
        <w:t xml:space="preserve">ceae e </w:t>
      </w:r>
      <w:r w:rsidRPr="00FA54BB">
        <w:rPr>
          <w:i/>
        </w:rPr>
        <w:t>Phomopsis viticola</w:t>
      </w:r>
      <w:r>
        <w:t xml:space="preserve"> estiveram na base do presente trabalho. No </w:t>
      </w:r>
      <w:r w:rsidRPr="00FE70E1">
        <w:t>âmbit</w:t>
      </w:r>
      <w:r w:rsidR="00EC0C27" w:rsidRPr="00FE70E1">
        <w:t>o dos estudos epidemiológicos estudou-se</w:t>
      </w:r>
      <w:r w:rsidRPr="00FE70E1">
        <w:t xml:space="preserve"> a relação entre </w:t>
      </w:r>
      <w:r w:rsidR="00531C02" w:rsidRPr="00FE70E1">
        <w:t>a captura de esporos em lâminas-</w:t>
      </w:r>
      <w:r w:rsidRPr="00FE70E1">
        <w:t>armadilha e os</w:t>
      </w:r>
      <w:r w:rsidRPr="00C92824">
        <w:t xml:space="preserve"> </w:t>
      </w:r>
      <w:r>
        <w:t xml:space="preserve">dados meteorológicos. Para tal procedeu-se à captura de esporos em lâminas-armadilha e efectuou-se uma amostragem quinzenal. </w:t>
      </w:r>
      <w:r w:rsidRPr="00FE70E1">
        <w:t>Constatou-se que o valor máximo de recolha de</w:t>
      </w:r>
      <w:r w:rsidR="00531C02" w:rsidRPr="00FE70E1">
        <w:t xml:space="preserve"> esporos coincidiu com períodos durante ou após</w:t>
      </w:r>
      <w:r w:rsidRPr="00FE70E1">
        <w:t xml:space="preserve"> a ocorrência</w:t>
      </w:r>
      <w:r w:rsidRPr="00C92824">
        <w:t xml:space="preserve"> de alguma </w:t>
      </w:r>
      <w:r w:rsidRPr="00F50600">
        <w:t xml:space="preserve">pluviosidade. Relativamente aos meios de luta, </w:t>
      </w:r>
      <w:r w:rsidR="00531C02">
        <w:t>foi</w:t>
      </w:r>
      <w:r w:rsidRPr="00F50600">
        <w:t xml:space="preserve"> </w:t>
      </w:r>
      <w:r w:rsidR="00531C02">
        <w:t xml:space="preserve">feita </w:t>
      </w:r>
      <w:r w:rsidRPr="00F50600">
        <w:t xml:space="preserve">uma avaliação da eficácia de </w:t>
      </w:r>
      <w:r w:rsidR="00531C02">
        <w:t xml:space="preserve">alguns fungicidas </w:t>
      </w:r>
      <w:r w:rsidR="00EC0C27">
        <w:t>(ciprodinil+</w:t>
      </w:r>
      <w:r w:rsidR="00F50600" w:rsidRPr="00F50600">
        <w:t>fludioxonil,</w:t>
      </w:r>
      <w:r w:rsidR="00F50600" w:rsidRPr="00F50600">
        <w:rPr>
          <w:bCs/>
        </w:rPr>
        <w:t xml:space="preserve"> azoxistrobina, oxicloreto de cobre,</w:t>
      </w:r>
      <w:r w:rsidR="00F50600" w:rsidRPr="00F50600">
        <w:t xml:space="preserve"> tebuconazol</w:t>
      </w:r>
      <w:r w:rsidR="00F50600" w:rsidRPr="00F50600">
        <w:rPr>
          <w:bCs/>
        </w:rPr>
        <w:t xml:space="preserve"> e difenoconazol</w:t>
      </w:r>
      <w:r w:rsidR="00F50600">
        <w:rPr>
          <w:bCs/>
        </w:rPr>
        <w:t>)</w:t>
      </w:r>
      <w:r w:rsidR="00F50600" w:rsidRPr="00F50600">
        <w:rPr>
          <w:bCs/>
        </w:rPr>
        <w:t xml:space="preserve"> </w:t>
      </w:r>
      <w:r w:rsidRPr="00F50600">
        <w:t xml:space="preserve">e </w:t>
      </w:r>
      <w:r w:rsidR="00531C02">
        <w:t>das</w:t>
      </w:r>
      <w:r w:rsidR="00F50600" w:rsidRPr="00F50600">
        <w:t xml:space="preserve"> </w:t>
      </w:r>
      <w:r w:rsidRPr="00F50600">
        <w:t xml:space="preserve">respectivas épocas de aplicação </w:t>
      </w:r>
      <w:r w:rsidR="00F50600" w:rsidRPr="00F50600">
        <w:t xml:space="preserve">(poda e/ou estado fenológico D/E) </w:t>
      </w:r>
      <w:r w:rsidR="00531C02">
        <w:t>contra as</w:t>
      </w:r>
      <w:r w:rsidR="00EC0C27">
        <w:t xml:space="preserve"> doenças</w:t>
      </w:r>
      <w:r w:rsidR="00702763">
        <w:t xml:space="preserve"> em causa</w:t>
      </w:r>
      <w:r w:rsidR="00EC0C27">
        <w:t>. Avaliou-se</w:t>
      </w:r>
      <w:r w:rsidRPr="00F50600">
        <w:t xml:space="preserve"> a incidência</w:t>
      </w:r>
      <w:r w:rsidRPr="00C92824">
        <w:t xml:space="preserve"> e </w:t>
      </w:r>
      <w:r>
        <w:t>a</w:t>
      </w:r>
      <w:r w:rsidR="008F42F0">
        <w:t xml:space="preserve"> </w:t>
      </w:r>
      <w:r w:rsidRPr="00C92824">
        <w:t xml:space="preserve">severidade </w:t>
      </w:r>
      <w:r>
        <w:t xml:space="preserve">das doenças </w:t>
      </w:r>
      <w:r w:rsidRPr="00C92824">
        <w:t>e</w:t>
      </w:r>
      <w:r>
        <w:t>,</w:t>
      </w:r>
      <w:r w:rsidRPr="00C92824">
        <w:t xml:space="preserve"> </w:t>
      </w:r>
      <w:r>
        <w:t>no final de dois anos de ensaio,</w:t>
      </w:r>
      <w:r w:rsidRPr="00C92824">
        <w:t xml:space="preserve"> verificou-se que difenoconazol, tebuconazol e o oxicloreto de cobre tiveram um efeito positivo significativo na redução da incidência das doenças. Em relação à época, o tratamento no estado fenológico D/E foi, tendencialmente, o que </w:t>
      </w:r>
      <w:r w:rsidR="00D65C9E">
        <w:t xml:space="preserve">provocou </w:t>
      </w:r>
      <w:r w:rsidRPr="00C92824">
        <w:t xml:space="preserve">maior redução na incidência das doenças. No que diz respeito à severidade das doenças não se verificou, neste ensaio, nenhuma variação positiva com a realização de dois tratamentos à vinha. Relativamente ao efeito conjunto da época de aplicação e do tratamento fungicida os resultados são ainda inconclusivos. </w:t>
      </w:r>
    </w:p>
    <w:p w:rsidR="00733692" w:rsidRPr="00C92824" w:rsidRDefault="00733692" w:rsidP="00733692"/>
    <w:p w:rsidR="00733692" w:rsidRPr="00C92824" w:rsidRDefault="00733692" w:rsidP="00733692">
      <w:r w:rsidRPr="00C92824">
        <w:rPr>
          <w:b/>
        </w:rPr>
        <w:t>Palavras-chave:</w:t>
      </w:r>
      <w:r w:rsidRPr="00C92824">
        <w:t xml:space="preserve"> </w:t>
      </w:r>
      <w:r w:rsidR="00016F11" w:rsidRPr="00016F11">
        <w:rPr>
          <w:i/>
        </w:rPr>
        <w:t>Botryosphaeria</w:t>
      </w:r>
      <w:r w:rsidRPr="00C92824">
        <w:t xml:space="preserve">ceae, </w:t>
      </w:r>
      <w:r>
        <w:rPr>
          <w:i/>
        </w:rPr>
        <w:t>Phomopsis viti</w:t>
      </w:r>
      <w:r w:rsidRPr="00C92824">
        <w:rPr>
          <w:i/>
        </w:rPr>
        <w:t xml:space="preserve">cola, </w:t>
      </w:r>
      <w:r>
        <w:t xml:space="preserve">epidemiologia, </w:t>
      </w:r>
      <w:r w:rsidRPr="00C92824">
        <w:t xml:space="preserve">meios de luta, </w:t>
      </w:r>
      <w:r w:rsidR="00FE70E1" w:rsidRPr="00FE70E1">
        <w:rPr>
          <w:i/>
        </w:rPr>
        <w:t xml:space="preserve">Vitis </w:t>
      </w:r>
      <w:r w:rsidR="00FE70E1">
        <w:rPr>
          <w:i/>
        </w:rPr>
        <w:t>vinífera.</w:t>
      </w:r>
    </w:p>
    <w:p w:rsidR="004F0890" w:rsidRPr="00733692" w:rsidRDefault="004F0890" w:rsidP="004F0890">
      <w:pPr>
        <w:pStyle w:val="Capitulo"/>
        <w:jc w:val="both"/>
        <w:rPr>
          <w:lang w:val="en-US"/>
        </w:rPr>
      </w:pPr>
      <w:bookmarkStart w:id="7" w:name="_Toc263675263"/>
      <w:bookmarkStart w:id="8" w:name="_Toc264890277"/>
      <w:r w:rsidRPr="00733692">
        <w:rPr>
          <w:lang w:val="en-US"/>
        </w:rPr>
        <w:lastRenderedPageBreak/>
        <w:t>ABSTRACT</w:t>
      </w:r>
      <w:bookmarkEnd w:id="7"/>
      <w:bookmarkEnd w:id="8"/>
    </w:p>
    <w:p w:rsidR="004F0890" w:rsidRPr="00733692" w:rsidRDefault="004F0890" w:rsidP="004F0890">
      <w:pPr>
        <w:pStyle w:val="Estilo1"/>
        <w:rPr>
          <w:lang w:val="en-US"/>
        </w:rPr>
      </w:pPr>
      <w:bookmarkStart w:id="9" w:name="_Toc263675264"/>
      <w:r>
        <w:rPr>
          <w:lang w:val="en-US"/>
        </w:rPr>
        <w:t>W</w:t>
      </w:r>
      <w:r w:rsidRPr="003B4550">
        <w:rPr>
          <w:lang w:val="en-US"/>
        </w:rPr>
        <w:t xml:space="preserve">ood diseases caused by </w:t>
      </w:r>
      <w:r w:rsidR="00016F11" w:rsidRPr="00016F11">
        <w:rPr>
          <w:i/>
          <w:lang w:val="en-US"/>
        </w:rPr>
        <w:t>Botryosphaeria</w:t>
      </w:r>
      <w:r>
        <w:rPr>
          <w:lang w:val="en-US"/>
        </w:rPr>
        <w:t xml:space="preserve">ceae and </w:t>
      </w:r>
      <w:r w:rsidRPr="003B4550">
        <w:rPr>
          <w:i/>
          <w:lang w:val="en-US"/>
        </w:rPr>
        <w:t>Phomopsis viticola</w:t>
      </w:r>
      <w:r>
        <w:rPr>
          <w:lang w:val="en-US"/>
        </w:rPr>
        <w:t xml:space="preserve"> have been recognized as a major problem of grapevines </w:t>
      </w:r>
      <w:r w:rsidRPr="003B4550">
        <w:rPr>
          <w:lang w:val="en-US"/>
        </w:rPr>
        <w:t>worldwide.</w:t>
      </w:r>
      <w:r>
        <w:rPr>
          <w:lang w:val="en-US"/>
        </w:rPr>
        <w:t xml:space="preserve"> This work aims to be a contribut</w:t>
      </w:r>
      <w:r w:rsidR="004A139C">
        <w:rPr>
          <w:lang w:val="en-US"/>
        </w:rPr>
        <w:t>ion to the improvement of the</w:t>
      </w:r>
      <w:r>
        <w:rPr>
          <w:lang w:val="en-US"/>
        </w:rPr>
        <w:t xml:space="preserve"> knowledge </w:t>
      </w:r>
      <w:r w:rsidR="00016F11" w:rsidRPr="00016F11">
        <w:rPr>
          <w:i/>
          <w:lang w:val="en-US"/>
        </w:rPr>
        <w:t>Botryosphaeria</w:t>
      </w:r>
      <w:r w:rsidRPr="003B4550">
        <w:rPr>
          <w:lang w:val="en-US"/>
        </w:rPr>
        <w:t>ceae</w:t>
      </w:r>
      <w:r>
        <w:rPr>
          <w:lang w:val="en-US"/>
        </w:rPr>
        <w:t xml:space="preserve"> and </w:t>
      </w:r>
      <w:r w:rsidRPr="00AA0D42">
        <w:rPr>
          <w:i/>
          <w:lang w:val="en-US"/>
        </w:rPr>
        <w:t>Phomopsis viticola</w:t>
      </w:r>
      <w:r>
        <w:rPr>
          <w:lang w:val="en-US"/>
        </w:rPr>
        <w:t xml:space="preserve"> epidemiology and control. In what concerns the epidemiological studies, </w:t>
      </w:r>
      <w:r w:rsidRPr="00A507D9">
        <w:rPr>
          <w:rFonts w:cs="Arial"/>
          <w:lang w:val="en-US"/>
        </w:rPr>
        <w:t>the main objective of this study was to</w:t>
      </w:r>
      <w:r>
        <w:rPr>
          <w:rFonts w:cs="Arial"/>
          <w:lang w:val="en-US"/>
        </w:rPr>
        <w:t xml:space="preserve"> evaluate the possible relation between captured fungal </w:t>
      </w:r>
      <w:r w:rsidRPr="00A507D9">
        <w:rPr>
          <w:rFonts w:cs="Arial"/>
          <w:lang w:val="en-US"/>
        </w:rPr>
        <w:t xml:space="preserve">spores </w:t>
      </w:r>
      <w:r>
        <w:rPr>
          <w:rFonts w:cs="Arial"/>
          <w:lang w:val="en-US"/>
        </w:rPr>
        <w:t xml:space="preserve">and </w:t>
      </w:r>
      <w:r w:rsidRPr="00A507D9">
        <w:rPr>
          <w:rFonts w:cs="Arial"/>
          <w:lang w:val="en-US"/>
        </w:rPr>
        <w:t>the influence of meteorological factors</w:t>
      </w:r>
      <w:r>
        <w:rPr>
          <w:rFonts w:cs="Arial"/>
          <w:lang w:val="en-US"/>
        </w:rPr>
        <w:t>, such as temperature and rainfall</w:t>
      </w:r>
      <w:r w:rsidRPr="00A507D9">
        <w:rPr>
          <w:rFonts w:cs="Arial"/>
          <w:lang w:val="en-US"/>
        </w:rPr>
        <w:t>.</w:t>
      </w:r>
      <w:r w:rsidRPr="003D7D41">
        <w:rPr>
          <w:rFonts w:cs="Arial"/>
          <w:lang w:val="en-US"/>
        </w:rPr>
        <w:t xml:space="preserve"> </w:t>
      </w:r>
      <w:r w:rsidRPr="00A507D9">
        <w:rPr>
          <w:rFonts w:cs="Arial"/>
          <w:lang w:val="en-US"/>
        </w:rPr>
        <w:t>In order to do that</w:t>
      </w:r>
      <w:r w:rsidRPr="0039248D">
        <w:rPr>
          <w:rFonts w:cs="Arial"/>
          <w:lang w:val="en-US"/>
        </w:rPr>
        <w:t>, sampling of captured spores</w:t>
      </w:r>
      <w:r>
        <w:rPr>
          <w:rFonts w:cs="Arial"/>
          <w:lang w:val="en-US"/>
        </w:rPr>
        <w:t xml:space="preserve"> was carried out twice a month</w:t>
      </w:r>
      <w:r w:rsidRPr="0039248D">
        <w:rPr>
          <w:rFonts w:cs="Arial"/>
          <w:lang w:val="en-US"/>
        </w:rPr>
        <w:t xml:space="preserve"> </w:t>
      </w:r>
      <w:r>
        <w:rPr>
          <w:rFonts w:cs="Arial"/>
          <w:lang w:val="en-US"/>
        </w:rPr>
        <w:t>using</w:t>
      </w:r>
      <w:r w:rsidRPr="0039248D">
        <w:rPr>
          <w:rFonts w:cs="Arial"/>
          <w:lang w:val="en-US"/>
        </w:rPr>
        <w:t xml:space="preserve"> spore-trap slides. </w:t>
      </w:r>
      <w:r>
        <w:rPr>
          <w:rFonts w:cs="Arial"/>
          <w:lang w:val="en-US"/>
        </w:rPr>
        <w:t>W</w:t>
      </w:r>
      <w:r w:rsidRPr="0039248D">
        <w:rPr>
          <w:rFonts w:cs="Arial"/>
          <w:lang w:val="en-US"/>
        </w:rPr>
        <w:t xml:space="preserve">e </w:t>
      </w:r>
      <w:r>
        <w:rPr>
          <w:rFonts w:cs="Arial"/>
          <w:lang w:val="en-US"/>
        </w:rPr>
        <w:t>concluded</w:t>
      </w:r>
      <w:r w:rsidRPr="0039248D">
        <w:rPr>
          <w:rFonts w:cs="Arial"/>
          <w:lang w:val="en-US"/>
        </w:rPr>
        <w:t xml:space="preserve"> that rainfall was the factor that best explained the variation </w:t>
      </w:r>
      <w:r>
        <w:rPr>
          <w:rFonts w:cs="Arial"/>
          <w:lang w:val="en-US"/>
        </w:rPr>
        <w:t xml:space="preserve">of spores captured. </w:t>
      </w:r>
      <w:r>
        <w:rPr>
          <w:lang w:val="en-US"/>
        </w:rPr>
        <w:t xml:space="preserve">The maximum </w:t>
      </w:r>
      <w:r>
        <w:rPr>
          <w:rFonts w:cs="Arial"/>
          <w:lang w:val="en-US"/>
        </w:rPr>
        <w:t xml:space="preserve">amount of spores </w:t>
      </w:r>
      <w:r>
        <w:rPr>
          <w:lang w:val="en-US"/>
        </w:rPr>
        <w:t>collected</w:t>
      </w:r>
      <w:r>
        <w:rPr>
          <w:rFonts w:cs="Arial"/>
          <w:lang w:val="en-US"/>
        </w:rPr>
        <w:t xml:space="preserve"> was achieved </w:t>
      </w:r>
      <w:r>
        <w:rPr>
          <w:lang w:val="en-US"/>
        </w:rPr>
        <w:t xml:space="preserve">occurred </w:t>
      </w:r>
      <w:r w:rsidRPr="00733692">
        <w:rPr>
          <w:lang w:val="en-US"/>
        </w:rPr>
        <w:t xml:space="preserve">during or after </w:t>
      </w:r>
      <w:r>
        <w:rPr>
          <w:lang w:val="en-US"/>
        </w:rPr>
        <w:t xml:space="preserve">rainfall periods. Concerning control measures, </w:t>
      </w:r>
      <w:r w:rsidRPr="00601677">
        <w:rPr>
          <w:lang w:val="en-US"/>
        </w:rPr>
        <w:t>the efficacy of five fungicides (ciprodinil + fludioxonil,</w:t>
      </w:r>
      <w:r w:rsidRPr="00F50600">
        <w:rPr>
          <w:bCs/>
          <w:lang w:val="en-US"/>
        </w:rPr>
        <w:t xml:space="preserve"> </w:t>
      </w:r>
      <w:r>
        <w:rPr>
          <w:bCs/>
          <w:lang w:val="en-US"/>
        </w:rPr>
        <w:t>azoxystrobin</w:t>
      </w:r>
      <w:r w:rsidRPr="00F50600">
        <w:rPr>
          <w:bCs/>
          <w:lang w:val="en-US"/>
        </w:rPr>
        <w:t xml:space="preserve">, </w:t>
      </w:r>
      <w:r w:rsidRPr="004A139C">
        <w:rPr>
          <w:rStyle w:val="nfase"/>
          <w:rFonts w:cs="Arial"/>
          <w:b w:val="0"/>
          <w:color w:val="000000"/>
          <w:lang w:val="en-US"/>
        </w:rPr>
        <w:t>copper oxychloride</w:t>
      </w:r>
      <w:r w:rsidRPr="00F50600">
        <w:rPr>
          <w:bCs/>
          <w:lang w:val="en-US"/>
        </w:rPr>
        <w:t>,</w:t>
      </w:r>
      <w:r w:rsidRPr="00F50600">
        <w:rPr>
          <w:lang w:val="en-US"/>
        </w:rPr>
        <w:t xml:space="preserve"> tebuconazol</w:t>
      </w:r>
      <w:r>
        <w:rPr>
          <w:lang w:val="en-US"/>
        </w:rPr>
        <w:t>e</w:t>
      </w:r>
      <w:r w:rsidRPr="00F50600">
        <w:rPr>
          <w:bCs/>
          <w:lang w:val="en-US"/>
        </w:rPr>
        <w:t xml:space="preserve"> </w:t>
      </w:r>
      <w:r>
        <w:rPr>
          <w:bCs/>
          <w:lang w:val="en-US"/>
        </w:rPr>
        <w:t>and</w:t>
      </w:r>
      <w:r w:rsidRPr="00F50600">
        <w:rPr>
          <w:bCs/>
          <w:lang w:val="en-US"/>
        </w:rPr>
        <w:t xml:space="preserve"> </w:t>
      </w:r>
      <w:r w:rsidRPr="0029501C">
        <w:rPr>
          <w:rFonts w:cs="Arial"/>
          <w:lang w:val="en-US"/>
        </w:rPr>
        <w:t>difenoconazole</w:t>
      </w:r>
      <w:r w:rsidRPr="00F50600">
        <w:rPr>
          <w:bCs/>
          <w:lang w:val="en-US"/>
        </w:rPr>
        <w:t>)</w:t>
      </w:r>
      <w:r>
        <w:rPr>
          <w:bCs/>
          <w:lang w:val="en-US"/>
        </w:rPr>
        <w:t xml:space="preserve"> </w:t>
      </w:r>
      <w:r>
        <w:rPr>
          <w:lang w:val="en-US"/>
        </w:rPr>
        <w:t xml:space="preserve">was </w:t>
      </w:r>
      <w:r w:rsidRPr="003B4550">
        <w:rPr>
          <w:lang w:val="en-US"/>
        </w:rPr>
        <w:t>evaluate</w:t>
      </w:r>
      <w:r>
        <w:rPr>
          <w:lang w:val="en-US"/>
        </w:rPr>
        <w:t>d</w:t>
      </w:r>
      <w:r w:rsidRPr="003B4550">
        <w:rPr>
          <w:lang w:val="en-US"/>
        </w:rPr>
        <w:t xml:space="preserve"> </w:t>
      </w:r>
      <w:r>
        <w:rPr>
          <w:lang w:val="en-US"/>
        </w:rPr>
        <w:t xml:space="preserve">against </w:t>
      </w:r>
      <w:r w:rsidR="00016F11" w:rsidRPr="00016F11">
        <w:rPr>
          <w:i/>
          <w:lang w:val="en-US"/>
        </w:rPr>
        <w:t>Botryosphaeria</w:t>
      </w:r>
      <w:r>
        <w:rPr>
          <w:lang w:val="en-US"/>
        </w:rPr>
        <w:t xml:space="preserve">ceae and </w:t>
      </w:r>
      <w:r w:rsidRPr="003B4550">
        <w:rPr>
          <w:i/>
          <w:lang w:val="en-US"/>
        </w:rPr>
        <w:t>Phomopsis viticola</w:t>
      </w:r>
      <w:r>
        <w:rPr>
          <w:i/>
          <w:lang w:val="en-US"/>
        </w:rPr>
        <w:t xml:space="preserve"> </w:t>
      </w:r>
      <w:r w:rsidRPr="000D4D89">
        <w:rPr>
          <w:lang w:val="en-US"/>
        </w:rPr>
        <w:t>under field condition</w:t>
      </w:r>
      <w:r>
        <w:rPr>
          <w:lang w:val="en-US"/>
        </w:rPr>
        <w:t>.</w:t>
      </w:r>
      <w:r w:rsidRPr="003B4550">
        <w:rPr>
          <w:lang w:val="en-US"/>
        </w:rPr>
        <w:t xml:space="preserve"> </w:t>
      </w:r>
      <w:r>
        <w:rPr>
          <w:lang w:val="en-US"/>
        </w:rPr>
        <w:t>The</w:t>
      </w:r>
      <w:r w:rsidRPr="003B4550">
        <w:rPr>
          <w:lang w:val="en-US"/>
        </w:rPr>
        <w:t xml:space="preserve"> </w:t>
      </w:r>
      <w:r>
        <w:rPr>
          <w:lang w:val="en-US"/>
        </w:rPr>
        <w:t>time of</w:t>
      </w:r>
      <w:r w:rsidRPr="003B4550">
        <w:rPr>
          <w:lang w:val="en-US"/>
        </w:rPr>
        <w:t xml:space="preserve"> </w:t>
      </w:r>
      <w:r>
        <w:rPr>
          <w:lang w:val="en-US"/>
        </w:rPr>
        <w:t xml:space="preserve">fungicide </w:t>
      </w:r>
      <w:r w:rsidRPr="003B4550">
        <w:rPr>
          <w:lang w:val="en-US"/>
        </w:rPr>
        <w:t>application</w:t>
      </w:r>
      <w:r>
        <w:rPr>
          <w:lang w:val="en-US"/>
        </w:rPr>
        <w:t xml:space="preserve"> (after pruning and/or phenological stage D/E) was also evaluated. I</w:t>
      </w:r>
      <w:r w:rsidRPr="00733692">
        <w:rPr>
          <w:lang w:val="en-US"/>
        </w:rPr>
        <w:t>ncidence and severity</w:t>
      </w:r>
      <w:r>
        <w:rPr>
          <w:lang w:val="en-US"/>
        </w:rPr>
        <w:t xml:space="preserve"> of the diseases were assessed</w:t>
      </w:r>
      <w:r w:rsidRPr="0029501C">
        <w:rPr>
          <w:lang w:val="en-US"/>
        </w:rPr>
        <w:t xml:space="preserve"> </w:t>
      </w:r>
      <w:r w:rsidRPr="00733692">
        <w:rPr>
          <w:lang w:val="en-US"/>
        </w:rPr>
        <w:t xml:space="preserve">in </w:t>
      </w:r>
      <w:r>
        <w:rPr>
          <w:lang w:val="en-US"/>
        </w:rPr>
        <w:t xml:space="preserve">a </w:t>
      </w:r>
      <w:r w:rsidRPr="00733692">
        <w:rPr>
          <w:lang w:val="en-US"/>
        </w:rPr>
        <w:t>two years' study</w:t>
      </w:r>
      <w:r>
        <w:rPr>
          <w:lang w:val="en-US"/>
        </w:rPr>
        <w:t>. Difenoconazole, tebuconazole</w:t>
      </w:r>
      <w:r w:rsidRPr="00733692">
        <w:rPr>
          <w:lang w:val="en-US"/>
        </w:rPr>
        <w:t xml:space="preserve"> and copper oxychloride had a significant positive effect in reducing the incidence of diseases. Regarding time</w:t>
      </w:r>
      <w:r>
        <w:rPr>
          <w:lang w:val="en-US"/>
        </w:rPr>
        <w:t xml:space="preserve"> of application</w:t>
      </w:r>
      <w:r w:rsidRPr="00733692">
        <w:rPr>
          <w:lang w:val="en-US"/>
        </w:rPr>
        <w:t xml:space="preserve">, the treatment at </w:t>
      </w:r>
      <w:r>
        <w:rPr>
          <w:lang w:val="en-US"/>
        </w:rPr>
        <w:t>phenological stage D/</w:t>
      </w:r>
      <w:r w:rsidRPr="00733692">
        <w:rPr>
          <w:lang w:val="en-US"/>
        </w:rPr>
        <w:t xml:space="preserve">E was, overall, </w:t>
      </w:r>
      <w:r>
        <w:rPr>
          <w:lang w:val="en-US"/>
        </w:rPr>
        <w:t>the one that reduced most</w:t>
      </w:r>
      <w:r w:rsidRPr="00733692">
        <w:rPr>
          <w:lang w:val="en-US"/>
        </w:rPr>
        <w:t xml:space="preserve"> </w:t>
      </w:r>
      <w:r>
        <w:rPr>
          <w:lang w:val="en-US"/>
        </w:rPr>
        <w:t>the incidence of diseases;</w:t>
      </w:r>
      <w:r w:rsidRPr="00733692">
        <w:rPr>
          <w:lang w:val="en-US"/>
        </w:rPr>
        <w:t xml:space="preserve"> </w:t>
      </w:r>
      <w:r>
        <w:rPr>
          <w:lang w:val="en-US"/>
        </w:rPr>
        <w:t>on the contrary, a</w:t>
      </w:r>
      <w:r w:rsidRPr="003347C1">
        <w:rPr>
          <w:lang w:val="en-GB"/>
        </w:rPr>
        <w:t xml:space="preserve"> significant</w:t>
      </w:r>
      <w:r>
        <w:rPr>
          <w:lang w:val="en-GB"/>
        </w:rPr>
        <w:t xml:space="preserve"> </w:t>
      </w:r>
      <w:r>
        <w:rPr>
          <w:lang w:val="en-US"/>
        </w:rPr>
        <w:t xml:space="preserve">effect in </w:t>
      </w:r>
      <w:r w:rsidRPr="00733692">
        <w:rPr>
          <w:lang w:val="en-US"/>
        </w:rPr>
        <w:t>the severity of disease</w:t>
      </w:r>
      <w:r>
        <w:rPr>
          <w:lang w:val="en-US"/>
        </w:rPr>
        <w:t xml:space="preserve">s was not observed. </w:t>
      </w:r>
      <w:r w:rsidRPr="00733692">
        <w:rPr>
          <w:lang w:val="en-US"/>
        </w:rPr>
        <w:t>For the combined effect of application timing and fungicide treatment results are still inconclusive.</w:t>
      </w:r>
    </w:p>
    <w:p w:rsidR="004F0890" w:rsidRDefault="004F0890" w:rsidP="004F0890">
      <w:pPr>
        <w:pStyle w:val="Estilo1"/>
        <w:rPr>
          <w:lang w:val="en-US"/>
        </w:rPr>
      </w:pPr>
    </w:p>
    <w:p w:rsidR="004F0890" w:rsidRPr="00FE70E1" w:rsidRDefault="004F0890" w:rsidP="004F0890">
      <w:pPr>
        <w:pStyle w:val="Estilo1"/>
        <w:rPr>
          <w:lang w:val="en-US"/>
        </w:rPr>
      </w:pPr>
      <w:r w:rsidRPr="00733692">
        <w:rPr>
          <w:lang w:val="en-US"/>
        </w:rPr>
        <w:t xml:space="preserve">Keywords: </w:t>
      </w:r>
      <w:r w:rsidR="00016F11" w:rsidRPr="00016F11">
        <w:rPr>
          <w:i/>
          <w:lang w:val="en-US"/>
        </w:rPr>
        <w:t>Botryosphaeria</w:t>
      </w:r>
      <w:r w:rsidRPr="00733692">
        <w:rPr>
          <w:lang w:val="en-US"/>
        </w:rPr>
        <w:t xml:space="preserve">ceae, </w:t>
      </w:r>
      <w:r w:rsidRPr="003347C1">
        <w:rPr>
          <w:i/>
          <w:lang w:val="en-US"/>
        </w:rPr>
        <w:t>Phomopsis viticola</w:t>
      </w:r>
      <w:r w:rsidRPr="00733692">
        <w:rPr>
          <w:lang w:val="en-US"/>
        </w:rPr>
        <w:t xml:space="preserve">, </w:t>
      </w:r>
      <w:r>
        <w:rPr>
          <w:lang w:val="en-US"/>
        </w:rPr>
        <w:t>epidemiology, disease control</w:t>
      </w:r>
      <w:r w:rsidRPr="00733692">
        <w:rPr>
          <w:lang w:val="en-US"/>
        </w:rPr>
        <w:t xml:space="preserve">, </w:t>
      </w:r>
      <w:r w:rsidR="00FE70E1" w:rsidRPr="00FE70E1">
        <w:rPr>
          <w:i/>
          <w:lang w:val="en-US"/>
        </w:rPr>
        <w:t>Vitis vinífera</w:t>
      </w:r>
    </w:p>
    <w:p w:rsidR="004F0890" w:rsidRPr="00F23E1F" w:rsidRDefault="004F0890" w:rsidP="004F0890">
      <w:pPr>
        <w:pStyle w:val="Capitulo"/>
        <w:jc w:val="both"/>
        <w:rPr>
          <w:lang w:val="en-US"/>
        </w:rPr>
      </w:pPr>
      <w:bookmarkStart w:id="10" w:name="_Toc264890278"/>
      <w:r w:rsidRPr="00F23E1F">
        <w:rPr>
          <w:lang w:val="en-US"/>
        </w:rPr>
        <w:lastRenderedPageBreak/>
        <w:t>Extended Abstract</w:t>
      </w:r>
      <w:bookmarkEnd w:id="9"/>
      <w:bookmarkEnd w:id="10"/>
    </w:p>
    <w:p w:rsidR="004F0890" w:rsidRDefault="004F0890" w:rsidP="004F0890">
      <w:pPr>
        <w:pStyle w:val="Estilo1"/>
        <w:rPr>
          <w:lang w:val="en-US"/>
        </w:rPr>
      </w:pPr>
      <w:r>
        <w:rPr>
          <w:lang w:val="en-US"/>
        </w:rPr>
        <w:t xml:space="preserve">Species of </w:t>
      </w:r>
      <w:r w:rsidR="00016F11" w:rsidRPr="00016F11">
        <w:rPr>
          <w:i/>
          <w:lang w:val="en-US"/>
        </w:rPr>
        <w:t>Botryosphaeria</w:t>
      </w:r>
      <w:r>
        <w:rPr>
          <w:lang w:val="en-US"/>
        </w:rPr>
        <w:t xml:space="preserve">ceae and </w:t>
      </w:r>
      <w:r w:rsidRPr="003B4550">
        <w:rPr>
          <w:i/>
          <w:lang w:val="en-US"/>
        </w:rPr>
        <w:t>Phomopsis viticola</w:t>
      </w:r>
      <w:r>
        <w:rPr>
          <w:lang w:val="en-US"/>
        </w:rPr>
        <w:t xml:space="preserve"> have been recognized as a major cause of black dead arm and excorioses of grapevines</w:t>
      </w:r>
      <w:r w:rsidRPr="003B4550">
        <w:rPr>
          <w:lang w:val="en-US"/>
        </w:rPr>
        <w:t>.</w:t>
      </w:r>
      <w:r>
        <w:rPr>
          <w:lang w:val="en-US"/>
        </w:rPr>
        <w:t xml:space="preserve"> These fungi also play an important role in grapevine trunk diseases complex. In recent years, these diseases have been responsible for considerable damages and losses in production of table grapes and wine production. For these reasons, it was considered relevant to contribute to epidemiological and control knowledge of these diseases.</w:t>
      </w:r>
    </w:p>
    <w:p w:rsidR="004F0890" w:rsidRDefault="004F0890" w:rsidP="004F0890">
      <w:pPr>
        <w:pStyle w:val="Estilo1"/>
        <w:rPr>
          <w:rFonts w:cs="Arial"/>
          <w:lang w:val="en-US"/>
        </w:rPr>
      </w:pPr>
      <w:r>
        <w:rPr>
          <w:rFonts w:cs="Arial"/>
          <w:lang w:val="en-US"/>
        </w:rPr>
        <w:t>T</w:t>
      </w:r>
      <w:r w:rsidRPr="00A507D9">
        <w:rPr>
          <w:rFonts w:cs="Arial"/>
          <w:lang w:val="en-US"/>
        </w:rPr>
        <w:t xml:space="preserve">he main objective </w:t>
      </w:r>
      <w:r>
        <w:rPr>
          <w:rFonts w:cs="Arial"/>
          <w:lang w:val="en-US"/>
        </w:rPr>
        <w:t xml:space="preserve">of the </w:t>
      </w:r>
      <w:r>
        <w:rPr>
          <w:lang w:val="en-US"/>
        </w:rPr>
        <w:t>epidemiological studies</w:t>
      </w:r>
      <w:r w:rsidRPr="00A507D9">
        <w:rPr>
          <w:rFonts w:cs="Arial"/>
          <w:lang w:val="en-US"/>
        </w:rPr>
        <w:t xml:space="preserve"> was to relate the spores of fungi</w:t>
      </w:r>
      <w:r>
        <w:rPr>
          <w:rFonts w:cs="Arial"/>
          <w:lang w:val="en-US"/>
        </w:rPr>
        <w:t xml:space="preserve"> captured with </w:t>
      </w:r>
      <w:r w:rsidRPr="00A507D9">
        <w:rPr>
          <w:rFonts w:cs="Arial"/>
          <w:lang w:val="en-US"/>
        </w:rPr>
        <w:t>the potential influence of meteorological factors</w:t>
      </w:r>
      <w:r>
        <w:rPr>
          <w:rFonts w:cs="Arial"/>
          <w:lang w:val="en-US"/>
        </w:rPr>
        <w:t>, such as temperature and rainfall</w:t>
      </w:r>
      <w:r w:rsidRPr="00A507D9">
        <w:rPr>
          <w:rFonts w:cs="Arial"/>
          <w:lang w:val="en-US"/>
        </w:rPr>
        <w:t>.</w:t>
      </w:r>
      <w:r w:rsidRPr="003D7D41">
        <w:rPr>
          <w:rFonts w:cs="Arial"/>
          <w:lang w:val="en-US"/>
        </w:rPr>
        <w:t xml:space="preserve"> </w:t>
      </w:r>
      <w:r w:rsidRPr="00A507D9">
        <w:rPr>
          <w:rFonts w:cs="Arial"/>
          <w:lang w:val="en-US"/>
        </w:rPr>
        <w:t>In order to do that</w:t>
      </w:r>
      <w:r w:rsidRPr="0039248D">
        <w:rPr>
          <w:rFonts w:cs="Arial"/>
          <w:lang w:val="en-US"/>
        </w:rPr>
        <w:t xml:space="preserve">, it was </w:t>
      </w:r>
      <w:r>
        <w:rPr>
          <w:rFonts w:cs="Arial"/>
          <w:lang w:val="en-US"/>
        </w:rPr>
        <w:t xml:space="preserve">established a field trial in a vineyard located in Estremoz, Alentejo. Twenty </w:t>
      </w:r>
      <w:r w:rsidRPr="0039248D">
        <w:rPr>
          <w:rFonts w:cs="Arial"/>
          <w:lang w:val="en-US"/>
        </w:rPr>
        <w:t xml:space="preserve">spore-trap slides </w:t>
      </w:r>
      <w:r>
        <w:rPr>
          <w:rFonts w:cs="Arial"/>
          <w:lang w:val="en-US"/>
        </w:rPr>
        <w:t>were randomly distributed in a total of 540 grapevine plants of cv. Aragonês. S</w:t>
      </w:r>
      <w:r w:rsidRPr="00A507D9">
        <w:rPr>
          <w:rFonts w:cs="Arial"/>
          <w:lang w:val="en-US"/>
        </w:rPr>
        <w:t xml:space="preserve">pore-trap slides were covered with </w:t>
      </w:r>
      <w:r>
        <w:rPr>
          <w:rFonts w:cs="Arial"/>
          <w:lang w:val="en-US"/>
        </w:rPr>
        <w:t>a thin layer of petroleum jelly</w:t>
      </w:r>
      <w:r w:rsidRPr="00A507D9">
        <w:rPr>
          <w:rFonts w:cs="Arial"/>
          <w:lang w:val="en-US"/>
        </w:rPr>
        <w:t xml:space="preserve"> and changed </w:t>
      </w:r>
      <w:r>
        <w:rPr>
          <w:rFonts w:cs="Arial"/>
          <w:lang w:val="en-US"/>
        </w:rPr>
        <w:t>twice a month</w:t>
      </w:r>
      <w:r w:rsidRPr="0039248D">
        <w:rPr>
          <w:rFonts w:cs="Arial"/>
          <w:lang w:val="en-US"/>
        </w:rPr>
        <w:t xml:space="preserve"> </w:t>
      </w:r>
      <w:r w:rsidRPr="00A507D9">
        <w:rPr>
          <w:rFonts w:cs="Arial"/>
          <w:lang w:val="en-US"/>
        </w:rPr>
        <w:t xml:space="preserve">between </w:t>
      </w:r>
      <w:r>
        <w:rPr>
          <w:rFonts w:cs="Arial"/>
          <w:lang w:val="en-US"/>
        </w:rPr>
        <w:t xml:space="preserve">January 2008 </w:t>
      </w:r>
      <w:r w:rsidRPr="00A507D9">
        <w:rPr>
          <w:rFonts w:cs="Arial"/>
          <w:lang w:val="en-US"/>
        </w:rPr>
        <w:t xml:space="preserve">and </w:t>
      </w:r>
      <w:r>
        <w:rPr>
          <w:rFonts w:cs="Arial"/>
          <w:lang w:val="en-US"/>
        </w:rPr>
        <w:t>June 2009</w:t>
      </w:r>
      <w:r w:rsidRPr="00A507D9">
        <w:rPr>
          <w:rFonts w:cs="Arial"/>
          <w:lang w:val="en-US"/>
        </w:rPr>
        <w:t>, then processed in the laboratory for fungal identification.</w:t>
      </w:r>
      <w:r>
        <w:rPr>
          <w:rFonts w:cs="Arial"/>
          <w:lang w:val="en-US"/>
        </w:rPr>
        <w:t xml:space="preserve"> </w:t>
      </w:r>
    </w:p>
    <w:p w:rsidR="004F0890" w:rsidRPr="006F73D8" w:rsidRDefault="004F0890" w:rsidP="004F0890">
      <w:pPr>
        <w:pStyle w:val="Estilo1"/>
        <w:rPr>
          <w:rFonts w:cs="Arial"/>
          <w:lang w:val="en-US"/>
        </w:rPr>
      </w:pPr>
      <w:r>
        <w:rPr>
          <w:rFonts w:cs="Arial"/>
          <w:lang w:val="en-US"/>
        </w:rPr>
        <w:t xml:space="preserve">During the study period, spore discharge of </w:t>
      </w:r>
      <w:r w:rsidR="00016F11" w:rsidRPr="00016F11">
        <w:rPr>
          <w:rFonts w:cs="Arial"/>
          <w:i/>
          <w:lang w:val="en-US"/>
        </w:rPr>
        <w:t>Botryosphaeria</w:t>
      </w:r>
      <w:r>
        <w:rPr>
          <w:rFonts w:cs="Arial"/>
          <w:lang w:val="en-US"/>
        </w:rPr>
        <w:t xml:space="preserve">ceae occurred from first winter rain through the last spring rains, coinciding approximately with the months of December to May. However, based on the results obtained from the spore traps, most spores were trapped following rain events, which coincide with grapevine pruning season and the beginning of growing season. </w:t>
      </w:r>
      <w:r>
        <w:rPr>
          <w:lang w:val="en-US"/>
        </w:rPr>
        <w:t>Average monthly t</w:t>
      </w:r>
      <w:r w:rsidRPr="00D1710B">
        <w:rPr>
          <w:lang w:val="en-US"/>
        </w:rPr>
        <w:t xml:space="preserve">emperature </w:t>
      </w:r>
      <w:r>
        <w:rPr>
          <w:lang w:val="en-US"/>
        </w:rPr>
        <w:t>varied from 7.</w:t>
      </w:r>
      <w:r w:rsidRPr="00D1710B">
        <w:rPr>
          <w:lang w:val="en-US"/>
        </w:rPr>
        <w:t>5ºC</w:t>
      </w:r>
      <w:r>
        <w:rPr>
          <w:lang w:val="en-US"/>
        </w:rPr>
        <w:t xml:space="preserve"> to 14.</w:t>
      </w:r>
      <w:r w:rsidRPr="00D1710B">
        <w:rPr>
          <w:lang w:val="en-US"/>
        </w:rPr>
        <w:t xml:space="preserve">5ºC and </w:t>
      </w:r>
      <w:r>
        <w:rPr>
          <w:lang w:val="en-US"/>
        </w:rPr>
        <w:t xml:space="preserve">was not a limiting factor to spore release. </w:t>
      </w:r>
    </w:p>
    <w:p w:rsidR="004F0890" w:rsidRDefault="004F0890" w:rsidP="004F0890">
      <w:pPr>
        <w:pStyle w:val="Estilo1"/>
        <w:rPr>
          <w:rFonts w:cs="Arial"/>
          <w:lang w:val="en-US"/>
        </w:rPr>
      </w:pPr>
      <w:r w:rsidRPr="00601677">
        <w:rPr>
          <w:lang w:val="en-US"/>
        </w:rPr>
        <w:t>Concerning control measures,</w:t>
      </w:r>
      <w:r w:rsidRPr="00601677">
        <w:rPr>
          <w:rFonts w:cs="Arial"/>
          <w:lang w:val="en-US"/>
        </w:rPr>
        <w:t xml:space="preserve"> </w:t>
      </w:r>
      <w:r>
        <w:rPr>
          <w:lang w:val="en-US"/>
        </w:rPr>
        <w:t>a two</w:t>
      </w:r>
      <w:r w:rsidRPr="00601677">
        <w:rPr>
          <w:lang w:val="en-US"/>
        </w:rPr>
        <w:t>-year tria</w:t>
      </w:r>
      <w:r>
        <w:rPr>
          <w:lang w:val="en-US"/>
        </w:rPr>
        <w:t xml:space="preserve">l was conducted </w:t>
      </w:r>
      <w:r w:rsidRPr="00601677">
        <w:rPr>
          <w:rFonts w:cs="Arial"/>
          <w:lang w:val="en-US"/>
        </w:rPr>
        <w:t xml:space="preserve">in a </w:t>
      </w:r>
      <w:r>
        <w:rPr>
          <w:rFonts w:cs="Arial"/>
          <w:lang w:val="en-US"/>
        </w:rPr>
        <w:t xml:space="preserve">12 years old </w:t>
      </w:r>
      <w:r w:rsidRPr="00601677">
        <w:rPr>
          <w:rFonts w:cs="Arial"/>
          <w:lang w:val="en-US"/>
        </w:rPr>
        <w:t>vineyard of cv. Aragonês</w:t>
      </w:r>
      <w:r>
        <w:rPr>
          <w:rFonts w:cs="Arial"/>
          <w:lang w:val="en-US"/>
        </w:rPr>
        <w:t>,</w:t>
      </w:r>
      <w:r w:rsidRPr="00601677">
        <w:rPr>
          <w:rFonts w:cs="Arial"/>
          <w:lang w:val="en-US"/>
        </w:rPr>
        <w:t xml:space="preserve"> in </w:t>
      </w:r>
      <w:r>
        <w:rPr>
          <w:rFonts w:cs="Arial"/>
          <w:lang w:val="en-US"/>
        </w:rPr>
        <w:t xml:space="preserve">Alentejo. </w:t>
      </w:r>
      <w:r>
        <w:rPr>
          <w:lang w:val="en-US"/>
        </w:rPr>
        <w:t>T</w:t>
      </w:r>
      <w:r w:rsidRPr="00601677">
        <w:rPr>
          <w:lang w:val="en-US"/>
        </w:rPr>
        <w:t>he efficacy of fungicides (ciprodinil + fludioxonil,</w:t>
      </w:r>
      <w:r w:rsidRPr="00F50600">
        <w:rPr>
          <w:bCs/>
          <w:lang w:val="en-US"/>
        </w:rPr>
        <w:t xml:space="preserve"> </w:t>
      </w:r>
      <w:r>
        <w:rPr>
          <w:bCs/>
          <w:lang w:val="en-US"/>
        </w:rPr>
        <w:t>azoxystrobin</w:t>
      </w:r>
      <w:r w:rsidRPr="00F50600">
        <w:rPr>
          <w:bCs/>
          <w:lang w:val="en-US"/>
        </w:rPr>
        <w:t xml:space="preserve">, </w:t>
      </w:r>
      <w:r w:rsidRPr="004A139C">
        <w:rPr>
          <w:rStyle w:val="nfase"/>
          <w:rFonts w:cs="Arial"/>
          <w:b w:val="0"/>
          <w:color w:val="000000"/>
          <w:lang w:val="en-US"/>
        </w:rPr>
        <w:t>copper oxychloride</w:t>
      </w:r>
      <w:r w:rsidRPr="00F50600">
        <w:rPr>
          <w:bCs/>
          <w:lang w:val="en-US"/>
        </w:rPr>
        <w:t>,</w:t>
      </w:r>
      <w:r w:rsidRPr="00F50600">
        <w:rPr>
          <w:lang w:val="en-US"/>
        </w:rPr>
        <w:t xml:space="preserve"> tebuconazol</w:t>
      </w:r>
      <w:r>
        <w:rPr>
          <w:lang w:val="en-US"/>
        </w:rPr>
        <w:t>e</w:t>
      </w:r>
      <w:r w:rsidRPr="00F50600">
        <w:rPr>
          <w:bCs/>
          <w:lang w:val="en-US"/>
        </w:rPr>
        <w:t xml:space="preserve"> e </w:t>
      </w:r>
      <w:r w:rsidRPr="0029501C">
        <w:rPr>
          <w:rFonts w:cs="Arial"/>
          <w:lang w:val="en-US"/>
        </w:rPr>
        <w:t>difenoconazole</w:t>
      </w:r>
      <w:r w:rsidRPr="00F50600">
        <w:rPr>
          <w:bCs/>
          <w:lang w:val="en-US"/>
        </w:rPr>
        <w:t>)</w:t>
      </w:r>
      <w:r>
        <w:rPr>
          <w:bCs/>
          <w:lang w:val="en-US"/>
        </w:rPr>
        <w:t xml:space="preserve"> </w:t>
      </w:r>
      <w:r w:rsidRPr="003B4550">
        <w:rPr>
          <w:lang w:val="en-US"/>
        </w:rPr>
        <w:t xml:space="preserve">and </w:t>
      </w:r>
      <w:r>
        <w:rPr>
          <w:lang w:val="en-US"/>
        </w:rPr>
        <w:t>three timings of</w:t>
      </w:r>
      <w:r w:rsidRPr="003B4550">
        <w:rPr>
          <w:lang w:val="en-US"/>
        </w:rPr>
        <w:t xml:space="preserve"> application</w:t>
      </w:r>
      <w:r w:rsidRPr="000D4D89">
        <w:rPr>
          <w:lang w:val="en-US"/>
        </w:rPr>
        <w:t xml:space="preserve"> </w:t>
      </w:r>
      <w:r>
        <w:rPr>
          <w:lang w:val="en-US"/>
        </w:rPr>
        <w:t xml:space="preserve">against </w:t>
      </w:r>
      <w:r w:rsidR="00016F11" w:rsidRPr="00016F11">
        <w:rPr>
          <w:i/>
          <w:lang w:val="en-US"/>
        </w:rPr>
        <w:t>Botryosphaeria</w:t>
      </w:r>
      <w:r>
        <w:rPr>
          <w:lang w:val="en-US"/>
        </w:rPr>
        <w:t xml:space="preserve">ceae and </w:t>
      </w:r>
      <w:r w:rsidRPr="003B4550">
        <w:rPr>
          <w:i/>
          <w:lang w:val="en-US"/>
        </w:rPr>
        <w:t>Phomopsis viticola</w:t>
      </w:r>
      <w:r w:rsidRPr="00FA1C67">
        <w:rPr>
          <w:lang w:val="en-US"/>
        </w:rPr>
        <w:t xml:space="preserve"> </w:t>
      </w:r>
      <w:r>
        <w:rPr>
          <w:lang w:val="en-US"/>
        </w:rPr>
        <w:t>were evaluated.</w:t>
      </w:r>
      <w:r w:rsidRPr="003B4550">
        <w:rPr>
          <w:lang w:val="en-US"/>
        </w:rPr>
        <w:t xml:space="preserve"> </w:t>
      </w:r>
      <w:r>
        <w:rPr>
          <w:lang w:val="en-US"/>
        </w:rPr>
        <w:t>A total of 18 treatment combinations (six products x</w:t>
      </w:r>
      <w:r w:rsidRPr="003F5491">
        <w:rPr>
          <w:lang w:val="en-US"/>
        </w:rPr>
        <w:t xml:space="preserve"> </w:t>
      </w:r>
      <w:r>
        <w:rPr>
          <w:lang w:val="en-US"/>
        </w:rPr>
        <w:t>three time of</w:t>
      </w:r>
      <w:r w:rsidRPr="003B4550">
        <w:rPr>
          <w:lang w:val="en-US"/>
        </w:rPr>
        <w:t xml:space="preserve"> application</w:t>
      </w:r>
      <w:r>
        <w:rPr>
          <w:lang w:val="en-US"/>
        </w:rPr>
        <w:t xml:space="preserve">) were applied on grapevines in a completely randomized design. Ten replications for each treatment and three plants for each experimental replicate were used completing a total of 540 grapevine plants (18x10x3). In control treatment the plants were water-treated. </w:t>
      </w:r>
      <w:r>
        <w:rPr>
          <w:rFonts w:cs="Arial"/>
          <w:lang w:val="en-US"/>
        </w:rPr>
        <w:t xml:space="preserve">In dormant season, fungicides were sprayed just after the pruning of grapevines and in growing season at </w:t>
      </w:r>
      <w:r>
        <w:rPr>
          <w:lang w:val="en-US"/>
        </w:rPr>
        <w:t>phenological stage D/E</w:t>
      </w:r>
      <w:r>
        <w:rPr>
          <w:rFonts w:cs="Arial"/>
          <w:lang w:val="en-US"/>
        </w:rPr>
        <w:t xml:space="preserve">. </w:t>
      </w:r>
    </w:p>
    <w:p w:rsidR="004F0890" w:rsidRDefault="004F0890" w:rsidP="004F0890">
      <w:pPr>
        <w:pStyle w:val="Estilo1"/>
        <w:rPr>
          <w:rFonts w:cs="Arial"/>
          <w:iCs/>
          <w:lang w:val="en-US"/>
        </w:rPr>
      </w:pPr>
      <w:r w:rsidRPr="0050543F">
        <w:rPr>
          <w:rFonts w:cs="Arial"/>
          <w:bCs/>
          <w:iCs/>
          <w:lang w:val="en-US"/>
        </w:rPr>
        <w:t xml:space="preserve">Each year, during late spring, vines were visually evaluated for </w:t>
      </w:r>
      <w:r w:rsidRPr="0050543F">
        <w:rPr>
          <w:rFonts w:cs="Arial"/>
          <w:lang w:val="en-US"/>
        </w:rPr>
        <w:t>the percentage of infected shoots (incidence)</w:t>
      </w:r>
      <w:r w:rsidRPr="0050543F">
        <w:rPr>
          <w:rFonts w:cs="Arial"/>
          <w:bCs/>
          <w:iCs/>
          <w:lang w:val="en-US"/>
        </w:rPr>
        <w:t xml:space="preserve"> and </w:t>
      </w:r>
      <w:r w:rsidRPr="0050543F">
        <w:rPr>
          <w:rFonts w:cs="Arial"/>
          <w:lang w:val="en-US"/>
        </w:rPr>
        <w:t>diseased area along each shoot</w:t>
      </w:r>
      <w:r w:rsidRPr="0050543F">
        <w:rPr>
          <w:rFonts w:cs="Arial"/>
          <w:bCs/>
          <w:iCs/>
          <w:lang w:val="en-US"/>
        </w:rPr>
        <w:t xml:space="preserve"> (severity).</w:t>
      </w:r>
      <w:r w:rsidRPr="0050543F">
        <w:rPr>
          <w:rFonts w:cs="Arial"/>
          <w:lang w:val="en-US"/>
        </w:rPr>
        <w:t xml:space="preserve"> </w:t>
      </w:r>
      <w:r w:rsidRPr="0050543F">
        <w:rPr>
          <w:lang w:val="en-US"/>
        </w:rPr>
        <w:t>Data from each field and year were analyzed separately.</w:t>
      </w:r>
      <w:r w:rsidRPr="0050543F">
        <w:rPr>
          <w:rFonts w:cs="Arial"/>
          <w:iCs/>
          <w:lang w:val="en-US"/>
        </w:rPr>
        <w:t xml:space="preserve"> </w:t>
      </w:r>
    </w:p>
    <w:p w:rsidR="004F0890" w:rsidRDefault="004F0890" w:rsidP="004F0890">
      <w:pPr>
        <w:pStyle w:val="Estilo1"/>
        <w:rPr>
          <w:lang w:val="en-US"/>
        </w:rPr>
      </w:pPr>
      <w:r w:rsidRPr="00733692">
        <w:rPr>
          <w:lang w:val="en-US"/>
        </w:rPr>
        <w:lastRenderedPageBreak/>
        <w:t xml:space="preserve">Regarding </w:t>
      </w:r>
      <w:r w:rsidRPr="00554179">
        <w:rPr>
          <w:lang w:val="en-US"/>
        </w:rPr>
        <w:t>application timing</w:t>
      </w:r>
      <w:r w:rsidRPr="00733692">
        <w:rPr>
          <w:lang w:val="en-US"/>
        </w:rPr>
        <w:t xml:space="preserve">, the treatment at </w:t>
      </w:r>
      <w:r>
        <w:rPr>
          <w:lang w:val="en-US"/>
        </w:rPr>
        <w:t>phenological stage D/</w:t>
      </w:r>
      <w:r w:rsidRPr="00733692">
        <w:rPr>
          <w:lang w:val="en-US"/>
        </w:rPr>
        <w:t xml:space="preserve">E was, overall, </w:t>
      </w:r>
      <w:r>
        <w:rPr>
          <w:lang w:val="en-US"/>
        </w:rPr>
        <w:t>the one that caused the most reduction inthe incidence of the diseases;</w:t>
      </w:r>
      <w:r w:rsidRPr="00733692">
        <w:rPr>
          <w:lang w:val="en-US"/>
        </w:rPr>
        <w:t xml:space="preserve"> </w:t>
      </w:r>
      <w:r>
        <w:rPr>
          <w:lang w:val="en-US"/>
        </w:rPr>
        <w:t>on the contrary, a</w:t>
      </w:r>
      <w:r w:rsidRPr="003347C1">
        <w:rPr>
          <w:lang w:val="en-GB"/>
        </w:rPr>
        <w:t xml:space="preserve"> significant</w:t>
      </w:r>
      <w:r>
        <w:rPr>
          <w:lang w:val="en-GB"/>
        </w:rPr>
        <w:t xml:space="preserve"> </w:t>
      </w:r>
      <w:r>
        <w:rPr>
          <w:lang w:val="en-US"/>
        </w:rPr>
        <w:t xml:space="preserve">effect in </w:t>
      </w:r>
      <w:r w:rsidRPr="00733692">
        <w:rPr>
          <w:lang w:val="en-US"/>
        </w:rPr>
        <w:t>the severity of disease</w:t>
      </w:r>
      <w:r>
        <w:rPr>
          <w:lang w:val="en-US"/>
        </w:rPr>
        <w:t xml:space="preserve">s was not observed. </w:t>
      </w:r>
    </w:p>
    <w:p w:rsidR="004F0890" w:rsidRPr="00532A97" w:rsidRDefault="004F0890" w:rsidP="004F0890">
      <w:pPr>
        <w:pStyle w:val="Estilo1"/>
        <w:rPr>
          <w:lang w:val="en-US"/>
        </w:rPr>
      </w:pPr>
      <w:r w:rsidRPr="00C50C30">
        <w:rPr>
          <w:lang w:val="en-US"/>
        </w:rPr>
        <w:t xml:space="preserve">Concerning the efficacy of fungicides, difenoconazole, tebuconazole and copper oxychloride had a significant positive effect in reducing the incidence of diseases. </w:t>
      </w:r>
      <w:r w:rsidRPr="00532A97">
        <w:rPr>
          <w:lang w:val="en-US"/>
        </w:rPr>
        <w:t>Regarding severit</w:t>
      </w:r>
      <w:r>
        <w:rPr>
          <w:lang w:val="en-US"/>
        </w:rPr>
        <w:t xml:space="preserve">y of diseases, difenoconazole, </w:t>
      </w:r>
      <w:r w:rsidRPr="00532A97">
        <w:rPr>
          <w:lang w:val="en-US"/>
        </w:rPr>
        <w:t xml:space="preserve">ciprodinil+fludioxonil and copper oxychloride were the fungicides that significantly reduced </w:t>
      </w:r>
      <w:r>
        <w:rPr>
          <w:lang w:val="en-US"/>
        </w:rPr>
        <w:t>it.</w:t>
      </w:r>
    </w:p>
    <w:p w:rsidR="004F0890" w:rsidRPr="00554179" w:rsidRDefault="004F0890" w:rsidP="004F0890">
      <w:pPr>
        <w:pStyle w:val="Estilo1"/>
        <w:rPr>
          <w:lang w:val="en-US"/>
        </w:rPr>
      </w:pPr>
      <w:r w:rsidRPr="00554179">
        <w:rPr>
          <w:lang w:val="en-US"/>
        </w:rPr>
        <w:t>For the combined effect of application timing and fungicide treatment</w:t>
      </w:r>
      <w:r>
        <w:rPr>
          <w:lang w:val="en-US"/>
        </w:rPr>
        <w:t xml:space="preserve"> results were still inconclusive</w:t>
      </w:r>
      <w:r w:rsidRPr="00554179">
        <w:rPr>
          <w:lang w:val="en-US"/>
        </w:rPr>
        <w:t>.</w:t>
      </w:r>
    </w:p>
    <w:p w:rsidR="001A146F" w:rsidRPr="00532A97" w:rsidRDefault="001A146F" w:rsidP="001A146F">
      <w:pPr>
        <w:pStyle w:val="Default"/>
        <w:rPr>
          <w:sz w:val="20"/>
          <w:szCs w:val="20"/>
          <w:lang w:val="en-US"/>
        </w:rPr>
      </w:pPr>
    </w:p>
    <w:p w:rsidR="00277AB0" w:rsidRPr="00532A97" w:rsidRDefault="00277AB0" w:rsidP="00F23E1F">
      <w:pPr>
        <w:pStyle w:val="Capitulo"/>
        <w:rPr>
          <w:lang w:val="en-US"/>
        </w:rPr>
        <w:sectPr w:rsidR="00277AB0" w:rsidRPr="00532A97" w:rsidSect="00277AB0">
          <w:headerReference w:type="default" r:id="rId11"/>
          <w:footerReference w:type="default" r:id="rId12"/>
          <w:pgSz w:w="11906" w:h="16838"/>
          <w:pgMar w:top="1418" w:right="1418" w:bottom="1418" w:left="1418" w:header="709" w:footer="709" w:gutter="0"/>
          <w:pgNumType w:fmt="upperRoman" w:start="1"/>
          <w:cols w:space="708"/>
          <w:docGrid w:linePitch="360"/>
        </w:sectPr>
      </w:pPr>
    </w:p>
    <w:p w:rsidR="007A2A0E" w:rsidRPr="00277AB0" w:rsidRDefault="007A2A0E" w:rsidP="00277AB0">
      <w:pPr>
        <w:pStyle w:val="Ttulo1"/>
      </w:pPr>
      <w:bookmarkStart w:id="11" w:name="_Toc264890279"/>
      <w:r w:rsidRPr="00277AB0">
        <w:lastRenderedPageBreak/>
        <w:t>Introdução</w:t>
      </w:r>
      <w:bookmarkEnd w:id="11"/>
    </w:p>
    <w:p w:rsidR="00F40609" w:rsidRPr="00F40609" w:rsidRDefault="00F40609" w:rsidP="00F40609">
      <w:pPr>
        <w:spacing w:after="240"/>
      </w:pPr>
      <w:r w:rsidRPr="00F40609">
        <w:t>As doenças do lenho são, presentemente, uma grande preocupação para a viticultura, devido aos graves efeitos que causam na pr</w:t>
      </w:r>
      <w:r w:rsidR="00BA5008">
        <w:t>odução, comprometendo até a longevidade</w:t>
      </w:r>
      <w:r w:rsidRPr="00F40609">
        <w:t xml:space="preserve"> das próprias plantas. Os prejuízos são preocupantes a nível mundial, devido à dificuldade nos meios de luta e ao difícil conhecimento dos agentes causais. O presente estudo visa as doenças causadas por fungos </w:t>
      </w:r>
      <w:r w:rsidR="00016F11" w:rsidRPr="00016F11">
        <w:rPr>
          <w:i/>
        </w:rPr>
        <w:t>Botryosphaeria</w:t>
      </w:r>
      <w:r w:rsidR="00717638" w:rsidRPr="00F40609">
        <w:rPr>
          <w:i/>
        </w:rPr>
        <w:t>ceae</w:t>
      </w:r>
      <w:r w:rsidRPr="00F40609">
        <w:t xml:space="preserve"> e do género </w:t>
      </w:r>
      <w:r w:rsidRPr="00F40609">
        <w:rPr>
          <w:i/>
        </w:rPr>
        <w:t>Phomopsis</w:t>
      </w:r>
      <w:r w:rsidR="00717638">
        <w:rPr>
          <w:i/>
        </w:rPr>
        <w:t xml:space="preserve"> </w:t>
      </w:r>
      <w:r w:rsidR="00717638" w:rsidRPr="00717638">
        <w:t>Sacc.</w:t>
      </w:r>
      <w:r w:rsidRPr="00F40609">
        <w:rPr>
          <w:i/>
        </w:rPr>
        <w:t>,</w:t>
      </w:r>
      <w:r w:rsidRPr="00F40609">
        <w:t xml:space="preserve"> razão pela qual são apresentados, pela mesma ordem, nesta introdução.</w:t>
      </w:r>
    </w:p>
    <w:p w:rsidR="00F40609" w:rsidRPr="00FE70E1" w:rsidRDefault="00F40609" w:rsidP="00F40609">
      <w:pPr>
        <w:spacing w:after="240"/>
      </w:pPr>
      <w:r w:rsidRPr="00F40609">
        <w:t xml:space="preserve">O género </w:t>
      </w:r>
      <w:r w:rsidR="00016F11" w:rsidRPr="00016F11">
        <w:rPr>
          <w:i/>
        </w:rPr>
        <w:t>Botryosphaeria</w:t>
      </w:r>
      <w:r w:rsidRPr="00F40609">
        <w:t xml:space="preserve"> Ces. &amp; De Not. foi introduzido em 1863 (Cesati &amp; De Notaris 1863), rectificado por Saccardo (1877), e baseia-se na espécie tipo </w:t>
      </w:r>
      <w:r w:rsidR="00016F11" w:rsidRPr="00016F11">
        <w:rPr>
          <w:i/>
        </w:rPr>
        <w:t>Botryosphaeria</w:t>
      </w:r>
      <w:r w:rsidRPr="00F40609">
        <w:t xml:space="preserve"> (Moug.: Fr.). Ces. &amp; De Not. (Barr 1972, Slippers </w:t>
      </w:r>
      <w:r w:rsidR="006F2254" w:rsidRPr="006F2254">
        <w:rPr>
          <w:i/>
        </w:rPr>
        <w:t>et al.</w:t>
      </w:r>
      <w:r w:rsidRPr="00F40609">
        <w:t xml:space="preserve"> 2004). </w:t>
      </w:r>
      <w:r w:rsidR="00016F11" w:rsidRPr="00016F11">
        <w:rPr>
          <w:i/>
        </w:rPr>
        <w:t>Botryosphaeria</w:t>
      </w:r>
      <w:r w:rsidRPr="00F40609">
        <w:t xml:space="preserve"> é um género </w:t>
      </w:r>
      <w:r w:rsidR="00EC1473">
        <w:t xml:space="preserve">que inclui um grande número de espécies </w:t>
      </w:r>
      <w:r w:rsidRPr="00F40609">
        <w:t xml:space="preserve">(Denman </w:t>
      </w:r>
      <w:r w:rsidR="006F2254" w:rsidRPr="006F2254">
        <w:rPr>
          <w:i/>
        </w:rPr>
        <w:t>et al.</w:t>
      </w:r>
      <w:r w:rsidRPr="00F40609">
        <w:t>, 2000</w:t>
      </w:r>
      <w:r w:rsidRPr="00FE70E1">
        <w:t xml:space="preserve">) </w:t>
      </w:r>
      <w:r w:rsidR="00EC1473" w:rsidRPr="00FE70E1">
        <w:t>com</w:t>
      </w:r>
      <w:r w:rsidR="00350ECB" w:rsidRPr="00FE70E1">
        <w:t xml:space="preserve"> </w:t>
      </w:r>
      <w:r w:rsidRPr="00FE70E1">
        <w:t>ampla distribuição geográfica</w:t>
      </w:r>
      <w:r w:rsidRPr="00FE70E1">
        <w:rPr>
          <w:vertAlign w:val="superscript"/>
        </w:rPr>
        <w:t xml:space="preserve"> </w:t>
      </w:r>
      <w:r w:rsidRPr="00FE70E1">
        <w:t xml:space="preserve">(Barr, 1972, </w:t>
      </w:r>
      <w:r w:rsidR="00350ECB" w:rsidRPr="00FE70E1">
        <w:t>1987). Os sintomas causados por</w:t>
      </w:r>
      <w:r w:rsidRPr="00FE70E1">
        <w:t xml:space="preserve"> </w:t>
      </w:r>
      <w:r w:rsidR="00016F11" w:rsidRPr="00FE70E1">
        <w:rPr>
          <w:i/>
          <w:iCs/>
        </w:rPr>
        <w:t>Botryosphaeria</w:t>
      </w:r>
      <w:r w:rsidRPr="00FE70E1">
        <w:rPr>
          <w:vertAlign w:val="superscript"/>
        </w:rPr>
        <w:t xml:space="preserve"> </w:t>
      </w:r>
      <w:r w:rsidRPr="00FE70E1">
        <w:t>em videiras incluem mort</w:t>
      </w:r>
      <w:r w:rsidR="00EC1473" w:rsidRPr="00FE70E1">
        <w:t>e</w:t>
      </w:r>
      <w:r w:rsidRPr="00FE70E1">
        <w:t xml:space="preserve"> dos gomos, declínio, “die-back” do tronco e dos ramos, necroses no lenho e nalguns casos podridões dos bagos (Castillo-Pando </w:t>
      </w:r>
      <w:r w:rsidR="006F2254" w:rsidRPr="00FE70E1">
        <w:rPr>
          <w:i/>
        </w:rPr>
        <w:t>et al.</w:t>
      </w:r>
      <w:r w:rsidRPr="00FE70E1">
        <w:t>, 2001; Lehoczky, 1988;</w:t>
      </w:r>
      <w:r w:rsidRPr="00FE70E1">
        <w:rPr>
          <w:vertAlign w:val="superscript"/>
        </w:rPr>
        <w:t xml:space="preserve"> </w:t>
      </w:r>
      <w:r w:rsidRPr="00FE70E1">
        <w:t>Phillips, 1998, 2000). Várias espécies</w:t>
      </w:r>
      <w:r w:rsidRPr="00FE70E1">
        <w:rPr>
          <w:vertAlign w:val="superscript"/>
        </w:rPr>
        <w:t xml:space="preserve"> </w:t>
      </w:r>
      <w:r w:rsidRPr="00FE70E1">
        <w:t>consideradas saprófitas têm sido encontradas nas</w:t>
      </w:r>
      <w:r w:rsidRPr="00FE70E1">
        <w:rPr>
          <w:vertAlign w:val="superscript"/>
        </w:rPr>
        <w:t xml:space="preserve"> </w:t>
      </w:r>
      <w:r w:rsidRPr="00FE70E1">
        <w:t>videiras, mas algumas foram consideradas graves patogéneos</w:t>
      </w:r>
      <w:r w:rsidRPr="00FE70E1">
        <w:rPr>
          <w:vertAlign w:val="superscript"/>
        </w:rPr>
        <w:t xml:space="preserve"> </w:t>
      </w:r>
      <w:r w:rsidRPr="00FE70E1">
        <w:t xml:space="preserve">deste hospedeiro. As espécies de </w:t>
      </w:r>
      <w:r w:rsidR="00016F11" w:rsidRPr="00FE70E1">
        <w:rPr>
          <w:i/>
          <w:iCs/>
        </w:rPr>
        <w:t>Botryosphaeria</w:t>
      </w:r>
      <w:r w:rsidRPr="00FE70E1">
        <w:t xml:space="preserve"> infectam facilmente feridas,</w:t>
      </w:r>
      <w:r w:rsidRPr="00FE70E1">
        <w:rPr>
          <w:vertAlign w:val="superscript"/>
        </w:rPr>
        <w:t xml:space="preserve"> </w:t>
      </w:r>
      <w:r w:rsidRPr="00FE70E1">
        <w:t>e, no caso de videiras isso é especialmente verificável através das feridas de poda</w:t>
      </w:r>
      <w:r w:rsidRPr="00FE70E1">
        <w:rPr>
          <w:vertAlign w:val="superscript"/>
        </w:rPr>
        <w:t xml:space="preserve"> </w:t>
      </w:r>
      <w:r w:rsidRPr="00FE70E1">
        <w:t xml:space="preserve">(Castillo-Pando </w:t>
      </w:r>
      <w:r w:rsidR="006F2254" w:rsidRPr="00FE70E1">
        <w:rPr>
          <w:i/>
        </w:rPr>
        <w:t>et al.</w:t>
      </w:r>
      <w:r w:rsidRPr="00FE70E1">
        <w:t xml:space="preserve">, 2001, Phillips, 2002). </w:t>
      </w:r>
      <w:r w:rsidR="007473B9" w:rsidRPr="00FE70E1">
        <w:t>Geralmente, o</w:t>
      </w:r>
      <w:r w:rsidRPr="00FE70E1">
        <w:t>s sintomas</w:t>
      </w:r>
      <w:r w:rsidRPr="00FE70E1">
        <w:rPr>
          <w:vertAlign w:val="superscript"/>
        </w:rPr>
        <w:t xml:space="preserve"> </w:t>
      </w:r>
      <w:r w:rsidRPr="00FE70E1">
        <w:t xml:space="preserve">desenvolvem-se lentamente e tornam-se </w:t>
      </w:r>
      <w:r w:rsidR="007473B9" w:rsidRPr="00FE70E1">
        <w:t xml:space="preserve">severos </w:t>
      </w:r>
      <w:r w:rsidRPr="00FE70E1">
        <w:t>apenas</w:t>
      </w:r>
      <w:r w:rsidRPr="00FE70E1">
        <w:rPr>
          <w:vertAlign w:val="superscript"/>
        </w:rPr>
        <w:t xml:space="preserve"> </w:t>
      </w:r>
      <w:r w:rsidRPr="00FE70E1">
        <w:t>em videiras com oito ou mais anos de idade ou que são submetidas</w:t>
      </w:r>
      <w:r w:rsidRPr="00FE70E1">
        <w:rPr>
          <w:vertAlign w:val="superscript"/>
        </w:rPr>
        <w:t xml:space="preserve"> </w:t>
      </w:r>
      <w:r w:rsidRPr="00FE70E1">
        <w:t>ao stresse (Boyer, 1995, Larignon e Dubos, 2001). As espécies comuns</w:t>
      </w:r>
      <w:r w:rsidRPr="00FE70E1">
        <w:rPr>
          <w:vertAlign w:val="superscript"/>
        </w:rPr>
        <w:t xml:space="preserve"> </w:t>
      </w:r>
      <w:r w:rsidRPr="00FE70E1">
        <w:t xml:space="preserve">nas videiras incluem </w:t>
      </w:r>
      <w:r w:rsidR="0005622C" w:rsidRPr="00FE70E1">
        <w:rPr>
          <w:i/>
        </w:rPr>
        <w:t>“</w:t>
      </w:r>
      <w:r w:rsidRPr="00FE70E1">
        <w:rPr>
          <w:i/>
        </w:rPr>
        <w:t>B</w:t>
      </w:r>
      <w:r w:rsidR="0005622C" w:rsidRPr="00FE70E1">
        <w:rPr>
          <w:i/>
        </w:rPr>
        <w:t>”</w:t>
      </w:r>
      <w:r w:rsidRPr="00FE70E1">
        <w:rPr>
          <w:i/>
        </w:rPr>
        <w:t>.</w:t>
      </w:r>
      <w:r w:rsidRPr="00FE70E1">
        <w:t xml:space="preserve"> </w:t>
      </w:r>
      <w:r w:rsidRPr="00FE70E1">
        <w:rPr>
          <w:i/>
          <w:iCs/>
        </w:rPr>
        <w:t xml:space="preserve">dothidea </w:t>
      </w:r>
      <w:r w:rsidRPr="00FE70E1">
        <w:t>(Moug. Fr:.) Ces.</w:t>
      </w:r>
      <w:r w:rsidRPr="00FE70E1">
        <w:rPr>
          <w:vertAlign w:val="superscript"/>
        </w:rPr>
        <w:t xml:space="preserve"> </w:t>
      </w:r>
      <w:r w:rsidRPr="00FE70E1">
        <w:rPr>
          <w:lang w:val="en-US"/>
        </w:rPr>
        <w:t xml:space="preserve">&amp; De Not., </w:t>
      </w:r>
      <w:r w:rsidR="0005622C" w:rsidRPr="00FE70E1">
        <w:rPr>
          <w:lang w:val="en-US"/>
        </w:rPr>
        <w:t>“</w:t>
      </w:r>
      <w:r w:rsidRPr="00FE70E1">
        <w:rPr>
          <w:i/>
          <w:iCs/>
          <w:lang w:val="en-US"/>
        </w:rPr>
        <w:t>B</w:t>
      </w:r>
      <w:r w:rsidR="0005622C" w:rsidRPr="00FE70E1">
        <w:rPr>
          <w:i/>
          <w:iCs/>
          <w:lang w:val="en-US"/>
        </w:rPr>
        <w:t>”</w:t>
      </w:r>
      <w:r w:rsidRPr="00FE70E1">
        <w:rPr>
          <w:i/>
          <w:iCs/>
          <w:lang w:val="en-US"/>
        </w:rPr>
        <w:t>. parva</w:t>
      </w:r>
      <w:r w:rsidRPr="00FE70E1">
        <w:rPr>
          <w:lang w:val="en-US"/>
        </w:rPr>
        <w:t xml:space="preserve"> Pennycook &amp; Samuels, </w:t>
      </w:r>
      <w:r w:rsidR="0005622C" w:rsidRPr="00FE70E1">
        <w:rPr>
          <w:i/>
          <w:lang w:val="en-US"/>
        </w:rPr>
        <w:t>“</w:t>
      </w:r>
      <w:r w:rsidRPr="00FE70E1">
        <w:rPr>
          <w:i/>
          <w:lang w:val="en-US"/>
        </w:rPr>
        <w:t>B</w:t>
      </w:r>
      <w:r w:rsidR="0005622C" w:rsidRPr="00FE70E1">
        <w:rPr>
          <w:i/>
          <w:lang w:val="en-US"/>
        </w:rPr>
        <w:t>”</w:t>
      </w:r>
      <w:r w:rsidRPr="00FE70E1">
        <w:rPr>
          <w:i/>
          <w:lang w:val="en-US"/>
        </w:rPr>
        <w:t>.</w:t>
      </w:r>
      <w:r w:rsidRPr="00FE70E1">
        <w:rPr>
          <w:lang w:val="en-US"/>
        </w:rPr>
        <w:t xml:space="preserve"> </w:t>
      </w:r>
      <w:r w:rsidRPr="00FE70E1">
        <w:rPr>
          <w:i/>
          <w:iCs/>
          <w:lang w:val="en-US"/>
        </w:rPr>
        <w:t xml:space="preserve">obtusa </w:t>
      </w:r>
      <w:r w:rsidRPr="00FE70E1">
        <w:rPr>
          <w:lang w:val="en-US"/>
        </w:rPr>
        <w:t>(Schwein.)</w:t>
      </w:r>
      <w:r w:rsidRPr="00FE70E1">
        <w:rPr>
          <w:vertAlign w:val="superscript"/>
          <w:lang w:val="en-US"/>
        </w:rPr>
        <w:t xml:space="preserve"> </w:t>
      </w:r>
      <w:r w:rsidRPr="00FE70E1">
        <w:rPr>
          <w:lang w:val="en-US"/>
        </w:rPr>
        <w:t xml:space="preserve">Shoemaker, </w:t>
      </w:r>
      <w:r w:rsidR="0005622C" w:rsidRPr="00FE70E1">
        <w:rPr>
          <w:lang w:val="en-US"/>
        </w:rPr>
        <w:t>“</w:t>
      </w:r>
      <w:r w:rsidRPr="00FE70E1">
        <w:rPr>
          <w:i/>
          <w:iCs/>
          <w:lang w:val="en-US"/>
        </w:rPr>
        <w:t>B</w:t>
      </w:r>
      <w:r w:rsidR="0005622C" w:rsidRPr="00FE70E1">
        <w:rPr>
          <w:i/>
          <w:iCs/>
          <w:lang w:val="en-US"/>
        </w:rPr>
        <w:t>”</w:t>
      </w:r>
      <w:r w:rsidRPr="00FE70E1">
        <w:rPr>
          <w:i/>
          <w:iCs/>
          <w:lang w:val="en-US"/>
        </w:rPr>
        <w:t>. stevensii</w:t>
      </w:r>
      <w:r w:rsidRPr="00FE70E1">
        <w:rPr>
          <w:lang w:val="en-US"/>
        </w:rPr>
        <w:t xml:space="preserve"> Shoemaker, </w:t>
      </w:r>
      <w:r w:rsidR="0005622C" w:rsidRPr="00FE70E1">
        <w:rPr>
          <w:lang w:val="en-US"/>
        </w:rPr>
        <w:t>“</w:t>
      </w:r>
      <w:r w:rsidRPr="00FE70E1">
        <w:rPr>
          <w:i/>
          <w:iCs/>
          <w:lang w:val="en-US"/>
        </w:rPr>
        <w:t>B</w:t>
      </w:r>
      <w:r w:rsidR="0005622C" w:rsidRPr="00FE70E1">
        <w:rPr>
          <w:i/>
          <w:iCs/>
          <w:lang w:val="en-US"/>
        </w:rPr>
        <w:t>”</w:t>
      </w:r>
      <w:r w:rsidRPr="00FE70E1">
        <w:rPr>
          <w:i/>
          <w:iCs/>
          <w:lang w:val="en-US"/>
        </w:rPr>
        <w:t>. lutea</w:t>
      </w:r>
      <w:r w:rsidRPr="00FE70E1">
        <w:rPr>
          <w:lang w:val="en-US"/>
        </w:rPr>
        <w:t xml:space="preserve"> A.J.L. Phillips</w:t>
      </w:r>
      <w:r w:rsidRPr="00FE70E1">
        <w:rPr>
          <w:vertAlign w:val="superscript"/>
          <w:lang w:val="en-US"/>
        </w:rPr>
        <w:t xml:space="preserve"> </w:t>
      </w:r>
      <w:r w:rsidRPr="00FE70E1">
        <w:rPr>
          <w:lang w:val="en-US"/>
        </w:rPr>
        <w:t xml:space="preserve">e </w:t>
      </w:r>
      <w:r w:rsidR="0005622C" w:rsidRPr="00FE70E1">
        <w:rPr>
          <w:i/>
          <w:lang w:val="en-US"/>
        </w:rPr>
        <w:t>“</w:t>
      </w:r>
      <w:r w:rsidRPr="00FE70E1">
        <w:rPr>
          <w:i/>
          <w:lang w:val="en-US"/>
        </w:rPr>
        <w:t>B</w:t>
      </w:r>
      <w:r w:rsidR="0005622C" w:rsidRPr="00FE70E1">
        <w:rPr>
          <w:i/>
          <w:lang w:val="en-US"/>
        </w:rPr>
        <w:t>”</w:t>
      </w:r>
      <w:r w:rsidRPr="00FE70E1">
        <w:rPr>
          <w:i/>
          <w:lang w:val="en-US"/>
        </w:rPr>
        <w:t>.</w:t>
      </w:r>
      <w:r w:rsidRPr="00FE70E1">
        <w:rPr>
          <w:lang w:val="en-US"/>
        </w:rPr>
        <w:t xml:space="preserve"> </w:t>
      </w:r>
      <w:r w:rsidRPr="00FE70E1">
        <w:rPr>
          <w:i/>
          <w:iCs/>
          <w:lang w:val="en-US"/>
        </w:rPr>
        <w:t>ribis</w:t>
      </w:r>
      <w:r w:rsidRPr="00FE70E1">
        <w:rPr>
          <w:lang w:val="en-US"/>
        </w:rPr>
        <w:t xml:space="preserve"> Grossenb. </w:t>
      </w:r>
      <w:r w:rsidRPr="00FE70E1">
        <w:t>&amp; Pascoe (Duggar, 1998, Phillips, 2002).</w:t>
      </w:r>
      <w:r w:rsidRPr="00FE70E1">
        <w:rPr>
          <w:vertAlign w:val="superscript"/>
        </w:rPr>
        <w:t xml:space="preserve"> </w:t>
      </w:r>
    </w:p>
    <w:p w:rsidR="00F40609" w:rsidRPr="00F40609" w:rsidRDefault="00F40609" w:rsidP="00F40609">
      <w:pPr>
        <w:spacing w:after="240"/>
      </w:pPr>
      <w:r w:rsidRPr="00FE70E1">
        <w:t xml:space="preserve">A espécie </w:t>
      </w:r>
      <w:r w:rsidRPr="00FE70E1">
        <w:rPr>
          <w:i/>
          <w:iCs/>
        </w:rPr>
        <w:t xml:space="preserve">Macrophoma flaccida </w:t>
      </w:r>
      <w:r w:rsidRPr="00FE70E1">
        <w:t xml:space="preserve">(Viala &amp; Ravaz) Cav. (sin. </w:t>
      </w:r>
      <w:r w:rsidRPr="00FE70E1">
        <w:rPr>
          <w:i/>
          <w:iCs/>
        </w:rPr>
        <w:t xml:space="preserve">Phoma flaccida </w:t>
      </w:r>
      <w:r w:rsidRPr="00FE70E1">
        <w:t xml:space="preserve">Viala &amp; Ravaz) foi associada pela primeira vez em Portugal à escoriose europeia da videira (Tomaz &amp; Rego, 1990). Phillips &amp; Lucas (1997) verificaram, após algum tempo, que </w:t>
      </w:r>
      <w:r w:rsidRPr="00FE70E1">
        <w:rPr>
          <w:i/>
          <w:iCs/>
        </w:rPr>
        <w:t xml:space="preserve">M. flaccida </w:t>
      </w:r>
      <w:r w:rsidRPr="00FE70E1">
        <w:t xml:space="preserve">era sinónimo de </w:t>
      </w:r>
      <w:r w:rsidRPr="00FE70E1">
        <w:rPr>
          <w:i/>
          <w:iCs/>
        </w:rPr>
        <w:t xml:space="preserve">Fusicoccum aesculi </w:t>
      </w:r>
      <w:r w:rsidRPr="00FE70E1">
        <w:t xml:space="preserve">Corda, anamorfo de </w:t>
      </w:r>
      <w:r w:rsidR="00016F11" w:rsidRPr="00FE70E1">
        <w:rPr>
          <w:i/>
          <w:iCs/>
        </w:rPr>
        <w:t>Botryosphaeria</w:t>
      </w:r>
      <w:r w:rsidRPr="00FE70E1">
        <w:rPr>
          <w:i/>
          <w:iCs/>
        </w:rPr>
        <w:t xml:space="preserve"> dothidea </w:t>
      </w:r>
      <w:r w:rsidRPr="00FE70E1">
        <w:t xml:space="preserve">(Moug.: Fr.) Ces &amp; De Not. e, mais tarde, </w:t>
      </w:r>
      <w:r w:rsidR="00016F11" w:rsidRPr="00FE70E1">
        <w:t>concluíram</w:t>
      </w:r>
      <w:r w:rsidRPr="00FE70E1">
        <w:t xml:space="preserve"> que a espécie mais comum em Portugal, responsável pela escoriose europeia, era efectivamente </w:t>
      </w:r>
      <w:r w:rsidRPr="00FE70E1">
        <w:rPr>
          <w:i/>
          <w:iCs/>
        </w:rPr>
        <w:t xml:space="preserve">“B”. parva </w:t>
      </w:r>
      <w:r w:rsidRPr="00FE70E1">
        <w:t xml:space="preserve">(teleomorfo de </w:t>
      </w:r>
      <w:r w:rsidRPr="00FE70E1">
        <w:rPr>
          <w:i/>
          <w:iCs/>
        </w:rPr>
        <w:t>Neofusicoccum parvum, ex. Fusicoccum parvum</w:t>
      </w:r>
      <w:r w:rsidRPr="00FE70E1">
        <w:t xml:space="preserve">) (Phillips, 2000, 2002). Outras espécies de </w:t>
      </w:r>
      <w:r w:rsidR="00016F11" w:rsidRPr="00FE70E1">
        <w:rPr>
          <w:i/>
          <w:iCs/>
        </w:rPr>
        <w:t>Botryosphaeria</w:t>
      </w:r>
      <w:r w:rsidRPr="00FE70E1">
        <w:rPr>
          <w:i/>
          <w:iCs/>
        </w:rPr>
        <w:t xml:space="preserve"> </w:t>
      </w:r>
      <w:r w:rsidRPr="00FE70E1">
        <w:t xml:space="preserve">foram também associadas a outras doenças ou quadros sintomatológicos próximos, em Portugal (Phillips, 2002) e em muitos outros países (Armengol </w:t>
      </w:r>
      <w:r w:rsidR="006F2254" w:rsidRPr="00FE70E1">
        <w:rPr>
          <w:i/>
          <w:iCs/>
        </w:rPr>
        <w:t>et al.</w:t>
      </w:r>
      <w:r w:rsidRPr="00FE70E1">
        <w:rPr>
          <w:i/>
          <w:iCs/>
        </w:rPr>
        <w:t xml:space="preserve">, </w:t>
      </w:r>
      <w:r w:rsidRPr="00FE70E1">
        <w:t xml:space="preserve">2001, Lecomte </w:t>
      </w:r>
      <w:r w:rsidR="006F2254" w:rsidRPr="00FE70E1">
        <w:rPr>
          <w:i/>
          <w:iCs/>
        </w:rPr>
        <w:t>et al.</w:t>
      </w:r>
      <w:r w:rsidRPr="00FE70E1">
        <w:t xml:space="preserve">, 2005, Luque </w:t>
      </w:r>
      <w:r w:rsidR="006F2254" w:rsidRPr="00FE70E1">
        <w:rPr>
          <w:i/>
          <w:iCs/>
        </w:rPr>
        <w:t>et al.</w:t>
      </w:r>
      <w:r w:rsidRPr="00FE70E1">
        <w:rPr>
          <w:i/>
          <w:iCs/>
        </w:rPr>
        <w:t xml:space="preserve">, </w:t>
      </w:r>
      <w:r w:rsidRPr="00FE70E1">
        <w:t xml:space="preserve">2005, Savacchia </w:t>
      </w:r>
      <w:r w:rsidR="006F2254" w:rsidRPr="00FE70E1">
        <w:rPr>
          <w:i/>
          <w:iCs/>
        </w:rPr>
        <w:t>et al.</w:t>
      </w:r>
      <w:r w:rsidRPr="00FE70E1">
        <w:rPr>
          <w:i/>
          <w:iCs/>
        </w:rPr>
        <w:t xml:space="preserve">, </w:t>
      </w:r>
      <w:r w:rsidRPr="00FE70E1">
        <w:t xml:space="preserve">2005, Úrbez-Torres </w:t>
      </w:r>
      <w:r w:rsidR="006F2254" w:rsidRPr="00FE70E1">
        <w:rPr>
          <w:i/>
          <w:iCs/>
        </w:rPr>
        <w:t>et al.</w:t>
      </w:r>
      <w:r w:rsidRPr="00FE70E1">
        <w:rPr>
          <w:i/>
          <w:iCs/>
        </w:rPr>
        <w:t xml:space="preserve">, </w:t>
      </w:r>
      <w:r w:rsidRPr="00FE70E1">
        <w:t xml:space="preserve">2006, van Niekerk </w:t>
      </w:r>
      <w:r w:rsidR="006F2254" w:rsidRPr="00FE70E1">
        <w:rPr>
          <w:i/>
          <w:iCs/>
        </w:rPr>
        <w:t>et al.</w:t>
      </w:r>
      <w:r w:rsidRPr="00FE70E1">
        <w:t xml:space="preserve">, 2006, Bester </w:t>
      </w:r>
      <w:r w:rsidR="006F2254" w:rsidRPr="00FE70E1">
        <w:rPr>
          <w:i/>
          <w:iCs/>
        </w:rPr>
        <w:t>et al.</w:t>
      </w:r>
      <w:r w:rsidRPr="00FE70E1">
        <w:rPr>
          <w:i/>
          <w:iCs/>
        </w:rPr>
        <w:t xml:space="preserve">, </w:t>
      </w:r>
      <w:r w:rsidRPr="00FE70E1">
        <w:t xml:space="preserve">2007, Rego </w:t>
      </w:r>
      <w:r w:rsidR="006F2254" w:rsidRPr="00FE70E1">
        <w:rPr>
          <w:i/>
          <w:iCs/>
        </w:rPr>
        <w:t>et al.</w:t>
      </w:r>
      <w:r w:rsidRPr="00FE70E1">
        <w:rPr>
          <w:i/>
          <w:iCs/>
        </w:rPr>
        <w:t xml:space="preserve">, </w:t>
      </w:r>
      <w:r w:rsidRPr="00FE70E1">
        <w:rPr>
          <w:iCs/>
        </w:rPr>
        <w:t>2008</w:t>
      </w:r>
      <w:r w:rsidRPr="00FE70E1">
        <w:t xml:space="preserve">). Actualmente, os fungos </w:t>
      </w:r>
      <w:r w:rsidR="00016F11" w:rsidRPr="00FE70E1">
        <w:rPr>
          <w:i/>
          <w:iCs/>
        </w:rPr>
        <w:t>Botryosphaeria</w:t>
      </w:r>
      <w:r w:rsidRPr="00FE70E1">
        <w:t xml:space="preserve"> ou</w:t>
      </w:r>
      <w:r w:rsidRPr="00F40609">
        <w:t xml:space="preserve"> </w:t>
      </w:r>
      <w:r w:rsidRPr="00F40609">
        <w:lastRenderedPageBreak/>
        <w:t xml:space="preserve">semelhantes a </w:t>
      </w:r>
      <w:r w:rsidR="00016F11" w:rsidRPr="00016F11">
        <w:rPr>
          <w:i/>
          <w:iCs/>
        </w:rPr>
        <w:t>Botryosphaeria</w:t>
      </w:r>
      <w:r w:rsidRPr="00F40609">
        <w:rPr>
          <w:i/>
          <w:iCs/>
        </w:rPr>
        <w:t xml:space="preserve"> </w:t>
      </w:r>
      <w:r w:rsidRPr="00F40609">
        <w:t>(</w:t>
      </w:r>
      <w:r w:rsidR="00016F11" w:rsidRPr="00016F11">
        <w:rPr>
          <w:i/>
          <w:iCs/>
        </w:rPr>
        <w:t>Botryosphaeria</w:t>
      </w:r>
      <w:r w:rsidRPr="00F40609">
        <w:t xml:space="preserve">-like, </w:t>
      </w:r>
      <w:r w:rsidRPr="00F40609">
        <w:rPr>
          <w:i/>
          <w:iCs/>
        </w:rPr>
        <w:t xml:space="preserve">sensu </w:t>
      </w:r>
      <w:r w:rsidRPr="00F40609">
        <w:t xml:space="preserve">Crous </w:t>
      </w:r>
      <w:r w:rsidR="006F2254" w:rsidRPr="006F2254">
        <w:rPr>
          <w:i/>
          <w:iCs/>
        </w:rPr>
        <w:t>et al.</w:t>
      </w:r>
      <w:r w:rsidR="0005622C">
        <w:t xml:space="preserve">, 2006) </w:t>
      </w:r>
      <w:r w:rsidRPr="00F40609">
        <w:t>são alvo de investigação devido à sua relação com as doenças do lenho.</w:t>
      </w:r>
    </w:p>
    <w:p w:rsidR="00F40609" w:rsidRDefault="00717638" w:rsidP="00F40609">
      <w:pPr>
        <w:pStyle w:val="Estilo1"/>
        <w:rPr>
          <w:lang w:eastAsia="pt-PT"/>
        </w:rPr>
      </w:pPr>
      <w:r>
        <w:rPr>
          <w:lang w:eastAsia="pt-PT"/>
        </w:rPr>
        <w:t>A e</w:t>
      </w:r>
      <w:r w:rsidR="00F40609" w:rsidRPr="00F40609">
        <w:rPr>
          <w:lang w:eastAsia="pt-PT"/>
        </w:rPr>
        <w:t>scoriose</w:t>
      </w:r>
      <w:r>
        <w:rPr>
          <w:lang w:eastAsia="pt-PT"/>
        </w:rPr>
        <w:t xml:space="preserve"> americana</w:t>
      </w:r>
      <w:r w:rsidR="00F40609" w:rsidRPr="00F40609">
        <w:rPr>
          <w:lang w:eastAsia="pt-PT"/>
        </w:rPr>
        <w:t xml:space="preserve">, causada por </w:t>
      </w:r>
      <w:r w:rsidR="00F40609" w:rsidRPr="00F40609">
        <w:rPr>
          <w:i/>
          <w:lang w:eastAsia="pt-PT"/>
        </w:rPr>
        <w:t>Phomopsis viticola</w:t>
      </w:r>
      <w:r w:rsidR="00F40609" w:rsidRPr="00F40609">
        <w:rPr>
          <w:lang w:eastAsia="pt-PT"/>
        </w:rPr>
        <w:t xml:space="preserve"> foi identificada pela primeira vez em Portugal, no ano de 1951 e, posteriormente, em 1972, na Região do Ribatejo e Estremadura (Dias, 1980), data a parti</w:t>
      </w:r>
      <w:r w:rsidR="00824B88">
        <w:rPr>
          <w:lang w:eastAsia="pt-PT"/>
        </w:rPr>
        <w:t>r da qual o seu desenvolvimento</w:t>
      </w:r>
      <w:r w:rsidR="00F40609" w:rsidRPr="00F40609">
        <w:rPr>
          <w:lang w:eastAsia="pt-PT"/>
        </w:rPr>
        <w:t xml:space="preserve"> se estendeu às várias Regiões Vitícolas, em proporções tais que fazem desta, nos dias de hoje, uma realidade permanente em todos os vinhedos, independentemente da sua idade. Tal situação deve-se a uma preocupação constante, por parte dos viticultores com as doenças “clássicas”, Míldio, Oídio e Podridão e a um desconhecimento da biologia do fungo, no que respeita a condições favoráveis para o seu desenvolvimento, assim como da sua sintomatologia e formas de tratamento, situação que tem vindo a decrescer, face ao papel importante das Associações de Agricultores, quer através das suas acções de formação, quer através do vasto trabalho de campo, no que respeita ao acompanhamento técnico (Martins, 2005).</w:t>
      </w:r>
    </w:p>
    <w:p w:rsidR="00F40609" w:rsidRDefault="00F40609" w:rsidP="00F40609">
      <w:pPr>
        <w:spacing w:after="240"/>
      </w:pPr>
    </w:p>
    <w:p w:rsidR="00F40609" w:rsidRDefault="00F40609" w:rsidP="00F40609">
      <w:pPr>
        <w:spacing w:after="240"/>
      </w:pPr>
    </w:p>
    <w:p w:rsidR="00F40609" w:rsidRDefault="00F40609" w:rsidP="00F40609">
      <w:pPr>
        <w:spacing w:after="240"/>
      </w:pPr>
    </w:p>
    <w:p w:rsidR="00F40609" w:rsidRDefault="00F40609" w:rsidP="00F40609">
      <w:pPr>
        <w:spacing w:after="240"/>
      </w:pPr>
    </w:p>
    <w:p w:rsidR="007A2A0E" w:rsidRDefault="00755F18" w:rsidP="00EF6D03">
      <w:pPr>
        <w:spacing w:after="0" w:line="240" w:lineRule="auto"/>
        <w:jc w:val="left"/>
        <w:rPr>
          <w:lang w:eastAsia="pt-PT"/>
        </w:rPr>
      </w:pPr>
      <w:r>
        <w:rPr>
          <w:lang w:eastAsia="pt-PT"/>
        </w:rPr>
        <w:br w:type="page"/>
      </w:r>
    </w:p>
    <w:p w:rsidR="00EF6D03" w:rsidRPr="00A51654" w:rsidRDefault="00EF6D03" w:rsidP="00277AB0">
      <w:pPr>
        <w:pStyle w:val="Ttulo1"/>
      </w:pPr>
      <w:bookmarkStart w:id="12" w:name="_Toc264890280"/>
      <w:r w:rsidRPr="00A51654">
        <w:lastRenderedPageBreak/>
        <w:t xml:space="preserve">Doenças da videira causadas por fungos </w:t>
      </w:r>
      <w:r w:rsidR="00016F11" w:rsidRPr="00FE70E1">
        <w:rPr>
          <w:i/>
        </w:rPr>
        <w:t>Botryosphaeria</w:t>
      </w:r>
      <w:r w:rsidRPr="00FE70E1">
        <w:t>ceae</w:t>
      </w:r>
      <w:r w:rsidRPr="00A51654">
        <w:t xml:space="preserve"> e do género </w:t>
      </w:r>
      <w:r w:rsidRPr="00A51654">
        <w:rPr>
          <w:i/>
        </w:rPr>
        <w:t>Phomopsis</w:t>
      </w:r>
      <w:bookmarkEnd w:id="12"/>
    </w:p>
    <w:p w:rsidR="00EF6D03" w:rsidRPr="00A51654" w:rsidRDefault="00EF6D03" w:rsidP="00B73BBD">
      <w:pPr>
        <w:pStyle w:val="Ttulo2"/>
        <w:rPr>
          <w:i/>
        </w:rPr>
      </w:pPr>
      <w:bookmarkStart w:id="13" w:name="_Toc264890281"/>
      <w:r w:rsidRPr="00A51654">
        <w:t xml:space="preserve">Doenças da videira causadas por fungos </w:t>
      </w:r>
      <w:r w:rsidR="00016F11" w:rsidRPr="00016F11">
        <w:rPr>
          <w:i/>
        </w:rPr>
        <w:t>Botryosphaeria</w:t>
      </w:r>
      <w:r w:rsidRPr="00A51654">
        <w:t>ceae</w:t>
      </w:r>
      <w:bookmarkEnd w:id="13"/>
    </w:p>
    <w:p w:rsidR="009B72F2" w:rsidRPr="00A51654" w:rsidRDefault="009B72F2" w:rsidP="00B73BBD">
      <w:pPr>
        <w:pStyle w:val="Ttulo3"/>
      </w:pPr>
      <w:bookmarkStart w:id="14" w:name="_Toc264890282"/>
      <w:r w:rsidRPr="00A51654">
        <w:t>Agentes</w:t>
      </w:r>
      <w:r w:rsidRPr="00A51654">
        <w:rPr>
          <w:szCs w:val="16"/>
        </w:rPr>
        <w:t xml:space="preserve"> causais</w:t>
      </w:r>
      <w:bookmarkEnd w:id="14"/>
    </w:p>
    <w:p w:rsidR="00F40609" w:rsidRPr="00A51654" w:rsidRDefault="00F40609" w:rsidP="00F40609">
      <w:pPr>
        <w:pStyle w:val="NormalWeb"/>
        <w:spacing w:before="0" w:beforeAutospacing="0" w:after="240" w:afterAutospacing="0" w:line="360" w:lineRule="auto"/>
        <w:rPr>
          <w:rFonts w:ascii="Arial" w:hAnsi="Arial"/>
          <w:sz w:val="22"/>
          <w:szCs w:val="22"/>
        </w:rPr>
      </w:pPr>
      <w:r w:rsidRPr="00A51654">
        <w:rPr>
          <w:rFonts w:ascii="Arial" w:hAnsi="Arial"/>
          <w:sz w:val="22"/>
          <w:szCs w:val="22"/>
        </w:rPr>
        <w:t>Apesar da variedade de sintomas associados às espécies de</w:t>
      </w:r>
      <w:r w:rsidRPr="00A51654">
        <w:rPr>
          <w:rFonts w:ascii="Arial" w:hAnsi="Arial"/>
          <w:sz w:val="22"/>
          <w:szCs w:val="22"/>
          <w:vertAlign w:val="superscript"/>
        </w:rPr>
        <w:t xml:space="preserve"> </w:t>
      </w:r>
      <w:r w:rsidR="00016F11" w:rsidRPr="00016F11">
        <w:rPr>
          <w:rFonts w:ascii="Arial" w:hAnsi="Arial"/>
          <w:i/>
          <w:iCs/>
          <w:sz w:val="22"/>
          <w:szCs w:val="22"/>
        </w:rPr>
        <w:t>Botryosphaeria</w:t>
      </w:r>
      <w:r w:rsidRPr="00A51654">
        <w:rPr>
          <w:rFonts w:ascii="Arial" w:hAnsi="Arial"/>
          <w:sz w:val="22"/>
          <w:szCs w:val="22"/>
        </w:rPr>
        <w:t>, o diagnóstico de campo do agente causal é difícil</w:t>
      </w:r>
      <w:r w:rsidRPr="00A51654">
        <w:rPr>
          <w:rFonts w:ascii="Arial" w:hAnsi="Arial"/>
          <w:sz w:val="22"/>
          <w:szCs w:val="22"/>
          <w:vertAlign w:val="superscript"/>
        </w:rPr>
        <w:t xml:space="preserve"> </w:t>
      </w:r>
      <w:r w:rsidRPr="00A51654">
        <w:rPr>
          <w:rFonts w:ascii="Arial" w:hAnsi="Arial"/>
          <w:sz w:val="22"/>
          <w:szCs w:val="22"/>
        </w:rPr>
        <w:t>porque muitas vezes os sintomas se assemelham aos de outras doenças, tais</w:t>
      </w:r>
      <w:r w:rsidRPr="00A51654">
        <w:rPr>
          <w:rFonts w:ascii="Arial" w:hAnsi="Arial"/>
          <w:sz w:val="22"/>
          <w:szCs w:val="22"/>
          <w:vertAlign w:val="superscript"/>
        </w:rPr>
        <w:t xml:space="preserve"> </w:t>
      </w:r>
      <w:r w:rsidRPr="00A51654">
        <w:rPr>
          <w:rFonts w:ascii="Arial" w:hAnsi="Arial"/>
          <w:sz w:val="22"/>
          <w:szCs w:val="22"/>
        </w:rPr>
        <w:t xml:space="preserve">como </w:t>
      </w:r>
      <w:r w:rsidR="006F2254">
        <w:rPr>
          <w:rFonts w:ascii="Arial" w:hAnsi="Arial"/>
          <w:sz w:val="22"/>
          <w:szCs w:val="22"/>
        </w:rPr>
        <w:t>escoriose</w:t>
      </w:r>
      <w:r w:rsidRPr="00A51654">
        <w:rPr>
          <w:rFonts w:ascii="Arial" w:hAnsi="Arial"/>
          <w:sz w:val="22"/>
          <w:szCs w:val="22"/>
        </w:rPr>
        <w:t xml:space="preserve"> causada por </w:t>
      </w:r>
      <w:r w:rsidRPr="00A51654">
        <w:rPr>
          <w:rFonts w:ascii="Arial" w:hAnsi="Arial"/>
          <w:i/>
          <w:iCs/>
          <w:sz w:val="22"/>
          <w:szCs w:val="22"/>
        </w:rPr>
        <w:t>Phomopsis viticola</w:t>
      </w:r>
      <w:r w:rsidRPr="00A51654">
        <w:rPr>
          <w:rFonts w:ascii="Arial" w:hAnsi="Arial"/>
          <w:sz w:val="22"/>
          <w:szCs w:val="22"/>
          <w:vertAlign w:val="superscript"/>
        </w:rPr>
        <w:t xml:space="preserve"> </w:t>
      </w:r>
      <w:r w:rsidR="006F2254">
        <w:rPr>
          <w:rFonts w:ascii="Arial" w:hAnsi="Arial"/>
          <w:sz w:val="22"/>
          <w:szCs w:val="22"/>
        </w:rPr>
        <w:t>(Sacc.) Sacc. ou e</w:t>
      </w:r>
      <w:r w:rsidRPr="00A51654">
        <w:rPr>
          <w:rFonts w:ascii="Arial" w:hAnsi="Arial"/>
          <w:sz w:val="22"/>
          <w:szCs w:val="22"/>
        </w:rPr>
        <w:t xml:space="preserve">utipiose, causada por </w:t>
      </w:r>
      <w:r w:rsidRPr="00A51654">
        <w:rPr>
          <w:rFonts w:ascii="Arial" w:hAnsi="Arial"/>
          <w:i/>
          <w:iCs/>
          <w:sz w:val="22"/>
          <w:szCs w:val="22"/>
        </w:rPr>
        <w:t>Eutypa</w:t>
      </w:r>
      <w:r w:rsidRPr="00A51654">
        <w:rPr>
          <w:rFonts w:ascii="Arial" w:hAnsi="Arial"/>
          <w:sz w:val="22"/>
          <w:szCs w:val="22"/>
        </w:rPr>
        <w:t xml:space="preserve"> </w:t>
      </w:r>
      <w:r w:rsidRPr="00A51654">
        <w:rPr>
          <w:rFonts w:ascii="Arial" w:hAnsi="Arial"/>
          <w:i/>
          <w:iCs/>
          <w:sz w:val="22"/>
          <w:szCs w:val="22"/>
        </w:rPr>
        <w:t xml:space="preserve">lata </w:t>
      </w:r>
      <w:r w:rsidRPr="00A51654">
        <w:rPr>
          <w:rFonts w:ascii="Arial" w:hAnsi="Arial"/>
          <w:sz w:val="22"/>
          <w:szCs w:val="22"/>
        </w:rPr>
        <w:t>(Pers.)</w:t>
      </w:r>
      <w:r w:rsidRPr="00A51654">
        <w:rPr>
          <w:rFonts w:ascii="Arial" w:hAnsi="Arial"/>
          <w:sz w:val="22"/>
          <w:szCs w:val="22"/>
          <w:vertAlign w:val="superscript"/>
        </w:rPr>
        <w:t xml:space="preserve"> </w:t>
      </w:r>
      <w:r w:rsidRPr="00A51654">
        <w:rPr>
          <w:rFonts w:ascii="Arial" w:hAnsi="Arial"/>
          <w:sz w:val="22"/>
          <w:szCs w:val="22"/>
        </w:rPr>
        <w:t xml:space="preserve">Tul. &amp; C. Tul. (Castillo, Pando </w:t>
      </w:r>
      <w:r w:rsidR="006F2254" w:rsidRPr="006F2254">
        <w:rPr>
          <w:rFonts w:ascii="Arial" w:hAnsi="Arial"/>
          <w:i/>
          <w:sz w:val="22"/>
          <w:szCs w:val="22"/>
        </w:rPr>
        <w:t>et al.</w:t>
      </w:r>
      <w:r w:rsidRPr="00A51654">
        <w:rPr>
          <w:rFonts w:ascii="Arial" w:hAnsi="Arial"/>
          <w:sz w:val="22"/>
          <w:szCs w:val="22"/>
        </w:rPr>
        <w:t>, 2001). A identificação da espécie causal é difícil porque os teleomorfos (estados sexuados) de</w:t>
      </w:r>
      <w:r w:rsidRPr="00A51654">
        <w:rPr>
          <w:rFonts w:ascii="Arial" w:hAnsi="Arial"/>
          <w:i/>
          <w:iCs/>
          <w:sz w:val="22"/>
          <w:szCs w:val="22"/>
        </w:rPr>
        <w:t xml:space="preserve"> </w:t>
      </w:r>
      <w:r w:rsidR="00016F11" w:rsidRPr="00016F11">
        <w:rPr>
          <w:rFonts w:ascii="Arial" w:hAnsi="Arial"/>
          <w:i/>
          <w:iCs/>
          <w:sz w:val="22"/>
          <w:szCs w:val="22"/>
        </w:rPr>
        <w:t>Botryosphaeria</w:t>
      </w:r>
      <w:r w:rsidRPr="00A51654">
        <w:rPr>
          <w:rFonts w:ascii="Arial" w:hAnsi="Arial"/>
          <w:sz w:val="22"/>
          <w:szCs w:val="22"/>
        </w:rPr>
        <w:t xml:space="preserve"> raramente são encontrados na natureza (Shoemaker, 1964, Jacobs e</w:t>
      </w:r>
      <w:r w:rsidRPr="00A51654">
        <w:rPr>
          <w:rFonts w:ascii="Arial" w:hAnsi="Arial"/>
          <w:sz w:val="22"/>
          <w:szCs w:val="22"/>
          <w:vertAlign w:val="superscript"/>
        </w:rPr>
        <w:t xml:space="preserve"> </w:t>
      </w:r>
      <w:r w:rsidRPr="00A51654">
        <w:rPr>
          <w:rFonts w:ascii="Arial" w:hAnsi="Arial"/>
          <w:sz w:val="22"/>
          <w:szCs w:val="22"/>
        </w:rPr>
        <w:t xml:space="preserve">Rehner, 1998) ou raramente </w:t>
      </w:r>
      <w:r w:rsidR="0005622C">
        <w:rPr>
          <w:rFonts w:ascii="Arial" w:hAnsi="Arial"/>
          <w:sz w:val="22"/>
          <w:szCs w:val="22"/>
        </w:rPr>
        <w:t xml:space="preserve">se formam em cultura </w:t>
      </w:r>
      <w:r w:rsidRPr="00A51654">
        <w:rPr>
          <w:rFonts w:ascii="Arial" w:hAnsi="Arial"/>
          <w:sz w:val="22"/>
          <w:szCs w:val="22"/>
        </w:rPr>
        <w:t xml:space="preserve">(Denman </w:t>
      </w:r>
      <w:r w:rsidR="006F2254" w:rsidRPr="006F2254">
        <w:rPr>
          <w:rFonts w:ascii="Arial" w:hAnsi="Arial"/>
          <w:i/>
          <w:sz w:val="22"/>
          <w:szCs w:val="22"/>
        </w:rPr>
        <w:t>et al.</w:t>
      </w:r>
      <w:r w:rsidRPr="00A51654">
        <w:rPr>
          <w:rFonts w:ascii="Arial" w:hAnsi="Arial"/>
          <w:sz w:val="22"/>
          <w:szCs w:val="22"/>
        </w:rPr>
        <w:t>,</w:t>
      </w:r>
      <w:r w:rsidR="00824B88">
        <w:rPr>
          <w:rFonts w:ascii="Arial" w:hAnsi="Arial"/>
          <w:sz w:val="22"/>
          <w:szCs w:val="22"/>
        </w:rPr>
        <w:t xml:space="preserve"> </w:t>
      </w:r>
      <w:r w:rsidRPr="00A51654">
        <w:rPr>
          <w:rFonts w:ascii="Arial" w:hAnsi="Arial"/>
          <w:sz w:val="22"/>
          <w:szCs w:val="22"/>
        </w:rPr>
        <w:t>2000). A diversidade</w:t>
      </w:r>
      <w:r w:rsidRPr="00A51654">
        <w:rPr>
          <w:rFonts w:ascii="Arial" w:hAnsi="Arial"/>
          <w:sz w:val="22"/>
          <w:szCs w:val="22"/>
          <w:vertAlign w:val="superscript"/>
        </w:rPr>
        <w:t xml:space="preserve"> </w:t>
      </w:r>
      <w:r w:rsidRPr="00A51654">
        <w:rPr>
          <w:rFonts w:ascii="Arial" w:hAnsi="Arial"/>
          <w:sz w:val="22"/>
          <w:szCs w:val="22"/>
        </w:rPr>
        <w:t>entre os teleomorfos é insuficiente para permitir a diferenciação clara</w:t>
      </w:r>
      <w:r w:rsidRPr="00A51654">
        <w:rPr>
          <w:rFonts w:ascii="Arial" w:hAnsi="Arial"/>
          <w:sz w:val="22"/>
          <w:szCs w:val="22"/>
          <w:vertAlign w:val="superscript"/>
        </w:rPr>
        <w:t xml:space="preserve"> </w:t>
      </w:r>
      <w:r w:rsidRPr="00A51654">
        <w:rPr>
          <w:rFonts w:ascii="Arial" w:hAnsi="Arial"/>
          <w:sz w:val="22"/>
          <w:szCs w:val="22"/>
        </w:rPr>
        <w:t>a nível da espécie (Shoemaker, 1964, Laundon, 1973). Assim, a taxonomia</w:t>
      </w:r>
      <w:r w:rsidRPr="00A51654">
        <w:rPr>
          <w:rFonts w:ascii="Arial" w:hAnsi="Arial"/>
          <w:sz w:val="22"/>
          <w:szCs w:val="22"/>
          <w:vertAlign w:val="superscript"/>
        </w:rPr>
        <w:t xml:space="preserve"> </w:t>
      </w:r>
      <w:r w:rsidRPr="00A51654">
        <w:rPr>
          <w:rFonts w:ascii="Arial" w:hAnsi="Arial"/>
          <w:sz w:val="22"/>
          <w:szCs w:val="22"/>
        </w:rPr>
        <w:t>e identificação de espécies de</w:t>
      </w:r>
      <w:r w:rsidRPr="00A51654">
        <w:rPr>
          <w:rFonts w:ascii="Arial" w:hAnsi="Arial"/>
          <w:i/>
          <w:iCs/>
          <w:sz w:val="22"/>
          <w:szCs w:val="22"/>
        </w:rPr>
        <w:t xml:space="preserve"> </w:t>
      </w:r>
      <w:r w:rsidR="00016F11" w:rsidRPr="00016F11">
        <w:rPr>
          <w:rFonts w:ascii="Arial" w:hAnsi="Arial"/>
          <w:i/>
          <w:iCs/>
          <w:sz w:val="22"/>
          <w:szCs w:val="22"/>
        </w:rPr>
        <w:t>Botryosphaeria</w:t>
      </w:r>
      <w:r w:rsidRPr="00A51654">
        <w:rPr>
          <w:rFonts w:ascii="Arial" w:hAnsi="Arial"/>
          <w:sz w:val="22"/>
          <w:szCs w:val="22"/>
        </w:rPr>
        <w:t xml:space="preserve"> baseia-se principalmente</w:t>
      </w:r>
      <w:r w:rsidRPr="00A51654">
        <w:rPr>
          <w:rFonts w:ascii="Arial" w:hAnsi="Arial"/>
          <w:sz w:val="22"/>
          <w:szCs w:val="22"/>
          <w:vertAlign w:val="superscript"/>
        </w:rPr>
        <w:t xml:space="preserve"> </w:t>
      </w:r>
      <w:r w:rsidRPr="00A51654">
        <w:rPr>
          <w:rFonts w:ascii="Arial" w:hAnsi="Arial"/>
          <w:sz w:val="22"/>
          <w:szCs w:val="22"/>
        </w:rPr>
        <w:t xml:space="preserve">sobre os anamorfos (Denman </w:t>
      </w:r>
      <w:r w:rsidR="006F2254" w:rsidRPr="006F2254">
        <w:rPr>
          <w:rFonts w:ascii="Arial" w:hAnsi="Arial"/>
          <w:i/>
          <w:sz w:val="22"/>
          <w:szCs w:val="22"/>
        </w:rPr>
        <w:t>et al.</w:t>
      </w:r>
      <w:r w:rsidRPr="00A51654">
        <w:rPr>
          <w:rFonts w:ascii="Arial" w:hAnsi="Arial"/>
          <w:sz w:val="22"/>
          <w:szCs w:val="22"/>
        </w:rPr>
        <w:t>, 2000, Phillips, 2002)</w:t>
      </w:r>
      <w:r w:rsidRPr="00A51654">
        <w:rPr>
          <w:rFonts w:ascii="Arial" w:hAnsi="Arial"/>
          <w:sz w:val="22"/>
          <w:szCs w:val="22"/>
          <w:vertAlign w:val="superscript"/>
        </w:rPr>
        <w:t xml:space="preserve"> </w:t>
      </w:r>
      <w:r w:rsidRPr="00A51654">
        <w:rPr>
          <w:rFonts w:ascii="Arial" w:hAnsi="Arial"/>
          <w:sz w:val="22"/>
          <w:szCs w:val="22"/>
        </w:rPr>
        <w:t>que frequentemente são combinadas com dados moleculares (Jacobs e</w:t>
      </w:r>
      <w:r w:rsidRPr="00A51654">
        <w:rPr>
          <w:rFonts w:ascii="Arial" w:hAnsi="Arial"/>
          <w:sz w:val="22"/>
          <w:szCs w:val="22"/>
          <w:vertAlign w:val="superscript"/>
        </w:rPr>
        <w:t xml:space="preserve"> </w:t>
      </w:r>
      <w:r w:rsidRPr="00A51654">
        <w:rPr>
          <w:rFonts w:ascii="Arial" w:hAnsi="Arial"/>
          <w:sz w:val="22"/>
          <w:szCs w:val="22"/>
        </w:rPr>
        <w:t xml:space="preserve">Rehner, 1998; Denman </w:t>
      </w:r>
      <w:r w:rsidR="006F2254" w:rsidRPr="006F2254">
        <w:rPr>
          <w:rFonts w:ascii="Arial" w:hAnsi="Arial"/>
          <w:i/>
          <w:sz w:val="22"/>
          <w:szCs w:val="22"/>
        </w:rPr>
        <w:t>et al.</w:t>
      </w:r>
      <w:r w:rsidRPr="00A51654">
        <w:rPr>
          <w:rFonts w:ascii="Arial" w:hAnsi="Arial"/>
          <w:sz w:val="22"/>
          <w:szCs w:val="22"/>
        </w:rPr>
        <w:t xml:space="preserve">, 2003; Phillips </w:t>
      </w:r>
      <w:r w:rsidR="006F2254" w:rsidRPr="006F2254">
        <w:rPr>
          <w:rFonts w:ascii="Arial" w:hAnsi="Arial"/>
          <w:i/>
          <w:sz w:val="22"/>
          <w:szCs w:val="22"/>
        </w:rPr>
        <w:t>et al.</w:t>
      </w:r>
      <w:r w:rsidRPr="00A51654">
        <w:rPr>
          <w:rFonts w:ascii="Arial" w:hAnsi="Arial"/>
          <w:sz w:val="22"/>
          <w:szCs w:val="22"/>
        </w:rPr>
        <w:t xml:space="preserve">, 2002; </w:t>
      </w:r>
      <w:r w:rsidRPr="00F32659">
        <w:rPr>
          <w:rFonts w:ascii="Arial" w:hAnsi="Arial"/>
          <w:sz w:val="22"/>
          <w:szCs w:val="22"/>
        </w:rPr>
        <w:t xml:space="preserve">Slippers </w:t>
      </w:r>
      <w:r w:rsidR="006F2254" w:rsidRPr="00F32659">
        <w:rPr>
          <w:rFonts w:ascii="Arial" w:hAnsi="Arial"/>
          <w:i/>
          <w:sz w:val="22"/>
          <w:szCs w:val="22"/>
        </w:rPr>
        <w:t>et al.</w:t>
      </w:r>
      <w:r w:rsidRPr="00F32659">
        <w:rPr>
          <w:rFonts w:ascii="Arial" w:hAnsi="Arial"/>
          <w:sz w:val="22"/>
          <w:szCs w:val="22"/>
        </w:rPr>
        <w:t xml:space="preserve">, </w:t>
      </w:r>
      <w:r w:rsidR="00F32659">
        <w:rPr>
          <w:rFonts w:ascii="Arial" w:hAnsi="Arial"/>
          <w:sz w:val="22"/>
          <w:szCs w:val="22"/>
        </w:rPr>
        <w:t>2004</w:t>
      </w:r>
      <w:r w:rsidRPr="00A51654">
        <w:rPr>
          <w:rFonts w:ascii="Arial" w:hAnsi="Arial"/>
          <w:sz w:val="22"/>
          <w:szCs w:val="22"/>
        </w:rPr>
        <w:t xml:space="preserve">). A diversidade de estados anamorfos de </w:t>
      </w:r>
      <w:r w:rsidR="00016F11" w:rsidRPr="00016F11">
        <w:rPr>
          <w:rFonts w:ascii="Arial" w:hAnsi="Arial"/>
          <w:i/>
          <w:iCs/>
          <w:sz w:val="22"/>
          <w:szCs w:val="22"/>
        </w:rPr>
        <w:t>Botryosphaeria</w:t>
      </w:r>
      <w:r w:rsidRPr="00A51654">
        <w:rPr>
          <w:rFonts w:ascii="Arial" w:hAnsi="Arial"/>
          <w:sz w:val="22"/>
          <w:szCs w:val="22"/>
          <w:vertAlign w:val="superscript"/>
        </w:rPr>
        <w:t xml:space="preserve"> </w:t>
      </w:r>
      <w:r w:rsidRPr="00A51654">
        <w:rPr>
          <w:rFonts w:ascii="Arial" w:hAnsi="Arial"/>
          <w:sz w:val="22"/>
          <w:szCs w:val="22"/>
        </w:rPr>
        <w:t>contribuiu para a confusão taxonómica. Sete géneros anamorfos</w:t>
      </w:r>
      <w:r w:rsidRPr="00A51654">
        <w:rPr>
          <w:rFonts w:ascii="Arial" w:hAnsi="Arial"/>
          <w:sz w:val="22"/>
          <w:szCs w:val="22"/>
          <w:vertAlign w:val="superscript"/>
        </w:rPr>
        <w:t xml:space="preserve"> </w:t>
      </w:r>
      <w:r w:rsidRPr="00A51654">
        <w:rPr>
          <w:rFonts w:ascii="Arial" w:hAnsi="Arial"/>
          <w:sz w:val="22"/>
          <w:szCs w:val="22"/>
        </w:rPr>
        <w:t xml:space="preserve">foram considerados estados assexuados de espécies de </w:t>
      </w:r>
      <w:r w:rsidR="00016F11" w:rsidRPr="00016F11">
        <w:rPr>
          <w:rFonts w:ascii="Arial" w:hAnsi="Arial"/>
          <w:i/>
          <w:iCs/>
          <w:sz w:val="22"/>
          <w:szCs w:val="22"/>
        </w:rPr>
        <w:t>Botryosphaeria</w:t>
      </w:r>
      <w:r w:rsidRPr="00A51654">
        <w:rPr>
          <w:rFonts w:ascii="Arial" w:hAnsi="Arial"/>
          <w:sz w:val="22"/>
          <w:szCs w:val="22"/>
        </w:rPr>
        <w:t>.</w:t>
      </w:r>
      <w:r w:rsidRPr="00A51654">
        <w:rPr>
          <w:rFonts w:ascii="Arial" w:hAnsi="Arial"/>
          <w:sz w:val="22"/>
          <w:szCs w:val="22"/>
          <w:vertAlign w:val="superscript"/>
        </w:rPr>
        <w:t xml:space="preserve"> </w:t>
      </w:r>
      <w:r w:rsidRPr="00A51654">
        <w:rPr>
          <w:rFonts w:ascii="Arial" w:hAnsi="Arial"/>
          <w:sz w:val="22"/>
          <w:szCs w:val="22"/>
        </w:rPr>
        <w:t xml:space="preserve">Pesquisas recentes sugerem que anamorfos de </w:t>
      </w:r>
      <w:r w:rsidR="00016F11" w:rsidRPr="00016F11">
        <w:rPr>
          <w:rFonts w:ascii="Arial" w:hAnsi="Arial"/>
          <w:i/>
          <w:iCs/>
          <w:sz w:val="22"/>
          <w:szCs w:val="22"/>
        </w:rPr>
        <w:t>Botryosphaeria</w:t>
      </w:r>
      <w:r w:rsidRPr="00A51654">
        <w:rPr>
          <w:rFonts w:ascii="Arial" w:hAnsi="Arial"/>
          <w:sz w:val="22"/>
          <w:szCs w:val="22"/>
        </w:rPr>
        <w:t xml:space="preserve"> pertencem</w:t>
      </w:r>
      <w:r w:rsidRPr="00A51654">
        <w:rPr>
          <w:rFonts w:ascii="Arial" w:hAnsi="Arial"/>
          <w:sz w:val="22"/>
          <w:szCs w:val="22"/>
          <w:vertAlign w:val="superscript"/>
        </w:rPr>
        <w:t xml:space="preserve"> </w:t>
      </w:r>
      <w:r w:rsidRPr="00A51654">
        <w:rPr>
          <w:rFonts w:ascii="Arial" w:hAnsi="Arial"/>
          <w:sz w:val="22"/>
          <w:szCs w:val="22"/>
        </w:rPr>
        <w:t xml:space="preserve">a </w:t>
      </w:r>
      <w:r w:rsidRPr="00A51654">
        <w:rPr>
          <w:rFonts w:ascii="Arial" w:hAnsi="Arial"/>
          <w:i/>
          <w:iCs/>
          <w:sz w:val="22"/>
          <w:szCs w:val="22"/>
        </w:rPr>
        <w:t>Fusicoccum</w:t>
      </w:r>
      <w:r w:rsidRPr="00A51654">
        <w:rPr>
          <w:rFonts w:ascii="Arial" w:hAnsi="Arial"/>
          <w:sz w:val="22"/>
          <w:szCs w:val="22"/>
        </w:rPr>
        <w:t xml:space="preserve"> Corda (hialinos, conídios de paredes finas), ou</w:t>
      </w:r>
      <w:r w:rsidRPr="00A51654">
        <w:rPr>
          <w:rFonts w:ascii="Arial" w:hAnsi="Arial"/>
          <w:sz w:val="22"/>
          <w:szCs w:val="22"/>
          <w:vertAlign w:val="superscript"/>
        </w:rPr>
        <w:t xml:space="preserve"> </w:t>
      </w:r>
      <w:r w:rsidRPr="00A51654">
        <w:rPr>
          <w:rFonts w:ascii="Arial" w:hAnsi="Arial"/>
          <w:i/>
          <w:iCs/>
          <w:sz w:val="22"/>
          <w:szCs w:val="22"/>
        </w:rPr>
        <w:t>Diplodia</w:t>
      </w:r>
      <w:r w:rsidRPr="00A51654">
        <w:rPr>
          <w:rFonts w:ascii="Arial" w:hAnsi="Arial"/>
          <w:sz w:val="22"/>
          <w:szCs w:val="22"/>
        </w:rPr>
        <w:t xml:space="preserve"> Fr. (pigmentado, conídios de paredes espessas) (Pennycook e</w:t>
      </w:r>
      <w:r w:rsidRPr="00A51654">
        <w:rPr>
          <w:rFonts w:ascii="Arial" w:hAnsi="Arial"/>
          <w:sz w:val="22"/>
          <w:szCs w:val="22"/>
          <w:vertAlign w:val="superscript"/>
        </w:rPr>
        <w:t xml:space="preserve"> </w:t>
      </w:r>
      <w:r w:rsidRPr="00A51654">
        <w:rPr>
          <w:rFonts w:ascii="Arial" w:hAnsi="Arial"/>
          <w:sz w:val="22"/>
          <w:szCs w:val="22"/>
        </w:rPr>
        <w:t xml:space="preserve">Samuels, 1985, Crous e Palm, 1999, Denman </w:t>
      </w:r>
      <w:r w:rsidR="006F2254" w:rsidRPr="006F2254">
        <w:rPr>
          <w:rFonts w:ascii="Arial" w:hAnsi="Arial"/>
          <w:i/>
          <w:sz w:val="22"/>
          <w:szCs w:val="22"/>
        </w:rPr>
        <w:t>et al.</w:t>
      </w:r>
      <w:r w:rsidRPr="00A51654">
        <w:rPr>
          <w:rFonts w:ascii="Arial" w:hAnsi="Arial"/>
          <w:sz w:val="22"/>
          <w:szCs w:val="22"/>
        </w:rPr>
        <w:t>, 2000, Zhou e</w:t>
      </w:r>
      <w:r w:rsidRPr="00A51654">
        <w:rPr>
          <w:rFonts w:ascii="Arial" w:hAnsi="Arial"/>
          <w:sz w:val="22"/>
          <w:szCs w:val="22"/>
          <w:vertAlign w:val="superscript"/>
        </w:rPr>
        <w:t xml:space="preserve"> </w:t>
      </w:r>
      <w:r w:rsidRPr="00A51654">
        <w:rPr>
          <w:rFonts w:ascii="Arial" w:hAnsi="Arial"/>
          <w:sz w:val="22"/>
          <w:szCs w:val="22"/>
        </w:rPr>
        <w:t>Stanosz., 2001, Phillips., 2002).</w:t>
      </w:r>
      <w:r w:rsidRPr="00A51654">
        <w:rPr>
          <w:rFonts w:ascii="Arial" w:hAnsi="Arial"/>
          <w:sz w:val="22"/>
          <w:szCs w:val="22"/>
          <w:vertAlign w:val="superscript"/>
        </w:rPr>
        <w:t xml:space="preserve"> </w:t>
      </w:r>
    </w:p>
    <w:p w:rsidR="00F40609" w:rsidRPr="00A51654" w:rsidRDefault="00F40609" w:rsidP="00F40609">
      <w:pPr>
        <w:pStyle w:val="NormalWeb"/>
        <w:spacing w:before="0" w:beforeAutospacing="0" w:after="240" w:afterAutospacing="0" w:line="360" w:lineRule="auto"/>
        <w:rPr>
          <w:rFonts w:ascii="Arial" w:hAnsi="Arial"/>
          <w:sz w:val="22"/>
          <w:szCs w:val="22"/>
        </w:rPr>
      </w:pPr>
      <w:r w:rsidRPr="00A51654">
        <w:rPr>
          <w:rFonts w:ascii="Arial" w:hAnsi="Arial"/>
          <w:sz w:val="22"/>
          <w:szCs w:val="22"/>
        </w:rPr>
        <w:t>Um dos principais problemas continua a ser a correcta</w:t>
      </w:r>
      <w:r w:rsidRPr="00A51654">
        <w:rPr>
          <w:rFonts w:ascii="Arial" w:hAnsi="Arial"/>
          <w:sz w:val="22"/>
          <w:szCs w:val="22"/>
          <w:vertAlign w:val="superscript"/>
        </w:rPr>
        <w:t xml:space="preserve"> </w:t>
      </w:r>
      <w:r w:rsidRPr="00A51654">
        <w:rPr>
          <w:rFonts w:ascii="Arial" w:hAnsi="Arial"/>
          <w:sz w:val="22"/>
          <w:szCs w:val="22"/>
        </w:rPr>
        <w:t xml:space="preserve">identificação das espécies de </w:t>
      </w:r>
      <w:r w:rsidR="00016F11" w:rsidRPr="00016F11">
        <w:rPr>
          <w:rFonts w:ascii="Arial" w:hAnsi="Arial"/>
          <w:i/>
          <w:iCs/>
          <w:sz w:val="22"/>
          <w:szCs w:val="22"/>
        </w:rPr>
        <w:t>Botryosphaeria</w:t>
      </w:r>
      <w:r w:rsidRPr="00A51654">
        <w:rPr>
          <w:rFonts w:ascii="Arial" w:hAnsi="Arial"/>
          <w:sz w:val="22"/>
          <w:szCs w:val="22"/>
        </w:rPr>
        <w:t xml:space="preserve"> que causam a doença</w:t>
      </w:r>
      <w:r w:rsidRPr="00A51654">
        <w:rPr>
          <w:rFonts w:ascii="Arial" w:hAnsi="Arial"/>
          <w:sz w:val="22"/>
          <w:szCs w:val="22"/>
          <w:vertAlign w:val="superscript"/>
        </w:rPr>
        <w:t xml:space="preserve"> </w:t>
      </w:r>
      <w:r w:rsidRPr="00A51654">
        <w:rPr>
          <w:rFonts w:ascii="Arial" w:hAnsi="Arial"/>
          <w:sz w:val="22"/>
          <w:szCs w:val="22"/>
        </w:rPr>
        <w:t>em videiras de diferentes cultivares, localidades e países.</w:t>
      </w:r>
      <w:r w:rsidRPr="00A51654">
        <w:rPr>
          <w:rFonts w:ascii="Arial" w:hAnsi="Arial"/>
          <w:sz w:val="22"/>
          <w:szCs w:val="22"/>
          <w:vertAlign w:val="superscript"/>
        </w:rPr>
        <w:t xml:space="preserve"> </w:t>
      </w:r>
      <w:r w:rsidRPr="00A51654">
        <w:rPr>
          <w:rFonts w:ascii="Arial" w:hAnsi="Arial"/>
          <w:sz w:val="22"/>
          <w:szCs w:val="22"/>
        </w:rPr>
        <w:t>Devido às diversas espécies ocorrentes nas videiras em diferentes países</w:t>
      </w:r>
      <w:r w:rsidRPr="00A51654">
        <w:rPr>
          <w:rFonts w:ascii="Arial" w:hAnsi="Arial"/>
          <w:sz w:val="22"/>
          <w:szCs w:val="22"/>
          <w:vertAlign w:val="superscript"/>
        </w:rPr>
        <w:t xml:space="preserve"> </w:t>
      </w:r>
      <w:r w:rsidRPr="00A51654">
        <w:rPr>
          <w:rFonts w:ascii="Arial" w:hAnsi="Arial"/>
          <w:sz w:val="22"/>
          <w:szCs w:val="22"/>
        </w:rPr>
        <w:t>foi demonstrado que diferem na sua patogenicidade; isto levou à confusão</w:t>
      </w:r>
      <w:r w:rsidRPr="00A51654">
        <w:rPr>
          <w:rFonts w:ascii="Arial" w:hAnsi="Arial"/>
          <w:sz w:val="22"/>
          <w:szCs w:val="22"/>
          <w:vertAlign w:val="superscript"/>
        </w:rPr>
        <w:t xml:space="preserve"> </w:t>
      </w:r>
      <w:r w:rsidRPr="00A51654">
        <w:rPr>
          <w:rFonts w:ascii="Arial" w:hAnsi="Arial"/>
          <w:sz w:val="22"/>
          <w:szCs w:val="22"/>
        </w:rPr>
        <w:t xml:space="preserve">e a relatórios contraditórios sobre quais as espécies de </w:t>
      </w:r>
      <w:r w:rsidR="00016F11" w:rsidRPr="00016F11">
        <w:rPr>
          <w:rFonts w:ascii="Arial" w:hAnsi="Arial"/>
          <w:i/>
          <w:iCs/>
          <w:sz w:val="22"/>
          <w:szCs w:val="22"/>
        </w:rPr>
        <w:t>Botryosphaeria</w:t>
      </w:r>
      <w:r w:rsidRPr="00A51654">
        <w:rPr>
          <w:rFonts w:ascii="Arial" w:hAnsi="Arial"/>
          <w:i/>
          <w:iCs/>
          <w:sz w:val="22"/>
          <w:szCs w:val="22"/>
        </w:rPr>
        <w:t xml:space="preserve"> </w:t>
      </w:r>
      <w:r w:rsidRPr="00A51654">
        <w:rPr>
          <w:rFonts w:ascii="Arial" w:hAnsi="Arial"/>
          <w:iCs/>
          <w:sz w:val="22"/>
          <w:szCs w:val="22"/>
        </w:rPr>
        <w:t>que</w:t>
      </w:r>
      <w:r w:rsidRPr="00A51654">
        <w:rPr>
          <w:rFonts w:ascii="Arial" w:hAnsi="Arial"/>
          <w:sz w:val="22"/>
          <w:szCs w:val="22"/>
          <w:vertAlign w:val="superscript"/>
        </w:rPr>
        <w:t xml:space="preserve"> </w:t>
      </w:r>
      <w:r w:rsidRPr="00A51654">
        <w:rPr>
          <w:rFonts w:ascii="Arial" w:hAnsi="Arial"/>
          <w:sz w:val="22"/>
          <w:szCs w:val="22"/>
        </w:rPr>
        <w:t>são importantes patogéneos de videiras (Phillips, 2002). Estas</w:t>
      </w:r>
      <w:r w:rsidRPr="00A51654">
        <w:rPr>
          <w:rFonts w:ascii="Arial" w:hAnsi="Arial"/>
          <w:sz w:val="22"/>
          <w:szCs w:val="22"/>
          <w:vertAlign w:val="superscript"/>
        </w:rPr>
        <w:t xml:space="preserve"> </w:t>
      </w:r>
      <w:r w:rsidRPr="00A51654">
        <w:rPr>
          <w:rFonts w:ascii="Arial" w:hAnsi="Arial"/>
          <w:sz w:val="22"/>
          <w:szCs w:val="22"/>
        </w:rPr>
        <w:t>espécies diferem na sua epidemiologia, nos sintomas da doença que</w:t>
      </w:r>
      <w:r w:rsidRPr="00A51654">
        <w:rPr>
          <w:rFonts w:ascii="Arial" w:hAnsi="Arial"/>
          <w:sz w:val="22"/>
          <w:szCs w:val="22"/>
          <w:vertAlign w:val="superscript"/>
        </w:rPr>
        <w:t xml:space="preserve"> </w:t>
      </w:r>
      <w:r w:rsidRPr="00A51654">
        <w:rPr>
          <w:rFonts w:ascii="Arial" w:hAnsi="Arial"/>
          <w:sz w:val="22"/>
          <w:szCs w:val="22"/>
        </w:rPr>
        <w:t>causa, sua importância relativa e nas estratégias de controlo</w:t>
      </w:r>
      <w:r w:rsidRPr="00A51654">
        <w:rPr>
          <w:rFonts w:ascii="Arial" w:hAnsi="Arial"/>
          <w:sz w:val="22"/>
          <w:szCs w:val="22"/>
          <w:vertAlign w:val="superscript"/>
        </w:rPr>
        <w:t xml:space="preserve"> </w:t>
      </w:r>
      <w:r w:rsidRPr="00A51654">
        <w:rPr>
          <w:rFonts w:ascii="Arial" w:hAnsi="Arial"/>
          <w:sz w:val="22"/>
          <w:szCs w:val="22"/>
        </w:rPr>
        <w:t>que devem ser seguidas para combater várias doenças.</w:t>
      </w:r>
      <w:r w:rsidRPr="00A51654">
        <w:rPr>
          <w:rFonts w:ascii="Arial" w:hAnsi="Arial"/>
          <w:sz w:val="22"/>
          <w:szCs w:val="22"/>
          <w:vertAlign w:val="superscript"/>
        </w:rPr>
        <w:t xml:space="preserve"> </w:t>
      </w:r>
      <w:r w:rsidRPr="00A51654">
        <w:rPr>
          <w:rFonts w:ascii="Arial" w:hAnsi="Arial"/>
          <w:sz w:val="22"/>
          <w:szCs w:val="22"/>
        </w:rPr>
        <w:t xml:space="preserve">Actualmente, a abordagem usada na </w:t>
      </w:r>
      <w:r w:rsidRPr="00A51654">
        <w:rPr>
          <w:rFonts w:ascii="Arial" w:hAnsi="Arial"/>
          <w:sz w:val="22"/>
          <w:szCs w:val="22"/>
        </w:rPr>
        <w:lastRenderedPageBreak/>
        <w:t xml:space="preserve">caracterização das espécies de </w:t>
      </w:r>
      <w:r w:rsidR="00016F11" w:rsidRPr="00016F11">
        <w:rPr>
          <w:rFonts w:ascii="Arial" w:hAnsi="Arial"/>
          <w:i/>
          <w:iCs/>
          <w:sz w:val="22"/>
          <w:szCs w:val="22"/>
        </w:rPr>
        <w:t>Botryosphaeria</w:t>
      </w:r>
      <w:r w:rsidRPr="00A51654">
        <w:rPr>
          <w:rFonts w:ascii="Arial" w:hAnsi="Arial"/>
          <w:i/>
          <w:iCs/>
          <w:sz w:val="22"/>
          <w:szCs w:val="22"/>
        </w:rPr>
        <w:t xml:space="preserve"> </w:t>
      </w:r>
      <w:r w:rsidRPr="00A51654">
        <w:rPr>
          <w:rFonts w:ascii="Arial" w:hAnsi="Arial"/>
          <w:sz w:val="22"/>
          <w:szCs w:val="22"/>
        </w:rPr>
        <w:t xml:space="preserve">é polifásica, conjugando dados da morfologia com dados biomoleculares (técnicas baseadas em PCR e sequenciação de DNA). A elevada resolução destas técnicas tem conduzido à reclassificação de algumas espécies (Phillips, 2002, Niekerk </w:t>
      </w:r>
      <w:r w:rsidR="006F2254" w:rsidRPr="006F2254">
        <w:rPr>
          <w:rFonts w:ascii="Arial" w:hAnsi="Arial"/>
          <w:i/>
          <w:iCs/>
          <w:sz w:val="22"/>
          <w:szCs w:val="22"/>
        </w:rPr>
        <w:t>et al.</w:t>
      </w:r>
      <w:r w:rsidRPr="00A51654">
        <w:rPr>
          <w:rFonts w:ascii="Arial" w:hAnsi="Arial"/>
          <w:sz w:val="22"/>
          <w:szCs w:val="22"/>
        </w:rPr>
        <w:t xml:space="preserve">, 2004, Slippers </w:t>
      </w:r>
      <w:r w:rsidR="006F2254" w:rsidRPr="006F2254">
        <w:rPr>
          <w:rFonts w:ascii="Arial" w:hAnsi="Arial"/>
          <w:i/>
          <w:iCs/>
          <w:sz w:val="22"/>
          <w:szCs w:val="22"/>
        </w:rPr>
        <w:t>et al.</w:t>
      </w:r>
      <w:r w:rsidRPr="00A51654">
        <w:rPr>
          <w:rFonts w:ascii="Arial" w:hAnsi="Arial"/>
          <w:sz w:val="22"/>
          <w:szCs w:val="22"/>
        </w:rPr>
        <w:t xml:space="preserve">, 2004) e à criação e descrição de novos géneros e espécies (Phillips, 2002, Slippers </w:t>
      </w:r>
      <w:r w:rsidR="006F2254" w:rsidRPr="006F2254">
        <w:rPr>
          <w:rFonts w:ascii="Arial" w:hAnsi="Arial"/>
          <w:i/>
          <w:iCs/>
          <w:sz w:val="22"/>
          <w:szCs w:val="22"/>
        </w:rPr>
        <w:t>et al.</w:t>
      </w:r>
      <w:r w:rsidRPr="00A51654">
        <w:rPr>
          <w:rFonts w:ascii="Arial" w:hAnsi="Arial"/>
          <w:sz w:val="22"/>
          <w:szCs w:val="22"/>
        </w:rPr>
        <w:t>, 2004)</w:t>
      </w:r>
    </w:p>
    <w:p w:rsidR="00F40609" w:rsidRPr="00A51654" w:rsidRDefault="00F40609" w:rsidP="00F40609">
      <w:pPr>
        <w:pStyle w:val="NormalWeb"/>
        <w:spacing w:before="0" w:beforeAutospacing="0" w:after="240" w:afterAutospacing="0" w:line="360" w:lineRule="auto"/>
        <w:rPr>
          <w:rFonts w:ascii="Arial" w:hAnsi="Arial"/>
          <w:sz w:val="22"/>
          <w:szCs w:val="22"/>
          <w:vertAlign w:val="superscript"/>
        </w:rPr>
      </w:pPr>
      <w:r w:rsidRPr="00A51654">
        <w:rPr>
          <w:rFonts w:ascii="Arial" w:hAnsi="Arial"/>
          <w:sz w:val="22"/>
          <w:szCs w:val="22"/>
        </w:rPr>
        <w:t xml:space="preserve">Na África do Sul, várias espécies de </w:t>
      </w:r>
      <w:r w:rsidR="00016F11" w:rsidRPr="00016F11">
        <w:rPr>
          <w:rFonts w:ascii="Arial" w:hAnsi="Arial"/>
          <w:i/>
          <w:iCs/>
          <w:sz w:val="22"/>
          <w:szCs w:val="22"/>
        </w:rPr>
        <w:t>Botryosphaeria</w:t>
      </w:r>
      <w:r w:rsidRPr="00A51654">
        <w:rPr>
          <w:rFonts w:ascii="Arial" w:hAnsi="Arial"/>
          <w:sz w:val="22"/>
          <w:szCs w:val="22"/>
        </w:rPr>
        <w:t xml:space="preserve"> foram</w:t>
      </w:r>
      <w:r w:rsidRPr="00A51654">
        <w:rPr>
          <w:rFonts w:ascii="Arial" w:hAnsi="Arial"/>
          <w:sz w:val="22"/>
          <w:szCs w:val="22"/>
          <w:vertAlign w:val="superscript"/>
        </w:rPr>
        <w:t xml:space="preserve"> </w:t>
      </w:r>
      <w:r w:rsidRPr="00A51654">
        <w:rPr>
          <w:rFonts w:ascii="Arial" w:hAnsi="Arial"/>
          <w:sz w:val="22"/>
          <w:szCs w:val="22"/>
        </w:rPr>
        <w:t xml:space="preserve">descritos como patogéneos da videira, incluindo </w:t>
      </w:r>
      <w:r w:rsidRPr="00A51654">
        <w:rPr>
          <w:rFonts w:ascii="Arial" w:hAnsi="Arial"/>
          <w:i/>
          <w:iCs/>
          <w:sz w:val="22"/>
          <w:szCs w:val="22"/>
        </w:rPr>
        <w:t>B. obtusa, B.</w:t>
      </w:r>
      <w:r w:rsidRPr="00A51654">
        <w:rPr>
          <w:rFonts w:ascii="Arial" w:hAnsi="Arial"/>
          <w:i/>
          <w:iCs/>
          <w:sz w:val="22"/>
          <w:szCs w:val="22"/>
          <w:vertAlign w:val="superscript"/>
        </w:rPr>
        <w:t xml:space="preserve"> </w:t>
      </w:r>
      <w:r w:rsidRPr="00A51654">
        <w:rPr>
          <w:rFonts w:ascii="Arial" w:hAnsi="Arial"/>
          <w:i/>
          <w:iCs/>
          <w:sz w:val="22"/>
          <w:szCs w:val="22"/>
        </w:rPr>
        <w:t>dothidea</w:t>
      </w:r>
      <w:r w:rsidRPr="00A51654">
        <w:rPr>
          <w:rFonts w:ascii="Arial" w:hAnsi="Arial"/>
          <w:sz w:val="22"/>
          <w:szCs w:val="22"/>
        </w:rPr>
        <w:t xml:space="preserve"> e </w:t>
      </w:r>
      <w:r w:rsidRPr="00A51654">
        <w:rPr>
          <w:rFonts w:ascii="Arial" w:hAnsi="Arial"/>
          <w:i/>
          <w:iCs/>
          <w:sz w:val="22"/>
          <w:szCs w:val="22"/>
        </w:rPr>
        <w:t>B.</w:t>
      </w:r>
      <w:r w:rsidRPr="00A51654">
        <w:rPr>
          <w:rFonts w:ascii="Arial" w:hAnsi="Arial"/>
          <w:sz w:val="22"/>
          <w:szCs w:val="22"/>
        </w:rPr>
        <w:t xml:space="preserve"> </w:t>
      </w:r>
      <w:r w:rsidRPr="00A51654">
        <w:rPr>
          <w:rFonts w:ascii="Arial" w:hAnsi="Arial"/>
          <w:i/>
          <w:iCs/>
          <w:sz w:val="22"/>
          <w:szCs w:val="22"/>
        </w:rPr>
        <w:t xml:space="preserve">ribis </w:t>
      </w:r>
      <w:r w:rsidR="00F32659">
        <w:rPr>
          <w:rFonts w:ascii="Arial" w:hAnsi="Arial"/>
          <w:sz w:val="22"/>
          <w:szCs w:val="22"/>
        </w:rPr>
        <w:t xml:space="preserve">(Crous et al 2000), </w:t>
      </w:r>
      <w:r w:rsidR="00F32659" w:rsidRPr="00FE70E1">
        <w:rPr>
          <w:rFonts w:ascii="Arial" w:hAnsi="Arial"/>
          <w:sz w:val="22"/>
          <w:szCs w:val="22"/>
        </w:rPr>
        <w:t>b</w:t>
      </w:r>
      <w:r w:rsidRPr="00FE70E1">
        <w:rPr>
          <w:rFonts w:ascii="Arial" w:hAnsi="Arial"/>
          <w:sz w:val="22"/>
          <w:szCs w:val="22"/>
        </w:rPr>
        <w:t xml:space="preserve">em como </w:t>
      </w:r>
      <w:r w:rsidRPr="00FE70E1">
        <w:rPr>
          <w:rFonts w:ascii="Arial" w:hAnsi="Arial"/>
          <w:i/>
          <w:iCs/>
          <w:sz w:val="22"/>
          <w:szCs w:val="22"/>
        </w:rPr>
        <w:t>B.</w:t>
      </w:r>
      <w:r w:rsidRPr="00A51654">
        <w:rPr>
          <w:rFonts w:ascii="Arial" w:hAnsi="Arial"/>
          <w:i/>
          <w:iCs/>
          <w:sz w:val="22"/>
          <w:szCs w:val="22"/>
        </w:rPr>
        <w:t xml:space="preserve"> vitis</w:t>
      </w:r>
      <w:r w:rsidRPr="00A51654">
        <w:rPr>
          <w:rFonts w:ascii="Arial" w:hAnsi="Arial"/>
          <w:sz w:val="22"/>
          <w:szCs w:val="22"/>
          <w:vertAlign w:val="superscript"/>
        </w:rPr>
        <w:t xml:space="preserve"> </w:t>
      </w:r>
      <w:r w:rsidRPr="00A51654">
        <w:rPr>
          <w:rFonts w:ascii="Arial" w:hAnsi="Arial"/>
          <w:sz w:val="22"/>
          <w:szCs w:val="22"/>
        </w:rPr>
        <w:t xml:space="preserve">(Schulzer) Sacc. (Doidge, 1950). </w:t>
      </w:r>
      <w:r w:rsidR="00016F11" w:rsidRPr="00016F11">
        <w:rPr>
          <w:rFonts w:ascii="Arial" w:hAnsi="Arial"/>
          <w:i/>
          <w:iCs/>
          <w:sz w:val="22"/>
          <w:szCs w:val="22"/>
        </w:rPr>
        <w:t>Botryosphaeria</w:t>
      </w:r>
      <w:r w:rsidRPr="00A51654">
        <w:rPr>
          <w:rFonts w:ascii="Arial" w:hAnsi="Arial"/>
          <w:sz w:val="22"/>
          <w:szCs w:val="22"/>
        </w:rPr>
        <w:t xml:space="preserve"> é considerado como</w:t>
      </w:r>
      <w:r w:rsidRPr="00A51654">
        <w:rPr>
          <w:rFonts w:ascii="Arial" w:hAnsi="Arial"/>
          <w:sz w:val="22"/>
          <w:szCs w:val="22"/>
          <w:vertAlign w:val="superscript"/>
        </w:rPr>
        <w:t xml:space="preserve"> </w:t>
      </w:r>
      <w:r w:rsidRPr="00A51654">
        <w:rPr>
          <w:rFonts w:ascii="Arial" w:hAnsi="Arial"/>
          <w:sz w:val="22"/>
          <w:szCs w:val="22"/>
        </w:rPr>
        <w:t>um importante patogéneo da videira na África do Sul e é frequentemente</w:t>
      </w:r>
      <w:r w:rsidRPr="00A51654">
        <w:rPr>
          <w:rFonts w:ascii="Arial" w:hAnsi="Arial"/>
          <w:sz w:val="22"/>
          <w:szCs w:val="22"/>
          <w:vertAlign w:val="superscript"/>
        </w:rPr>
        <w:t xml:space="preserve"> </w:t>
      </w:r>
      <w:r w:rsidRPr="00A51654">
        <w:rPr>
          <w:rFonts w:ascii="Arial" w:hAnsi="Arial"/>
          <w:sz w:val="22"/>
          <w:szCs w:val="22"/>
        </w:rPr>
        <w:t>isolado de videiras com cancro e sintomas “die-back” (Fourie</w:t>
      </w:r>
      <w:r w:rsidRPr="00A51654">
        <w:rPr>
          <w:rFonts w:ascii="Arial" w:hAnsi="Arial"/>
          <w:sz w:val="22"/>
          <w:szCs w:val="22"/>
          <w:vertAlign w:val="superscript"/>
        </w:rPr>
        <w:t xml:space="preserve"> </w:t>
      </w:r>
      <w:r w:rsidRPr="00A51654">
        <w:rPr>
          <w:rFonts w:ascii="Arial" w:hAnsi="Arial"/>
          <w:sz w:val="22"/>
          <w:szCs w:val="22"/>
        </w:rPr>
        <w:t>e Halleen, 2001). A identidade das espécies causais é diversa</w:t>
      </w:r>
      <w:r w:rsidRPr="00A51654">
        <w:rPr>
          <w:rFonts w:ascii="Arial" w:hAnsi="Arial"/>
          <w:sz w:val="22"/>
          <w:szCs w:val="22"/>
          <w:vertAlign w:val="superscript"/>
        </w:rPr>
        <w:t xml:space="preserve"> </w:t>
      </w:r>
      <w:r w:rsidRPr="00A51654">
        <w:rPr>
          <w:rFonts w:ascii="Arial" w:hAnsi="Arial"/>
          <w:sz w:val="22"/>
          <w:szCs w:val="22"/>
        </w:rPr>
        <w:t>e permanece desconhecida.</w:t>
      </w:r>
      <w:r w:rsidRPr="00A51654">
        <w:rPr>
          <w:rFonts w:ascii="Arial" w:hAnsi="Arial"/>
          <w:sz w:val="22"/>
          <w:szCs w:val="22"/>
          <w:vertAlign w:val="superscript"/>
        </w:rPr>
        <w:t xml:space="preserve"> </w:t>
      </w:r>
    </w:p>
    <w:p w:rsidR="00F40609" w:rsidRPr="00A51654" w:rsidRDefault="00F40609" w:rsidP="00F40609">
      <w:pPr>
        <w:pStyle w:val="Estilo1"/>
        <w:rPr>
          <w:rFonts w:cs="Arial"/>
          <w:iCs/>
        </w:rPr>
      </w:pPr>
      <w:r w:rsidRPr="00A51654">
        <w:rPr>
          <w:rFonts w:cs="Arial"/>
        </w:rPr>
        <w:t xml:space="preserve">Crous </w:t>
      </w:r>
      <w:r w:rsidR="006F2254" w:rsidRPr="006F2254">
        <w:rPr>
          <w:rFonts w:cs="Arial"/>
          <w:i/>
          <w:iCs/>
        </w:rPr>
        <w:t>et al.</w:t>
      </w:r>
      <w:r w:rsidRPr="00A51654">
        <w:rPr>
          <w:rFonts w:cs="Arial"/>
        </w:rPr>
        <w:t xml:space="preserve"> (2006) têm vindo a desenvolver estudos filogenéticos em </w:t>
      </w:r>
      <w:r w:rsidR="00016F11" w:rsidRPr="00016F11">
        <w:rPr>
          <w:rFonts w:cs="Arial"/>
          <w:i/>
        </w:rPr>
        <w:t>Botryosphaeria</w:t>
      </w:r>
      <w:r w:rsidRPr="00A51654">
        <w:rPr>
          <w:rFonts w:cs="Arial"/>
        </w:rPr>
        <w:t xml:space="preserve">ceae que já lhes permitiu separar dez diferentes linhagens e, consequentemente, descrever novos géneros, sobretudo para anamorfos. Existem ainda vários agrupamentos por resolver e é provável que, tal como indicado por aqueles autores, em breve surjam novos rearranjos e novos </w:t>
      </w:r>
      <w:r w:rsidRPr="00A51654">
        <w:rPr>
          <w:rFonts w:cs="Arial"/>
          <w:i/>
          <w:iCs/>
        </w:rPr>
        <w:t>taxa</w:t>
      </w:r>
      <w:r w:rsidRPr="00A51654">
        <w:rPr>
          <w:rFonts w:cs="Arial"/>
        </w:rPr>
        <w:t xml:space="preserve">, quer para anamorfos quer para teleomorfos. O género </w:t>
      </w:r>
      <w:r w:rsidR="00016F11" w:rsidRPr="00016F11">
        <w:rPr>
          <w:rFonts w:cs="Arial"/>
          <w:i/>
          <w:iCs/>
        </w:rPr>
        <w:t>Botryosphaeria</w:t>
      </w:r>
      <w:r w:rsidRPr="00A51654">
        <w:rPr>
          <w:rFonts w:cs="Arial"/>
          <w:i/>
          <w:iCs/>
        </w:rPr>
        <w:t xml:space="preserve"> s. str. </w:t>
      </w:r>
      <w:r w:rsidRPr="00A51654">
        <w:rPr>
          <w:rFonts w:cs="Arial"/>
        </w:rPr>
        <w:t xml:space="preserve">ficou assim restrito a fungos com anamorfos do género </w:t>
      </w:r>
      <w:r w:rsidRPr="00A51654">
        <w:rPr>
          <w:rFonts w:cs="Arial"/>
          <w:i/>
          <w:iCs/>
        </w:rPr>
        <w:t>Fusicoccum</w:t>
      </w:r>
      <w:r w:rsidRPr="00A51654">
        <w:rPr>
          <w:rFonts w:cs="Arial"/>
        </w:rPr>
        <w:t xml:space="preserve">, ou seja, em videira, apenas a espécie </w:t>
      </w:r>
      <w:r w:rsidRPr="00A51654">
        <w:rPr>
          <w:rFonts w:cs="Arial"/>
          <w:i/>
          <w:iCs/>
        </w:rPr>
        <w:t>F. aesculi</w:t>
      </w:r>
      <w:r w:rsidRPr="00A51654">
        <w:rPr>
          <w:rFonts w:cs="Arial"/>
        </w:rPr>
        <w:t xml:space="preserve">, teleomorfo </w:t>
      </w:r>
      <w:r w:rsidRPr="00A51654">
        <w:rPr>
          <w:rFonts w:cs="Arial"/>
          <w:i/>
          <w:iCs/>
        </w:rPr>
        <w:t>B. dothidea</w:t>
      </w:r>
      <w:r w:rsidRPr="00A51654">
        <w:rPr>
          <w:rFonts w:cs="Arial"/>
        </w:rPr>
        <w:t>, está representada (Quadro 2.1)</w:t>
      </w:r>
      <w:r w:rsidRPr="00A51654">
        <w:rPr>
          <w:rFonts w:cs="Arial"/>
          <w:i/>
          <w:iCs/>
        </w:rPr>
        <w:t>.</w:t>
      </w:r>
    </w:p>
    <w:p w:rsidR="00F40609" w:rsidRPr="00A51654" w:rsidRDefault="00F40609" w:rsidP="00F40609">
      <w:pPr>
        <w:pStyle w:val="Estilo1"/>
        <w:rPr>
          <w:rFonts w:cs="Arial"/>
        </w:rPr>
      </w:pPr>
      <w:r w:rsidRPr="00A51654">
        <w:rPr>
          <w:rFonts w:cs="Arial"/>
        </w:rPr>
        <w:t>Os diferentes fungos, possuindo teleomorfo semelhante a</w:t>
      </w:r>
      <w:r w:rsidRPr="00A51654">
        <w:rPr>
          <w:rFonts w:cs="Arial"/>
          <w:i/>
        </w:rPr>
        <w:t xml:space="preserve"> </w:t>
      </w:r>
      <w:r w:rsidR="00016F11" w:rsidRPr="00016F11">
        <w:rPr>
          <w:rFonts w:cs="Arial"/>
          <w:i/>
        </w:rPr>
        <w:t>Botryosphaeria</w:t>
      </w:r>
      <w:r w:rsidRPr="00A51654">
        <w:rPr>
          <w:rFonts w:cs="Arial"/>
        </w:rPr>
        <w:t xml:space="preserve"> são designados por </w:t>
      </w:r>
      <w:r w:rsidRPr="00A51654">
        <w:rPr>
          <w:rFonts w:cs="Arial"/>
          <w:i/>
        </w:rPr>
        <w:t>“</w:t>
      </w:r>
      <w:r w:rsidR="00016F11" w:rsidRPr="00016F11">
        <w:rPr>
          <w:rFonts w:cs="Arial"/>
          <w:i/>
        </w:rPr>
        <w:t>Botryosphaeria</w:t>
      </w:r>
      <w:r w:rsidRPr="00A51654">
        <w:rPr>
          <w:rFonts w:cs="Arial"/>
          <w:i/>
        </w:rPr>
        <w:t>”</w:t>
      </w:r>
      <w:r w:rsidRPr="00A51654">
        <w:rPr>
          <w:rFonts w:cs="Arial"/>
        </w:rPr>
        <w:t xml:space="preserve"> ou</w:t>
      </w:r>
      <w:r w:rsidRPr="00A51654">
        <w:rPr>
          <w:rFonts w:cs="Arial"/>
          <w:i/>
        </w:rPr>
        <w:t xml:space="preserve"> </w:t>
      </w:r>
      <w:r w:rsidR="00016F11" w:rsidRPr="00016F11">
        <w:rPr>
          <w:rFonts w:cs="Arial"/>
          <w:i/>
        </w:rPr>
        <w:t>Botryosphaeria</w:t>
      </w:r>
      <w:r w:rsidRPr="00A51654">
        <w:rPr>
          <w:rFonts w:cs="Arial"/>
          <w:i/>
        </w:rPr>
        <w:t>-like</w:t>
      </w:r>
      <w:r w:rsidRPr="00A51654">
        <w:rPr>
          <w:rFonts w:cs="Arial"/>
        </w:rPr>
        <w:t xml:space="preserve">, segundo Crous </w:t>
      </w:r>
      <w:r w:rsidR="006F2254" w:rsidRPr="006F2254">
        <w:rPr>
          <w:rFonts w:cs="Arial"/>
          <w:i/>
        </w:rPr>
        <w:t>et al.</w:t>
      </w:r>
      <w:r w:rsidRPr="00A51654">
        <w:rPr>
          <w:rFonts w:cs="Arial"/>
        </w:rPr>
        <w:t xml:space="preserve"> (2006), até que lhes seja atribuída uma nova designação.</w:t>
      </w:r>
    </w:p>
    <w:p w:rsidR="00F40609" w:rsidRDefault="00F40609" w:rsidP="00F40609">
      <w:pPr>
        <w:pStyle w:val="Estilo1"/>
        <w:rPr>
          <w:rFonts w:cs="Arial"/>
        </w:rPr>
      </w:pPr>
      <w:r w:rsidRPr="00A51654">
        <w:rPr>
          <w:rFonts w:cs="Arial"/>
        </w:rPr>
        <w:t xml:space="preserve">Em Portugal, a caracterização fenotípica e molecular de uma colecção de 43 isolados de </w:t>
      </w:r>
      <w:r w:rsidR="00016F11" w:rsidRPr="00016F11">
        <w:rPr>
          <w:rFonts w:cs="Arial"/>
          <w:i/>
        </w:rPr>
        <w:t>Botryosphaeria</w:t>
      </w:r>
      <w:r w:rsidRPr="00A51654">
        <w:rPr>
          <w:rFonts w:cs="Arial"/>
        </w:rPr>
        <w:t xml:space="preserve"> spp., obtidos de materiais de propagação vegetativa, videiras jovens e adultas, permitiu a identificação de </w:t>
      </w:r>
      <w:r w:rsidRPr="00A51654">
        <w:rPr>
          <w:rFonts w:cs="Arial"/>
          <w:i/>
        </w:rPr>
        <w:t>B.</w:t>
      </w:r>
      <w:r w:rsidRPr="00A51654">
        <w:rPr>
          <w:rFonts w:cs="Arial"/>
        </w:rPr>
        <w:t xml:space="preserve"> </w:t>
      </w:r>
      <w:r w:rsidRPr="00A51654">
        <w:rPr>
          <w:rFonts w:cs="Arial"/>
          <w:i/>
        </w:rPr>
        <w:t>dothidea</w:t>
      </w:r>
      <w:r w:rsidRPr="00A51654">
        <w:rPr>
          <w:rFonts w:cs="Arial"/>
        </w:rPr>
        <w:t>, “</w:t>
      </w:r>
      <w:r w:rsidRPr="00A51654">
        <w:rPr>
          <w:rFonts w:cs="Arial"/>
          <w:i/>
        </w:rPr>
        <w:t>B”. obtusa</w:t>
      </w:r>
      <w:r w:rsidRPr="00A51654">
        <w:rPr>
          <w:rFonts w:cs="Arial"/>
        </w:rPr>
        <w:t xml:space="preserve">, “B”. </w:t>
      </w:r>
      <w:r w:rsidRPr="00A51654">
        <w:rPr>
          <w:rFonts w:cs="Arial"/>
          <w:i/>
        </w:rPr>
        <w:t>stevensii</w:t>
      </w:r>
      <w:r w:rsidRPr="00A51654">
        <w:rPr>
          <w:rFonts w:cs="Arial"/>
        </w:rPr>
        <w:t>, “</w:t>
      </w:r>
      <w:r w:rsidRPr="00A51654">
        <w:rPr>
          <w:rFonts w:cs="Arial"/>
          <w:i/>
        </w:rPr>
        <w:t>B”. viticola</w:t>
      </w:r>
      <w:r w:rsidRPr="00A51654">
        <w:rPr>
          <w:rFonts w:cs="Arial"/>
        </w:rPr>
        <w:t xml:space="preserve"> (1 isolado), </w:t>
      </w:r>
      <w:r w:rsidRPr="00A51654">
        <w:rPr>
          <w:rFonts w:cs="Arial"/>
          <w:i/>
        </w:rPr>
        <w:t>“B”. lutea</w:t>
      </w:r>
      <w:r w:rsidRPr="00A51654">
        <w:rPr>
          <w:rFonts w:cs="Arial"/>
        </w:rPr>
        <w:t xml:space="preserve">, </w:t>
      </w:r>
      <w:r w:rsidRPr="00A51654">
        <w:rPr>
          <w:rFonts w:cs="Arial"/>
          <w:i/>
        </w:rPr>
        <w:t>“B”. parva</w:t>
      </w:r>
      <w:r w:rsidRPr="00A51654">
        <w:rPr>
          <w:rFonts w:cs="Arial"/>
        </w:rPr>
        <w:t xml:space="preserve"> e “</w:t>
      </w:r>
      <w:r w:rsidR="00016F11" w:rsidRPr="00016F11">
        <w:rPr>
          <w:rFonts w:cs="Arial"/>
          <w:i/>
        </w:rPr>
        <w:t>Botryosphaeria</w:t>
      </w:r>
      <w:r w:rsidRPr="00A51654">
        <w:rPr>
          <w:rFonts w:cs="Arial"/>
        </w:rPr>
        <w:t>” spp. A espécie “</w:t>
      </w:r>
      <w:r w:rsidRPr="00A51654">
        <w:rPr>
          <w:rFonts w:cs="Arial"/>
          <w:i/>
        </w:rPr>
        <w:t>B”. viticola</w:t>
      </w:r>
      <w:r w:rsidRPr="00A51654">
        <w:rPr>
          <w:rFonts w:cs="Arial"/>
        </w:rPr>
        <w:t xml:space="preserve"> ainda não tinha sido assinalada em Portugal (Vaz, 2008).</w:t>
      </w:r>
    </w:p>
    <w:p w:rsidR="00F40609" w:rsidRDefault="00F40609" w:rsidP="00120973">
      <w:pPr>
        <w:pStyle w:val="Legenda"/>
      </w:pPr>
    </w:p>
    <w:p w:rsidR="00F40609" w:rsidRDefault="00F40609" w:rsidP="00120973">
      <w:pPr>
        <w:pStyle w:val="Legenda"/>
      </w:pPr>
    </w:p>
    <w:p w:rsidR="00F40609" w:rsidRDefault="00F40609" w:rsidP="00120973">
      <w:pPr>
        <w:pStyle w:val="Legenda"/>
      </w:pPr>
    </w:p>
    <w:p w:rsidR="00F40609" w:rsidRDefault="00F40609" w:rsidP="00120973">
      <w:pPr>
        <w:pStyle w:val="Legenda"/>
      </w:pPr>
    </w:p>
    <w:p w:rsidR="00F40609" w:rsidRDefault="00F40609" w:rsidP="00120973">
      <w:pPr>
        <w:pStyle w:val="Legenda"/>
      </w:pPr>
    </w:p>
    <w:p w:rsidR="00120973" w:rsidRDefault="00120973" w:rsidP="00120973">
      <w:pPr>
        <w:pStyle w:val="Legenda"/>
      </w:pPr>
      <w:bookmarkStart w:id="15" w:name="_Toc264890328"/>
      <w:r>
        <w:lastRenderedPageBreak/>
        <w:t xml:space="preserve">Quadro </w:t>
      </w:r>
      <w:fldSimple w:instr=" STYLEREF 1 \s ">
        <w:r w:rsidR="00E2640D">
          <w:rPr>
            <w:noProof/>
          </w:rPr>
          <w:t>2</w:t>
        </w:r>
      </w:fldSimple>
      <w:r w:rsidR="00C37A87">
        <w:t>.</w:t>
      </w:r>
      <w:fldSimple w:instr=" SEQ Quadro \* ARABIC \s 1 ">
        <w:r w:rsidR="00E2640D">
          <w:rPr>
            <w:noProof/>
          </w:rPr>
          <w:t>1</w:t>
        </w:r>
      </w:fldSimple>
      <w:r>
        <w:t xml:space="preserve">. </w:t>
      </w:r>
      <w:r w:rsidRPr="00C043D5">
        <w:t xml:space="preserve">Espécies dos géneros </w:t>
      </w:r>
      <w:r w:rsidR="00016F11" w:rsidRPr="00016F11">
        <w:rPr>
          <w:i/>
          <w:iCs/>
        </w:rPr>
        <w:t>Botryosphaeria</w:t>
      </w:r>
      <w:r w:rsidRPr="00C043D5">
        <w:rPr>
          <w:i/>
          <w:iCs/>
        </w:rPr>
        <w:t xml:space="preserve"> </w:t>
      </w:r>
      <w:r w:rsidRPr="00C043D5">
        <w:t xml:space="preserve">e semelhantes a </w:t>
      </w:r>
      <w:r w:rsidR="00016F11" w:rsidRPr="00016F11">
        <w:rPr>
          <w:i/>
          <w:iCs/>
        </w:rPr>
        <w:t>Botryosphaeria</w:t>
      </w:r>
      <w:r w:rsidRPr="00C043D5">
        <w:t xml:space="preserve"> descritas em videira e seus anamorfos (adaptado de Crous </w:t>
      </w:r>
      <w:r w:rsidR="006F2254" w:rsidRPr="006F2254">
        <w:rPr>
          <w:i/>
          <w:iCs/>
        </w:rPr>
        <w:t>et al.</w:t>
      </w:r>
      <w:r w:rsidRPr="00C043D5">
        <w:t>, 2006)</w:t>
      </w:r>
      <w:bookmarkEnd w:id="15"/>
    </w:p>
    <w:tbl>
      <w:tblPr>
        <w:tblW w:w="0" w:type="auto"/>
        <w:tblBorders>
          <w:top w:val="single" w:sz="8" w:space="0" w:color="9BBB59"/>
          <w:left w:val="single" w:sz="8" w:space="0" w:color="9BBB59"/>
          <w:bottom w:val="single" w:sz="8" w:space="0" w:color="9BBB59"/>
          <w:right w:val="single" w:sz="8" w:space="0" w:color="9BBB59"/>
        </w:tblBorders>
        <w:tblLayout w:type="fixed"/>
        <w:tblLook w:val="0000"/>
      </w:tblPr>
      <w:tblGrid>
        <w:gridCol w:w="5010"/>
        <w:gridCol w:w="4276"/>
      </w:tblGrid>
      <w:tr w:rsidR="007A2A0E" w:rsidRPr="00C043D5" w:rsidTr="00C96AA1">
        <w:trPr>
          <w:trHeight w:val="119"/>
        </w:trPr>
        <w:tc>
          <w:tcPr>
            <w:tcW w:w="5010" w:type="dxa"/>
            <w:tcBorders>
              <w:top w:val="single" w:sz="8" w:space="0" w:color="9BBB59"/>
              <w:left w:val="single" w:sz="8" w:space="0" w:color="9BBB59"/>
              <w:bottom w:val="single" w:sz="8" w:space="0" w:color="9BBB59"/>
              <w:right w:val="single" w:sz="8" w:space="0" w:color="9BBB59"/>
            </w:tcBorders>
            <w:vAlign w:val="bottom"/>
          </w:tcPr>
          <w:p w:rsidR="007A2A0E" w:rsidRPr="007D0F0A" w:rsidRDefault="007A2A0E" w:rsidP="008014D2">
            <w:pPr>
              <w:pStyle w:val="Estilo1"/>
              <w:spacing w:after="0" w:line="240" w:lineRule="auto"/>
              <w:jc w:val="center"/>
            </w:pPr>
            <w:r w:rsidRPr="007D0F0A">
              <w:t>Teleomorfo</w:t>
            </w:r>
          </w:p>
        </w:tc>
        <w:tc>
          <w:tcPr>
            <w:tcW w:w="4276" w:type="dxa"/>
            <w:tcBorders>
              <w:top w:val="single" w:sz="8" w:space="0" w:color="9BBB59"/>
              <w:bottom w:val="single" w:sz="8" w:space="0" w:color="9BBB59"/>
              <w:right w:val="single" w:sz="8" w:space="0" w:color="9BBB59"/>
            </w:tcBorders>
            <w:vAlign w:val="bottom"/>
          </w:tcPr>
          <w:p w:rsidR="007A2A0E" w:rsidRPr="007D0F0A" w:rsidRDefault="007A2A0E" w:rsidP="008014D2">
            <w:pPr>
              <w:pStyle w:val="Estilo1"/>
              <w:spacing w:after="0" w:line="240" w:lineRule="auto"/>
              <w:jc w:val="center"/>
            </w:pPr>
            <w:r w:rsidRPr="007D0F0A">
              <w:t>Anamorfo</w:t>
            </w:r>
          </w:p>
        </w:tc>
      </w:tr>
      <w:tr w:rsidR="007A2A0E" w:rsidRPr="00C043D5" w:rsidTr="00C96AA1">
        <w:trPr>
          <w:trHeight w:val="1027"/>
        </w:trPr>
        <w:tc>
          <w:tcPr>
            <w:tcW w:w="5010" w:type="dxa"/>
            <w:tcBorders>
              <w:left w:val="single" w:sz="8" w:space="0" w:color="9BBB59"/>
              <w:right w:val="single" w:sz="8" w:space="0" w:color="9BBB59"/>
            </w:tcBorders>
            <w:vAlign w:val="center"/>
          </w:tcPr>
          <w:p w:rsidR="007A2A0E" w:rsidRPr="00DC5956" w:rsidRDefault="00016F11" w:rsidP="008014D2">
            <w:pPr>
              <w:pStyle w:val="Estilo1"/>
              <w:spacing w:after="0" w:line="240" w:lineRule="auto"/>
              <w:rPr>
                <w:sz w:val="18"/>
                <w:szCs w:val="18"/>
              </w:rPr>
            </w:pPr>
            <w:r w:rsidRPr="00016F11">
              <w:rPr>
                <w:i/>
                <w:iCs/>
                <w:sz w:val="18"/>
                <w:szCs w:val="18"/>
              </w:rPr>
              <w:t>Botryosphaeria</w:t>
            </w:r>
            <w:r w:rsidR="007A2A0E" w:rsidRPr="00DC5956">
              <w:rPr>
                <w:i/>
                <w:iCs/>
                <w:sz w:val="18"/>
                <w:szCs w:val="18"/>
              </w:rPr>
              <w:t xml:space="preserve"> dothidea </w:t>
            </w:r>
            <w:r w:rsidR="007A2A0E" w:rsidRPr="00DC5956">
              <w:rPr>
                <w:sz w:val="18"/>
                <w:szCs w:val="18"/>
              </w:rPr>
              <w:t xml:space="preserve">(Moug. ex Fr.) Ces. </w:t>
            </w:r>
            <w:r w:rsidR="007A2A0E" w:rsidRPr="00FE70E1">
              <w:rPr>
                <w:sz w:val="18"/>
                <w:szCs w:val="18"/>
                <w:lang w:val="en-US"/>
              </w:rPr>
              <w:t xml:space="preserve">&amp; De Not. </w:t>
            </w:r>
            <w:r w:rsidR="007A2A0E" w:rsidRPr="002343FC">
              <w:rPr>
                <w:sz w:val="18"/>
                <w:szCs w:val="18"/>
                <w:lang w:val="en-US"/>
              </w:rPr>
              <w:t xml:space="preserve">= </w:t>
            </w:r>
            <w:r w:rsidR="007A2A0E" w:rsidRPr="002343FC">
              <w:rPr>
                <w:i/>
                <w:iCs/>
                <w:sz w:val="18"/>
                <w:szCs w:val="18"/>
                <w:lang w:val="en-US"/>
              </w:rPr>
              <w:t xml:space="preserve">Sphaeria dothidea </w:t>
            </w:r>
            <w:r w:rsidR="007A2A0E" w:rsidRPr="002343FC">
              <w:rPr>
                <w:sz w:val="18"/>
                <w:szCs w:val="18"/>
                <w:lang w:val="en-US"/>
              </w:rPr>
              <w:t xml:space="preserve">Moug.: Fr. </w:t>
            </w:r>
            <w:r w:rsidR="007A2A0E" w:rsidRPr="00DC5956">
              <w:rPr>
                <w:sz w:val="18"/>
                <w:szCs w:val="18"/>
              </w:rPr>
              <w:t xml:space="preserve">= </w:t>
            </w:r>
            <w:r w:rsidRPr="00016F11">
              <w:rPr>
                <w:i/>
                <w:iCs/>
                <w:sz w:val="18"/>
                <w:szCs w:val="18"/>
              </w:rPr>
              <w:t>Botryosphaeria</w:t>
            </w:r>
            <w:r w:rsidR="007A2A0E" w:rsidRPr="00DC5956">
              <w:rPr>
                <w:i/>
                <w:iCs/>
                <w:sz w:val="18"/>
                <w:szCs w:val="18"/>
              </w:rPr>
              <w:t xml:space="preserve"> berengeriana </w:t>
            </w:r>
            <w:r w:rsidR="007A2A0E" w:rsidRPr="00DC5956">
              <w:rPr>
                <w:sz w:val="18"/>
                <w:szCs w:val="18"/>
              </w:rPr>
              <w:t>De Not.</w:t>
            </w:r>
          </w:p>
        </w:tc>
        <w:tc>
          <w:tcPr>
            <w:tcW w:w="4276" w:type="dxa"/>
            <w:vAlign w:val="center"/>
          </w:tcPr>
          <w:p w:rsidR="007A2A0E" w:rsidRPr="00DC5956" w:rsidRDefault="007A2A0E" w:rsidP="008014D2">
            <w:pPr>
              <w:pStyle w:val="Estilo1"/>
              <w:spacing w:after="0" w:line="240" w:lineRule="auto"/>
              <w:rPr>
                <w:sz w:val="18"/>
                <w:szCs w:val="18"/>
              </w:rPr>
            </w:pPr>
            <w:r w:rsidRPr="00DC5956">
              <w:rPr>
                <w:i/>
                <w:iCs/>
                <w:sz w:val="18"/>
                <w:szCs w:val="18"/>
              </w:rPr>
              <w:t xml:space="preserve">Fusicoccum aesculi </w:t>
            </w:r>
            <w:r w:rsidRPr="00DC5956">
              <w:rPr>
                <w:sz w:val="18"/>
                <w:szCs w:val="18"/>
              </w:rPr>
              <w:t>Corda</w:t>
            </w:r>
          </w:p>
        </w:tc>
      </w:tr>
      <w:tr w:rsidR="007A2A0E" w:rsidRPr="00C043D5" w:rsidTr="00C96AA1">
        <w:trPr>
          <w:trHeight w:val="119"/>
        </w:trPr>
        <w:tc>
          <w:tcPr>
            <w:tcW w:w="5010" w:type="dxa"/>
            <w:tcBorders>
              <w:top w:val="single" w:sz="8" w:space="0" w:color="9BBB59"/>
              <w:left w:val="single" w:sz="8" w:space="0" w:color="9BBB59"/>
              <w:bottom w:val="single" w:sz="8" w:space="0" w:color="9BBB59"/>
              <w:right w:val="single" w:sz="8" w:space="0" w:color="9BBB59"/>
            </w:tcBorders>
            <w:vAlign w:val="center"/>
          </w:tcPr>
          <w:p w:rsidR="007A2A0E" w:rsidRPr="00DC5956" w:rsidRDefault="007A2A0E" w:rsidP="008014D2">
            <w:pPr>
              <w:pStyle w:val="Estilo1"/>
              <w:spacing w:after="0" w:line="240" w:lineRule="auto"/>
              <w:rPr>
                <w:sz w:val="18"/>
                <w:szCs w:val="18"/>
              </w:rPr>
            </w:pPr>
            <w:r w:rsidRPr="00DC5956">
              <w:rPr>
                <w:i/>
                <w:iCs/>
                <w:sz w:val="18"/>
                <w:szCs w:val="18"/>
              </w:rPr>
              <w:t>“</w:t>
            </w:r>
            <w:r w:rsidR="00016F11" w:rsidRPr="00016F11">
              <w:rPr>
                <w:i/>
                <w:iCs/>
                <w:sz w:val="18"/>
                <w:szCs w:val="18"/>
              </w:rPr>
              <w:t>Botryosphaeria</w:t>
            </w:r>
            <w:r w:rsidRPr="00DC5956">
              <w:rPr>
                <w:i/>
                <w:iCs/>
                <w:sz w:val="18"/>
                <w:szCs w:val="18"/>
              </w:rPr>
              <w:t xml:space="preserve">” obtusa </w:t>
            </w:r>
            <w:r w:rsidRPr="00DC5956">
              <w:rPr>
                <w:sz w:val="18"/>
                <w:szCs w:val="18"/>
              </w:rPr>
              <w:t>(Schwein.) Shoemaker</w:t>
            </w:r>
          </w:p>
        </w:tc>
        <w:tc>
          <w:tcPr>
            <w:tcW w:w="4276" w:type="dxa"/>
            <w:tcBorders>
              <w:top w:val="single" w:sz="8" w:space="0" w:color="9BBB59"/>
              <w:bottom w:val="single" w:sz="8" w:space="0" w:color="9BBB59"/>
              <w:right w:val="single" w:sz="8" w:space="0" w:color="9BBB59"/>
            </w:tcBorders>
            <w:vAlign w:val="center"/>
          </w:tcPr>
          <w:p w:rsidR="007A2A0E" w:rsidRPr="00DC5956" w:rsidRDefault="007A2A0E" w:rsidP="008014D2">
            <w:pPr>
              <w:pStyle w:val="Estilo1"/>
              <w:spacing w:after="0" w:line="240" w:lineRule="auto"/>
              <w:rPr>
                <w:sz w:val="18"/>
                <w:szCs w:val="18"/>
              </w:rPr>
            </w:pPr>
            <w:r w:rsidRPr="00DC5956">
              <w:rPr>
                <w:i/>
                <w:iCs/>
                <w:sz w:val="18"/>
                <w:szCs w:val="18"/>
              </w:rPr>
              <w:t>Diplodia seriata De Not.</w:t>
            </w:r>
          </w:p>
        </w:tc>
      </w:tr>
      <w:tr w:rsidR="007A2A0E" w:rsidRPr="00C043D5" w:rsidTr="00C96AA1">
        <w:trPr>
          <w:trHeight w:val="119"/>
        </w:trPr>
        <w:tc>
          <w:tcPr>
            <w:tcW w:w="5010" w:type="dxa"/>
            <w:tcBorders>
              <w:left w:val="single" w:sz="8" w:space="0" w:color="9BBB59"/>
              <w:right w:val="single" w:sz="8" w:space="0" w:color="9BBB59"/>
            </w:tcBorders>
            <w:vAlign w:val="center"/>
          </w:tcPr>
          <w:p w:rsidR="007A2A0E" w:rsidRPr="00DC5956" w:rsidRDefault="007A2A0E" w:rsidP="008014D2">
            <w:pPr>
              <w:pStyle w:val="Estilo1"/>
              <w:spacing w:after="0" w:line="240" w:lineRule="auto"/>
              <w:rPr>
                <w:sz w:val="18"/>
                <w:szCs w:val="18"/>
              </w:rPr>
            </w:pPr>
            <w:r w:rsidRPr="00DC5956">
              <w:rPr>
                <w:i/>
                <w:iCs/>
                <w:sz w:val="18"/>
                <w:szCs w:val="18"/>
              </w:rPr>
              <w:t>”</w:t>
            </w:r>
            <w:r w:rsidR="00016F11" w:rsidRPr="00016F11">
              <w:rPr>
                <w:i/>
                <w:iCs/>
                <w:sz w:val="18"/>
                <w:szCs w:val="18"/>
              </w:rPr>
              <w:t>Botryosphaeria</w:t>
            </w:r>
            <w:r w:rsidRPr="00DC5956">
              <w:rPr>
                <w:i/>
                <w:iCs/>
                <w:sz w:val="18"/>
                <w:szCs w:val="18"/>
              </w:rPr>
              <w:t xml:space="preserve">” stevensii </w:t>
            </w:r>
            <w:r w:rsidRPr="00DC5956">
              <w:rPr>
                <w:sz w:val="18"/>
                <w:szCs w:val="18"/>
              </w:rPr>
              <w:t>Shoemaker</w:t>
            </w:r>
          </w:p>
        </w:tc>
        <w:tc>
          <w:tcPr>
            <w:tcW w:w="4276" w:type="dxa"/>
            <w:vAlign w:val="center"/>
          </w:tcPr>
          <w:p w:rsidR="007A2A0E" w:rsidRPr="00DC5956" w:rsidRDefault="007A2A0E" w:rsidP="008014D2">
            <w:pPr>
              <w:pStyle w:val="Estilo1"/>
              <w:spacing w:after="0" w:line="240" w:lineRule="auto"/>
              <w:rPr>
                <w:sz w:val="18"/>
                <w:szCs w:val="18"/>
              </w:rPr>
            </w:pPr>
            <w:r w:rsidRPr="00DC5956">
              <w:rPr>
                <w:i/>
                <w:iCs/>
                <w:sz w:val="18"/>
                <w:szCs w:val="18"/>
              </w:rPr>
              <w:t xml:space="preserve">Diplodia mutila </w:t>
            </w:r>
            <w:r w:rsidRPr="00DC5956">
              <w:rPr>
                <w:sz w:val="18"/>
                <w:szCs w:val="18"/>
              </w:rPr>
              <w:t>Fr. ex Mont.</w:t>
            </w:r>
          </w:p>
        </w:tc>
      </w:tr>
      <w:tr w:rsidR="007A2A0E" w:rsidRPr="007D763F" w:rsidTr="00C96AA1">
        <w:trPr>
          <w:trHeight w:val="568"/>
        </w:trPr>
        <w:tc>
          <w:tcPr>
            <w:tcW w:w="5010" w:type="dxa"/>
            <w:tcBorders>
              <w:top w:val="single" w:sz="8" w:space="0" w:color="9BBB59"/>
              <w:left w:val="single" w:sz="8" w:space="0" w:color="9BBB59"/>
              <w:bottom w:val="single" w:sz="8" w:space="0" w:color="9BBB59"/>
              <w:right w:val="single" w:sz="8" w:space="0" w:color="9BBB59"/>
            </w:tcBorders>
            <w:vAlign w:val="center"/>
          </w:tcPr>
          <w:p w:rsidR="007A2A0E" w:rsidRPr="00DC5956" w:rsidRDefault="007A2A0E" w:rsidP="008014D2">
            <w:pPr>
              <w:pStyle w:val="Estilo1"/>
              <w:spacing w:after="0" w:line="240" w:lineRule="auto"/>
              <w:rPr>
                <w:sz w:val="18"/>
                <w:szCs w:val="18"/>
              </w:rPr>
            </w:pPr>
            <w:r w:rsidRPr="00DC5956">
              <w:rPr>
                <w:i/>
                <w:iCs/>
                <w:sz w:val="18"/>
                <w:szCs w:val="18"/>
              </w:rPr>
              <w:t>“</w:t>
            </w:r>
            <w:r w:rsidR="00016F11" w:rsidRPr="00016F11">
              <w:rPr>
                <w:i/>
                <w:iCs/>
                <w:sz w:val="18"/>
                <w:szCs w:val="18"/>
              </w:rPr>
              <w:t>Botryosphaeria</w:t>
            </w:r>
            <w:r w:rsidRPr="00DC5956">
              <w:rPr>
                <w:i/>
                <w:iCs/>
                <w:sz w:val="18"/>
                <w:szCs w:val="18"/>
              </w:rPr>
              <w:t xml:space="preserve">” rhodina </w:t>
            </w:r>
            <w:r w:rsidRPr="00DC5956">
              <w:rPr>
                <w:sz w:val="18"/>
                <w:szCs w:val="18"/>
              </w:rPr>
              <w:t xml:space="preserve">von Arx </w:t>
            </w:r>
            <w:r w:rsidRPr="00DC5956">
              <w:rPr>
                <w:i/>
                <w:iCs/>
                <w:sz w:val="18"/>
                <w:szCs w:val="18"/>
              </w:rPr>
              <w:t>= Physalospora rhodina</w:t>
            </w:r>
          </w:p>
        </w:tc>
        <w:tc>
          <w:tcPr>
            <w:tcW w:w="4276" w:type="dxa"/>
            <w:tcBorders>
              <w:top w:val="single" w:sz="8" w:space="0" w:color="9BBB59"/>
              <w:bottom w:val="single" w:sz="8" w:space="0" w:color="9BBB59"/>
              <w:right w:val="single" w:sz="8" w:space="0" w:color="9BBB59"/>
            </w:tcBorders>
            <w:vAlign w:val="center"/>
          </w:tcPr>
          <w:p w:rsidR="007A2A0E" w:rsidRPr="00DC5956" w:rsidRDefault="007A2A0E" w:rsidP="008014D2">
            <w:pPr>
              <w:pStyle w:val="Estilo1"/>
              <w:spacing w:after="0" w:line="240" w:lineRule="auto"/>
              <w:rPr>
                <w:sz w:val="18"/>
                <w:szCs w:val="18"/>
                <w:lang w:val="en-US"/>
              </w:rPr>
            </w:pPr>
            <w:r w:rsidRPr="00FE70E1">
              <w:rPr>
                <w:i/>
                <w:iCs/>
                <w:sz w:val="18"/>
                <w:szCs w:val="18"/>
                <w:lang w:val="en-US"/>
              </w:rPr>
              <w:t xml:space="preserve">Lasiodiplodia theobromae </w:t>
            </w:r>
            <w:r w:rsidRPr="00FE70E1">
              <w:rPr>
                <w:sz w:val="18"/>
                <w:szCs w:val="18"/>
                <w:lang w:val="en-US"/>
              </w:rPr>
              <w:t>(Pat) Griff. &amp; Maubl</w:t>
            </w:r>
            <w:r w:rsidRPr="00FE70E1">
              <w:rPr>
                <w:i/>
                <w:iCs/>
                <w:sz w:val="18"/>
                <w:szCs w:val="18"/>
                <w:lang w:val="en-US"/>
              </w:rPr>
              <w:t xml:space="preserve">., Basionym: Botryodiplodia theobromae </w:t>
            </w:r>
            <w:r w:rsidRPr="00FE70E1">
              <w:rPr>
                <w:sz w:val="18"/>
                <w:szCs w:val="18"/>
                <w:lang w:val="en-US"/>
              </w:rPr>
              <w:t>Pat.</w:t>
            </w:r>
            <w:r w:rsidRPr="00FE70E1">
              <w:rPr>
                <w:i/>
                <w:iCs/>
                <w:sz w:val="18"/>
                <w:szCs w:val="18"/>
                <w:lang w:val="en-US"/>
              </w:rPr>
              <w:t xml:space="preserve">= </w:t>
            </w:r>
            <w:r w:rsidRPr="00DC5956">
              <w:rPr>
                <w:i/>
                <w:iCs/>
                <w:sz w:val="18"/>
                <w:szCs w:val="18"/>
                <w:lang w:val="en-US"/>
              </w:rPr>
              <w:t xml:space="preserve">Lasiodiplodia tubericola </w:t>
            </w:r>
            <w:r w:rsidRPr="00DC5956">
              <w:rPr>
                <w:sz w:val="18"/>
                <w:szCs w:val="18"/>
                <w:lang w:val="en-US"/>
              </w:rPr>
              <w:t>Ell. &amp; Everh</w:t>
            </w:r>
            <w:r w:rsidRPr="00DC5956">
              <w:rPr>
                <w:i/>
                <w:iCs/>
                <w:sz w:val="18"/>
                <w:szCs w:val="18"/>
                <w:lang w:val="en-US"/>
              </w:rPr>
              <w:t>.</w:t>
            </w:r>
          </w:p>
        </w:tc>
      </w:tr>
      <w:tr w:rsidR="007A2A0E" w:rsidRPr="003E4AC6" w:rsidTr="00C96AA1">
        <w:trPr>
          <w:trHeight w:val="790"/>
        </w:trPr>
        <w:tc>
          <w:tcPr>
            <w:tcW w:w="5010" w:type="dxa"/>
            <w:tcBorders>
              <w:left w:val="single" w:sz="8" w:space="0" w:color="9BBB59"/>
              <w:right w:val="single" w:sz="8" w:space="0" w:color="9BBB59"/>
            </w:tcBorders>
            <w:vAlign w:val="center"/>
          </w:tcPr>
          <w:p w:rsidR="007A2A0E" w:rsidRPr="00DC5956" w:rsidRDefault="007A2A0E" w:rsidP="008014D2">
            <w:pPr>
              <w:pStyle w:val="Estilo1"/>
              <w:spacing w:after="0" w:line="240" w:lineRule="auto"/>
              <w:rPr>
                <w:sz w:val="18"/>
                <w:szCs w:val="18"/>
              </w:rPr>
            </w:pPr>
            <w:r w:rsidRPr="00DC5956">
              <w:rPr>
                <w:i/>
                <w:iCs/>
                <w:sz w:val="18"/>
                <w:szCs w:val="18"/>
                <w:lang w:val="en-US"/>
              </w:rPr>
              <w:t xml:space="preserve">Spencermartinsia viticola </w:t>
            </w:r>
            <w:r w:rsidRPr="00DC5956">
              <w:rPr>
                <w:sz w:val="18"/>
                <w:szCs w:val="18"/>
                <w:lang w:val="en-US"/>
              </w:rPr>
              <w:t xml:space="preserve">(A.J.L. Phillips &amp; Luque) A.J.L. Phillips &amp; Luque, A. Alves &amp; Crous, comb. nov.* </w:t>
            </w:r>
            <w:r w:rsidRPr="00DC5956">
              <w:rPr>
                <w:i/>
                <w:iCs/>
                <w:sz w:val="18"/>
                <w:szCs w:val="18"/>
                <w:lang w:val="en-US"/>
              </w:rPr>
              <w:t>Basionym. “</w:t>
            </w:r>
            <w:r w:rsidR="00016F11" w:rsidRPr="00016F11">
              <w:rPr>
                <w:i/>
                <w:iCs/>
                <w:sz w:val="18"/>
                <w:szCs w:val="18"/>
                <w:lang w:val="en-US"/>
              </w:rPr>
              <w:t>Botryosphaeria</w:t>
            </w:r>
            <w:r w:rsidRPr="00DC5956">
              <w:rPr>
                <w:i/>
                <w:iCs/>
                <w:sz w:val="18"/>
                <w:szCs w:val="18"/>
              </w:rPr>
              <w:t xml:space="preserve">” viticola </w:t>
            </w:r>
            <w:r w:rsidRPr="00DC5956">
              <w:rPr>
                <w:sz w:val="18"/>
                <w:szCs w:val="18"/>
              </w:rPr>
              <w:t>A.J.L. Phillips &amp; Luque</w:t>
            </w:r>
          </w:p>
        </w:tc>
        <w:tc>
          <w:tcPr>
            <w:tcW w:w="4276" w:type="dxa"/>
            <w:vAlign w:val="center"/>
          </w:tcPr>
          <w:p w:rsidR="007A2A0E" w:rsidRPr="00DC5956" w:rsidRDefault="007A2A0E" w:rsidP="008014D2">
            <w:pPr>
              <w:pStyle w:val="Estilo1"/>
              <w:spacing w:after="0" w:line="240" w:lineRule="auto"/>
              <w:rPr>
                <w:sz w:val="18"/>
                <w:szCs w:val="18"/>
                <w:lang w:val="it-IT"/>
              </w:rPr>
            </w:pPr>
            <w:r w:rsidRPr="00DC5956">
              <w:rPr>
                <w:i/>
                <w:iCs/>
                <w:sz w:val="18"/>
                <w:szCs w:val="18"/>
                <w:lang w:val="it-IT"/>
              </w:rPr>
              <w:t xml:space="preserve">Dothiorella viticola </w:t>
            </w:r>
            <w:r w:rsidRPr="00DC5956">
              <w:rPr>
                <w:sz w:val="18"/>
                <w:szCs w:val="18"/>
                <w:lang w:val="it-IT"/>
              </w:rPr>
              <w:t>A.J.L. Phillips &amp; Luque</w:t>
            </w:r>
          </w:p>
        </w:tc>
      </w:tr>
      <w:tr w:rsidR="007A2A0E" w:rsidRPr="00C043D5" w:rsidTr="00C96AA1">
        <w:trPr>
          <w:trHeight w:val="342"/>
        </w:trPr>
        <w:tc>
          <w:tcPr>
            <w:tcW w:w="5010" w:type="dxa"/>
            <w:tcBorders>
              <w:top w:val="single" w:sz="8" w:space="0" w:color="9BBB59"/>
              <w:left w:val="single" w:sz="8" w:space="0" w:color="9BBB59"/>
              <w:bottom w:val="single" w:sz="8" w:space="0" w:color="9BBB59"/>
              <w:right w:val="single" w:sz="8" w:space="0" w:color="9BBB59"/>
            </w:tcBorders>
            <w:vAlign w:val="center"/>
          </w:tcPr>
          <w:p w:rsidR="007A2A0E" w:rsidRPr="00DC5956" w:rsidRDefault="007A2A0E" w:rsidP="008014D2">
            <w:pPr>
              <w:pStyle w:val="Estilo1"/>
              <w:spacing w:after="0" w:line="240" w:lineRule="auto"/>
              <w:rPr>
                <w:sz w:val="18"/>
                <w:szCs w:val="18"/>
              </w:rPr>
            </w:pPr>
            <w:r w:rsidRPr="00DC5956">
              <w:rPr>
                <w:i/>
                <w:iCs/>
                <w:sz w:val="18"/>
                <w:szCs w:val="18"/>
              </w:rPr>
              <w:t>Dothidotthia =</w:t>
            </w:r>
            <w:r w:rsidRPr="00DC5956">
              <w:rPr>
                <w:sz w:val="18"/>
                <w:szCs w:val="18"/>
              </w:rPr>
              <w:t>(</w:t>
            </w:r>
            <w:r w:rsidRPr="00DC5956">
              <w:rPr>
                <w:i/>
                <w:iCs/>
                <w:sz w:val="18"/>
                <w:szCs w:val="18"/>
              </w:rPr>
              <w:t>”</w:t>
            </w:r>
            <w:r w:rsidR="00016F11" w:rsidRPr="00016F11">
              <w:rPr>
                <w:i/>
                <w:iCs/>
                <w:sz w:val="18"/>
                <w:szCs w:val="18"/>
              </w:rPr>
              <w:t>Botryosphaeria</w:t>
            </w:r>
            <w:r w:rsidRPr="00DC5956">
              <w:rPr>
                <w:i/>
                <w:iCs/>
                <w:sz w:val="18"/>
                <w:szCs w:val="18"/>
              </w:rPr>
              <w:t>”</w:t>
            </w:r>
            <w:r w:rsidRPr="00DC5956">
              <w:rPr>
                <w:sz w:val="18"/>
                <w:szCs w:val="18"/>
              </w:rPr>
              <w:t xml:space="preserve">) </w:t>
            </w:r>
            <w:r w:rsidRPr="00DC5956">
              <w:rPr>
                <w:i/>
                <w:iCs/>
                <w:sz w:val="18"/>
                <w:szCs w:val="18"/>
              </w:rPr>
              <w:t xml:space="preserve">sarmentorum </w:t>
            </w:r>
            <w:r w:rsidRPr="00DC5956">
              <w:rPr>
                <w:sz w:val="18"/>
                <w:szCs w:val="18"/>
              </w:rPr>
              <w:t>A.J.L. Phillips, A. Alves &amp; J. Luque</w:t>
            </w:r>
          </w:p>
        </w:tc>
        <w:tc>
          <w:tcPr>
            <w:tcW w:w="4276" w:type="dxa"/>
            <w:tcBorders>
              <w:top w:val="single" w:sz="8" w:space="0" w:color="9BBB59"/>
              <w:bottom w:val="single" w:sz="8" w:space="0" w:color="9BBB59"/>
              <w:right w:val="single" w:sz="8" w:space="0" w:color="9BBB59"/>
            </w:tcBorders>
            <w:vAlign w:val="center"/>
          </w:tcPr>
          <w:p w:rsidR="007A2A0E" w:rsidRPr="00DC5956" w:rsidRDefault="007A2A0E" w:rsidP="008014D2">
            <w:pPr>
              <w:pStyle w:val="Estilo1"/>
              <w:spacing w:after="0" w:line="240" w:lineRule="auto"/>
              <w:rPr>
                <w:sz w:val="18"/>
                <w:szCs w:val="18"/>
              </w:rPr>
            </w:pPr>
            <w:r w:rsidRPr="00DC5956">
              <w:rPr>
                <w:i/>
                <w:iCs/>
                <w:sz w:val="18"/>
                <w:szCs w:val="18"/>
              </w:rPr>
              <w:t xml:space="preserve">Dothiorella </w:t>
            </w:r>
            <w:r w:rsidRPr="00DC5956">
              <w:rPr>
                <w:sz w:val="18"/>
                <w:szCs w:val="18"/>
              </w:rPr>
              <w:t>sp.</w:t>
            </w:r>
          </w:p>
        </w:tc>
      </w:tr>
      <w:tr w:rsidR="007A2A0E" w:rsidRPr="00C043D5" w:rsidTr="00C96AA1">
        <w:trPr>
          <w:trHeight w:val="342"/>
        </w:trPr>
        <w:tc>
          <w:tcPr>
            <w:tcW w:w="5010" w:type="dxa"/>
            <w:tcBorders>
              <w:left w:val="single" w:sz="8" w:space="0" w:color="9BBB59"/>
              <w:right w:val="single" w:sz="8" w:space="0" w:color="9BBB59"/>
            </w:tcBorders>
            <w:vAlign w:val="center"/>
          </w:tcPr>
          <w:p w:rsidR="007A2A0E" w:rsidRPr="00DC5956" w:rsidRDefault="007A2A0E" w:rsidP="008014D2">
            <w:pPr>
              <w:pStyle w:val="Estilo1"/>
              <w:spacing w:after="0" w:line="240" w:lineRule="auto"/>
              <w:rPr>
                <w:sz w:val="18"/>
                <w:szCs w:val="18"/>
              </w:rPr>
            </w:pPr>
            <w:r w:rsidRPr="00DC5956">
              <w:rPr>
                <w:i/>
                <w:iCs/>
                <w:sz w:val="18"/>
                <w:szCs w:val="18"/>
              </w:rPr>
              <w:t>Dothidotthia =”</w:t>
            </w:r>
            <w:r w:rsidR="00016F11" w:rsidRPr="00016F11">
              <w:rPr>
                <w:i/>
                <w:iCs/>
                <w:sz w:val="18"/>
                <w:szCs w:val="18"/>
              </w:rPr>
              <w:t>Botryosphaeria</w:t>
            </w:r>
            <w:r w:rsidRPr="00DC5956">
              <w:rPr>
                <w:i/>
                <w:iCs/>
                <w:sz w:val="18"/>
                <w:szCs w:val="18"/>
              </w:rPr>
              <w:t xml:space="preserve">” iberica </w:t>
            </w:r>
            <w:r w:rsidRPr="00DC5956">
              <w:rPr>
                <w:sz w:val="18"/>
                <w:szCs w:val="18"/>
              </w:rPr>
              <w:t>A.J.L. Phillips, Luque &amp; Alves</w:t>
            </w:r>
          </w:p>
        </w:tc>
        <w:tc>
          <w:tcPr>
            <w:tcW w:w="4276" w:type="dxa"/>
            <w:vAlign w:val="center"/>
          </w:tcPr>
          <w:p w:rsidR="007A2A0E" w:rsidRPr="00DC5956" w:rsidRDefault="007A2A0E" w:rsidP="008014D2">
            <w:pPr>
              <w:pStyle w:val="Estilo1"/>
              <w:spacing w:after="0" w:line="240" w:lineRule="auto"/>
              <w:rPr>
                <w:sz w:val="18"/>
                <w:szCs w:val="18"/>
              </w:rPr>
            </w:pPr>
            <w:r w:rsidRPr="00DC5956">
              <w:rPr>
                <w:i/>
                <w:iCs/>
                <w:sz w:val="18"/>
                <w:szCs w:val="18"/>
              </w:rPr>
              <w:t xml:space="preserve">Dothiorella iberica </w:t>
            </w:r>
            <w:r w:rsidRPr="00DC5956">
              <w:rPr>
                <w:sz w:val="18"/>
                <w:szCs w:val="18"/>
              </w:rPr>
              <w:t>A.J.L. Phillips, Luque &amp; Alves</w:t>
            </w:r>
          </w:p>
        </w:tc>
      </w:tr>
      <w:tr w:rsidR="007A2A0E" w:rsidRPr="00C043D5" w:rsidTr="00C96AA1">
        <w:trPr>
          <w:trHeight w:val="566"/>
        </w:trPr>
        <w:tc>
          <w:tcPr>
            <w:tcW w:w="5010" w:type="dxa"/>
            <w:tcBorders>
              <w:top w:val="single" w:sz="8" w:space="0" w:color="9BBB59"/>
              <w:left w:val="single" w:sz="8" w:space="0" w:color="9BBB59"/>
              <w:bottom w:val="single" w:sz="8" w:space="0" w:color="9BBB59"/>
              <w:right w:val="single" w:sz="8" w:space="0" w:color="9BBB59"/>
            </w:tcBorders>
            <w:vAlign w:val="center"/>
          </w:tcPr>
          <w:p w:rsidR="007A2A0E" w:rsidRPr="00DC5956" w:rsidRDefault="007A2A0E" w:rsidP="008014D2">
            <w:pPr>
              <w:pStyle w:val="Estilo1"/>
              <w:spacing w:after="0" w:line="240" w:lineRule="auto"/>
              <w:rPr>
                <w:sz w:val="18"/>
                <w:szCs w:val="18"/>
              </w:rPr>
            </w:pPr>
            <w:r w:rsidRPr="00DC5956">
              <w:rPr>
                <w:i/>
                <w:iCs/>
                <w:sz w:val="18"/>
                <w:szCs w:val="18"/>
              </w:rPr>
              <w:t>”</w:t>
            </w:r>
            <w:r w:rsidR="00016F11" w:rsidRPr="00016F11">
              <w:rPr>
                <w:i/>
                <w:iCs/>
                <w:sz w:val="18"/>
                <w:szCs w:val="18"/>
              </w:rPr>
              <w:t>Botryosphaeria</w:t>
            </w:r>
            <w:r w:rsidRPr="00DC5956">
              <w:rPr>
                <w:i/>
                <w:iCs/>
                <w:sz w:val="18"/>
                <w:szCs w:val="18"/>
              </w:rPr>
              <w:t xml:space="preserve">” parva </w:t>
            </w:r>
            <w:r w:rsidRPr="00DC5956">
              <w:rPr>
                <w:sz w:val="18"/>
                <w:szCs w:val="18"/>
              </w:rPr>
              <w:t>Pennycook &amp; Samuels</w:t>
            </w:r>
          </w:p>
        </w:tc>
        <w:tc>
          <w:tcPr>
            <w:tcW w:w="4276" w:type="dxa"/>
            <w:tcBorders>
              <w:top w:val="single" w:sz="8" w:space="0" w:color="9BBB59"/>
              <w:bottom w:val="single" w:sz="8" w:space="0" w:color="9BBB59"/>
              <w:right w:val="single" w:sz="8" w:space="0" w:color="9BBB59"/>
            </w:tcBorders>
            <w:vAlign w:val="center"/>
          </w:tcPr>
          <w:p w:rsidR="007A2A0E" w:rsidRPr="00DC5956" w:rsidRDefault="007A2A0E" w:rsidP="008014D2">
            <w:pPr>
              <w:pStyle w:val="Estilo1"/>
              <w:spacing w:after="0" w:line="240" w:lineRule="auto"/>
              <w:rPr>
                <w:sz w:val="18"/>
                <w:szCs w:val="18"/>
                <w:lang w:val="en-US"/>
              </w:rPr>
            </w:pPr>
            <w:r w:rsidRPr="00DC5956">
              <w:rPr>
                <w:i/>
                <w:iCs/>
                <w:sz w:val="18"/>
                <w:szCs w:val="18"/>
                <w:lang w:val="en-US"/>
              </w:rPr>
              <w:t xml:space="preserve">Neofusicoccum parvum </w:t>
            </w:r>
            <w:r w:rsidRPr="00DC5956">
              <w:rPr>
                <w:sz w:val="18"/>
                <w:szCs w:val="18"/>
                <w:lang w:val="en-US"/>
              </w:rPr>
              <w:t>(Pennycook &amp; Samuels) Crous, Slippers &amp; A.J.L. Phillips</w:t>
            </w:r>
          </w:p>
          <w:p w:rsidR="007A2A0E" w:rsidRPr="00DC5956" w:rsidRDefault="007A2A0E" w:rsidP="008014D2">
            <w:pPr>
              <w:pStyle w:val="Estilo1"/>
              <w:spacing w:after="0" w:line="240" w:lineRule="auto"/>
              <w:rPr>
                <w:sz w:val="18"/>
                <w:szCs w:val="18"/>
              </w:rPr>
            </w:pPr>
            <w:r w:rsidRPr="00DC5956">
              <w:rPr>
                <w:i/>
                <w:iCs/>
                <w:sz w:val="18"/>
                <w:szCs w:val="18"/>
              </w:rPr>
              <w:t xml:space="preserve">= Fusicoccum parvum </w:t>
            </w:r>
            <w:r w:rsidRPr="00DC5956">
              <w:rPr>
                <w:sz w:val="18"/>
                <w:szCs w:val="18"/>
              </w:rPr>
              <w:t>Pennycook &amp; Samuels</w:t>
            </w:r>
          </w:p>
        </w:tc>
      </w:tr>
      <w:tr w:rsidR="007A2A0E" w:rsidRPr="003E4AC6" w:rsidTr="00C96AA1">
        <w:trPr>
          <w:trHeight w:val="566"/>
        </w:trPr>
        <w:tc>
          <w:tcPr>
            <w:tcW w:w="5010" w:type="dxa"/>
            <w:tcBorders>
              <w:left w:val="single" w:sz="8" w:space="0" w:color="9BBB59"/>
              <w:right w:val="single" w:sz="8" w:space="0" w:color="9BBB59"/>
            </w:tcBorders>
            <w:vAlign w:val="center"/>
          </w:tcPr>
          <w:p w:rsidR="007A2A0E" w:rsidRPr="00DC5956" w:rsidRDefault="007A2A0E" w:rsidP="008014D2">
            <w:pPr>
              <w:pStyle w:val="Estilo1"/>
              <w:spacing w:after="0" w:line="240" w:lineRule="auto"/>
              <w:rPr>
                <w:sz w:val="18"/>
                <w:szCs w:val="18"/>
              </w:rPr>
            </w:pPr>
            <w:r w:rsidRPr="00DC5956">
              <w:rPr>
                <w:sz w:val="18"/>
                <w:szCs w:val="18"/>
              </w:rPr>
              <w:t>Sem teleomofo associado</w:t>
            </w:r>
          </w:p>
        </w:tc>
        <w:tc>
          <w:tcPr>
            <w:tcW w:w="4276" w:type="dxa"/>
            <w:vAlign w:val="center"/>
          </w:tcPr>
          <w:p w:rsidR="007A2A0E" w:rsidRPr="00FE70E1" w:rsidRDefault="007A2A0E" w:rsidP="008014D2">
            <w:pPr>
              <w:pStyle w:val="Estilo1"/>
              <w:spacing w:after="0" w:line="240" w:lineRule="auto"/>
              <w:rPr>
                <w:sz w:val="18"/>
                <w:szCs w:val="18"/>
                <w:lang w:val="en-US"/>
              </w:rPr>
            </w:pPr>
            <w:r w:rsidRPr="00FE70E1">
              <w:rPr>
                <w:i/>
                <w:iCs/>
                <w:sz w:val="18"/>
                <w:szCs w:val="18"/>
                <w:lang w:val="en-US"/>
              </w:rPr>
              <w:t xml:space="preserve">Neofusicoccum vitifusiforme </w:t>
            </w:r>
            <w:r w:rsidRPr="00FE70E1">
              <w:rPr>
                <w:sz w:val="18"/>
                <w:szCs w:val="18"/>
                <w:lang w:val="en-US"/>
              </w:rPr>
              <w:t xml:space="preserve">(Van Niekerk &amp; Crous) Crous, Slippers &amp; A.J.L. Phillips = </w:t>
            </w:r>
            <w:r w:rsidRPr="00FE70E1">
              <w:rPr>
                <w:i/>
                <w:iCs/>
                <w:sz w:val="18"/>
                <w:szCs w:val="18"/>
                <w:lang w:val="en-US"/>
              </w:rPr>
              <w:t xml:space="preserve">Fusicoccum vitifusiforme </w:t>
            </w:r>
            <w:r w:rsidRPr="00FE70E1">
              <w:rPr>
                <w:sz w:val="18"/>
                <w:szCs w:val="18"/>
                <w:lang w:val="en-US"/>
              </w:rPr>
              <w:t>Van Niekerk &amp; Crous</w:t>
            </w:r>
          </w:p>
        </w:tc>
      </w:tr>
      <w:tr w:rsidR="007A2A0E" w:rsidRPr="00C043D5" w:rsidTr="00C96AA1">
        <w:trPr>
          <w:trHeight w:val="566"/>
        </w:trPr>
        <w:tc>
          <w:tcPr>
            <w:tcW w:w="5010" w:type="dxa"/>
            <w:tcBorders>
              <w:top w:val="single" w:sz="8" w:space="0" w:color="9BBB59"/>
              <w:left w:val="single" w:sz="8" w:space="0" w:color="9BBB59"/>
              <w:bottom w:val="single" w:sz="8" w:space="0" w:color="9BBB59"/>
              <w:right w:val="single" w:sz="8" w:space="0" w:color="9BBB59"/>
            </w:tcBorders>
            <w:vAlign w:val="center"/>
          </w:tcPr>
          <w:p w:rsidR="007A2A0E" w:rsidRPr="00DC5956" w:rsidRDefault="007A2A0E" w:rsidP="008014D2">
            <w:pPr>
              <w:pStyle w:val="Estilo1"/>
              <w:spacing w:after="0" w:line="240" w:lineRule="auto"/>
              <w:rPr>
                <w:sz w:val="18"/>
                <w:szCs w:val="18"/>
                <w:lang w:val="en-US"/>
              </w:rPr>
            </w:pPr>
            <w:r w:rsidRPr="00DC5956">
              <w:rPr>
                <w:i/>
                <w:iCs/>
                <w:sz w:val="18"/>
                <w:szCs w:val="18"/>
                <w:lang w:val="en-US"/>
              </w:rPr>
              <w:t>”</w:t>
            </w:r>
            <w:r w:rsidR="00016F11" w:rsidRPr="00016F11">
              <w:rPr>
                <w:i/>
                <w:iCs/>
                <w:sz w:val="18"/>
                <w:szCs w:val="18"/>
                <w:lang w:val="en-US"/>
              </w:rPr>
              <w:t>Botryosphaeria</w:t>
            </w:r>
            <w:r w:rsidRPr="00DC5956">
              <w:rPr>
                <w:i/>
                <w:iCs/>
                <w:sz w:val="18"/>
                <w:szCs w:val="18"/>
                <w:lang w:val="en-US"/>
              </w:rPr>
              <w:t xml:space="preserve">” lutea </w:t>
            </w:r>
            <w:r w:rsidRPr="00DC5956">
              <w:rPr>
                <w:sz w:val="18"/>
                <w:szCs w:val="18"/>
                <w:lang w:val="en-US"/>
              </w:rPr>
              <w:t>A.J.L. Phillips</w:t>
            </w:r>
          </w:p>
        </w:tc>
        <w:tc>
          <w:tcPr>
            <w:tcW w:w="4276" w:type="dxa"/>
            <w:tcBorders>
              <w:top w:val="single" w:sz="8" w:space="0" w:color="9BBB59"/>
              <w:bottom w:val="single" w:sz="8" w:space="0" w:color="9BBB59"/>
              <w:right w:val="single" w:sz="8" w:space="0" w:color="9BBB59"/>
            </w:tcBorders>
            <w:vAlign w:val="center"/>
          </w:tcPr>
          <w:p w:rsidR="007A2A0E" w:rsidRPr="00DC5956" w:rsidRDefault="007A2A0E" w:rsidP="008014D2">
            <w:pPr>
              <w:pStyle w:val="Estilo1"/>
              <w:spacing w:after="0" w:line="240" w:lineRule="auto"/>
              <w:rPr>
                <w:sz w:val="18"/>
                <w:szCs w:val="18"/>
                <w:lang w:val="en-US"/>
              </w:rPr>
            </w:pPr>
            <w:r w:rsidRPr="00DC5956">
              <w:rPr>
                <w:i/>
                <w:iCs/>
                <w:sz w:val="18"/>
                <w:szCs w:val="18"/>
                <w:lang w:val="en-US"/>
              </w:rPr>
              <w:t xml:space="preserve">Neofusicoccum luteum </w:t>
            </w:r>
            <w:r w:rsidRPr="00DC5956">
              <w:rPr>
                <w:sz w:val="18"/>
                <w:szCs w:val="18"/>
                <w:lang w:val="en-US"/>
              </w:rPr>
              <w:t>(Pennycook &amp; Samuels) Crous, Slippers &amp; A.J.L. Phillips</w:t>
            </w:r>
          </w:p>
          <w:p w:rsidR="007A2A0E" w:rsidRPr="00DC5956" w:rsidRDefault="007A2A0E" w:rsidP="008014D2">
            <w:pPr>
              <w:pStyle w:val="Estilo1"/>
              <w:spacing w:after="0" w:line="240" w:lineRule="auto"/>
              <w:rPr>
                <w:sz w:val="18"/>
                <w:szCs w:val="18"/>
              </w:rPr>
            </w:pPr>
            <w:r w:rsidRPr="00DC5956">
              <w:rPr>
                <w:sz w:val="18"/>
                <w:szCs w:val="18"/>
              </w:rPr>
              <w:t xml:space="preserve">= </w:t>
            </w:r>
            <w:r w:rsidRPr="00DC5956">
              <w:rPr>
                <w:i/>
                <w:iCs/>
                <w:sz w:val="18"/>
                <w:szCs w:val="18"/>
              </w:rPr>
              <w:t xml:space="preserve">Fusicoccum luteum </w:t>
            </w:r>
            <w:r w:rsidRPr="00DC5956">
              <w:rPr>
                <w:sz w:val="18"/>
                <w:szCs w:val="18"/>
              </w:rPr>
              <w:t>Pennycook &amp; Samuels</w:t>
            </w:r>
          </w:p>
        </w:tc>
      </w:tr>
      <w:tr w:rsidR="007A2A0E" w:rsidRPr="003E4AC6" w:rsidTr="00C96AA1">
        <w:trPr>
          <w:trHeight w:val="566"/>
        </w:trPr>
        <w:tc>
          <w:tcPr>
            <w:tcW w:w="5010" w:type="dxa"/>
            <w:tcBorders>
              <w:left w:val="single" w:sz="8" w:space="0" w:color="9BBB59"/>
              <w:right w:val="single" w:sz="8" w:space="0" w:color="9BBB59"/>
            </w:tcBorders>
            <w:vAlign w:val="center"/>
          </w:tcPr>
          <w:p w:rsidR="007A2A0E" w:rsidRPr="00DC5956" w:rsidRDefault="007A2A0E" w:rsidP="008014D2">
            <w:pPr>
              <w:pStyle w:val="Estilo1"/>
              <w:spacing w:after="0" w:line="240" w:lineRule="auto"/>
              <w:rPr>
                <w:sz w:val="18"/>
                <w:szCs w:val="18"/>
              </w:rPr>
            </w:pPr>
            <w:r w:rsidRPr="00DC5956">
              <w:rPr>
                <w:i/>
                <w:iCs/>
                <w:sz w:val="18"/>
                <w:szCs w:val="18"/>
              </w:rPr>
              <w:t>”</w:t>
            </w:r>
            <w:r w:rsidR="00016F11" w:rsidRPr="00016F11">
              <w:rPr>
                <w:i/>
                <w:iCs/>
                <w:sz w:val="18"/>
                <w:szCs w:val="18"/>
              </w:rPr>
              <w:t>Botryosphaeria</w:t>
            </w:r>
            <w:r w:rsidRPr="00FE70E1">
              <w:rPr>
                <w:i/>
                <w:iCs/>
                <w:sz w:val="18"/>
                <w:szCs w:val="18"/>
              </w:rPr>
              <w:t>” ribis</w:t>
            </w:r>
            <w:r w:rsidRPr="00FE70E1">
              <w:rPr>
                <w:sz w:val="18"/>
                <w:szCs w:val="18"/>
              </w:rPr>
              <w:t xml:space="preserve"> Grossenbacher</w:t>
            </w:r>
            <w:r w:rsidRPr="00DC5956">
              <w:rPr>
                <w:sz w:val="18"/>
                <w:szCs w:val="18"/>
              </w:rPr>
              <w:t xml:space="preserve"> &amp; Duggar</w:t>
            </w:r>
          </w:p>
        </w:tc>
        <w:tc>
          <w:tcPr>
            <w:tcW w:w="4276" w:type="dxa"/>
            <w:vAlign w:val="center"/>
          </w:tcPr>
          <w:p w:rsidR="007A2A0E" w:rsidRPr="00DC5956" w:rsidRDefault="007A2A0E" w:rsidP="008014D2">
            <w:pPr>
              <w:pStyle w:val="Estilo1"/>
              <w:spacing w:after="0" w:line="240" w:lineRule="auto"/>
              <w:rPr>
                <w:sz w:val="18"/>
                <w:szCs w:val="18"/>
                <w:lang w:val="en-US"/>
              </w:rPr>
            </w:pPr>
            <w:r w:rsidRPr="00DC5956">
              <w:rPr>
                <w:i/>
                <w:iCs/>
                <w:sz w:val="18"/>
                <w:szCs w:val="18"/>
                <w:lang w:val="en-US"/>
              </w:rPr>
              <w:t xml:space="preserve">Neofusicoccum ribis </w:t>
            </w:r>
            <w:r w:rsidRPr="00DC5956">
              <w:rPr>
                <w:sz w:val="18"/>
                <w:szCs w:val="18"/>
                <w:lang w:val="en-US"/>
              </w:rPr>
              <w:t xml:space="preserve">(Slippers, Crous &amp; M.J. Wingf.) Crous, Slippers &amp; A.J.L. Phillips </w:t>
            </w:r>
            <w:r w:rsidRPr="00DC5956">
              <w:rPr>
                <w:i/>
                <w:iCs/>
                <w:sz w:val="18"/>
                <w:szCs w:val="18"/>
                <w:lang w:val="en-US"/>
              </w:rPr>
              <w:t xml:space="preserve">= Fusicoccum ribis </w:t>
            </w:r>
            <w:r w:rsidRPr="00DC5956">
              <w:rPr>
                <w:sz w:val="18"/>
                <w:szCs w:val="18"/>
                <w:lang w:val="en-US"/>
              </w:rPr>
              <w:t>Slippers, Crous &amp; M.J. Wingf.</w:t>
            </w:r>
          </w:p>
        </w:tc>
      </w:tr>
      <w:tr w:rsidR="007A2A0E" w:rsidRPr="003E4AC6" w:rsidTr="00C96AA1">
        <w:trPr>
          <w:trHeight w:val="790"/>
        </w:trPr>
        <w:tc>
          <w:tcPr>
            <w:tcW w:w="5010" w:type="dxa"/>
            <w:tcBorders>
              <w:top w:val="single" w:sz="8" w:space="0" w:color="9BBB59"/>
              <w:left w:val="single" w:sz="8" w:space="0" w:color="9BBB59"/>
              <w:bottom w:val="single" w:sz="8" w:space="0" w:color="9BBB59"/>
              <w:right w:val="single" w:sz="8" w:space="0" w:color="9BBB59"/>
            </w:tcBorders>
            <w:vAlign w:val="center"/>
          </w:tcPr>
          <w:p w:rsidR="007A2A0E" w:rsidRPr="00DC5956" w:rsidRDefault="007A2A0E" w:rsidP="008014D2">
            <w:pPr>
              <w:pStyle w:val="Estilo1"/>
              <w:spacing w:after="0" w:line="240" w:lineRule="auto"/>
              <w:rPr>
                <w:sz w:val="18"/>
                <w:szCs w:val="18"/>
                <w:lang w:val="en-US"/>
              </w:rPr>
            </w:pPr>
            <w:r w:rsidRPr="00DC5956">
              <w:rPr>
                <w:i/>
                <w:iCs/>
                <w:sz w:val="18"/>
                <w:szCs w:val="18"/>
                <w:lang w:val="en-US"/>
              </w:rPr>
              <w:t>“</w:t>
            </w:r>
            <w:r w:rsidR="00016F11" w:rsidRPr="00016F11">
              <w:rPr>
                <w:i/>
                <w:iCs/>
                <w:sz w:val="18"/>
                <w:szCs w:val="18"/>
                <w:lang w:val="en-US"/>
              </w:rPr>
              <w:t>Botryosphaeria</w:t>
            </w:r>
            <w:r w:rsidRPr="00DC5956">
              <w:rPr>
                <w:i/>
                <w:iCs/>
                <w:sz w:val="18"/>
                <w:szCs w:val="18"/>
                <w:lang w:val="en-US"/>
              </w:rPr>
              <w:t xml:space="preserve">” australis </w:t>
            </w:r>
            <w:r w:rsidRPr="00DC5956">
              <w:rPr>
                <w:sz w:val="18"/>
                <w:szCs w:val="18"/>
                <w:lang w:val="en-US"/>
              </w:rPr>
              <w:t>Slippers, Crous &amp; M.J. Wingf.</w:t>
            </w:r>
          </w:p>
        </w:tc>
        <w:tc>
          <w:tcPr>
            <w:tcW w:w="4276" w:type="dxa"/>
            <w:tcBorders>
              <w:top w:val="single" w:sz="8" w:space="0" w:color="9BBB59"/>
              <w:bottom w:val="single" w:sz="8" w:space="0" w:color="9BBB59"/>
              <w:right w:val="single" w:sz="8" w:space="0" w:color="9BBB59"/>
            </w:tcBorders>
            <w:vAlign w:val="center"/>
          </w:tcPr>
          <w:p w:rsidR="007A2A0E" w:rsidRPr="00DC5956" w:rsidRDefault="007A2A0E" w:rsidP="008014D2">
            <w:pPr>
              <w:pStyle w:val="Estilo1"/>
              <w:spacing w:after="0" w:line="240" w:lineRule="auto"/>
              <w:rPr>
                <w:sz w:val="18"/>
                <w:szCs w:val="18"/>
                <w:lang w:val="en-US"/>
              </w:rPr>
            </w:pPr>
            <w:r w:rsidRPr="00DC5956">
              <w:rPr>
                <w:i/>
                <w:iCs/>
                <w:sz w:val="18"/>
                <w:szCs w:val="18"/>
                <w:lang w:val="en-US"/>
              </w:rPr>
              <w:t xml:space="preserve">Neofusicoccum australe </w:t>
            </w:r>
            <w:r w:rsidRPr="00DC5956">
              <w:rPr>
                <w:sz w:val="18"/>
                <w:szCs w:val="18"/>
                <w:lang w:val="en-US"/>
              </w:rPr>
              <w:t xml:space="preserve">(Slippers, Crous &amp; M.J. Wingf.) Crous, Slippers &amp; A.J.L. Phillips </w:t>
            </w:r>
            <w:r w:rsidRPr="00DC5956">
              <w:rPr>
                <w:i/>
                <w:iCs/>
                <w:sz w:val="18"/>
                <w:szCs w:val="18"/>
                <w:lang w:val="en-US"/>
              </w:rPr>
              <w:t xml:space="preserve">= Fusicoccum australe </w:t>
            </w:r>
            <w:r w:rsidRPr="00DC5956">
              <w:rPr>
                <w:sz w:val="18"/>
                <w:szCs w:val="18"/>
                <w:lang w:val="en-US"/>
              </w:rPr>
              <w:t>Slippers, Crous &amp; M.J. Wingf.</w:t>
            </w:r>
          </w:p>
        </w:tc>
      </w:tr>
    </w:tbl>
    <w:p w:rsidR="00936A0C" w:rsidRDefault="007A2A0E" w:rsidP="00EF6D03">
      <w:pPr>
        <w:rPr>
          <w:sz w:val="18"/>
          <w:szCs w:val="18"/>
          <w:lang w:val="en-US"/>
        </w:rPr>
      </w:pPr>
      <w:r w:rsidRPr="00C043D5">
        <w:rPr>
          <w:lang w:val="en-US"/>
        </w:rPr>
        <w:t xml:space="preserve">* </w:t>
      </w:r>
      <w:r w:rsidRPr="006D5FD2">
        <w:rPr>
          <w:sz w:val="18"/>
          <w:szCs w:val="18"/>
          <w:lang w:val="en-US"/>
        </w:rPr>
        <w:t xml:space="preserve">Phillips, A.J.L. </w:t>
      </w:r>
      <w:r w:rsidR="006F2254" w:rsidRPr="006F2254">
        <w:rPr>
          <w:i/>
          <w:sz w:val="18"/>
          <w:szCs w:val="18"/>
          <w:lang w:val="en-US"/>
        </w:rPr>
        <w:t>et al.</w:t>
      </w:r>
      <w:r w:rsidRPr="006D5FD2">
        <w:rPr>
          <w:sz w:val="18"/>
          <w:szCs w:val="18"/>
          <w:lang w:val="en-US"/>
        </w:rPr>
        <w:t>, 200</w:t>
      </w:r>
      <w:r w:rsidR="00C96AA1">
        <w:rPr>
          <w:sz w:val="18"/>
          <w:szCs w:val="18"/>
          <w:lang w:val="en-US"/>
        </w:rPr>
        <w:t>2</w:t>
      </w:r>
    </w:p>
    <w:p w:rsidR="00EF6D03" w:rsidRPr="00343DDF" w:rsidRDefault="00EF6D03" w:rsidP="00B73BBD">
      <w:pPr>
        <w:pStyle w:val="Ttulo3"/>
      </w:pPr>
      <w:bookmarkStart w:id="16" w:name="_Toc264890283"/>
      <w:r w:rsidRPr="00343DDF">
        <w:t>Bioecologia</w:t>
      </w:r>
      <w:bookmarkEnd w:id="16"/>
    </w:p>
    <w:p w:rsidR="007A2A0E" w:rsidRPr="00C043D5" w:rsidRDefault="007A2A0E" w:rsidP="006D5FD2">
      <w:pPr>
        <w:pStyle w:val="Estilo1"/>
      </w:pPr>
      <w:r w:rsidRPr="00C043D5">
        <w:t xml:space="preserve">Actualmente sabe-se </w:t>
      </w:r>
      <w:r w:rsidR="0060251C">
        <w:t xml:space="preserve">ainda </w:t>
      </w:r>
      <w:r w:rsidRPr="00C043D5">
        <w:t>pouco sobre a</w:t>
      </w:r>
      <w:r w:rsidR="000E44CF">
        <w:t xml:space="preserve"> </w:t>
      </w:r>
      <w:r w:rsidR="000E44CF" w:rsidRPr="00FE70E1">
        <w:t>epidemiologia de</w:t>
      </w:r>
      <w:r w:rsidRPr="00FE70E1">
        <w:t xml:space="preserve"> </w:t>
      </w:r>
      <w:r w:rsidR="00016F11" w:rsidRPr="00FE70E1">
        <w:rPr>
          <w:i/>
        </w:rPr>
        <w:t>Botryosphaeria</w:t>
      </w:r>
      <w:r w:rsidRPr="00FE70E1">
        <w:rPr>
          <w:i/>
        </w:rPr>
        <w:t xml:space="preserve"> </w:t>
      </w:r>
      <w:r w:rsidRPr="00FE70E1">
        <w:t xml:space="preserve">spp. em videira. O grande e crescente número de espécies </w:t>
      </w:r>
      <w:r w:rsidR="00B97214" w:rsidRPr="00FE70E1">
        <w:t xml:space="preserve">de </w:t>
      </w:r>
      <w:r w:rsidR="00016F11" w:rsidRPr="00FE70E1">
        <w:rPr>
          <w:i/>
        </w:rPr>
        <w:t>Botryosphaeria</w:t>
      </w:r>
      <w:r w:rsidRPr="00FE70E1">
        <w:t xml:space="preserve"> que</w:t>
      </w:r>
      <w:r w:rsidRPr="00C043D5">
        <w:t xml:space="preserve"> cresce nas videiras dificulta os </w:t>
      </w:r>
      <w:r w:rsidR="00B97214">
        <w:t>estudos deste agente patogénico</w:t>
      </w:r>
      <w:r w:rsidRPr="00C043D5">
        <w:t xml:space="preserve"> e ainda, espécies diferentes necessitam de condições climáticas distintas para formar estruturas de frutificação (Van Niekerk, 2006).</w:t>
      </w:r>
    </w:p>
    <w:p w:rsidR="007A2A0E" w:rsidRPr="00C043D5" w:rsidRDefault="00824C00" w:rsidP="006D5FD2">
      <w:pPr>
        <w:pStyle w:val="Estilo1"/>
      </w:pPr>
      <w:r>
        <w:t>As condições meteorológicas</w:t>
      </w:r>
      <w:r w:rsidR="007A2A0E" w:rsidRPr="00C043D5">
        <w:t xml:space="preserve"> que facilitam a infecção de </w:t>
      </w:r>
      <w:r w:rsidR="00016F11" w:rsidRPr="00016F11">
        <w:rPr>
          <w:i/>
        </w:rPr>
        <w:t>Botryosphaeria</w:t>
      </w:r>
      <w:r w:rsidR="007A2A0E" w:rsidRPr="00C043D5">
        <w:t xml:space="preserve"> são muito variadas (Copes e Hendrix, 2004). A chuva é muito importante no ciclo de vida de </w:t>
      </w:r>
      <w:r w:rsidR="00016F11" w:rsidRPr="00016F11">
        <w:rPr>
          <w:i/>
        </w:rPr>
        <w:t>Botryosphaeria</w:t>
      </w:r>
      <w:r w:rsidR="007A2A0E" w:rsidRPr="007D0F0A">
        <w:rPr>
          <w:i/>
        </w:rPr>
        <w:t xml:space="preserve"> </w:t>
      </w:r>
      <w:r w:rsidR="007A2A0E" w:rsidRPr="00C043D5">
        <w:t>spp., em várias fases, incluindo a libertação de conídios através dos picnídios e a sua posterior disseminação</w:t>
      </w:r>
      <w:r w:rsidR="0001671A">
        <w:t xml:space="preserve"> pelo vento e chuva (Epstein</w:t>
      </w:r>
      <w:r w:rsidR="007A2A0E" w:rsidRPr="00C043D5">
        <w:t xml:space="preserve"> </w:t>
      </w:r>
      <w:r w:rsidR="006F2254" w:rsidRPr="006F2254">
        <w:rPr>
          <w:i/>
        </w:rPr>
        <w:t>et al.</w:t>
      </w:r>
      <w:r w:rsidR="007A2A0E" w:rsidRPr="00C043D5">
        <w:t>, 2008). Estes conídios formam-se em picnídios que se encontram em órgãos atacados</w:t>
      </w:r>
      <w:r w:rsidR="007A2A0E" w:rsidRPr="00C043D5">
        <w:rPr>
          <w:rFonts w:eastAsia="Times New Roman"/>
          <w:sz w:val="24"/>
          <w:szCs w:val="24"/>
          <w:lang w:eastAsia="pt-PT"/>
        </w:rPr>
        <w:t xml:space="preserve"> </w:t>
      </w:r>
      <w:r w:rsidR="007A2A0E" w:rsidRPr="00C043D5">
        <w:t xml:space="preserve">da videira, </w:t>
      </w:r>
      <w:r w:rsidR="007A2A0E">
        <w:t>no</w:t>
      </w:r>
      <w:r w:rsidR="007A2A0E" w:rsidRPr="00C043D5">
        <w:t xml:space="preserve"> ritidoma esbranquiçado </w:t>
      </w:r>
      <w:r w:rsidR="007A2A0E" w:rsidRPr="00C043D5">
        <w:lastRenderedPageBreak/>
        <w:t xml:space="preserve">das varas, cancros e sarmentos, ou em madeira, resultante da poda, abandonada nas vinhas (Gubler </w:t>
      </w:r>
      <w:r w:rsidR="006F2254" w:rsidRPr="006F2254">
        <w:rPr>
          <w:i/>
        </w:rPr>
        <w:t>et al.</w:t>
      </w:r>
      <w:r w:rsidR="007A2A0E" w:rsidRPr="00C043D5">
        <w:t xml:space="preserve">, 2005). </w:t>
      </w:r>
    </w:p>
    <w:p w:rsidR="007A2A0E" w:rsidRDefault="007A2A0E" w:rsidP="006D5FD2">
      <w:pPr>
        <w:pStyle w:val="Estilo1"/>
      </w:pPr>
      <w:r w:rsidRPr="006D5FD2">
        <w:t>Phillips (1998) descreveu a escoriose europeia como uma doença que</w:t>
      </w:r>
      <w:r w:rsidRPr="00C043D5">
        <w:t xml:space="preserve"> </w:t>
      </w:r>
      <w:r w:rsidRPr="006D5FD2">
        <w:t>ocorre com a</w:t>
      </w:r>
      <w:r w:rsidRPr="00C043D5">
        <w:t xml:space="preserve"> </w:t>
      </w:r>
      <w:r w:rsidRPr="006D5FD2">
        <w:t xml:space="preserve">infecção de gomos que abrolham muito cedo na estação. Esta infecção é tanto mais grave quanto maior for a pluviosidade. Esta observação é suportada por Lehoczky (1974, 1988) que afirmou que </w:t>
      </w:r>
      <w:r w:rsidRPr="006D5FD2">
        <w:rPr>
          <w:i/>
        </w:rPr>
        <w:t>B. stevensii</w:t>
      </w:r>
      <w:r w:rsidRPr="006D5FD2">
        <w:t xml:space="preserve"> sobreviveu em madeira de</w:t>
      </w:r>
      <w:r w:rsidRPr="00C043D5">
        <w:t xml:space="preserve"> </w:t>
      </w:r>
      <w:r w:rsidR="0010228A" w:rsidRPr="006D5FD2">
        <w:t>videiras infectadas</w:t>
      </w:r>
      <w:r w:rsidRPr="006D5FD2">
        <w:t xml:space="preserve"> e que o desenvolvimento de picnídios e libertação de esporos coincidiu com o tempo chuvoso. Este mesmo fenómeno foi observado em pomares de maçã e pêssego por Sutton (1981) e Pusey (1989b) que constatou que ascósporos de </w:t>
      </w:r>
      <w:r w:rsidRPr="006D5FD2">
        <w:rPr>
          <w:i/>
        </w:rPr>
        <w:t>B. dothidea</w:t>
      </w:r>
      <w:r w:rsidRPr="006D5FD2">
        <w:t xml:space="preserve">, </w:t>
      </w:r>
      <w:r w:rsidRPr="006D5FD2">
        <w:rPr>
          <w:i/>
        </w:rPr>
        <w:t>B. obtusa</w:t>
      </w:r>
      <w:r w:rsidRPr="006D5FD2">
        <w:t xml:space="preserve"> e </w:t>
      </w:r>
      <w:r w:rsidRPr="006D5FD2">
        <w:rPr>
          <w:i/>
        </w:rPr>
        <w:t>B. rhodina</w:t>
      </w:r>
      <w:r w:rsidRPr="006D5FD2">
        <w:t xml:space="preserve"> foram libertados durante, ou logo após períodos de chuva e humidade relativa elevada, levando a períodos prolongados de humectação. </w:t>
      </w:r>
      <w:r w:rsidR="0001671A">
        <w:t>Segundo Epstein</w:t>
      </w:r>
      <w:r w:rsidRPr="00C043D5">
        <w:t xml:space="preserve"> </w:t>
      </w:r>
      <w:r w:rsidR="006F2254" w:rsidRPr="006F2254">
        <w:rPr>
          <w:i/>
        </w:rPr>
        <w:t>et al.</w:t>
      </w:r>
      <w:r w:rsidRPr="00C043D5">
        <w:t xml:space="preserve"> (2008), </w:t>
      </w:r>
      <w:r w:rsidRPr="00C043D5">
        <w:rPr>
          <w:i/>
        </w:rPr>
        <w:t>B. obtusa</w:t>
      </w:r>
      <w:r w:rsidRPr="00C043D5">
        <w:t xml:space="preserve"> desenvolve-se dentro dos gomos e do tecido lenhoso das videiras sem estas apresentarem sintomas. </w:t>
      </w:r>
    </w:p>
    <w:p w:rsidR="007A2A0E" w:rsidRPr="001B07F9" w:rsidRDefault="007A2A0E" w:rsidP="006D5FD2">
      <w:pPr>
        <w:pStyle w:val="Estilo1"/>
      </w:pPr>
      <w:r w:rsidRPr="001B07F9">
        <w:t>O aumento da severidade da infecção dos gomos durante o tempo húmido, co</w:t>
      </w:r>
      <w:r w:rsidRPr="00FE70E1">
        <w:t xml:space="preserve">mo descrito por Phillips (1998), poderia ser atribuído à maior disponibilidade de </w:t>
      </w:r>
      <w:r w:rsidR="00B97214" w:rsidRPr="00FE70E1">
        <w:t>inó</w:t>
      </w:r>
      <w:r w:rsidR="00DB697E" w:rsidRPr="00FE70E1">
        <w:t>culo</w:t>
      </w:r>
      <w:r w:rsidRPr="001B07F9">
        <w:t xml:space="preserve">, porque, durante períodos longos de humectação os picnídios e as pseudotecas de </w:t>
      </w:r>
      <w:r w:rsidR="00016F11" w:rsidRPr="00016F11">
        <w:rPr>
          <w:i/>
        </w:rPr>
        <w:t>Botryosphaeria</w:t>
      </w:r>
      <w:r w:rsidRPr="001B07F9">
        <w:t xml:space="preserve"> hidratam e começam a produzir e libertar conídios e ascósporos. Além disso, quanto maior for o período de humectação e alta humidade relativa, mais os esporos são produzidos e libertados (Michailides e Morgan, 1993). Michailides e Morgan (1992) e Pusey e Bertrand (1993) descobriram que um aumento na duração da humectação combinado com os altos níveis de inoculo presente levou a um aumento das infecções graves em pistáchio e pessegueiro.</w:t>
      </w:r>
    </w:p>
    <w:p w:rsidR="007A2A0E" w:rsidRPr="00FE70E1" w:rsidRDefault="007A2A0E" w:rsidP="006D5FD2">
      <w:pPr>
        <w:pStyle w:val="Estilo1"/>
      </w:pPr>
      <w:r w:rsidRPr="00FE70E1">
        <w:t>Lehoczky (1974, 1988) encontrou feridas de poda causada</w:t>
      </w:r>
      <w:r w:rsidR="00B97214" w:rsidRPr="00FE70E1">
        <w:t>s</w:t>
      </w:r>
      <w:r w:rsidRPr="001B07F9">
        <w:t xml:space="preserve"> por danos mecânicos, que serviram como pontos de infecção, com uma temperatura ideal variando </w:t>
      </w:r>
      <w:r w:rsidR="00B97214">
        <w:t xml:space="preserve">entre 23 e </w:t>
      </w:r>
      <w:r>
        <w:t>26</w:t>
      </w:r>
      <w:r w:rsidRPr="001B07F9">
        <w:t>°C. Este facto é apoiado por descobertas de Halleen e Fo</w:t>
      </w:r>
      <w:r>
        <w:t>urie (2005), que isolaram</w:t>
      </w:r>
      <w:r w:rsidRPr="001B07F9">
        <w:t xml:space="preserve"> várias espécies de </w:t>
      </w:r>
      <w:r w:rsidR="00016F11" w:rsidRPr="00016F11">
        <w:rPr>
          <w:i/>
        </w:rPr>
        <w:t>Botryosphaeria</w:t>
      </w:r>
      <w:r w:rsidRPr="001B07F9">
        <w:t xml:space="preserve"> em feridas da poda, com um ano. </w:t>
      </w:r>
      <w:r>
        <w:t>O “d</w:t>
      </w:r>
      <w:r w:rsidRPr="001B07F9">
        <w:t xml:space="preserve">ieback” também é favorecido por humidade relativa alta e chuva (Hewitt, 1988). Constatou-se que o </w:t>
      </w:r>
      <w:r>
        <w:t xml:space="preserve">patógeneo </w:t>
      </w:r>
      <w:r w:rsidRPr="00E54591">
        <w:rPr>
          <w:i/>
        </w:rPr>
        <w:t>L. theobromae</w:t>
      </w:r>
      <w:r w:rsidRPr="001B07F9">
        <w:t xml:space="preserve">, anamorfo de </w:t>
      </w:r>
      <w:r w:rsidRPr="00E54591">
        <w:rPr>
          <w:i/>
        </w:rPr>
        <w:t>B. rhodina</w:t>
      </w:r>
      <w:r w:rsidRPr="001B07F9">
        <w:t xml:space="preserve">, hiberna na madeira doente e em </w:t>
      </w:r>
      <w:r>
        <w:t xml:space="preserve">madeira </w:t>
      </w:r>
      <w:r w:rsidRPr="001B07F9">
        <w:t xml:space="preserve">de poda no </w:t>
      </w:r>
      <w:r>
        <w:t xml:space="preserve">solo </w:t>
      </w:r>
      <w:r w:rsidRPr="001B07F9">
        <w:t xml:space="preserve">da vinha </w:t>
      </w:r>
      <w:r>
        <w:t xml:space="preserve">de </w:t>
      </w:r>
      <w:r w:rsidRPr="001B07F9">
        <w:t>o</w:t>
      </w:r>
      <w:r>
        <w:t>nde o inoculo (conídios) é libertado</w:t>
      </w:r>
      <w:r w:rsidRPr="001B07F9">
        <w:t xml:space="preserve"> durante per</w:t>
      </w:r>
      <w:r>
        <w:t>íodos chuvosos. Esses conídios</w:t>
      </w:r>
      <w:r w:rsidRPr="001B07F9">
        <w:t xml:space="preserve"> são então dispersos pelo vento e por salpicos de chuva ou de rega por aspersão, que infectam as feridas (Hewitt, 1988). </w:t>
      </w:r>
      <w:r>
        <w:t xml:space="preserve">Além da madeira de poda, os </w:t>
      </w:r>
      <w:r w:rsidRPr="001B07F9">
        <w:t xml:space="preserve">bagos secos no </w:t>
      </w:r>
      <w:r>
        <w:t xml:space="preserve">solo </w:t>
      </w:r>
      <w:r w:rsidRPr="00FE70E1">
        <w:t>da vinha são uma fonte de inoculo e também desempenham</w:t>
      </w:r>
      <w:r w:rsidR="00F25A30" w:rsidRPr="00FE70E1">
        <w:t xml:space="preserve"> um papel no desenvolvimento de</w:t>
      </w:r>
      <w:r w:rsidRPr="00FE70E1">
        <w:t xml:space="preserve"> </w:t>
      </w:r>
      <w:r w:rsidRPr="00FE70E1">
        <w:rPr>
          <w:i/>
        </w:rPr>
        <w:t>Fusicoccum</w:t>
      </w:r>
      <w:r w:rsidRPr="00155B75">
        <w:rPr>
          <w:i/>
        </w:rPr>
        <w:t xml:space="preserve"> aesculi</w:t>
      </w:r>
      <w:r>
        <w:t xml:space="preserve"> </w:t>
      </w:r>
      <w:r w:rsidRPr="00BF2199">
        <w:t xml:space="preserve">(Milholland, 1988; Kummuang </w:t>
      </w:r>
      <w:r w:rsidR="006F2254" w:rsidRPr="00BF2199">
        <w:rPr>
          <w:i/>
        </w:rPr>
        <w:t>et al.</w:t>
      </w:r>
      <w:r w:rsidR="009E08F0" w:rsidRPr="00BF2199">
        <w:t>, 1996a,</w:t>
      </w:r>
      <w:r w:rsidRPr="00BF2199">
        <w:t xml:space="preserve"> 1996b). </w:t>
      </w:r>
      <w:r w:rsidRPr="009E7CE8">
        <w:t xml:space="preserve">Van Niekerk </w:t>
      </w:r>
      <w:r w:rsidR="006F2254" w:rsidRPr="009E7CE8">
        <w:rPr>
          <w:i/>
        </w:rPr>
        <w:t>et al.</w:t>
      </w:r>
      <w:r w:rsidRPr="009E7CE8">
        <w:t xml:space="preserve"> </w:t>
      </w:r>
      <w:r w:rsidRPr="001B07F9">
        <w:t xml:space="preserve">(2003) isolaram várias espécies de </w:t>
      </w:r>
      <w:r w:rsidR="00016F11" w:rsidRPr="00016F11">
        <w:rPr>
          <w:i/>
        </w:rPr>
        <w:t>Botryosphaeria</w:t>
      </w:r>
      <w:r w:rsidRPr="001B07F9">
        <w:t xml:space="preserve"> em madeira resultante da poda, mostrando assim a sua importância como fonte de inoculo. Em pomares de pistáchio, a madeira que foi deixada no pomar após a poda de Inverno também foi considerada como </w:t>
      </w:r>
      <w:r w:rsidR="00F25A30">
        <w:lastRenderedPageBreak/>
        <w:t xml:space="preserve">um importante fonte </w:t>
      </w:r>
      <w:r w:rsidR="00F25A30" w:rsidRPr="00FE70E1">
        <w:t>de inó</w:t>
      </w:r>
      <w:r w:rsidRPr="00FE70E1">
        <w:t xml:space="preserve">culo para a infecção da estação seguinte (Michailides, 1991; Ahimera </w:t>
      </w:r>
      <w:r w:rsidR="006F2254" w:rsidRPr="00FE70E1">
        <w:rPr>
          <w:i/>
        </w:rPr>
        <w:t>et al.</w:t>
      </w:r>
      <w:r w:rsidRPr="00FE70E1">
        <w:t xml:space="preserve">, 2004). </w:t>
      </w:r>
    </w:p>
    <w:p w:rsidR="00146F33" w:rsidRPr="00FE70E1" w:rsidRDefault="007A2A0E" w:rsidP="006D5FD2">
      <w:pPr>
        <w:pStyle w:val="Estilo1"/>
      </w:pPr>
      <w:r w:rsidRPr="00FE70E1">
        <w:t>Além da infecção das videiras no campo, a infecção pode ocorrer durante as fases de propagação nos viveiros</w:t>
      </w:r>
      <w:r w:rsidR="008D40F8" w:rsidRPr="00FE70E1">
        <w:t xml:space="preserve"> (Rego </w:t>
      </w:r>
      <w:r w:rsidR="006F2254" w:rsidRPr="00FE70E1">
        <w:rPr>
          <w:i/>
        </w:rPr>
        <w:t>et al.</w:t>
      </w:r>
      <w:r w:rsidR="008D40F8" w:rsidRPr="00FE70E1">
        <w:t>, 2001)</w:t>
      </w:r>
      <w:r w:rsidRPr="00FE70E1">
        <w:t>. Fourie e Halleen (2002</w:t>
      </w:r>
      <w:r w:rsidR="00146F33" w:rsidRPr="00FE70E1">
        <w:t>)</w:t>
      </w:r>
      <w:r w:rsidRPr="00FE70E1">
        <w:t xml:space="preserve"> isolaram </w:t>
      </w:r>
      <w:r w:rsidR="00016F11" w:rsidRPr="00FE70E1">
        <w:rPr>
          <w:i/>
        </w:rPr>
        <w:t>Botryosphaeria</w:t>
      </w:r>
      <w:r w:rsidRPr="00FE70E1">
        <w:t xml:space="preserve"> spp. de porta-enxertos aparentemente saudáveis e concluíram que essas infecções tiveram, muito provavelmente, origem nas infecções que fo</w:t>
      </w:r>
      <w:r w:rsidR="00146F33" w:rsidRPr="00FE70E1">
        <w:t>ram encontradas nas vinhas-mãe</w:t>
      </w:r>
      <w:r w:rsidRPr="00FE70E1">
        <w:t>. Os materiais de propagação podem já estar infectados antes da enxertia</w:t>
      </w:r>
      <w:r w:rsidR="00146F33" w:rsidRPr="00FE70E1">
        <w:t xml:space="preserve"> e </w:t>
      </w:r>
      <w:r w:rsidRPr="00FE70E1">
        <w:t xml:space="preserve">Halleen </w:t>
      </w:r>
      <w:r w:rsidR="006F2254" w:rsidRPr="00FE70E1">
        <w:rPr>
          <w:i/>
        </w:rPr>
        <w:t>et al.</w:t>
      </w:r>
      <w:r w:rsidRPr="00FE70E1">
        <w:t xml:space="preserve"> (2003) isolaram </w:t>
      </w:r>
      <w:r w:rsidR="00016F11" w:rsidRPr="00FE70E1">
        <w:rPr>
          <w:i/>
        </w:rPr>
        <w:t>Botryosphaeria</w:t>
      </w:r>
      <w:r w:rsidRPr="00FE70E1">
        <w:t xml:space="preserve"> </w:t>
      </w:r>
      <w:r w:rsidR="00F25A30" w:rsidRPr="00FE70E1">
        <w:t xml:space="preserve">spp. </w:t>
      </w:r>
      <w:r w:rsidRPr="00FE70E1">
        <w:t xml:space="preserve">num grande número de jovens plantas, aparentemente saudáveis, de um viveiro, enquanto Phillips (2002) isolou </w:t>
      </w:r>
      <w:r w:rsidR="00016F11" w:rsidRPr="00FE70E1">
        <w:rPr>
          <w:i/>
        </w:rPr>
        <w:t>Botryosphaeria</w:t>
      </w:r>
      <w:r w:rsidRPr="00FE70E1">
        <w:t xml:space="preserve"> </w:t>
      </w:r>
      <w:r w:rsidR="00F25A30" w:rsidRPr="00FE70E1">
        <w:t xml:space="preserve">spp. </w:t>
      </w:r>
      <w:r w:rsidRPr="00FE70E1">
        <w:t xml:space="preserve">nas regiões de enxertia de enxertos-prontos não vingados, de plantas jovens. Estas infecções precoces podem permanecer latentes até que as jovens videiras sejam expostas ao stresse, ou, a condições favoráveis para o desenvolvimento da doença, que podem então levar ao declínio, e às vezes à morte das videiras numa idade ainda jovem. Verificou-se que infecções precoces de rebentos e gomos de pistáchio, permanecem latentes, até que as condições ambientais favoráveis para o desenvolvimento dos sintomas ocorram (Ahimera </w:t>
      </w:r>
      <w:r w:rsidR="006F2254" w:rsidRPr="00FE70E1">
        <w:rPr>
          <w:i/>
        </w:rPr>
        <w:t>et al.</w:t>
      </w:r>
      <w:r w:rsidRPr="00FE70E1">
        <w:t xml:space="preserve">, 2003). </w:t>
      </w:r>
    </w:p>
    <w:p w:rsidR="00146F33" w:rsidRPr="00FE70E1" w:rsidRDefault="00146F33" w:rsidP="006D5FD2">
      <w:pPr>
        <w:pStyle w:val="Estilo1"/>
      </w:pPr>
      <w:r w:rsidRPr="00FE70E1">
        <w:t xml:space="preserve">As feridas de poda são principalmente infectadas, através do vento e da chuva, por conídios de </w:t>
      </w:r>
      <w:r w:rsidRPr="00FE70E1">
        <w:rPr>
          <w:i/>
        </w:rPr>
        <w:t>B. obtusa</w:t>
      </w:r>
      <w:r w:rsidRPr="00FE70E1">
        <w:t xml:space="preserve"> mas existem o</w:t>
      </w:r>
      <w:r w:rsidR="00F25A30" w:rsidRPr="00FE70E1">
        <w:t>utros meios de propagação do inó</w:t>
      </w:r>
      <w:r w:rsidRPr="00FE70E1">
        <w:t xml:space="preserve">culo. Os cortes da poda podem também, através de picnídios maduros, libertar conídios sobre lâminas de corte. Mesmo quando existe micélio e não apenas os esporos, a transmissão é possível através das tesouras de poda (Epstein </w:t>
      </w:r>
      <w:r w:rsidR="006F2254" w:rsidRPr="00FE70E1">
        <w:rPr>
          <w:i/>
        </w:rPr>
        <w:t>et al.</w:t>
      </w:r>
      <w:r w:rsidRPr="00FE70E1">
        <w:t xml:space="preserve">, 2008). Aroca </w:t>
      </w:r>
      <w:r w:rsidR="006F2254" w:rsidRPr="00FE70E1">
        <w:rPr>
          <w:i/>
        </w:rPr>
        <w:t>et al.</w:t>
      </w:r>
      <w:r w:rsidRPr="00FE70E1">
        <w:t xml:space="preserve"> (2006) detectou </w:t>
      </w:r>
      <w:r w:rsidR="00016F11" w:rsidRPr="00FE70E1">
        <w:rPr>
          <w:i/>
        </w:rPr>
        <w:t>Botryosphaeria</w:t>
      </w:r>
      <w:r w:rsidRPr="00FE70E1">
        <w:rPr>
          <w:i/>
        </w:rPr>
        <w:t xml:space="preserve"> sp.</w:t>
      </w:r>
      <w:r w:rsidRPr="00FE70E1">
        <w:t xml:space="preserve"> ao longo das plantas mas principalmente na união do enxerto. Por conseguinte, os instrumento</w:t>
      </w:r>
      <w:r w:rsidR="008D40F8" w:rsidRPr="00FE70E1">
        <w:t>s</w:t>
      </w:r>
      <w:r w:rsidR="0084255B" w:rsidRPr="00FE70E1">
        <w:t xml:space="preserve"> de enxertia </w:t>
      </w:r>
      <w:r w:rsidR="00F25A30" w:rsidRPr="00FE70E1">
        <w:t>podem transmitir inó</w:t>
      </w:r>
      <w:r w:rsidRPr="00FE70E1">
        <w:t xml:space="preserve">culo. </w:t>
      </w:r>
      <w:r w:rsidR="00DB697E" w:rsidRPr="00FE70E1">
        <w:t>Giménez-Jaime</w:t>
      </w:r>
      <w:r w:rsidRPr="00FE70E1">
        <w:t xml:space="preserve"> </w:t>
      </w:r>
      <w:r w:rsidR="006F2254" w:rsidRPr="00FE70E1">
        <w:rPr>
          <w:i/>
        </w:rPr>
        <w:t>et al.</w:t>
      </w:r>
      <w:r w:rsidRPr="00FE70E1">
        <w:rPr>
          <w:i/>
        </w:rPr>
        <w:t xml:space="preserve"> </w:t>
      </w:r>
      <w:r w:rsidRPr="00FE70E1">
        <w:t xml:space="preserve">(2006) identificaram </w:t>
      </w:r>
      <w:r w:rsidRPr="00FE70E1">
        <w:rPr>
          <w:i/>
        </w:rPr>
        <w:t>B. obtusa</w:t>
      </w:r>
      <w:r w:rsidRPr="00FE70E1">
        <w:t xml:space="preserve"> e outras </w:t>
      </w:r>
      <w:r w:rsidR="00016F11" w:rsidRPr="00FE70E1">
        <w:rPr>
          <w:i/>
        </w:rPr>
        <w:t>Botryosphaeria</w:t>
      </w:r>
      <w:r w:rsidRPr="00FE70E1">
        <w:rPr>
          <w:i/>
        </w:rPr>
        <w:t xml:space="preserve"> </w:t>
      </w:r>
      <w:r w:rsidRPr="00FE70E1">
        <w:t xml:space="preserve">spp. em viveiros de videiras. </w:t>
      </w:r>
      <w:r w:rsidRPr="00FE70E1">
        <w:rPr>
          <w:i/>
        </w:rPr>
        <w:t>B. obtusa</w:t>
      </w:r>
      <w:r w:rsidRPr="00FE70E1">
        <w:t xml:space="preserve"> também pode difundir-se em mat</w:t>
      </w:r>
      <w:r w:rsidR="009E08F0" w:rsidRPr="00FE70E1">
        <w:t>erial de propagação (Epstein</w:t>
      </w:r>
      <w:r w:rsidRPr="00FE70E1">
        <w:t xml:space="preserve"> </w:t>
      </w:r>
      <w:r w:rsidR="006F2254" w:rsidRPr="00FE70E1">
        <w:rPr>
          <w:i/>
        </w:rPr>
        <w:t>et al.</w:t>
      </w:r>
      <w:r w:rsidRPr="00FE70E1">
        <w:t>, 2008). Segundo Van Ni</w:t>
      </w:r>
      <w:r w:rsidR="00DB697E" w:rsidRPr="00FE70E1">
        <w:t>e</w:t>
      </w:r>
      <w:r w:rsidRPr="00FE70E1">
        <w:t xml:space="preserve">kerk </w:t>
      </w:r>
      <w:r w:rsidR="006F2254" w:rsidRPr="00FE70E1">
        <w:rPr>
          <w:i/>
        </w:rPr>
        <w:t>et al.</w:t>
      </w:r>
      <w:r w:rsidRPr="00FE70E1">
        <w:t xml:space="preserve"> (2004), nove das onze </w:t>
      </w:r>
      <w:r w:rsidR="00016F11" w:rsidRPr="00FE70E1">
        <w:rPr>
          <w:i/>
        </w:rPr>
        <w:t>Botryosphaeria</w:t>
      </w:r>
      <w:r w:rsidRPr="00FE70E1">
        <w:rPr>
          <w:i/>
        </w:rPr>
        <w:t xml:space="preserve"> </w:t>
      </w:r>
      <w:r w:rsidRPr="00FE70E1">
        <w:t xml:space="preserve">spp. que ocorrem nas vinhas de todo o mundo, foram encontradas na África do </w:t>
      </w:r>
      <w:r w:rsidR="00DB697E" w:rsidRPr="00FE70E1">
        <w:t>Sul, das</w:t>
      </w:r>
      <w:r w:rsidRPr="00FE70E1">
        <w:t xml:space="preserve"> quais, seis </w:t>
      </w:r>
      <w:r w:rsidR="008D40F8" w:rsidRPr="00FE70E1">
        <w:t>provieram de viveiros de vi</w:t>
      </w:r>
      <w:r w:rsidR="00BE034E" w:rsidRPr="00FE70E1">
        <w:t>deiras</w:t>
      </w:r>
      <w:r w:rsidRPr="00FE70E1">
        <w:t>.</w:t>
      </w:r>
    </w:p>
    <w:p w:rsidR="00146F33" w:rsidRPr="00FE70E1" w:rsidRDefault="00146F33" w:rsidP="006D5FD2">
      <w:pPr>
        <w:pStyle w:val="Estilo1"/>
      </w:pPr>
      <w:r w:rsidRPr="00FE70E1">
        <w:t xml:space="preserve">Mas, também, as varas usadas para a obtenção de estacas podem vir já </w:t>
      </w:r>
      <w:r w:rsidR="00BE034E" w:rsidRPr="00FE70E1">
        <w:t>infectadas das vinhas-</w:t>
      </w:r>
      <w:r w:rsidRPr="00FE70E1">
        <w:t>mãe, o</w:t>
      </w:r>
      <w:r w:rsidR="00BE034E" w:rsidRPr="00FE70E1">
        <w:t>riginando, bacelos e enxertos-prontos portadores de inó</w:t>
      </w:r>
      <w:r w:rsidRPr="00FE70E1">
        <w:t xml:space="preserve">culo (Rego </w:t>
      </w:r>
      <w:r w:rsidR="006F2254" w:rsidRPr="00FE70E1">
        <w:rPr>
          <w:i/>
        </w:rPr>
        <w:t>et al.</w:t>
      </w:r>
      <w:r w:rsidRPr="00FE70E1">
        <w:t xml:space="preserve">, 2001). Portanto, as infecções causadas por </w:t>
      </w:r>
      <w:r w:rsidR="00016F11" w:rsidRPr="00FE70E1">
        <w:rPr>
          <w:i/>
        </w:rPr>
        <w:t>Botryosphaeria</w:t>
      </w:r>
      <w:r w:rsidRPr="00FE70E1">
        <w:rPr>
          <w:i/>
        </w:rPr>
        <w:t xml:space="preserve"> </w:t>
      </w:r>
      <w:r w:rsidRPr="00FE70E1">
        <w:t>sp</w:t>
      </w:r>
      <w:r w:rsidR="008D40F8" w:rsidRPr="00FE70E1">
        <w:t>p</w:t>
      </w:r>
      <w:r w:rsidRPr="00FE70E1">
        <w:t xml:space="preserve">. podem ser iniciadas nas vinhas-mãe de porta-enxertos (Rego </w:t>
      </w:r>
      <w:r w:rsidR="006F2254" w:rsidRPr="00FE70E1">
        <w:rPr>
          <w:i/>
        </w:rPr>
        <w:t>et al.</w:t>
      </w:r>
      <w:r w:rsidRPr="00FE70E1">
        <w:t xml:space="preserve">, 2001) e de garfos (Oliveira </w:t>
      </w:r>
      <w:r w:rsidR="006F2254" w:rsidRPr="00FE70E1">
        <w:rPr>
          <w:i/>
        </w:rPr>
        <w:t>et al.</w:t>
      </w:r>
      <w:r w:rsidRPr="00FE70E1">
        <w:t>, 2007).</w:t>
      </w:r>
    </w:p>
    <w:p w:rsidR="00146F33" w:rsidRDefault="00BE034E" w:rsidP="006D5FD2">
      <w:pPr>
        <w:pStyle w:val="Estilo1"/>
        <w:rPr>
          <w:rFonts w:ascii="Verdana" w:hAnsi="Verdana"/>
          <w:sz w:val="20"/>
          <w:szCs w:val="20"/>
        </w:rPr>
      </w:pPr>
      <w:r w:rsidRPr="00FE70E1">
        <w:t>Segundo Larignon e Dubos (</w:t>
      </w:r>
      <w:r w:rsidR="00146F33" w:rsidRPr="00FE70E1">
        <w:t>2001</w:t>
      </w:r>
      <w:r w:rsidRPr="00FE70E1">
        <w:t>)</w:t>
      </w:r>
      <w:r w:rsidR="00146F33" w:rsidRPr="00FE70E1">
        <w:t>, os agentes de stresse tais como geadas, altas temperaturas nos meses de Verão, nutrição pobre e podas mal conduzidas favorecem as</w:t>
      </w:r>
      <w:r w:rsidR="00146F33" w:rsidRPr="00C043D5">
        <w:t xml:space="preserve"> </w:t>
      </w:r>
      <w:r w:rsidR="00146F33" w:rsidRPr="00C043D5">
        <w:lastRenderedPageBreak/>
        <w:t xml:space="preserve">infecções por </w:t>
      </w:r>
      <w:r w:rsidR="00016F11" w:rsidRPr="00016F11">
        <w:rPr>
          <w:i/>
        </w:rPr>
        <w:t>Botryosphaeria</w:t>
      </w:r>
      <w:r w:rsidR="00146F33" w:rsidRPr="00C043D5">
        <w:rPr>
          <w:i/>
        </w:rPr>
        <w:t xml:space="preserve"> </w:t>
      </w:r>
      <w:r w:rsidR="00146F33" w:rsidRPr="00FE70E1">
        <w:t>spp. Estes</w:t>
      </w:r>
      <w:r w:rsidR="00146F33" w:rsidRPr="00C043D5">
        <w:t xml:space="preserve"> factores de stresse abiótico, ao debilitarem as plantas, proporcionam condições óptimas ao aumento da severidade da doença (van Niekerk </w:t>
      </w:r>
      <w:r w:rsidR="006F2254" w:rsidRPr="006F2254">
        <w:rPr>
          <w:i/>
        </w:rPr>
        <w:t>et al.</w:t>
      </w:r>
      <w:r w:rsidR="00146F33" w:rsidRPr="00C043D5">
        <w:t>, 2006).</w:t>
      </w:r>
      <w:r w:rsidR="00146F33" w:rsidRPr="00D3171D">
        <w:rPr>
          <w:rFonts w:ascii="Verdana" w:hAnsi="Verdana"/>
          <w:sz w:val="20"/>
          <w:szCs w:val="20"/>
        </w:rPr>
        <w:t xml:space="preserve"> </w:t>
      </w:r>
    </w:p>
    <w:p w:rsidR="007A2A0E" w:rsidRPr="00C043D5" w:rsidRDefault="007A2A0E" w:rsidP="006D5FD2">
      <w:pPr>
        <w:pStyle w:val="Estilo1"/>
      </w:pPr>
      <w:r w:rsidRPr="006D5FD2">
        <w:t xml:space="preserve">Estudos recentes têm encontrado diferenças regionais na ocorrência de espécies de </w:t>
      </w:r>
      <w:r w:rsidR="00016F11" w:rsidRPr="00016F11">
        <w:rPr>
          <w:i/>
        </w:rPr>
        <w:t>Botryosphaeria</w:t>
      </w:r>
      <w:r w:rsidRPr="006D5FD2">
        <w:t xml:space="preserve">ceae, possivelmente devido às diferenças climáticas entre as regiões estudadas. Num ensaio de </w:t>
      </w:r>
      <w:r w:rsidR="00016F11" w:rsidRPr="00016F11">
        <w:rPr>
          <w:i/>
        </w:rPr>
        <w:t>Botryosphaeria</w:t>
      </w:r>
      <w:r w:rsidRPr="006D5FD2">
        <w:t xml:space="preserve"> spp. em vinhas australianas, Taylor </w:t>
      </w:r>
      <w:r w:rsidR="006F2254" w:rsidRPr="006F2254">
        <w:rPr>
          <w:i/>
        </w:rPr>
        <w:t>et al.</w:t>
      </w:r>
      <w:r w:rsidRPr="006D5FD2">
        <w:t xml:space="preserve"> (2005) observaram diferenças regionais na ocorrência de quatro espécies identificadas, </w:t>
      </w:r>
      <w:r w:rsidRPr="006D5FD2">
        <w:rPr>
          <w:i/>
        </w:rPr>
        <w:t>B. obtusa</w:t>
      </w:r>
      <w:r w:rsidRPr="006D5FD2">
        <w:t xml:space="preserve">, </w:t>
      </w:r>
      <w:r w:rsidRPr="006D5FD2">
        <w:rPr>
          <w:i/>
        </w:rPr>
        <w:t>B. australis</w:t>
      </w:r>
      <w:r w:rsidRPr="006D5FD2">
        <w:t xml:space="preserve">, </w:t>
      </w:r>
      <w:r w:rsidRPr="006D5FD2">
        <w:rPr>
          <w:i/>
        </w:rPr>
        <w:t>B. rhodina</w:t>
      </w:r>
      <w:r w:rsidRPr="006D5FD2">
        <w:t xml:space="preserve"> e </w:t>
      </w:r>
      <w:r w:rsidRPr="006D5FD2">
        <w:rPr>
          <w:i/>
        </w:rPr>
        <w:t>B. stevensii</w:t>
      </w:r>
      <w:r w:rsidRPr="006D5FD2">
        <w:t xml:space="preserve">. </w:t>
      </w:r>
      <w:r w:rsidRPr="006D5FD2">
        <w:rPr>
          <w:i/>
        </w:rPr>
        <w:t>B. rhodina</w:t>
      </w:r>
      <w:r w:rsidRPr="006D5FD2">
        <w:t xml:space="preserve"> ocorreu apenas em Swan, na Austrália Ocidental. Esta espécie é considerada como um </w:t>
      </w:r>
      <w:r w:rsidR="00DB697E" w:rsidRPr="006D5FD2">
        <w:t>patógeneo</w:t>
      </w:r>
      <w:r w:rsidRPr="006D5FD2">
        <w:t xml:space="preserve"> tropical e subtropical em todo o mundo (Burgess </w:t>
      </w:r>
      <w:r w:rsidR="006F2254" w:rsidRPr="006F2254">
        <w:rPr>
          <w:i/>
        </w:rPr>
        <w:t>et al.</w:t>
      </w:r>
      <w:r w:rsidRPr="006D5FD2">
        <w:t xml:space="preserve">, 2003), mas o clima mais frio do sudoeste da Austrália Ocidental pode inibir o estabelecimento desta espécie na região. </w:t>
      </w:r>
      <w:r w:rsidRPr="006D5FD2">
        <w:rPr>
          <w:i/>
        </w:rPr>
        <w:t>B. rhodina</w:t>
      </w:r>
      <w:r w:rsidRPr="006D5FD2">
        <w:t xml:space="preserve"> também foi a espécie predominantemente isolada por Leavitt (2003) nos estados mais quentes da Califórnia, Arizona e no México. </w:t>
      </w:r>
      <w:r w:rsidRPr="006D5FD2">
        <w:rPr>
          <w:i/>
        </w:rPr>
        <w:t>B. australis</w:t>
      </w:r>
      <w:r w:rsidRPr="006D5FD2">
        <w:t xml:space="preserve"> e</w:t>
      </w:r>
      <w:r w:rsidRPr="00C043D5">
        <w:t xml:space="preserve"> </w:t>
      </w:r>
      <w:r w:rsidRPr="00C043D5">
        <w:rPr>
          <w:i/>
        </w:rPr>
        <w:t>B.</w:t>
      </w:r>
      <w:r w:rsidRPr="006D5FD2">
        <w:t xml:space="preserve"> </w:t>
      </w:r>
      <w:r w:rsidRPr="0084255B">
        <w:rPr>
          <w:i/>
        </w:rPr>
        <w:t>stevensii</w:t>
      </w:r>
      <w:r w:rsidRPr="006D5FD2">
        <w:t xml:space="preserve"> foram isolados apenas nas regiões de Margaret e Pemberton / Manjimup e nunca na região de Swan, enquanto B. obtusa foi a espécie mais cosmopolita, ocorrendo em todas as regiões pesquisadas (Taylor </w:t>
      </w:r>
      <w:r w:rsidR="006F2254" w:rsidRPr="006F2254">
        <w:rPr>
          <w:i/>
        </w:rPr>
        <w:t>et al.</w:t>
      </w:r>
      <w:r w:rsidRPr="006D5FD2">
        <w:t>, 2005). Durante uma pesquisa que ocorreu</w:t>
      </w:r>
      <w:r w:rsidRPr="00C043D5">
        <w:t xml:space="preserve"> </w:t>
      </w:r>
      <w:r w:rsidRPr="006D5FD2">
        <w:t xml:space="preserve">em videiras, na Califórnia, Gubler </w:t>
      </w:r>
      <w:r w:rsidR="006F2254" w:rsidRPr="006F2254">
        <w:rPr>
          <w:i/>
        </w:rPr>
        <w:t>et al.</w:t>
      </w:r>
      <w:r w:rsidRPr="006D5FD2">
        <w:t xml:space="preserve"> (2005) </w:t>
      </w:r>
      <w:r w:rsidR="00030ABB">
        <w:t>verificou</w:t>
      </w:r>
      <w:r w:rsidRPr="006D5FD2">
        <w:t xml:space="preserve"> que em todos os locais existia </w:t>
      </w:r>
      <w:r w:rsidRPr="006D5FD2">
        <w:rPr>
          <w:i/>
        </w:rPr>
        <w:t>B. obtusa</w:t>
      </w:r>
      <w:r w:rsidRPr="006D5FD2">
        <w:t xml:space="preserve">, excepto em Riverside, onde apenas </w:t>
      </w:r>
      <w:r w:rsidRPr="006D5FD2">
        <w:rPr>
          <w:i/>
        </w:rPr>
        <w:t>L. theobromae</w:t>
      </w:r>
      <w:r w:rsidRPr="006D5FD2">
        <w:t xml:space="preserve"> </w:t>
      </w:r>
      <w:r w:rsidRPr="006D5FD2">
        <w:rPr>
          <w:i/>
        </w:rPr>
        <w:t>(B. rhodina</w:t>
      </w:r>
      <w:r w:rsidRPr="006D5FD2">
        <w:t xml:space="preserve">) foi isolado. </w:t>
      </w:r>
      <w:r w:rsidR="00016F11" w:rsidRPr="00016F11">
        <w:rPr>
          <w:i/>
        </w:rPr>
        <w:t>Botryosphaeria</w:t>
      </w:r>
      <w:r w:rsidRPr="006D5FD2">
        <w:rPr>
          <w:i/>
        </w:rPr>
        <w:t xml:space="preserve"> dothidea</w:t>
      </w:r>
      <w:r w:rsidRPr="006D5FD2">
        <w:t xml:space="preserve"> ocorreu mais frequentemente no Norte.</w:t>
      </w:r>
    </w:p>
    <w:p w:rsidR="007A2A0E" w:rsidRPr="001A146F" w:rsidRDefault="007A2A0E" w:rsidP="00B73BBD">
      <w:pPr>
        <w:pStyle w:val="Ttulo3"/>
      </w:pPr>
      <w:bookmarkStart w:id="17" w:name="_Toc264890284"/>
      <w:r w:rsidRPr="001A146F">
        <w:t>Sintomas</w:t>
      </w:r>
      <w:bookmarkEnd w:id="17"/>
    </w:p>
    <w:p w:rsidR="00CA2DED" w:rsidRDefault="007A2A0E" w:rsidP="003D4379">
      <w:pPr>
        <w:pStyle w:val="Estilo1"/>
      </w:pPr>
      <w:r w:rsidRPr="00C043D5">
        <w:t>Em videira</w:t>
      </w:r>
      <w:r w:rsidRPr="00C043D5">
        <w:rPr>
          <w:i/>
          <w:iCs/>
        </w:rPr>
        <w:t xml:space="preserve">, </w:t>
      </w:r>
      <w:r w:rsidRPr="00C043D5">
        <w:t xml:space="preserve">os géneros </w:t>
      </w:r>
      <w:r w:rsidR="00016F11" w:rsidRPr="00016F11">
        <w:rPr>
          <w:i/>
          <w:iCs/>
        </w:rPr>
        <w:t>Botryosphaeria</w:t>
      </w:r>
      <w:r w:rsidRPr="00C043D5">
        <w:rPr>
          <w:i/>
          <w:iCs/>
        </w:rPr>
        <w:t xml:space="preserve"> </w:t>
      </w:r>
      <w:r w:rsidRPr="00C043D5">
        <w:t xml:space="preserve">e </w:t>
      </w:r>
      <w:r w:rsidR="00016F11" w:rsidRPr="00016F11">
        <w:rPr>
          <w:i/>
          <w:iCs/>
        </w:rPr>
        <w:t>Botryosphaeria</w:t>
      </w:r>
      <w:r w:rsidRPr="00C043D5">
        <w:t>-like incluem várias espécies, saprófitas ou patogénicas, associadas a várias doenças, ou conjuntos de sintomas que surgem em diferentes combinações, sendo de salientar os seguintes: declínio, “black dead</w:t>
      </w:r>
      <w:r>
        <w:t xml:space="preserve"> </w:t>
      </w:r>
      <w:r w:rsidRPr="00C043D5">
        <w:t xml:space="preserve">arm”, “die-back” do tronco e dos ramos, necroses no lenho, desnoca, “cane bleaching” (varas atempadas com o ritidoma esbranquiçado), morte de gomos e cancros e podridão dos frutos (Kummuang </w:t>
      </w:r>
      <w:r w:rsidR="006F2254" w:rsidRPr="006F2254">
        <w:rPr>
          <w:i/>
          <w:iCs/>
        </w:rPr>
        <w:t>et al.</w:t>
      </w:r>
      <w:r w:rsidRPr="00C043D5">
        <w:t xml:space="preserve">, 1996, Phillips, 2002, Úrbez </w:t>
      </w:r>
      <w:r w:rsidR="006F2254" w:rsidRPr="006F2254">
        <w:rPr>
          <w:i/>
          <w:iCs/>
        </w:rPr>
        <w:t>et al.</w:t>
      </w:r>
      <w:r w:rsidRPr="00C043D5">
        <w:t xml:space="preserve"> 2006, van NiekerK </w:t>
      </w:r>
      <w:r w:rsidR="006F2254" w:rsidRPr="006F2254">
        <w:rPr>
          <w:i/>
          <w:iCs/>
        </w:rPr>
        <w:t>et al.</w:t>
      </w:r>
      <w:r w:rsidRPr="00C043D5">
        <w:t>, 2006)</w:t>
      </w:r>
      <w:r>
        <w:t xml:space="preserve"> (Figura </w:t>
      </w:r>
      <w:r w:rsidR="00A67CD5">
        <w:t>2.</w:t>
      </w:r>
      <w:r>
        <w:t>1)</w:t>
      </w:r>
      <w:r w:rsidRPr="00C043D5">
        <w:t xml:space="preserve">. Geralmente, as doenças causadas por estas espécies revelam uma progressão lenta e os sintomas foram muitas vezes confundidos com os causados por </w:t>
      </w:r>
      <w:r w:rsidRPr="00C043D5">
        <w:rPr>
          <w:i/>
          <w:iCs/>
        </w:rPr>
        <w:t xml:space="preserve">Eutypa lata </w:t>
      </w:r>
      <w:r w:rsidRPr="00C043D5">
        <w:t xml:space="preserve">(eutipiose), </w:t>
      </w:r>
      <w:r w:rsidR="0001671A" w:rsidRPr="002B6C78">
        <w:rPr>
          <w:i/>
          <w:iCs/>
        </w:rPr>
        <w:t xml:space="preserve">Phomopsis viticola </w:t>
      </w:r>
      <w:r w:rsidR="0001671A" w:rsidRPr="002B6C78">
        <w:t>(escoriose) e pelo complexo de fungos responsável pela esca.</w:t>
      </w:r>
    </w:p>
    <w:p w:rsidR="00F40609" w:rsidRDefault="00F40609" w:rsidP="003D4379">
      <w:pPr>
        <w:pStyle w:val="Estilo1"/>
      </w:pPr>
    </w:p>
    <w:p w:rsidR="00F40609" w:rsidRDefault="00F40609" w:rsidP="003D4379">
      <w:pPr>
        <w:pStyle w:val="Estilo1"/>
      </w:pPr>
    </w:p>
    <w:p w:rsidR="007A2A0E" w:rsidRDefault="00EB3060" w:rsidP="003D4379">
      <w:pPr>
        <w:pStyle w:val="Estilo1"/>
        <w:rPr>
          <w:rFonts w:cs="Arial"/>
        </w:rPr>
      </w:pPr>
      <w:r w:rsidRPr="00EB3060">
        <w:rPr>
          <w:noProof/>
          <w:shd w:val="clear" w:color="auto" w:fill="auto"/>
          <w:lang w:eastAsia="pt-PT"/>
        </w:rPr>
        <w:lastRenderedPageBreak/>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112" type="#_x0000_t75" style="position:absolute;left:0;text-align:left;margin-left:197.35pt;margin-top:2.55pt;width:173.1pt;height:132.9pt;z-index:-251629568" o:regroupid="3" stroked="t" strokeweight="1pt">
            <v:imagedata r:id="rId13" o:title="DSC01061" cropbottom="8883f" cropright="12704f"/>
          </v:shape>
        </w:pict>
      </w:r>
      <w:r w:rsidRPr="00EB3060">
        <w:rPr>
          <w:noProof/>
          <w:shd w:val="clear" w:color="auto" w:fill="auto"/>
          <w:lang w:eastAsia="pt-PT"/>
        </w:rPr>
        <w:pict>
          <v:shape id="_x0000_s1113" type="#_x0000_t75" style="position:absolute;left:0;text-align:left;margin-left:85.75pt;margin-top:3.1pt;width:105.15pt;height:132.9pt;z-index:-251628544" o:regroupid="3" stroked="t" strokeweight="1pt">
            <v:imagedata r:id="rId14" o:title="DSC01032"/>
          </v:shape>
        </w:pict>
      </w:r>
    </w:p>
    <w:p w:rsidR="007A2A0E" w:rsidRDefault="007A2A0E" w:rsidP="003D4379">
      <w:pPr>
        <w:pStyle w:val="Estilo1"/>
        <w:rPr>
          <w:rFonts w:cs="Arial"/>
        </w:rPr>
      </w:pPr>
    </w:p>
    <w:p w:rsidR="007A2A0E" w:rsidRDefault="007A2A0E" w:rsidP="003D4379">
      <w:pPr>
        <w:pStyle w:val="Estilo1"/>
        <w:rPr>
          <w:rFonts w:cs="Arial"/>
        </w:rPr>
      </w:pPr>
    </w:p>
    <w:p w:rsidR="007A2A0E" w:rsidRDefault="00EB3060" w:rsidP="003D4379">
      <w:pPr>
        <w:pStyle w:val="Estilo1"/>
        <w:rPr>
          <w:rFonts w:cs="Arial"/>
        </w:rPr>
      </w:pPr>
      <w:r w:rsidRPr="00EB3060">
        <w:rPr>
          <w:rFonts w:cs="Arial"/>
          <w:noProof/>
        </w:rPr>
        <w:pict>
          <v:shapetype id="_x0000_t202" coordsize="21600,21600" o:spt="202" path="m,l,21600r21600,l21600,xe">
            <v:stroke joinstyle="miter"/>
            <v:path gradientshapeok="t" o:connecttype="rect"/>
          </v:shapetype>
          <v:shape id="_x0000_s1125" type="#_x0000_t202" style="position:absolute;left:0;text-align:left;margin-left:210.8pt;margin-top:19pt;width:21.75pt;height:20.25pt;z-index:251676672;mso-width-relative:margin;mso-height-relative:margin" o:regroupid="1" filled="f" stroked="f">
            <v:textbox style="mso-next-textbox:#_x0000_s1125">
              <w:txbxContent>
                <w:p w:rsidR="003E4AC6" w:rsidRDefault="003E4AC6" w:rsidP="007A2A0E">
                  <w:r>
                    <w:t>b</w:t>
                  </w:r>
                </w:p>
              </w:txbxContent>
            </v:textbox>
          </v:shape>
        </w:pict>
      </w:r>
      <w:r w:rsidRPr="00EB3060">
        <w:rPr>
          <w:rFonts w:cs="Arial"/>
          <w:noProof/>
        </w:rPr>
        <w:pict>
          <v:shape id="_x0000_s1124" type="#_x0000_t202" style="position:absolute;left:0;text-align:left;margin-left:100.5pt;margin-top:16.2pt;width:21.75pt;height:20.25pt;z-index:251675648;mso-width-relative:margin;mso-height-relative:margin" o:regroupid="1" filled="f" stroked="f">
            <v:textbox style="mso-next-textbox:#_x0000_s1124">
              <w:txbxContent>
                <w:p w:rsidR="003E4AC6" w:rsidRPr="00366121" w:rsidRDefault="003E4AC6" w:rsidP="007A2A0E">
                  <w:pPr>
                    <w:rPr>
                      <w:color w:val="000000" w:themeColor="text1"/>
                    </w:rPr>
                  </w:pPr>
                  <w:r w:rsidRPr="00C246C4">
                    <w:rPr>
                      <w:color w:val="000000" w:themeColor="text1"/>
                    </w:rPr>
                    <w:t>a</w:t>
                  </w:r>
                </w:p>
              </w:txbxContent>
            </v:textbox>
          </v:shape>
        </w:pict>
      </w:r>
    </w:p>
    <w:p w:rsidR="007A2A0E" w:rsidRDefault="00EB3060" w:rsidP="003D4379">
      <w:pPr>
        <w:pStyle w:val="Estilo1"/>
        <w:rPr>
          <w:rFonts w:cs="Arial"/>
        </w:rPr>
      </w:pPr>
      <w:r>
        <w:rPr>
          <w:rFonts w:cs="Arial"/>
          <w:noProof/>
          <w:shd w:val="clear" w:color="auto" w:fill="auto"/>
          <w:lang w:eastAsia="pt-PT"/>
        </w:rPr>
        <w:pict>
          <v:shape id="_x0000_s1114" type="#_x0000_t75" style="position:absolute;left:0;text-align:left;margin-left:268.9pt;margin-top:17.05pt;width:101.55pt;height:131.5pt;z-index:-251627520" o:regroupid="3" stroked="t" strokeweight="1pt">
            <v:imagedata r:id="rId15" o:title="DSC01034"/>
          </v:shape>
        </w:pict>
      </w:r>
      <w:r>
        <w:rPr>
          <w:rFonts w:cs="Arial"/>
          <w:noProof/>
          <w:shd w:val="clear" w:color="auto" w:fill="auto"/>
          <w:lang w:eastAsia="pt-PT"/>
        </w:rPr>
        <w:pict>
          <v:shape id="_x0000_s1111" type="#_x0000_t75" style="position:absolute;left:0;text-align:left;margin-left:84.95pt;margin-top:17.05pt;width:176.9pt;height:131.5pt;z-index:-251630592" o:regroupid="3" stroked="t" strokeweight="1pt">
            <v:imagedata r:id="rId16" o:title="DSC00526" croptop="8058f" cropbottom="7361f" cropleft="12037f" cropright="2180f"/>
          </v:shape>
        </w:pict>
      </w:r>
    </w:p>
    <w:p w:rsidR="007A2A0E" w:rsidRDefault="007A2A0E" w:rsidP="003D4379">
      <w:pPr>
        <w:pStyle w:val="Estilo1"/>
        <w:rPr>
          <w:rFonts w:cs="Arial"/>
        </w:rPr>
      </w:pPr>
    </w:p>
    <w:p w:rsidR="007A2A0E" w:rsidRDefault="007A2A0E" w:rsidP="003D4379">
      <w:pPr>
        <w:pStyle w:val="Estilo1"/>
        <w:rPr>
          <w:rFonts w:cs="Arial"/>
        </w:rPr>
      </w:pPr>
    </w:p>
    <w:p w:rsidR="007A2A0E" w:rsidRDefault="00EB3060" w:rsidP="003D4379">
      <w:pPr>
        <w:pStyle w:val="Estilo1"/>
        <w:rPr>
          <w:rFonts w:cs="Arial"/>
        </w:rPr>
      </w:pPr>
      <w:r w:rsidRPr="00EB3060">
        <w:rPr>
          <w:rFonts w:cs="Arial"/>
          <w:noProof/>
        </w:rPr>
        <w:pict>
          <v:shape id="_x0000_s1126" type="#_x0000_t202" style="position:absolute;left:0;text-align:left;margin-left:92.05pt;margin-top:29.95pt;width:21.75pt;height:20.25pt;z-index:251677696;mso-width-relative:margin;mso-height-relative:margin" o:regroupid="1" filled="f" stroked="f">
            <v:textbox style="mso-next-textbox:#_x0000_s1126">
              <w:txbxContent>
                <w:p w:rsidR="003E4AC6" w:rsidRPr="00E81890" w:rsidRDefault="003E4AC6" w:rsidP="007A2A0E">
                  <w:pPr>
                    <w:rPr>
                      <w:b/>
                    </w:rPr>
                  </w:pPr>
                  <w:r>
                    <w:rPr>
                      <w:b/>
                    </w:rPr>
                    <w:t>c</w:t>
                  </w:r>
                </w:p>
              </w:txbxContent>
            </v:textbox>
          </v:shape>
        </w:pict>
      </w:r>
    </w:p>
    <w:p w:rsidR="007A2A0E" w:rsidRPr="001613E7" w:rsidRDefault="00EB3060" w:rsidP="002D5BA0">
      <w:pPr>
        <w:pStyle w:val="Estilo1"/>
        <w:jc w:val="left"/>
        <w:rPr>
          <w:rFonts w:cs="Arial"/>
          <w:b/>
        </w:rPr>
      </w:pPr>
      <w:r w:rsidRPr="00EB3060">
        <w:rPr>
          <w:rFonts w:cs="Arial"/>
          <w:b/>
          <w:noProof/>
        </w:rPr>
        <w:pict>
          <v:shape id="_x0000_s1127" type="#_x0000_t202" style="position:absolute;margin-left:277.1pt;margin-top:5.85pt;width:21.75pt;height:20.25pt;z-index:251678720;mso-width-relative:margin;mso-height-relative:margin" o:regroupid="1" filled="f" stroked="f">
            <v:textbox style="mso-next-textbox:#_x0000_s1127">
              <w:txbxContent>
                <w:p w:rsidR="003E4AC6" w:rsidRDefault="003E4AC6" w:rsidP="007A2A0E">
                  <w:r>
                    <w:t>d</w:t>
                  </w:r>
                </w:p>
              </w:txbxContent>
            </v:textbox>
          </v:shape>
        </w:pict>
      </w:r>
    </w:p>
    <w:p w:rsidR="00120973" w:rsidRPr="00D67F4F" w:rsidRDefault="00120973" w:rsidP="002D5BA0">
      <w:pPr>
        <w:pStyle w:val="Legenda"/>
        <w:ind w:left="142" w:hanging="142"/>
        <w:jc w:val="center"/>
      </w:pPr>
      <w:bookmarkStart w:id="18" w:name="_Toc264890314"/>
      <w:r>
        <w:t xml:space="preserve">Figura </w:t>
      </w:r>
      <w:fldSimple w:instr=" STYLEREF 1 \s ">
        <w:r w:rsidR="00E2640D">
          <w:rPr>
            <w:noProof/>
          </w:rPr>
          <w:t>2</w:t>
        </w:r>
      </w:fldSimple>
      <w:r w:rsidR="00C37A87">
        <w:t>.</w:t>
      </w:r>
      <w:fldSimple w:instr=" SEQ Figura \* ARABIC \s 1 ">
        <w:r w:rsidR="00E2640D">
          <w:rPr>
            <w:noProof/>
          </w:rPr>
          <w:t>1</w:t>
        </w:r>
      </w:fldSimple>
      <w:r>
        <w:t xml:space="preserve">. </w:t>
      </w:r>
      <w:r w:rsidRPr="00D67F4F">
        <w:t xml:space="preserve">Sintomas associados a </w:t>
      </w:r>
      <w:r w:rsidR="00016F11" w:rsidRPr="00016F11">
        <w:rPr>
          <w:i/>
        </w:rPr>
        <w:t>Botryosphaeria</w:t>
      </w:r>
      <w:r w:rsidRPr="00D67F4F">
        <w:t xml:space="preserve">ceae em videira: a) apoplexia da videira; b) necrose sectorial na secção transversal do lenho; c) cepa com braço morto; d) </w:t>
      </w:r>
      <w:r>
        <w:t>cancros nos sarmentos herbáceos</w:t>
      </w:r>
      <w:bookmarkEnd w:id="18"/>
    </w:p>
    <w:p w:rsidR="007A2A0E" w:rsidRPr="002B6C78" w:rsidRDefault="007A2A0E" w:rsidP="006D5FD2">
      <w:pPr>
        <w:pStyle w:val="Estilo1"/>
      </w:pPr>
      <w:r w:rsidRPr="006D5FD2">
        <w:rPr>
          <w:rStyle w:val="Estilo1Carcter"/>
        </w:rPr>
        <w:t xml:space="preserve">O declínio das videiras está associado, a nível mundial, às espécies </w:t>
      </w:r>
      <w:r w:rsidR="0084255B">
        <w:rPr>
          <w:rStyle w:val="Estilo1Carcter"/>
        </w:rPr>
        <w:t>“</w:t>
      </w:r>
      <w:r w:rsidRPr="0084255B">
        <w:rPr>
          <w:rStyle w:val="Estilo1Carcter"/>
          <w:i/>
        </w:rPr>
        <w:t>B</w:t>
      </w:r>
      <w:r w:rsidR="0084255B">
        <w:rPr>
          <w:rStyle w:val="Estilo1Carcter"/>
          <w:i/>
        </w:rPr>
        <w:t>”</w:t>
      </w:r>
      <w:r w:rsidRPr="0084255B">
        <w:rPr>
          <w:rStyle w:val="Estilo1Carcter"/>
          <w:i/>
        </w:rPr>
        <w:t>. dothidea</w:t>
      </w:r>
      <w:r w:rsidRPr="006D5FD2">
        <w:rPr>
          <w:rStyle w:val="Estilo1Carcter"/>
        </w:rPr>
        <w:t xml:space="preserve">, </w:t>
      </w:r>
      <w:r w:rsidRPr="0084255B">
        <w:rPr>
          <w:rStyle w:val="Estilo1Carcter"/>
          <w:i/>
        </w:rPr>
        <w:t>“B”. obtusa, “B”. parva, “B”. stevensii e “B”. lutea,</w:t>
      </w:r>
      <w:r w:rsidRPr="006D5FD2">
        <w:rPr>
          <w:rStyle w:val="Estilo1Carcter"/>
        </w:rPr>
        <w:t xml:space="preserve"> sendo isoladas a partir de videiras com diferentes tipos de sintomas, tais como cloroses foliares, morte de ramos, necroses de diversas formas no lenho, morte de gomos, estrias negras, pontuações negras no lenho (características da doença de Petri), ritidoma esbranquiçado em varas atempadas, enxertias com deficiente soldadura e ainda a partir de restos de material de poda deixado na vinha (Castillo-Pando </w:t>
      </w:r>
      <w:r w:rsidR="006F2254" w:rsidRPr="006F2254">
        <w:rPr>
          <w:rStyle w:val="Estilo1Carcter"/>
          <w:i/>
        </w:rPr>
        <w:t>et al.</w:t>
      </w:r>
      <w:r w:rsidRPr="006D5FD2">
        <w:rPr>
          <w:rStyle w:val="Estilo1Carcter"/>
        </w:rPr>
        <w:t xml:space="preserve">, 2001, Phillips, 2002, van Niekerk, 2006, Rego </w:t>
      </w:r>
      <w:r w:rsidR="006F2254" w:rsidRPr="006F2254">
        <w:rPr>
          <w:rStyle w:val="Estilo1Carcter"/>
          <w:i/>
        </w:rPr>
        <w:t>et al.</w:t>
      </w:r>
      <w:r w:rsidRPr="006D5FD2">
        <w:rPr>
          <w:rStyle w:val="Estilo1Carcter"/>
        </w:rPr>
        <w:t>, 2006). O declínio da videira está fundamentalmente associado a vinhas jovens podendo contudo surgir em vinhas adultas. “</w:t>
      </w:r>
      <w:r w:rsidR="00016F11" w:rsidRPr="00016F11">
        <w:rPr>
          <w:rStyle w:val="Estilo1Carcter"/>
          <w:i/>
        </w:rPr>
        <w:t>Botryosphaeria</w:t>
      </w:r>
      <w:r w:rsidRPr="006D5FD2">
        <w:rPr>
          <w:rStyle w:val="Estilo1Carcter"/>
        </w:rPr>
        <w:t xml:space="preserve">” </w:t>
      </w:r>
      <w:r w:rsidRPr="0084255B">
        <w:rPr>
          <w:rStyle w:val="Estilo1Carcter"/>
          <w:i/>
        </w:rPr>
        <w:t>stevensii</w:t>
      </w:r>
      <w:r w:rsidRPr="006D5FD2">
        <w:rPr>
          <w:rStyle w:val="Estilo1Carcter"/>
        </w:rPr>
        <w:t xml:space="preserve"> foi a primeira espécie a ser associada ao “black dead arm”, em Tokai, Hungria (Lehoczky, 1974). Esta doença caracteriza-se por um conjunto de sintomas, dentre os quais se destacam os seguintes: cloroses foliares, semelhantes às que surgem em ataques de esca e que podem evoluir rápida ou lentamente (forma apopléctica ou forma lenta), conduzindo, em ambos os casos, à queda prematura das folhas, desenvolvimento de necroses castanhas a negras ao longo da madeira do tronco e braços, que se vão expandindo formando sectores necróticos e, ainda, necroses negras em torno da medula (Larignon &amp; Dubos, 2001, Larignon </w:t>
      </w:r>
      <w:r w:rsidR="006F2254" w:rsidRPr="006F2254">
        <w:rPr>
          <w:rStyle w:val="Estilo1Carcter"/>
          <w:i/>
        </w:rPr>
        <w:t>et al.</w:t>
      </w:r>
      <w:r w:rsidRPr="006D5FD2">
        <w:rPr>
          <w:rStyle w:val="Estilo1Carcter"/>
        </w:rPr>
        <w:t>, 2001). Em França, “</w:t>
      </w:r>
      <w:r w:rsidRPr="0084255B">
        <w:rPr>
          <w:rStyle w:val="Estilo1Carcter"/>
          <w:i/>
        </w:rPr>
        <w:t>B”. obtusa e “B”. parva</w:t>
      </w:r>
      <w:r w:rsidRPr="006D5FD2">
        <w:rPr>
          <w:rStyle w:val="Estilo1Carcter"/>
        </w:rPr>
        <w:t xml:space="preserve"> foram igualmente associadas a esta doença (Larignon, 1999, Larignon &amp; Dubos, 2001, Larignon </w:t>
      </w:r>
      <w:r w:rsidR="006F2254" w:rsidRPr="006F2254">
        <w:rPr>
          <w:rStyle w:val="Estilo1Carcter"/>
          <w:i/>
        </w:rPr>
        <w:t>et al.</w:t>
      </w:r>
      <w:r w:rsidRPr="006D5FD2">
        <w:rPr>
          <w:rStyle w:val="Estilo1Carcter"/>
        </w:rPr>
        <w:t xml:space="preserve">, 2001). Na Austrália, </w:t>
      </w:r>
      <w:r w:rsidRPr="0084255B">
        <w:rPr>
          <w:rStyle w:val="Estilo1Carcter"/>
          <w:i/>
        </w:rPr>
        <w:t>“B”. obtusa e “B”. australis</w:t>
      </w:r>
      <w:r w:rsidRPr="006D5FD2">
        <w:rPr>
          <w:rStyle w:val="Estilo1Carcter"/>
        </w:rPr>
        <w:t xml:space="preserve"> foram isoladas de vinhas que apresentavam necroses na madeira em forma de cunha e anel na medula, semelhantes às que se observam no “black dead arm” (Taylor </w:t>
      </w:r>
      <w:r w:rsidR="006F2254" w:rsidRPr="006F2254">
        <w:rPr>
          <w:rStyle w:val="Estilo1Carcter"/>
          <w:i/>
        </w:rPr>
        <w:t>et al.</w:t>
      </w:r>
      <w:r w:rsidRPr="006D5FD2">
        <w:rPr>
          <w:rStyle w:val="Estilo1Carcter"/>
        </w:rPr>
        <w:t xml:space="preserve">, 2005). A espécie </w:t>
      </w:r>
      <w:r w:rsidRPr="0084255B">
        <w:rPr>
          <w:rStyle w:val="Estilo1Carcter"/>
          <w:i/>
        </w:rPr>
        <w:t>“B”.</w:t>
      </w:r>
      <w:r w:rsidRPr="006D5FD2">
        <w:rPr>
          <w:rStyle w:val="Estilo1Carcter"/>
        </w:rPr>
        <w:t xml:space="preserve"> </w:t>
      </w:r>
      <w:r w:rsidRPr="0031782E">
        <w:rPr>
          <w:rStyle w:val="Estilo1Carcter"/>
          <w:i/>
        </w:rPr>
        <w:lastRenderedPageBreak/>
        <w:t>obtusa</w:t>
      </w:r>
      <w:r w:rsidRPr="006D5FD2">
        <w:rPr>
          <w:rStyle w:val="Estilo1Carcter"/>
        </w:rPr>
        <w:t xml:space="preserve"> foi também assinalada como agente causal do “black dead arm”, no Canadá e em Itália (Chamberlain </w:t>
      </w:r>
      <w:r w:rsidR="006F2254" w:rsidRPr="006F2254">
        <w:rPr>
          <w:rStyle w:val="Estilo1Carcter"/>
          <w:i/>
        </w:rPr>
        <w:t>et al.</w:t>
      </w:r>
      <w:r w:rsidRPr="006D5FD2">
        <w:rPr>
          <w:rStyle w:val="Estilo1Carcter"/>
        </w:rPr>
        <w:t xml:space="preserve">, 1964, Cristinzio, 1978, Rovesti &amp; Montermini, 1987). Espécies como </w:t>
      </w:r>
      <w:r w:rsidRPr="0031782E">
        <w:rPr>
          <w:rStyle w:val="Estilo1Carcter"/>
          <w:i/>
        </w:rPr>
        <w:t>“B”. obtusa e “B”. rhodina</w:t>
      </w:r>
      <w:r w:rsidRPr="006D5FD2">
        <w:rPr>
          <w:rStyle w:val="Estilo1Carcter"/>
        </w:rPr>
        <w:t xml:space="preserve"> foram consideradas responsáveis por “dieback” nas castas Semillon e Dawn Seedless (uva de mesa), na Austrália, tendo sido isoladas de videiras que apresentavam necroses internas em forma de cunha e anel (Castillo-Pando </w:t>
      </w:r>
      <w:r w:rsidR="006F2254" w:rsidRPr="006F2254">
        <w:rPr>
          <w:rStyle w:val="Estilo1Carcter"/>
          <w:i/>
        </w:rPr>
        <w:t>et al.</w:t>
      </w:r>
      <w:r w:rsidRPr="006D5FD2">
        <w:rPr>
          <w:rStyle w:val="Estilo1Carcter"/>
        </w:rPr>
        <w:t xml:space="preserve">, 2001, Wood &amp; Wood, 2005, Taylor </w:t>
      </w:r>
      <w:r w:rsidR="006F2254" w:rsidRPr="006F2254">
        <w:rPr>
          <w:rStyle w:val="Estilo1Carcter"/>
          <w:i/>
        </w:rPr>
        <w:t>et al.</w:t>
      </w:r>
      <w:r w:rsidRPr="006D5FD2">
        <w:rPr>
          <w:rStyle w:val="Estilo1Carcter"/>
        </w:rPr>
        <w:t xml:space="preserve">, 2005, Úrbez </w:t>
      </w:r>
      <w:r w:rsidR="006F2254" w:rsidRPr="006F2254">
        <w:rPr>
          <w:rStyle w:val="Estilo1Carcter"/>
          <w:i/>
        </w:rPr>
        <w:t>et al.</w:t>
      </w:r>
      <w:r w:rsidRPr="006D5FD2">
        <w:rPr>
          <w:rStyle w:val="Estilo1Carcter"/>
        </w:rPr>
        <w:t xml:space="preserve">, 2005). Recentemente, Úrbez-Torres </w:t>
      </w:r>
      <w:r w:rsidR="006F2254" w:rsidRPr="006F2254">
        <w:rPr>
          <w:rStyle w:val="Estilo1Carcter"/>
          <w:i/>
        </w:rPr>
        <w:t>et al.</w:t>
      </w:r>
      <w:r w:rsidRPr="006D5FD2">
        <w:rPr>
          <w:rStyle w:val="Estilo1Carcter"/>
        </w:rPr>
        <w:t xml:space="preserve"> (2006) associaram as espécies “</w:t>
      </w:r>
      <w:r w:rsidRPr="0031782E">
        <w:rPr>
          <w:rStyle w:val="Estilo1Carcter"/>
          <w:i/>
        </w:rPr>
        <w:t>B”. rhodina, “B”. obtusa, “B”. stevensii, “B”. parva, “B”. australis, “B”. viticola, B. dothidea e “B”. ribis</w:t>
      </w:r>
      <w:r w:rsidRPr="006D5FD2">
        <w:rPr>
          <w:rStyle w:val="Estilo1Carcter"/>
        </w:rPr>
        <w:t xml:space="preserve"> à formação de cancros, em ramos de videiras, nos Estados Unidos. Por sua vez, </w:t>
      </w:r>
      <w:r w:rsidRPr="0031782E">
        <w:rPr>
          <w:rStyle w:val="Estilo1Carcter"/>
          <w:i/>
        </w:rPr>
        <w:t>“B”. viticola</w:t>
      </w:r>
      <w:r w:rsidRPr="006D5FD2">
        <w:rPr>
          <w:rStyle w:val="Estilo1Carcter"/>
        </w:rPr>
        <w:t xml:space="preserve"> foi encontrada em Espanha e África do Sul,</w:t>
      </w:r>
      <w:r w:rsidRPr="002B6C78">
        <w:t xml:space="preserve"> tendo sido isolada frequentemente a partir das varas de poda deixados no solo da vinha. Segundo van Niekerk </w:t>
      </w:r>
      <w:r w:rsidR="006F2254" w:rsidRPr="006F2254">
        <w:rPr>
          <w:i/>
          <w:iCs/>
        </w:rPr>
        <w:t>et al.</w:t>
      </w:r>
      <w:r w:rsidRPr="002B6C78">
        <w:t xml:space="preserve"> (2004), </w:t>
      </w:r>
      <w:r w:rsidRPr="002B6C78">
        <w:rPr>
          <w:i/>
          <w:iCs/>
        </w:rPr>
        <w:t xml:space="preserve">“B”. viticola </w:t>
      </w:r>
      <w:r w:rsidRPr="002B6C78">
        <w:t xml:space="preserve">parece ser um fungo saprófita. Esta espécie tem sido encontrada em vinhas velhas e não está associada a sintomas típicos, reforçando assim a hipótese de se tratar de um fungo saprófita (Luque </w:t>
      </w:r>
      <w:r w:rsidR="006F2254" w:rsidRPr="006F2254">
        <w:rPr>
          <w:i/>
          <w:iCs/>
        </w:rPr>
        <w:t>et al.</w:t>
      </w:r>
      <w:r w:rsidRPr="002B6C78">
        <w:t>, 2005). Interessa ainda realçar que algumas espécies podem ainda ser endófitas, sendo, nesta situação, isoladas a partir de materiais assintomáticos (Fourie &amp; Halle</w:t>
      </w:r>
      <w:r>
        <w:t>e</w:t>
      </w:r>
      <w:r w:rsidRPr="002B6C78">
        <w:t xml:space="preserve">n, 2001). Apesar da patogenicidade e virulência das espécies em </w:t>
      </w:r>
      <w:r w:rsidR="00016F11" w:rsidRPr="00016F11">
        <w:rPr>
          <w:i/>
        </w:rPr>
        <w:t>Botryosphaeria</w:t>
      </w:r>
      <w:r w:rsidRPr="002B6C78">
        <w:t xml:space="preserve">ceae que ocorrem na videira não estarem ainda totalmente esclarecidas, vários sintomas comuns têm sido descritos em todo o mundo, concluindo-se que estes patogénios são responsáveis pelo declínio gradual do vigor e da produção da videira (Phillips, 1998). Talvez por esta razão é que os maiores prejuízos ocorram em vinhas com oito ou mais anos (Larignon &amp; Dubos, 2001). Um sintoma frequentemente associado a </w:t>
      </w:r>
      <w:r w:rsidR="00016F11" w:rsidRPr="00016F11">
        <w:rPr>
          <w:i/>
        </w:rPr>
        <w:t>Botryosphaeria</w:t>
      </w:r>
      <w:r w:rsidRPr="002B6C78">
        <w:t>ceae é a morte dos sarmentos. Resulta da infecção dos jo</w:t>
      </w:r>
      <w:r>
        <w:t>vens ramos, no início do ciclo vegetativo</w:t>
      </w:r>
      <w:r w:rsidRPr="002B6C78">
        <w:t xml:space="preserve">, e conduz directamente à diminuição da produção. A infecção por </w:t>
      </w:r>
      <w:r w:rsidR="00016F11" w:rsidRPr="00016F11">
        <w:rPr>
          <w:i/>
          <w:iCs/>
        </w:rPr>
        <w:t>Botryosphaeria</w:t>
      </w:r>
      <w:r w:rsidRPr="002B6C78">
        <w:rPr>
          <w:i/>
          <w:iCs/>
        </w:rPr>
        <w:t xml:space="preserve"> </w:t>
      </w:r>
      <w:r w:rsidRPr="002B6C78">
        <w:t xml:space="preserve">spp. origina necroses negras nos entrenós, podendo levar à quebra dos sarmentos, ou desnoca (Tomaz &amp; Rego, 1990, van Niekerk </w:t>
      </w:r>
      <w:r w:rsidR="006F2254" w:rsidRPr="006F2254">
        <w:rPr>
          <w:i/>
          <w:iCs/>
        </w:rPr>
        <w:t>et al.</w:t>
      </w:r>
      <w:r w:rsidRPr="002B6C78">
        <w:rPr>
          <w:i/>
          <w:iCs/>
        </w:rPr>
        <w:t xml:space="preserve">, </w:t>
      </w:r>
      <w:r w:rsidRPr="002B6C78">
        <w:t xml:space="preserve">2006). As necroses vão-se tornando acinzentadas ou esbranquiçadas, observando-se posteriormente as estruturas de frutificação negras (picnídios) do(s) fungo(s), imersas no tecido do hospedeiro (Tomaz &amp; Rego, 1990, Phillips, 1998), configurando sintomas de </w:t>
      </w:r>
      <w:r w:rsidRPr="002B6C78">
        <w:rPr>
          <w:bCs/>
        </w:rPr>
        <w:t>escoriose europeia</w:t>
      </w:r>
      <w:r w:rsidRPr="002B6C78">
        <w:t xml:space="preserve">. Tal como sucede para a maioria das doenças do lenho da videira (esca, eutipiose, escoriose americana, doença de Petri e pé negro), a ocorrência de determinadas espécies de </w:t>
      </w:r>
      <w:r w:rsidR="00016F11" w:rsidRPr="00016F11">
        <w:rPr>
          <w:i/>
          <w:iCs/>
        </w:rPr>
        <w:t>Botryosphaeria</w:t>
      </w:r>
      <w:r w:rsidRPr="002B6C78">
        <w:rPr>
          <w:i/>
          <w:iCs/>
        </w:rPr>
        <w:t xml:space="preserve">, </w:t>
      </w:r>
      <w:r w:rsidRPr="002B6C78">
        <w:t>em detrimento de outras</w:t>
      </w:r>
      <w:r w:rsidRPr="002B6C78">
        <w:rPr>
          <w:i/>
          <w:iCs/>
        </w:rPr>
        <w:t xml:space="preserve">, </w:t>
      </w:r>
      <w:r w:rsidRPr="002B6C78">
        <w:t xml:space="preserve">é influenciada por factores climáticos e, por conseguinte, muito variável geograficamente, dificultando o diagnóstico e a generalização dos meios de luta. </w:t>
      </w:r>
    </w:p>
    <w:p w:rsidR="007A2A0E" w:rsidRPr="002B6C78" w:rsidRDefault="007A2A0E" w:rsidP="006D5FD2">
      <w:pPr>
        <w:pStyle w:val="Estilo1"/>
      </w:pPr>
      <w:r w:rsidRPr="002B6C78">
        <w:t xml:space="preserve">Espécies de </w:t>
      </w:r>
      <w:r w:rsidR="00016F11" w:rsidRPr="00016F11">
        <w:rPr>
          <w:i/>
          <w:iCs/>
        </w:rPr>
        <w:t>Botryosphaeria</w:t>
      </w:r>
      <w:r w:rsidRPr="002B6C78">
        <w:rPr>
          <w:i/>
          <w:iCs/>
        </w:rPr>
        <w:t xml:space="preserve"> </w:t>
      </w:r>
      <w:r w:rsidRPr="002B6C78">
        <w:t xml:space="preserve">que surgem na Austrália (Savacchia </w:t>
      </w:r>
      <w:r w:rsidR="006F2254" w:rsidRPr="006F2254">
        <w:rPr>
          <w:i/>
          <w:iCs/>
        </w:rPr>
        <w:t>et al.</w:t>
      </w:r>
      <w:r w:rsidRPr="002B6C78">
        <w:rPr>
          <w:i/>
          <w:iCs/>
        </w:rPr>
        <w:t xml:space="preserve">, </w:t>
      </w:r>
      <w:r w:rsidRPr="002B6C78">
        <w:t xml:space="preserve">2005) não coincidem plenamente com as que ocorrem na África do Sul (Bester </w:t>
      </w:r>
      <w:r w:rsidR="006F2254" w:rsidRPr="006F2254">
        <w:rPr>
          <w:i/>
          <w:iCs/>
        </w:rPr>
        <w:t>et al.</w:t>
      </w:r>
      <w:r w:rsidRPr="002B6C78">
        <w:rPr>
          <w:i/>
          <w:iCs/>
        </w:rPr>
        <w:t xml:space="preserve">, </w:t>
      </w:r>
      <w:r w:rsidRPr="002B6C78">
        <w:t xml:space="preserve">2007), nas Américas (Úrbez-Torres </w:t>
      </w:r>
      <w:r w:rsidR="006F2254" w:rsidRPr="006F2254">
        <w:rPr>
          <w:i/>
          <w:iCs/>
        </w:rPr>
        <w:t>et al.</w:t>
      </w:r>
      <w:r w:rsidRPr="002B6C78">
        <w:rPr>
          <w:i/>
          <w:iCs/>
        </w:rPr>
        <w:t xml:space="preserve">, </w:t>
      </w:r>
      <w:r w:rsidRPr="002B6C78">
        <w:t xml:space="preserve">2006), em França (Lecomte </w:t>
      </w:r>
      <w:r w:rsidR="006F2254" w:rsidRPr="006F2254">
        <w:rPr>
          <w:i/>
          <w:iCs/>
        </w:rPr>
        <w:t>et al.</w:t>
      </w:r>
      <w:r w:rsidRPr="002B6C78">
        <w:t xml:space="preserve">, 2005), ou em Espanha (Armengol </w:t>
      </w:r>
      <w:r w:rsidR="006F2254" w:rsidRPr="006F2254">
        <w:rPr>
          <w:i/>
          <w:iCs/>
        </w:rPr>
        <w:t>et al.</w:t>
      </w:r>
      <w:r w:rsidRPr="002B6C78">
        <w:rPr>
          <w:i/>
          <w:iCs/>
        </w:rPr>
        <w:t xml:space="preserve">, </w:t>
      </w:r>
      <w:r w:rsidRPr="002B6C78">
        <w:t xml:space="preserve">2001, Luque </w:t>
      </w:r>
      <w:r w:rsidR="006F2254" w:rsidRPr="006F2254">
        <w:rPr>
          <w:i/>
          <w:iCs/>
        </w:rPr>
        <w:t>et al.</w:t>
      </w:r>
      <w:r w:rsidRPr="002B6C78">
        <w:rPr>
          <w:i/>
          <w:iCs/>
        </w:rPr>
        <w:t xml:space="preserve">, </w:t>
      </w:r>
      <w:r w:rsidRPr="002B6C78">
        <w:t xml:space="preserve">2005, Úrbez-Torres </w:t>
      </w:r>
      <w:r w:rsidR="006F2254" w:rsidRPr="006F2254">
        <w:rPr>
          <w:i/>
          <w:iCs/>
        </w:rPr>
        <w:t>et al.</w:t>
      </w:r>
      <w:r w:rsidRPr="002B6C78">
        <w:t>, 2006).</w:t>
      </w:r>
    </w:p>
    <w:p w:rsidR="007A2A0E" w:rsidRDefault="007A2A0E" w:rsidP="006D5FD2">
      <w:pPr>
        <w:pStyle w:val="Estilo1"/>
      </w:pPr>
      <w:r w:rsidRPr="002B6C78">
        <w:lastRenderedPageBreak/>
        <w:t xml:space="preserve">No Quadro </w:t>
      </w:r>
      <w:r>
        <w:t>2</w:t>
      </w:r>
      <w:r w:rsidR="00A67CD5">
        <w:t>.2</w:t>
      </w:r>
      <w:r w:rsidRPr="002B6C78">
        <w:t xml:space="preserve"> apresentam-se as espécies de </w:t>
      </w:r>
      <w:r w:rsidR="00016F11" w:rsidRPr="00016F11">
        <w:rPr>
          <w:i/>
        </w:rPr>
        <w:t>Botryosphaeria</w:t>
      </w:r>
      <w:r w:rsidRPr="002B6C78">
        <w:t xml:space="preserve">ceae de ocorrência mais frequente em videira, doenças/sintomas associados, referência bibliográfica associada e distribuição geográfica. </w:t>
      </w:r>
    </w:p>
    <w:p w:rsidR="0056511D" w:rsidRPr="0056511D" w:rsidRDefault="00120973" w:rsidP="00120973">
      <w:pPr>
        <w:pStyle w:val="Legenda"/>
        <w:rPr>
          <w:rFonts w:cs="Times New Roman"/>
          <w:sz w:val="22"/>
          <w:szCs w:val="22"/>
        </w:rPr>
      </w:pPr>
      <w:bookmarkStart w:id="19" w:name="_Toc264890329"/>
      <w:r>
        <w:t xml:space="preserve">Quadro </w:t>
      </w:r>
      <w:fldSimple w:instr=" STYLEREF 1 \s ">
        <w:r w:rsidR="00E2640D">
          <w:rPr>
            <w:noProof/>
          </w:rPr>
          <w:t>2</w:t>
        </w:r>
      </w:fldSimple>
      <w:r w:rsidR="00C37A87">
        <w:t>.</w:t>
      </w:r>
      <w:fldSimple w:instr=" SEQ Quadro \* ARABIC \s 1 ">
        <w:r w:rsidR="00E2640D">
          <w:rPr>
            <w:noProof/>
          </w:rPr>
          <w:t>2</w:t>
        </w:r>
      </w:fldSimple>
      <w:r>
        <w:t xml:space="preserve">. </w:t>
      </w:r>
      <w:r w:rsidRPr="00366121">
        <w:t xml:space="preserve">Espécies de </w:t>
      </w:r>
      <w:r w:rsidR="00016F11" w:rsidRPr="00016F11">
        <w:rPr>
          <w:i/>
        </w:rPr>
        <w:t>Botryosphaeria</w:t>
      </w:r>
      <w:r w:rsidRPr="00366121">
        <w:rPr>
          <w:i/>
        </w:rPr>
        <w:t>ceae</w:t>
      </w:r>
      <w:r w:rsidRPr="00366121">
        <w:t>, doença/sintomas associados, referência bibliográfica associada e distribuição geográfica</w:t>
      </w:r>
      <w:bookmarkEnd w:id="19"/>
    </w:p>
    <w:tbl>
      <w:tblPr>
        <w:tblW w:w="0" w:type="auto"/>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Look w:val="04A0"/>
      </w:tblPr>
      <w:tblGrid>
        <w:gridCol w:w="3365"/>
        <w:gridCol w:w="2466"/>
        <w:gridCol w:w="2391"/>
        <w:gridCol w:w="1064"/>
      </w:tblGrid>
      <w:tr w:rsidR="007A2A0E" w:rsidRPr="00C043D5" w:rsidTr="008D0733">
        <w:trPr>
          <w:trHeight w:val="227"/>
        </w:trPr>
        <w:tc>
          <w:tcPr>
            <w:tcW w:w="3245" w:type="dxa"/>
            <w:tcBorders>
              <w:top w:val="single" w:sz="8" w:space="0" w:color="9BBB59"/>
              <w:left w:val="single" w:sz="8" w:space="0" w:color="9BBB59"/>
              <w:bottom w:val="single" w:sz="18" w:space="0" w:color="9BBB59"/>
              <w:right w:val="single" w:sz="8" w:space="0" w:color="9BBB59"/>
            </w:tcBorders>
            <w:vAlign w:val="center"/>
          </w:tcPr>
          <w:p w:rsidR="007A2A0E" w:rsidRPr="00C043D5" w:rsidRDefault="007A2A0E" w:rsidP="008D0733">
            <w:pPr>
              <w:pStyle w:val="Default"/>
              <w:rPr>
                <w:rFonts w:ascii="Arial" w:eastAsia="Times New Roman" w:hAnsi="Arial" w:cs="Arial"/>
                <w:b/>
                <w:bCs/>
              </w:rPr>
            </w:pPr>
          </w:p>
          <w:tbl>
            <w:tblPr>
              <w:tblW w:w="0" w:type="auto"/>
              <w:tblBorders>
                <w:top w:val="nil"/>
                <w:left w:val="nil"/>
                <w:bottom w:val="nil"/>
                <w:right w:val="nil"/>
              </w:tblBorders>
              <w:tblLook w:val="0000"/>
            </w:tblPr>
            <w:tblGrid>
              <w:gridCol w:w="1933"/>
            </w:tblGrid>
            <w:tr w:rsidR="007A2A0E" w:rsidRPr="00C043D5" w:rsidTr="009662B5">
              <w:trPr>
                <w:trHeight w:val="156"/>
              </w:trPr>
              <w:tc>
                <w:tcPr>
                  <w:tcW w:w="0" w:type="auto"/>
                </w:tcPr>
                <w:p w:rsidR="007A2A0E" w:rsidRPr="00C043D5" w:rsidRDefault="007A2A0E" w:rsidP="008D0733">
                  <w:pPr>
                    <w:pStyle w:val="Default"/>
                    <w:rPr>
                      <w:rFonts w:ascii="Arial" w:hAnsi="Arial" w:cs="Arial"/>
                      <w:sz w:val="16"/>
                      <w:szCs w:val="16"/>
                    </w:rPr>
                  </w:pPr>
                  <w:r w:rsidRPr="00C043D5">
                    <w:rPr>
                      <w:rFonts w:ascii="Arial" w:hAnsi="Arial" w:cs="Arial"/>
                      <w:b/>
                      <w:bCs/>
                      <w:sz w:val="16"/>
                      <w:szCs w:val="16"/>
                    </w:rPr>
                    <w:t>Espécies identificadas</w:t>
                  </w:r>
                </w:p>
              </w:tc>
            </w:tr>
          </w:tbl>
          <w:p w:rsidR="007A2A0E" w:rsidRPr="00C043D5" w:rsidRDefault="007A2A0E" w:rsidP="008D0733">
            <w:pPr>
              <w:spacing w:after="0"/>
              <w:jc w:val="left"/>
            </w:pPr>
          </w:p>
        </w:tc>
        <w:tc>
          <w:tcPr>
            <w:tcW w:w="2392" w:type="dxa"/>
            <w:tcBorders>
              <w:top w:val="single" w:sz="8" w:space="0" w:color="9BBB59"/>
              <w:left w:val="single" w:sz="8" w:space="0" w:color="9BBB59"/>
              <w:bottom w:val="single" w:sz="18" w:space="0" w:color="9BBB59"/>
              <w:right w:val="single" w:sz="8" w:space="0" w:color="9BBB59"/>
            </w:tcBorders>
            <w:vAlign w:val="center"/>
          </w:tcPr>
          <w:p w:rsidR="007A2A0E" w:rsidRPr="00C043D5" w:rsidRDefault="007A2A0E" w:rsidP="00CA2DED">
            <w:pPr>
              <w:pStyle w:val="Default"/>
              <w:rPr>
                <w:rFonts w:ascii="Arial" w:eastAsia="Times New Roman" w:hAnsi="Arial" w:cs="Arial"/>
                <w:b/>
                <w:bCs/>
              </w:rPr>
            </w:pPr>
          </w:p>
          <w:tbl>
            <w:tblPr>
              <w:tblW w:w="0" w:type="auto"/>
              <w:tblBorders>
                <w:top w:val="nil"/>
                <w:left w:val="nil"/>
                <w:bottom w:val="nil"/>
                <w:right w:val="nil"/>
              </w:tblBorders>
              <w:tblLook w:val="0000"/>
            </w:tblPr>
            <w:tblGrid>
              <w:gridCol w:w="1648"/>
            </w:tblGrid>
            <w:tr w:rsidR="007A2A0E" w:rsidRPr="00C043D5" w:rsidTr="009662B5">
              <w:trPr>
                <w:trHeight w:val="156"/>
              </w:trPr>
              <w:tc>
                <w:tcPr>
                  <w:tcW w:w="0" w:type="auto"/>
                </w:tcPr>
                <w:p w:rsidR="007A2A0E" w:rsidRPr="00C043D5" w:rsidRDefault="007A2A0E" w:rsidP="00CA2DED">
                  <w:pPr>
                    <w:pStyle w:val="Default"/>
                    <w:rPr>
                      <w:rFonts w:ascii="Arial" w:hAnsi="Arial" w:cs="Arial"/>
                      <w:sz w:val="16"/>
                      <w:szCs w:val="16"/>
                    </w:rPr>
                  </w:pPr>
                  <w:r w:rsidRPr="00C043D5">
                    <w:rPr>
                      <w:rFonts w:ascii="Arial" w:hAnsi="Arial" w:cs="Arial"/>
                      <w:b/>
                      <w:bCs/>
                      <w:sz w:val="16"/>
                      <w:szCs w:val="16"/>
                    </w:rPr>
                    <w:t>Doença / Sintomas</w:t>
                  </w:r>
                </w:p>
              </w:tc>
            </w:tr>
          </w:tbl>
          <w:p w:rsidR="007A2A0E" w:rsidRPr="00C043D5" w:rsidRDefault="007A2A0E" w:rsidP="00CA2DED">
            <w:pPr>
              <w:spacing w:after="0"/>
              <w:jc w:val="left"/>
            </w:pPr>
          </w:p>
        </w:tc>
        <w:tc>
          <w:tcPr>
            <w:tcW w:w="2611" w:type="dxa"/>
            <w:tcBorders>
              <w:top w:val="single" w:sz="8" w:space="0" w:color="9BBB59"/>
              <w:left w:val="single" w:sz="8" w:space="0" w:color="9BBB59"/>
              <w:bottom w:val="single" w:sz="18" w:space="0" w:color="9BBB59"/>
              <w:right w:val="single" w:sz="8" w:space="0" w:color="9BBB59"/>
            </w:tcBorders>
            <w:vAlign w:val="center"/>
          </w:tcPr>
          <w:p w:rsidR="007A2A0E" w:rsidRPr="00C043D5" w:rsidRDefault="007A2A0E" w:rsidP="00CA2DED">
            <w:pPr>
              <w:pStyle w:val="Default"/>
              <w:rPr>
                <w:rFonts w:ascii="Arial" w:eastAsia="Times New Roman" w:hAnsi="Arial" w:cs="Arial"/>
                <w:b/>
                <w:bCs/>
              </w:rPr>
            </w:pPr>
          </w:p>
          <w:tbl>
            <w:tblPr>
              <w:tblW w:w="0" w:type="auto"/>
              <w:tblBorders>
                <w:top w:val="nil"/>
                <w:left w:val="nil"/>
                <w:bottom w:val="nil"/>
                <w:right w:val="nil"/>
              </w:tblBorders>
              <w:tblLook w:val="0000"/>
            </w:tblPr>
            <w:tblGrid>
              <w:gridCol w:w="2030"/>
            </w:tblGrid>
            <w:tr w:rsidR="007A2A0E" w:rsidRPr="00C043D5" w:rsidTr="009662B5">
              <w:trPr>
                <w:trHeight w:val="156"/>
              </w:trPr>
              <w:tc>
                <w:tcPr>
                  <w:tcW w:w="0" w:type="auto"/>
                </w:tcPr>
                <w:p w:rsidR="007A2A0E" w:rsidRPr="00C043D5" w:rsidRDefault="007A2A0E" w:rsidP="00CA2DED">
                  <w:pPr>
                    <w:pStyle w:val="Default"/>
                    <w:rPr>
                      <w:rFonts w:ascii="Arial" w:hAnsi="Arial" w:cs="Arial"/>
                      <w:sz w:val="16"/>
                      <w:szCs w:val="16"/>
                    </w:rPr>
                  </w:pPr>
                  <w:r w:rsidRPr="00C043D5">
                    <w:rPr>
                      <w:rFonts w:ascii="Arial" w:hAnsi="Arial" w:cs="Arial"/>
                      <w:b/>
                      <w:bCs/>
                      <w:sz w:val="16"/>
                      <w:szCs w:val="16"/>
                    </w:rPr>
                    <w:t>Referência bibliográfica</w:t>
                  </w:r>
                </w:p>
              </w:tc>
            </w:tr>
          </w:tbl>
          <w:p w:rsidR="007A2A0E" w:rsidRPr="00C043D5" w:rsidRDefault="007A2A0E" w:rsidP="00CA2DED">
            <w:pPr>
              <w:spacing w:after="0"/>
              <w:jc w:val="left"/>
            </w:pPr>
          </w:p>
        </w:tc>
        <w:tc>
          <w:tcPr>
            <w:tcW w:w="1038" w:type="dxa"/>
            <w:tcBorders>
              <w:top w:val="single" w:sz="8" w:space="0" w:color="9BBB59"/>
              <w:left w:val="single" w:sz="8" w:space="0" w:color="9BBB59"/>
              <w:bottom w:val="single" w:sz="18" w:space="0" w:color="9BBB59"/>
              <w:right w:val="single" w:sz="8" w:space="0" w:color="9BBB59"/>
            </w:tcBorders>
            <w:vAlign w:val="center"/>
          </w:tcPr>
          <w:p w:rsidR="007A2A0E" w:rsidRPr="00C043D5" w:rsidRDefault="007A2A0E" w:rsidP="00CA2DED">
            <w:pPr>
              <w:pStyle w:val="Default"/>
              <w:rPr>
                <w:rFonts w:ascii="Arial" w:eastAsia="Times New Roman" w:hAnsi="Arial" w:cs="Arial"/>
                <w:b/>
                <w:bCs/>
              </w:rPr>
            </w:pPr>
          </w:p>
          <w:tbl>
            <w:tblPr>
              <w:tblW w:w="0" w:type="auto"/>
              <w:tblBorders>
                <w:top w:val="nil"/>
                <w:left w:val="nil"/>
                <w:bottom w:val="nil"/>
                <w:right w:val="nil"/>
              </w:tblBorders>
              <w:tblLook w:val="0000"/>
            </w:tblPr>
            <w:tblGrid>
              <w:gridCol w:w="546"/>
            </w:tblGrid>
            <w:tr w:rsidR="007A2A0E" w:rsidRPr="00C043D5" w:rsidTr="009662B5">
              <w:trPr>
                <w:trHeight w:val="156"/>
              </w:trPr>
              <w:tc>
                <w:tcPr>
                  <w:tcW w:w="0" w:type="auto"/>
                  <w:vAlign w:val="center"/>
                </w:tcPr>
                <w:p w:rsidR="007A2A0E" w:rsidRPr="00C043D5" w:rsidRDefault="007A2A0E" w:rsidP="00CA2DED">
                  <w:pPr>
                    <w:pStyle w:val="Default"/>
                    <w:rPr>
                      <w:rFonts w:ascii="Arial" w:hAnsi="Arial" w:cs="Arial"/>
                      <w:sz w:val="16"/>
                      <w:szCs w:val="16"/>
                    </w:rPr>
                  </w:pPr>
                  <w:r w:rsidRPr="00C043D5">
                    <w:rPr>
                      <w:rFonts w:ascii="Arial" w:hAnsi="Arial" w:cs="Arial"/>
                      <w:b/>
                      <w:bCs/>
                      <w:sz w:val="16"/>
                      <w:szCs w:val="16"/>
                    </w:rPr>
                    <w:t>País</w:t>
                  </w:r>
                </w:p>
              </w:tc>
            </w:tr>
          </w:tbl>
          <w:p w:rsidR="007A2A0E" w:rsidRPr="00C043D5" w:rsidRDefault="007A2A0E" w:rsidP="00CA2DED">
            <w:pPr>
              <w:spacing w:after="0"/>
              <w:jc w:val="left"/>
            </w:pPr>
          </w:p>
        </w:tc>
      </w:tr>
      <w:tr w:rsidR="007A2A0E" w:rsidRPr="00C043D5" w:rsidTr="008D0733">
        <w:trPr>
          <w:trHeight w:val="227"/>
        </w:trPr>
        <w:tc>
          <w:tcPr>
            <w:tcW w:w="3245" w:type="dxa"/>
            <w:tcBorders>
              <w:top w:val="single" w:sz="8" w:space="0" w:color="9BBB59"/>
              <w:left w:val="single" w:sz="8" w:space="0" w:color="9BBB59"/>
              <w:bottom w:val="single" w:sz="8" w:space="0" w:color="9BBB59"/>
              <w:right w:val="single" w:sz="8" w:space="0" w:color="9BBB59"/>
            </w:tcBorders>
            <w:shd w:val="clear" w:color="auto" w:fill="E6EED5"/>
            <w:vAlign w:val="center"/>
          </w:tcPr>
          <w:tbl>
            <w:tblPr>
              <w:tblW w:w="2530" w:type="dxa"/>
              <w:tblBorders>
                <w:top w:val="nil"/>
                <w:left w:val="nil"/>
                <w:bottom w:val="nil"/>
                <w:right w:val="nil"/>
              </w:tblBorders>
              <w:tblLook w:val="0000"/>
            </w:tblPr>
            <w:tblGrid>
              <w:gridCol w:w="2530"/>
            </w:tblGrid>
            <w:tr w:rsidR="007A2A0E" w:rsidRPr="00C043D5" w:rsidTr="009662B5">
              <w:trPr>
                <w:trHeight w:val="201"/>
              </w:trPr>
              <w:tc>
                <w:tcPr>
                  <w:tcW w:w="0" w:type="auto"/>
                </w:tcPr>
                <w:p w:rsidR="007A2A0E" w:rsidRPr="00C043D5" w:rsidRDefault="007A2A0E" w:rsidP="008D0733">
                  <w:pPr>
                    <w:pStyle w:val="Default"/>
                    <w:rPr>
                      <w:rFonts w:ascii="Arial" w:hAnsi="Arial" w:cs="Arial"/>
                      <w:sz w:val="16"/>
                      <w:szCs w:val="16"/>
                    </w:rPr>
                  </w:pPr>
                  <w:r w:rsidRPr="00C043D5">
                    <w:rPr>
                      <w:rFonts w:ascii="Arial" w:hAnsi="Arial" w:cs="Arial"/>
                      <w:i/>
                      <w:iCs/>
                      <w:sz w:val="16"/>
                      <w:szCs w:val="16"/>
                    </w:rPr>
                    <w:t>“B”. obtusa “B”. rhodina “B”.ribis</w:t>
                  </w:r>
                </w:p>
              </w:tc>
            </w:tr>
          </w:tbl>
          <w:p w:rsidR="007A2A0E" w:rsidRPr="00C043D5" w:rsidRDefault="007A2A0E" w:rsidP="008D0733">
            <w:pPr>
              <w:spacing w:after="0"/>
              <w:jc w:val="left"/>
            </w:pPr>
          </w:p>
        </w:tc>
        <w:tc>
          <w:tcPr>
            <w:tcW w:w="2392" w:type="dxa"/>
            <w:tcBorders>
              <w:top w:val="single" w:sz="8" w:space="0" w:color="9BBB59"/>
              <w:left w:val="single" w:sz="8" w:space="0" w:color="9BBB59"/>
              <w:bottom w:val="single" w:sz="8" w:space="0" w:color="9BBB59"/>
              <w:right w:val="single" w:sz="8" w:space="0" w:color="9BBB59"/>
            </w:tcBorders>
            <w:shd w:val="clear" w:color="auto" w:fill="E6EED5"/>
            <w:vAlign w:val="center"/>
          </w:tcPr>
          <w:tbl>
            <w:tblPr>
              <w:tblW w:w="0" w:type="auto"/>
              <w:tblBorders>
                <w:top w:val="nil"/>
                <w:left w:val="nil"/>
                <w:bottom w:val="nil"/>
                <w:right w:val="nil"/>
              </w:tblBorders>
              <w:tblLook w:val="0000"/>
            </w:tblPr>
            <w:tblGrid>
              <w:gridCol w:w="848"/>
            </w:tblGrid>
            <w:tr w:rsidR="007A2A0E" w:rsidRPr="00C043D5" w:rsidTr="009662B5">
              <w:trPr>
                <w:trHeight w:val="156"/>
              </w:trPr>
              <w:tc>
                <w:tcPr>
                  <w:tcW w:w="0" w:type="auto"/>
                </w:tcPr>
                <w:p w:rsidR="007A2A0E" w:rsidRPr="00C043D5" w:rsidRDefault="007A2A0E" w:rsidP="00CA2DED">
                  <w:pPr>
                    <w:pStyle w:val="Default"/>
                    <w:rPr>
                      <w:rFonts w:ascii="Arial" w:hAnsi="Arial" w:cs="Arial"/>
                      <w:sz w:val="16"/>
                      <w:szCs w:val="16"/>
                    </w:rPr>
                  </w:pPr>
                  <w:r w:rsidRPr="00C043D5">
                    <w:rPr>
                      <w:rFonts w:ascii="Arial" w:hAnsi="Arial" w:cs="Arial"/>
                      <w:sz w:val="16"/>
                      <w:szCs w:val="16"/>
                    </w:rPr>
                    <w:t>Die-back</w:t>
                  </w:r>
                </w:p>
              </w:tc>
            </w:tr>
          </w:tbl>
          <w:p w:rsidR="007A2A0E" w:rsidRPr="00C043D5" w:rsidRDefault="007A2A0E" w:rsidP="00CA2DED">
            <w:pPr>
              <w:spacing w:after="0"/>
              <w:jc w:val="left"/>
            </w:pPr>
          </w:p>
        </w:tc>
        <w:tc>
          <w:tcPr>
            <w:tcW w:w="2611" w:type="dxa"/>
            <w:tcBorders>
              <w:top w:val="single" w:sz="8" w:space="0" w:color="9BBB59"/>
              <w:left w:val="single" w:sz="8" w:space="0" w:color="9BBB59"/>
              <w:bottom w:val="single" w:sz="8" w:space="0" w:color="9BBB59"/>
              <w:right w:val="single" w:sz="8" w:space="0" w:color="9BBB59"/>
            </w:tcBorders>
            <w:shd w:val="clear" w:color="auto" w:fill="E6EED5"/>
            <w:vAlign w:val="center"/>
          </w:tcPr>
          <w:tbl>
            <w:tblPr>
              <w:tblW w:w="0" w:type="auto"/>
              <w:tblBorders>
                <w:top w:val="nil"/>
                <w:left w:val="nil"/>
                <w:bottom w:val="nil"/>
                <w:right w:val="nil"/>
              </w:tblBorders>
              <w:tblLook w:val="0000"/>
            </w:tblPr>
            <w:tblGrid>
              <w:gridCol w:w="2175"/>
            </w:tblGrid>
            <w:tr w:rsidR="007A2A0E" w:rsidRPr="003E4AC6" w:rsidTr="009662B5">
              <w:trPr>
                <w:trHeight w:val="545"/>
              </w:trPr>
              <w:tc>
                <w:tcPr>
                  <w:tcW w:w="0" w:type="auto"/>
                </w:tcPr>
                <w:p w:rsidR="007A2A0E" w:rsidRPr="00C043D5" w:rsidRDefault="007A2A0E" w:rsidP="00CA2DED">
                  <w:pPr>
                    <w:pStyle w:val="Default"/>
                    <w:rPr>
                      <w:rFonts w:ascii="Arial" w:hAnsi="Arial" w:cs="Arial"/>
                      <w:sz w:val="16"/>
                      <w:szCs w:val="16"/>
                      <w:lang w:val="en-US"/>
                    </w:rPr>
                  </w:pPr>
                  <w:r w:rsidRPr="00C043D5">
                    <w:rPr>
                      <w:rFonts w:ascii="Arial" w:hAnsi="Arial" w:cs="Arial"/>
                      <w:sz w:val="16"/>
                      <w:szCs w:val="16"/>
                      <w:lang w:val="en-US"/>
                    </w:rPr>
                    <w:t xml:space="preserve">Castillo-Pando </w:t>
                  </w:r>
                  <w:r w:rsidR="006F2254" w:rsidRPr="006F2254">
                    <w:rPr>
                      <w:rFonts w:ascii="Arial" w:hAnsi="Arial" w:cs="Arial"/>
                      <w:i/>
                      <w:iCs/>
                      <w:sz w:val="16"/>
                      <w:szCs w:val="16"/>
                      <w:lang w:val="en-US"/>
                    </w:rPr>
                    <w:t>et al.</w:t>
                  </w:r>
                  <w:r w:rsidRPr="00C043D5">
                    <w:rPr>
                      <w:rFonts w:ascii="Arial" w:hAnsi="Arial" w:cs="Arial"/>
                      <w:sz w:val="16"/>
                      <w:szCs w:val="16"/>
                      <w:lang w:val="en-US"/>
                    </w:rPr>
                    <w:t xml:space="preserve">, 2001 Wood </w:t>
                  </w:r>
                  <w:r w:rsidRPr="00C043D5">
                    <w:rPr>
                      <w:rFonts w:ascii="Arial" w:hAnsi="Arial" w:cs="Arial"/>
                      <w:i/>
                      <w:iCs/>
                      <w:sz w:val="16"/>
                      <w:szCs w:val="16"/>
                      <w:lang w:val="en-US"/>
                    </w:rPr>
                    <w:t xml:space="preserve">&amp; </w:t>
                  </w:r>
                  <w:r w:rsidRPr="00C043D5">
                    <w:rPr>
                      <w:rFonts w:ascii="Arial" w:hAnsi="Arial" w:cs="Arial"/>
                      <w:sz w:val="16"/>
                      <w:szCs w:val="16"/>
                      <w:lang w:val="en-US"/>
                    </w:rPr>
                    <w:t>Wood</w:t>
                  </w:r>
                  <w:r w:rsidRPr="00C043D5">
                    <w:rPr>
                      <w:rFonts w:ascii="Arial" w:hAnsi="Arial" w:cs="Arial"/>
                      <w:i/>
                      <w:iCs/>
                      <w:sz w:val="16"/>
                      <w:szCs w:val="16"/>
                      <w:lang w:val="en-US"/>
                    </w:rPr>
                    <w:t xml:space="preserve">, </w:t>
                  </w:r>
                  <w:r w:rsidRPr="00C043D5">
                    <w:rPr>
                      <w:rFonts w:ascii="Arial" w:hAnsi="Arial" w:cs="Arial"/>
                      <w:sz w:val="16"/>
                      <w:szCs w:val="16"/>
                      <w:lang w:val="en-US"/>
                    </w:rPr>
                    <w:t>2005 Pascoe, 1998</w:t>
                  </w:r>
                </w:p>
              </w:tc>
            </w:tr>
          </w:tbl>
          <w:p w:rsidR="007A2A0E" w:rsidRPr="00C043D5" w:rsidRDefault="007A2A0E" w:rsidP="00CA2DED">
            <w:pPr>
              <w:spacing w:after="0"/>
              <w:jc w:val="left"/>
              <w:rPr>
                <w:lang w:val="en-US"/>
              </w:rPr>
            </w:pPr>
          </w:p>
        </w:tc>
        <w:tc>
          <w:tcPr>
            <w:tcW w:w="1038" w:type="dxa"/>
            <w:vMerge w:val="restart"/>
            <w:tcBorders>
              <w:top w:val="single" w:sz="8" w:space="0" w:color="9BBB59"/>
              <w:left w:val="single" w:sz="8" w:space="0" w:color="9BBB59"/>
              <w:bottom w:val="single" w:sz="8" w:space="0" w:color="9BBB59"/>
              <w:right w:val="single" w:sz="8" w:space="0" w:color="9BBB59"/>
            </w:tcBorders>
            <w:shd w:val="clear" w:color="auto" w:fill="E6EED5"/>
            <w:vAlign w:val="center"/>
          </w:tcPr>
          <w:tbl>
            <w:tblPr>
              <w:tblW w:w="0" w:type="auto"/>
              <w:tblBorders>
                <w:top w:val="nil"/>
                <w:left w:val="nil"/>
                <w:bottom w:val="nil"/>
                <w:right w:val="nil"/>
              </w:tblBorders>
              <w:tblLook w:val="0000"/>
            </w:tblPr>
            <w:tblGrid>
              <w:gridCol w:w="839"/>
            </w:tblGrid>
            <w:tr w:rsidR="007A2A0E" w:rsidRPr="00C043D5" w:rsidTr="009662B5">
              <w:trPr>
                <w:trHeight w:val="156"/>
              </w:trPr>
              <w:tc>
                <w:tcPr>
                  <w:tcW w:w="0" w:type="auto"/>
                </w:tcPr>
                <w:p w:rsidR="007A2A0E" w:rsidRPr="00C043D5" w:rsidRDefault="007A2A0E" w:rsidP="00CA2DED">
                  <w:pPr>
                    <w:pStyle w:val="Default"/>
                    <w:rPr>
                      <w:rFonts w:ascii="Arial" w:hAnsi="Arial" w:cs="Arial"/>
                      <w:sz w:val="16"/>
                      <w:szCs w:val="16"/>
                    </w:rPr>
                  </w:pPr>
                  <w:r w:rsidRPr="00C043D5">
                    <w:rPr>
                      <w:rFonts w:ascii="Arial" w:hAnsi="Arial" w:cs="Arial"/>
                      <w:sz w:val="16"/>
                      <w:szCs w:val="16"/>
                    </w:rPr>
                    <w:t>Austrália</w:t>
                  </w:r>
                </w:p>
              </w:tc>
            </w:tr>
          </w:tbl>
          <w:p w:rsidR="007A2A0E" w:rsidRPr="00C043D5" w:rsidRDefault="007A2A0E" w:rsidP="00CA2DED">
            <w:pPr>
              <w:spacing w:after="0"/>
              <w:jc w:val="left"/>
              <w:rPr>
                <w:lang w:val="en-US"/>
              </w:rPr>
            </w:pPr>
          </w:p>
        </w:tc>
      </w:tr>
      <w:tr w:rsidR="007A2A0E" w:rsidRPr="00C043D5" w:rsidTr="008D0733">
        <w:trPr>
          <w:trHeight w:val="227"/>
        </w:trPr>
        <w:tc>
          <w:tcPr>
            <w:tcW w:w="3245" w:type="dxa"/>
            <w:tcBorders>
              <w:top w:val="single" w:sz="8" w:space="0" w:color="9BBB59"/>
              <w:left w:val="single" w:sz="8" w:space="0" w:color="9BBB59"/>
              <w:bottom w:val="single" w:sz="8" w:space="0" w:color="9BBB59"/>
              <w:right w:val="single" w:sz="8" w:space="0" w:color="9BBB59"/>
            </w:tcBorders>
            <w:vAlign w:val="center"/>
          </w:tcPr>
          <w:tbl>
            <w:tblPr>
              <w:tblW w:w="2621" w:type="dxa"/>
              <w:tblBorders>
                <w:top w:val="nil"/>
                <w:left w:val="nil"/>
                <w:bottom w:val="nil"/>
                <w:right w:val="nil"/>
              </w:tblBorders>
              <w:tblLook w:val="0000"/>
            </w:tblPr>
            <w:tblGrid>
              <w:gridCol w:w="2621"/>
            </w:tblGrid>
            <w:tr w:rsidR="007A2A0E" w:rsidRPr="00C043D5" w:rsidTr="009662B5">
              <w:trPr>
                <w:trHeight w:val="385"/>
              </w:trPr>
              <w:tc>
                <w:tcPr>
                  <w:tcW w:w="0" w:type="auto"/>
                </w:tcPr>
                <w:p w:rsidR="007A2A0E" w:rsidRPr="00C043D5" w:rsidRDefault="007A2A0E" w:rsidP="008D0733">
                  <w:pPr>
                    <w:pStyle w:val="Default"/>
                    <w:rPr>
                      <w:rFonts w:ascii="Arial" w:hAnsi="Arial" w:cs="Arial"/>
                      <w:sz w:val="16"/>
                      <w:szCs w:val="16"/>
                    </w:rPr>
                  </w:pPr>
                  <w:r w:rsidRPr="00C043D5">
                    <w:rPr>
                      <w:rFonts w:ascii="Arial" w:hAnsi="Arial" w:cs="Arial"/>
                      <w:i/>
                      <w:iCs/>
                      <w:sz w:val="16"/>
                      <w:szCs w:val="16"/>
                    </w:rPr>
                    <w:t>“B”. australis “B”. obtusa “B”. rhodina “B”. stevensii</w:t>
                  </w:r>
                </w:p>
              </w:tc>
            </w:tr>
          </w:tbl>
          <w:p w:rsidR="007A2A0E" w:rsidRPr="00C043D5" w:rsidRDefault="007A2A0E" w:rsidP="008D0733">
            <w:pPr>
              <w:spacing w:after="0"/>
              <w:jc w:val="left"/>
            </w:pPr>
          </w:p>
        </w:tc>
        <w:tc>
          <w:tcPr>
            <w:tcW w:w="2392" w:type="dxa"/>
            <w:tcBorders>
              <w:top w:val="single" w:sz="8" w:space="0" w:color="9BBB59"/>
              <w:left w:val="single" w:sz="8" w:space="0" w:color="9BBB59"/>
              <w:bottom w:val="single" w:sz="8" w:space="0" w:color="9BBB59"/>
              <w:right w:val="single" w:sz="8" w:space="0" w:color="9BBB59"/>
            </w:tcBorders>
            <w:vAlign w:val="center"/>
          </w:tcPr>
          <w:tbl>
            <w:tblPr>
              <w:tblW w:w="0" w:type="auto"/>
              <w:tblBorders>
                <w:top w:val="nil"/>
                <w:left w:val="nil"/>
                <w:bottom w:val="nil"/>
                <w:right w:val="nil"/>
              </w:tblBorders>
              <w:tblLook w:val="0000"/>
            </w:tblPr>
            <w:tblGrid>
              <w:gridCol w:w="1533"/>
            </w:tblGrid>
            <w:tr w:rsidR="007A2A0E" w:rsidRPr="00C043D5" w:rsidTr="009662B5">
              <w:trPr>
                <w:trHeight w:val="156"/>
              </w:trPr>
              <w:tc>
                <w:tcPr>
                  <w:tcW w:w="0" w:type="auto"/>
                </w:tcPr>
                <w:p w:rsidR="007A2A0E" w:rsidRPr="00C043D5" w:rsidRDefault="007A2A0E" w:rsidP="00CA2DED">
                  <w:pPr>
                    <w:pStyle w:val="Default"/>
                    <w:rPr>
                      <w:rFonts w:ascii="Arial" w:hAnsi="Arial" w:cs="Arial"/>
                      <w:sz w:val="16"/>
                      <w:szCs w:val="16"/>
                    </w:rPr>
                  </w:pPr>
                  <w:r w:rsidRPr="00C043D5">
                    <w:rPr>
                      <w:rFonts w:ascii="Arial" w:hAnsi="Arial" w:cs="Arial"/>
                      <w:sz w:val="16"/>
                      <w:szCs w:val="16"/>
                    </w:rPr>
                    <w:t>Declínio da videira</w:t>
                  </w:r>
                </w:p>
              </w:tc>
            </w:tr>
          </w:tbl>
          <w:p w:rsidR="007A2A0E" w:rsidRPr="00C043D5" w:rsidRDefault="007A2A0E" w:rsidP="00CA2DED">
            <w:pPr>
              <w:spacing w:after="0"/>
              <w:jc w:val="left"/>
            </w:pPr>
          </w:p>
        </w:tc>
        <w:tc>
          <w:tcPr>
            <w:tcW w:w="2611" w:type="dxa"/>
            <w:tcBorders>
              <w:top w:val="single" w:sz="8" w:space="0" w:color="9BBB59"/>
              <w:left w:val="single" w:sz="8" w:space="0" w:color="9BBB59"/>
              <w:bottom w:val="single" w:sz="8" w:space="0" w:color="9BBB59"/>
              <w:right w:val="single" w:sz="8" w:space="0" w:color="9BBB59"/>
            </w:tcBorders>
            <w:vAlign w:val="center"/>
          </w:tcPr>
          <w:tbl>
            <w:tblPr>
              <w:tblW w:w="0" w:type="auto"/>
              <w:tblBorders>
                <w:top w:val="nil"/>
                <w:left w:val="nil"/>
                <w:bottom w:val="nil"/>
                <w:right w:val="nil"/>
              </w:tblBorders>
              <w:tblLook w:val="0000"/>
            </w:tblPr>
            <w:tblGrid>
              <w:gridCol w:w="2175"/>
            </w:tblGrid>
            <w:tr w:rsidR="007A2A0E" w:rsidRPr="00C043D5" w:rsidTr="009662B5">
              <w:trPr>
                <w:trHeight w:val="350"/>
              </w:trPr>
              <w:tc>
                <w:tcPr>
                  <w:tcW w:w="0" w:type="auto"/>
                  <w:vAlign w:val="center"/>
                </w:tcPr>
                <w:p w:rsidR="007A2A0E" w:rsidRPr="00C043D5" w:rsidRDefault="007A2A0E" w:rsidP="00CA2DED">
                  <w:pPr>
                    <w:pStyle w:val="Default"/>
                    <w:rPr>
                      <w:rFonts w:ascii="Arial" w:hAnsi="Arial" w:cs="Arial"/>
                      <w:sz w:val="16"/>
                      <w:szCs w:val="16"/>
                    </w:rPr>
                  </w:pPr>
                  <w:r w:rsidRPr="00C043D5">
                    <w:rPr>
                      <w:rFonts w:ascii="Arial" w:hAnsi="Arial" w:cs="Arial"/>
                      <w:sz w:val="16"/>
                      <w:szCs w:val="16"/>
                    </w:rPr>
                    <w:t xml:space="preserve">Pascoe, 1998 Taylor </w:t>
                  </w:r>
                  <w:r w:rsidR="006F2254" w:rsidRPr="006F2254">
                    <w:rPr>
                      <w:rFonts w:ascii="Arial" w:hAnsi="Arial" w:cs="Arial"/>
                      <w:i/>
                      <w:iCs/>
                      <w:sz w:val="16"/>
                      <w:szCs w:val="16"/>
                    </w:rPr>
                    <w:t>et al.</w:t>
                  </w:r>
                  <w:r w:rsidRPr="00C043D5">
                    <w:rPr>
                      <w:rFonts w:ascii="Arial" w:hAnsi="Arial" w:cs="Arial"/>
                      <w:i/>
                      <w:iCs/>
                      <w:sz w:val="16"/>
                      <w:szCs w:val="16"/>
                    </w:rPr>
                    <w:t xml:space="preserve"> </w:t>
                  </w:r>
                  <w:r w:rsidRPr="00C043D5">
                    <w:rPr>
                      <w:rFonts w:ascii="Arial" w:hAnsi="Arial" w:cs="Arial"/>
                      <w:sz w:val="16"/>
                      <w:szCs w:val="16"/>
                    </w:rPr>
                    <w:t>2005</w:t>
                  </w:r>
                </w:p>
              </w:tc>
            </w:tr>
          </w:tbl>
          <w:p w:rsidR="007A2A0E" w:rsidRPr="00C043D5" w:rsidRDefault="007A2A0E" w:rsidP="00CA2DED">
            <w:pPr>
              <w:spacing w:after="0"/>
              <w:jc w:val="left"/>
            </w:pPr>
          </w:p>
        </w:tc>
        <w:tc>
          <w:tcPr>
            <w:tcW w:w="1038" w:type="dxa"/>
            <w:vMerge/>
            <w:tcBorders>
              <w:top w:val="single" w:sz="8" w:space="0" w:color="9BBB59"/>
              <w:left w:val="single" w:sz="8" w:space="0" w:color="9BBB59"/>
              <w:bottom w:val="single" w:sz="8" w:space="0" w:color="9BBB59"/>
              <w:right w:val="single" w:sz="8" w:space="0" w:color="9BBB59"/>
            </w:tcBorders>
            <w:vAlign w:val="center"/>
          </w:tcPr>
          <w:p w:rsidR="007A2A0E" w:rsidRPr="00C043D5" w:rsidRDefault="007A2A0E" w:rsidP="00CA2DED">
            <w:pPr>
              <w:spacing w:after="0"/>
              <w:jc w:val="left"/>
            </w:pPr>
          </w:p>
        </w:tc>
      </w:tr>
      <w:tr w:rsidR="007A2A0E" w:rsidRPr="00C043D5" w:rsidTr="008D0733">
        <w:trPr>
          <w:trHeight w:val="227"/>
        </w:trPr>
        <w:tc>
          <w:tcPr>
            <w:tcW w:w="3245" w:type="dxa"/>
            <w:tcBorders>
              <w:top w:val="single" w:sz="8" w:space="0" w:color="9BBB59"/>
              <w:left w:val="single" w:sz="8" w:space="0" w:color="9BBB59"/>
              <w:bottom w:val="single" w:sz="8" w:space="0" w:color="9BBB59"/>
              <w:right w:val="single" w:sz="8" w:space="0" w:color="9BBB59"/>
            </w:tcBorders>
            <w:shd w:val="clear" w:color="auto" w:fill="E6EED5"/>
            <w:vAlign w:val="center"/>
          </w:tcPr>
          <w:tbl>
            <w:tblPr>
              <w:tblW w:w="0" w:type="auto"/>
              <w:tblBorders>
                <w:top w:val="nil"/>
                <w:left w:val="nil"/>
                <w:bottom w:val="nil"/>
                <w:right w:val="nil"/>
              </w:tblBorders>
              <w:tblLook w:val="0000"/>
            </w:tblPr>
            <w:tblGrid>
              <w:gridCol w:w="812"/>
            </w:tblGrid>
            <w:tr w:rsidR="007A2A0E" w:rsidRPr="00C043D5" w:rsidTr="009662B5">
              <w:trPr>
                <w:trHeight w:val="156"/>
              </w:trPr>
              <w:tc>
                <w:tcPr>
                  <w:tcW w:w="0" w:type="auto"/>
                  <w:vAlign w:val="center"/>
                </w:tcPr>
                <w:p w:rsidR="007A2A0E" w:rsidRPr="00C043D5" w:rsidRDefault="007A2A0E" w:rsidP="008D0733">
                  <w:pPr>
                    <w:pStyle w:val="Default"/>
                    <w:rPr>
                      <w:rFonts w:ascii="Arial" w:hAnsi="Arial" w:cs="Arial"/>
                      <w:sz w:val="16"/>
                      <w:szCs w:val="16"/>
                    </w:rPr>
                  </w:pPr>
                  <w:r w:rsidRPr="00C043D5">
                    <w:rPr>
                      <w:rFonts w:ascii="Arial" w:hAnsi="Arial" w:cs="Arial"/>
                      <w:i/>
                      <w:iCs/>
                      <w:sz w:val="16"/>
                      <w:szCs w:val="16"/>
                    </w:rPr>
                    <w:t>“B”. ribis</w:t>
                  </w:r>
                </w:p>
              </w:tc>
            </w:tr>
          </w:tbl>
          <w:p w:rsidR="007A2A0E" w:rsidRPr="00C043D5" w:rsidRDefault="007A2A0E" w:rsidP="008D0733">
            <w:pPr>
              <w:spacing w:after="0"/>
              <w:jc w:val="left"/>
            </w:pPr>
          </w:p>
        </w:tc>
        <w:tc>
          <w:tcPr>
            <w:tcW w:w="2392" w:type="dxa"/>
            <w:tcBorders>
              <w:top w:val="single" w:sz="8" w:space="0" w:color="9BBB59"/>
              <w:left w:val="single" w:sz="8" w:space="0" w:color="9BBB59"/>
              <w:bottom w:val="single" w:sz="8" w:space="0" w:color="9BBB59"/>
              <w:right w:val="single" w:sz="8" w:space="0" w:color="9BBB59"/>
            </w:tcBorders>
            <w:shd w:val="clear" w:color="auto" w:fill="E6EED5"/>
            <w:vAlign w:val="center"/>
          </w:tcPr>
          <w:tbl>
            <w:tblPr>
              <w:tblW w:w="0" w:type="auto"/>
              <w:tblBorders>
                <w:top w:val="nil"/>
                <w:left w:val="nil"/>
                <w:bottom w:val="nil"/>
                <w:right w:val="nil"/>
              </w:tblBorders>
              <w:tblLook w:val="0000"/>
            </w:tblPr>
            <w:tblGrid>
              <w:gridCol w:w="1711"/>
            </w:tblGrid>
            <w:tr w:rsidR="007A2A0E" w:rsidRPr="00C043D5" w:rsidTr="009662B5">
              <w:trPr>
                <w:trHeight w:val="156"/>
              </w:trPr>
              <w:tc>
                <w:tcPr>
                  <w:tcW w:w="0" w:type="auto"/>
                </w:tcPr>
                <w:p w:rsidR="007A2A0E" w:rsidRPr="00C043D5" w:rsidRDefault="007A2A0E" w:rsidP="00CA2DED">
                  <w:pPr>
                    <w:pStyle w:val="Default"/>
                    <w:rPr>
                      <w:rFonts w:ascii="Arial" w:hAnsi="Arial" w:cs="Arial"/>
                      <w:sz w:val="16"/>
                      <w:szCs w:val="16"/>
                    </w:rPr>
                  </w:pPr>
                  <w:r w:rsidRPr="00C043D5">
                    <w:rPr>
                      <w:rFonts w:ascii="Arial" w:hAnsi="Arial" w:cs="Arial"/>
                      <w:sz w:val="16"/>
                      <w:szCs w:val="16"/>
                    </w:rPr>
                    <w:t>Podridão dos cachos</w:t>
                  </w:r>
                </w:p>
              </w:tc>
            </w:tr>
          </w:tbl>
          <w:p w:rsidR="007A2A0E" w:rsidRPr="00C043D5" w:rsidRDefault="007A2A0E" w:rsidP="00CA2DED">
            <w:pPr>
              <w:spacing w:after="0"/>
              <w:jc w:val="left"/>
            </w:pPr>
          </w:p>
        </w:tc>
        <w:tc>
          <w:tcPr>
            <w:tcW w:w="2611" w:type="dxa"/>
            <w:tcBorders>
              <w:top w:val="single" w:sz="8" w:space="0" w:color="9BBB59"/>
              <w:left w:val="single" w:sz="8" w:space="0" w:color="9BBB59"/>
              <w:bottom w:val="single" w:sz="8" w:space="0" w:color="9BBB59"/>
              <w:right w:val="single" w:sz="8" w:space="0" w:color="9BBB59"/>
            </w:tcBorders>
            <w:shd w:val="clear" w:color="auto" w:fill="E6EED5"/>
            <w:vAlign w:val="center"/>
          </w:tcPr>
          <w:tbl>
            <w:tblPr>
              <w:tblW w:w="0" w:type="auto"/>
              <w:tblBorders>
                <w:top w:val="nil"/>
                <w:left w:val="nil"/>
                <w:bottom w:val="nil"/>
                <w:right w:val="nil"/>
              </w:tblBorders>
              <w:tblLook w:val="0000"/>
            </w:tblPr>
            <w:tblGrid>
              <w:gridCol w:w="1195"/>
            </w:tblGrid>
            <w:tr w:rsidR="007A2A0E" w:rsidRPr="00C043D5" w:rsidTr="009662B5">
              <w:trPr>
                <w:trHeight w:val="156"/>
              </w:trPr>
              <w:tc>
                <w:tcPr>
                  <w:tcW w:w="0" w:type="auto"/>
                </w:tcPr>
                <w:p w:rsidR="007A2A0E" w:rsidRPr="00C043D5" w:rsidRDefault="007A2A0E" w:rsidP="00CA2DED">
                  <w:pPr>
                    <w:pStyle w:val="Default"/>
                    <w:rPr>
                      <w:rFonts w:ascii="Arial" w:hAnsi="Arial" w:cs="Arial"/>
                      <w:sz w:val="16"/>
                      <w:szCs w:val="16"/>
                    </w:rPr>
                  </w:pPr>
                  <w:r w:rsidRPr="00C043D5">
                    <w:rPr>
                      <w:rFonts w:ascii="Arial" w:hAnsi="Arial" w:cs="Arial"/>
                      <w:sz w:val="16"/>
                      <w:szCs w:val="16"/>
                    </w:rPr>
                    <w:t>Pascoe, 1998</w:t>
                  </w:r>
                </w:p>
              </w:tc>
            </w:tr>
          </w:tbl>
          <w:p w:rsidR="007A2A0E" w:rsidRPr="00C043D5" w:rsidRDefault="007A2A0E" w:rsidP="00CA2DED">
            <w:pPr>
              <w:spacing w:after="0"/>
              <w:jc w:val="left"/>
            </w:pPr>
          </w:p>
        </w:tc>
        <w:tc>
          <w:tcPr>
            <w:tcW w:w="1038" w:type="dxa"/>
            <w:vMerge/>
            <w:tcBorders>
              <w:top w:val="single" w:sz="8" w:space="0" w:color="9BBB59"/>
              <w:left w:val="single" w:sz="8" w:space="0" w:color="9BBB59"/>
              <w:bottom w:val="single" w:sz="8" w:space="0" w:color="9BBB59"/>
              <w:right w:val="single" w:sz="8" w:space="0" w:color="9BBB59"/>
            </w:tcBorders>
            <w:shd w:val="clear" w:color="auto" w:fill="E6EED5"/>
            <w:vAlign w:val="center"/>
          </w:tcPr>
          <w:p w:rsidR="007A2A0E" w:rsidRPr="00C043D5" w:rsidRDefault="007A2A0E" w:rsidP="00CA2DED">
            <w:pPr>
              <w:spacing w:after="0"/>
              <w:jc w:val="left"/>
            </w:pPr>
          </w:p>
        </w:tc>
      </w:tr>
      <w:tr w:rsidR="007A2A0E" w:rsidRPr="00C043D5" w:rsidTr="008D0733">
        <w:trPr>
          <w:trHeight w:val="227"/>
        </w:trPr>
        <w:tc>
          <w:tcPr>
            <w:tcW w:w="3245" w:type="dxa"/>
            <w:tcBorders>
              <w:top w:val="single" w:sz="8" w:space="0" w:color="9BBB59"/>
              <w:left w:val="single" w:sz="8" w:space="0" w:color="9BBB59"/>
              <w:bottom w:val="single" w:sz="8" w:space="0" w:color="9BBB59"/>
              <w:right w:val="single" w:sz="8" w:space="0" w:color="9BBB59"/>
            </w:tcBorders>
            <w:vAlign w:val="center"/>
          </w:tcPr>
          <w:tbl>
            <w:tblPr>
              <w:tblW w:w="3149" w:type="dxa"/>
              <w:tblBorders>
                <w:top w:val="nil"/>
                <w:left w:val="nil"/>
                <w:bottom w:val="nil"/>
                <w:right w:val="nil"/>
              </w:tblBorders>
              <w:tblLook w:val="0000"/>
            </w:tblPr>
            <w:tblGrid>
              <w:gridCol w:w="3149"/>
            </w:tblGrid>
            <w:tr w:rsidR="007A2A0E" w:rsidRPr="00C043D5" w:rsidTr="009662B5">
              <w:trPr>
                <w:trHeight w:val="271"/>
              </w:trPr>
              <w:tc>
                <w:tcPr>
                  <w:tcW w:w="0" w:type="auto"/>
                </w:tcPr>
                <w:p w:rsidR="007A2A0E" w:rsidRPr="00C043D5" w:rsidRDefault="008D0733" w:rsidP="008D0733">
                  <w:pPr>
                    <w:pStyle w:val="Default"/>
                    <w:rPr>
                      <w:rFonts w:ascii="Arial" w:hAnsi="Arial" w:cs="Arial"/>
                      <w:sz w:val="16"/>
                      <w:szCs w:val="16"/>
                    </w:rPr>
                  </w:pPr>
                  <w:r>
                    <w:rPr>
                      <w:rFonts w:ascii="Arial" w:hAnsi="Arial" w:cs="Arial"/>
                      <w:i/>
                      <w:iCs/>
                      <w:sz w:val="16"/>
                      <w:szCs w:val="16"/>
                    </w:rPr>
                    <w:t>“</w:t>
                  </w:r>
                  <w:r w:rsidR="007A2A0E" w:rsidRPr="00C043D5">
                    <w:rPr>
                      <w:rFonts w:ascii="Arial" w:hAnsi="Arial" w:cs="Arial"/>
                      <w:i/>
                      <w:iCs/>
                      <w:sz w:val="16"/>
                      <w:szCs w:val="16"/>
                    </w:rPr>
                    <w:t>B</w:t>
                  </w:r>
                  <w:r>
                    <w:rPr>
                      <w:rFonts w:ascii="Arial" w:hAnsi="Arial" w:cs="Arial"/>
                      <w:i/>
                      <w:iCs/>
                      <w:sz w:val="16"/>
                      <w:szCs w:val="16"/>
                    </w:rPr>
                    <w:t>”</w:t>
                  </w:r>
                  <w:r w:rsidR="007A2A0E" w:rsidRPr="00C043D5">
                    <w:rPr>
                      <w:rFonts w:ascii="Arial" w:hAnsi="Arial" w:cs="Arial"/>
                      <w:i/>
                      <w:iCs/>
                      <w:sz w:val="16"/>
                      <w:szCs w:val="16"/>
                    </w:rPr>
                    <w:t>. dothidea “B”. obtusa “B”. parva “B”. stevensii</w:t>
                  </w:r>
                </w:p>
              </w:tc>
            </w:tr>
          </w:tbl>
          <w:p w:rsidR="007A2A0E" w:rsidRPr="00C043D5" w:rsidRDefault="007A2A0E" w:rsidP="008D0733">
            <w:pPr>
              <w:spacing w:after="0"/>
              <w:jc w:val="left"/>
            </w:pPr>
          </w:p>
        </w:tc>
        <w:tc>
          <w:tcPr>
            <w:tcW w:w="2392" w:type="dxa"/>
            <w:tcBorders>
              <w:top w:val="single" w:sz="8" w:space="0" w:color="9BBB59"/>
              <w:left w:val="single" w:sz="8" w:space="0" w:color="9BBB59"/>
              <w:bottom w:val="single" w:sz="8" w:space="0" w:color="9BBB59"/>
              <w:right w:val="single" w:sz="8" w:space="0" w:color="9BBB59"/>
            </w:tcBorders>
            <w:vAlign w:val="center"/>
          </w:tcPr>
          <w:tbl>
            <w:tblPr>
              <w:tblW w:w="0" w:type="auto"/>
              <w:tblBorders>
                <w:top w:val="nil"/>
                <w:left w:val="nil"/>
                <w:bottom w:val="nil"/>
                <w:right w:val="nil"/>
              </w:tblBorders>
              <w:tblLook w:val="0000"/>
            </w:tblPr>
            <w:tblGrid>
              <w:gridCol w:w="1328"/>
            </w:tblGrid>
            <w:tr w:rsidR="007A2A0E" w:rsidRPr="00C043D5" w:rsidTr="009662B5">
              <w:trPr>
                <w:trHeight w:val="156"/>
              </w:trPr>
              <w:tc>
                <w:tcPr>
                  <w:tcW w:w="0" w:type="auto"/>
                </w:tcPr>
                <w:p w:rsidR="007A2A0E" w:rsidRPr="00C043D5" w:rsidRDefault="007A2A0E" w:rsidP="00CA2DED">
                  <w:pPr>
                    <w:pStyle w:val="Default"/>
                    <w:rPr>
                      <w:rFonts w:ascii="Arial" w:hAnsi="Arial" w:cs="Arial"/>
                      <w:sz w:val="16"/>
                      <w:szCs w:val="16"/>
                    </w:rPr>
                  </w:pPr>
                  <w:r w:rsidRPr="00C043D5">
                    <w:rPr>
                      <w:rFonts w:ascii="Arial" w:hAnsi="Arial" w:cs="Arial"/>
                      <w:sz w:val="16"/>
                      <w:szCs w:val="16"/>
                    </w:rPr>
                    <w:t>Black dead arm</w:t>
                  </w:r>
                </w:p>
              </w:tc>
            </w:tr>
          </w:tbl>
          <w:p w:rsidR="007A2A0E" w:rsidRPr="00C043D5" w:rsidRDefault="007A2A0E" w:rsidP="00CA2DED">
            <w:pPr>
              <w:spacing w:after="0"/>
              <w:jc w:val="left"/>
            </w:pPr>
          </w:p>
        </w:tc>
        <w:tc>
          <w:tcPr>
            <w:tcW w:w="2611" w:type="dxa"/>
            <w:tcBorders>
              <w:top w:val="single" w:sz="8" w:space="0" w:color="9BBB59"/>
              <w:left w:val="single" w:sz="8" w:space="0" w:color="9BBB59"/>
              <w:bottom w:val="single" w:sz="8" w:space="0" w:color="9BBB59"/>
              <w:right w:val="single" w:sz="8" w:space="0" w:color="9BBB59"/>
            </w:tcBorders>
            <w:vAlign w:val="center"/>
          </w:tcPr>
          <w:tbl>
            <w:tblPr>
              <w:tblW w:w="0" w:type="auto"/>
              <w:tblBorders>
                <w:top w:val="nil"/>
                <w:left w:val="nil"/>
                <w:bottom w:val="nil"/>
                <w:right w:val="nil"/>
              </w:tblBorders>
              <w:tblLook w:val="0000"/>
            </w:tblPr>
            <w:tblGrid>
              <w:gridCol w:w="1631"/>
            </w:tblGrid>
            <w:tr w:rsidR="007A2A0E" w:rsidRPr="00C043D5" w:rsidTr="009662B5">
              <w:trPr>
                <w:trHeight w:val="156"/>
              </w:trPr>
              <w:tc>
                <w:tcPr>
                  <w:tcW w:w="0" w:type="auto"/>
                </w:tcPr>
                <w:p w:rsidR="007A2A0E" w:rsidRPr="00C043D5" w:rsidRDefault="007A2A0E" w:rsidP="00CA2DED">
                  <w:pPr>
                    <w:pStyle w:val="Default"/>
                    <w:rPr>
                      <w:rFonts w:ascii="Arial" w:hAnsi="Arial" w:cs="Arial"/>
                      <w:sz w:val="16"/>
                      <w:szCs w:val="16"/>
                    </w:rPr>
                  </w:pPr>
                  <w:r w:rsidRPr="00C043D5">
                    <w:rPr>
                      <w:rFonts w:ascii="Arial" w:hAnsi="Arial" w:cs="Arial"/>
                      <w:sz w:val="16"/>
                      <w:szCs w:val="16"/>
                    </w:rPr>
                    <w:t xml:space="preserve">Larignon </w:t>
                  </w:r>
                  <w:r w:rsidR="006F2254" w:rsidRPr="006F2254">
                    <w:rPr>
                      <w:rFonts w:ascii="Arial" w:hAnsi="Arial" w:cs="Arial"/>
                      <w:i/>
                      <w:iCs/>
                      <w:sz w:val="16"/>
                      <w:szCs w:val="16"/>
                    </w:rPr>
                    <w:t>et al.</w:t>
                  </w:r>
                  <w:r w:rsidRPr="00C043D5">
                    <w:rPr>
                      <w:rFonts w:ascii="Arial" w:hAnsi="Arial" w:cs="Arial"/>
                      <w:i/>
                      <w:iCs/>
                      <w:sz w:val="16"/>
                      <w:szCs w:val="16"/>
                    </w:rPr>
                    <w:t xml:space="preserve"> </w:t>
                  </w:r>
                  <w:r w:rsidRPr="00C043D5">
                    <w:rPr>
                      <w:rFonts w:ascii="Arial" w:hAnsi="Arial" w:cs="Arial"/>
                      <w:sz w:val="16"/>
                      <w:szCs w:val="16"/>
                    </w:rPr>
                    <w:t>2001</w:t>
                  </w:r>
                </w:p>
              </w:tc>
            </w:tr>
          </w:tbl>
          <w:p w:rsidR="007A2A0E" w:rsidRPr="00C043D5" w:rsidRDefault="007A2A0E" w:rsidP="00CA2DED">
            <w:pPr>
              <w:spacing w:after="0"/>
              <w:jc w:val="left"/>
            </w:pPr>
          </w:p>
        </w:tc>
        <w:tc>
          <w:tcPr>
            <w:tcW w:w="1038" w:type="dxa"/>
            <w:tcBorders>
              <w:top w:val="single" w:sz="8" w:space="0" w:color="9BBB59"/>
              <w:left w:val="single" w:sz="8" w:space="0" w:color="9BBB59"/>
              <w:bottom w:val="single" w:sz="8" w:space="0" w:color="9BBB59"/>
              <w:right w:val="single" w:sz="8" w:space="0" w:color="9BBB59"/>
            </w:tcBorders>
            <w:vAlign w:val="center"/>
          </w:tcPr>
          <w:tbl>
            <w:tblPr>
              <w:tblW w:w="0" w:type="auto"/>
              <w:tblBorders>
                <w:top w:val="nil"/>
                <w:left w:val="nil"/>
                <w:bottom w:val="nil"/>
                <w:right w:val="nil"/>
              </w:tblBorders>
              <w:tblLook w:val="0000"/>
            </w:tblPr>
            <w:tblGrid>
              <w:gridCol w:w="714"/>
            </w:tblGrid>
            <w:tr w:rsidR="007A2A0E" w:rsidRPr="00C043D5" w:rsidTr="009662B5">
              <w:trPr>
                <w:trHeight w:val="156"/>
              </w:trPr>
              <w:tc>
                <w:tcPr>
                  <w:tcW w:w="0" w:type="auto"/>
                </w:tcPr>
                <w:p w:rsidR="007A2A0E" w:rsidRPr="00C043D5" w:rsidRDefault="007A2A0E" w:rsidP="00CA2DED">
                  <w:pPr>
                    <w:pStyle w:val="Default"/>
                    <w:rPr>
                      <w:rFonts w:ascii="Arial" w:hAnsi="Arial" w:cs="Arial"/>
                      <w:sz w:val="16"/>
                      <w:szCs w:val="16"/>
                    </w:rPr>
                  </w:pPr>
                  <w:r w:rsidRPr="00C043D5">
                    <w:rPr>
                      <w:rFonts w:ascii="Arial" w:hAnsi="Arial" w:cs="Arial"/>
                      <w:sz w:val="16"/>
                      <w:szCs w:val="16"/>
                    </w:rPr>
                    <w:t>França</w:t>
                  </w:r>
                </w:p>
              </w:tc>
            </w:tr>
          </w:tbl>
          <w:p w:rsidR="007A2A0E" w:rsidRPr="00C043D5" w:rsidRDefault="007A2A0E" w:rsidP="00CA2DED">
            <w:pPr>
              <w:spacing w:after="0"/>
              <w:jc w:val="left"/>
            </w:pPr>
          </w:p>
        </w:tc>
      </w:tr>
      <w:tr w:rsidR="007A2A0E" w:rsidRPr="00C043D5" w:rsidTr="008D0733">
        <w:trPr>
          <w:trHeight w:val="227"/>
        </w:trPr>
        <w:tc>
          <w:tcPr>
            <w:tcW w:w="3245" w:type="dxa"/>
            <w:tcBorders>
              <w:top w:val="single" w:sz="8" w:space="0" w:color="9BBB59"/>
              <w:left w:val="single" w:sz="8" w:space="0" w:color="9BBB59"/>
              <w:bottom w:val="single" w:sz="8" w:space="0" w:color="9BBB59"/>
              <w:right w:val="single" w:sz="8" w:space="0" w:color="9BBB59"/>
            </w:tcBorders>
            <w:shd w:val="clear" w:color="auto" w:fill="E6EED5"/>
            <w:vAlign w:val="center"/>
          </w:tcPr>
          <w:tbl>
            <w:tblPr>
              <w:tblW w:w="3149" w:type="dxa"/>
              <w:tblBorders>
                <w:top w:val="nil"/>
                <w:left w:val="nil"/>
                <w:bottom w:val="nil"/>
                <w:right w:val="nil"/>
              </w:tblBorders>
              <w:tblLook w:val="0000"/>
            </w:tblPr>
            <w:tblGrid>
              <w:gridCol w:w="3149"/>
            </w:tblGrid>
            <w:tr w:rsidR="008D0733" w:rsidRPr="00C043D5" w:rsidTr="008D0733">
              <w:trPr>
                <w:trHeight w:val="271"/>
              </w:trPr>
              <w:tc>
                <w:tcPr>
                  <w:tcW w:w="0" w:type="auto"/>
                  <w:vAlign w:val="center"/>
                </w:tcPr>
                <w:p w:rsidR="008D0733" w:rsidRPr="00C043D5" w:rsidRDefault="008D0733" w:rsidP="008D0733">
                  <w:pPr>
                    <w:pStyle w:val="Default"/>
                    <w:rPr>
                      <w:rFonts w:ascii="Arial" w:hAnsi="Arial" w:cs="Arial"/>
                      <w:sz w:val="16"/>
                      <w:szCs w:val="16"/>
                    </w:rPr>
                  </w:pPr>
                  <w:r>
                    <w:rPr>
                      <w:rFonts w:ascii="Arial" w:hAnsi="Arial" w:cs="Arial"/>
                      <w:i/>
                      <w:iCs/>
                      <w:sz w:val="16"/>
                      <w:szCs w:val="16"/>
                    </w:rPr>
                    <w:t>“</w:t>
                  </w:r>
                  <w:r w:rsidRPr="00C043D5">
                    <w:rPr>
                      <w:rFonts w:ascii="Arial" w:hAnsi="Arial" w:cs="Arial"/>
                      <w:i/>
                      <w:iCs/>
                      <w:sz w:val="16"/>
                      <w:szCs w:val="16"/>
                    </w:rPr>
                    <w:t>B</w:t>
                  </w:r>
                  <w:r>
                    <w:rPr>
                      <w:rFonts w:ascii="Arial" w:hAnsi="Arial" w:cs="Arial"/>
                      <w:i/>
                      <w:iCs/>
                      <w:sz w:val="16"/>
                      <w:szCs w:val="16"/>
                    </w:rPr>
                    <w:t>”</w:t>
                  </w:r>
                  <w:r w:rsidRPr="00C043D5">
                    <w:rPr>
                      <w:rFonts w:ascii="Arial" w:hAnsi="Arial" w:cs="Arial"/>
                      <w:i/>
                      <w:iCs/>
                      <w:sz w:val="16"/>
                      <w:szCs w:val="16"/>
                    </w:rPr>
                    <w:t>. dothidea “B”. obtusa “B”. parva “B”. stevensii</w:t>
                  </w:r>
                </w:p>
              </w:tc>
            </w:tr>
          </w:tbl>
          <w:p w:rsidR="007A2A0E" w:rsidRPr="00C043D5" w:rsidRDefault="007A2A0E" w:rsidP="008D0733">
            <w:pPr>
              <w:pStyle w:val="Default"/>
            </w:pPr>
          </w:p>
        </w:tc>
        <w:tc>
          <w:tcPr>
            <w:tcW w:w="2392" w:type="dxa"/>
            <w:tcBorders>
              <w:top w:val="single" w:sz="8" w:space="0" w:color="9BBB59"/>
              <w:left w:val="single" w:sz="8" w:space="0" w:color="9BBB59"/>
              <w:bottom w:val="single" w:sz="8" w:space="0" w:color="9BBB59"/>
              <w:right w:val="single" w:sz="8" w:space="0" w:color="9BBB59"/>
            </w:tcBorders>
            <w:shd w:val="clear" w:color="auto" w:fill="E6EED5"/>
            <w:vAlign w:val="center"/>
          </w:tcPr>
          <w:tbl>
            <w:tblPr>
              <w:tblW w:w="0" w:type="auto"/>
              <w:tblBorders>
                <w:top w:val="nil"/>
                <w:left w:val="nil"/>
                <w:bottom w:val="nil"/>
                <w:right w:val="nil"/>
              </w:tblBorders>
              <w:tblLook w:val="0000"/>
            </w:tblPr>
            <w:tblGrid>
              <w:gridCol w:w="2250"/>
            </w:tblGrid>
            <w:tr w:rsidR="007A2A0E" w:rsidRPr="00C043D5" w:rsidTr="009662B5">
              <w:trPr>
                <w:trHeight w:val="350"/>
              </w:trPr>
              <w:tc>
                <w:tcPr>
                  <w:tcW w:w="0" w:type="auto"/>
                </w:tcPr>
                <w:p w:rsidR="007A2A0E" w:rsidRPr="00C043D5" w:rsidRDefault="007A2A0E" w:rsidP="00CA2DED">
                  <w:pPr>
                    <w:pStyle w:val="Default"/>
                    <w:rPr>
                      <w:rFonts w:ascii="Arial" w:hAnsi="Arial" w:cs="Arial"/>
                      <w:sz w:val="16"/>
                      <w:szCs w:val="16"/>
                    </w:rPr>
                  </w:pPr>
                  <w:r w:rsidRPr="00C043D5">
                    <w:rPr>
                      <w:rFonts w:ascii="Arial" w:hAnsi="Arial" w:cs="Arial"/>
                      <w:sz w:val="16"/>
                      <w:szCs w:val="16"/>
                    </w:rPr>
                    <w:t>Necroses em material de propagação vegetativa</w:t>
                  </w:r>
                </w:p>
              </w:tc>
            </w:tr>
          </w:tbl>
          <w:p w:rsidR="007A2A0E" w:rsidRPr="00C043D5" w:rsidRDefault="007A2A0E" w:rsidP="00CA2DED">
            <w:pPr>
              <w:spacing w:after="0"/>
              <w:jc w:val="left"/>
            </w:pPr>
          </w:p>
        </w:tc>
        <w:tc>
          <w:tcPr>
            <w:tcW w:w="2611" w:type="dxa"/>
            <w:tcBorders>
              <w:top w:val="single" w:sz="8" w:space="0" w:color="9BBB59"/>
              <w:left w:val="single" w:sz="8" w:space="0" w:color="9BBB59"/>
              <w:bottom w:val="single" w:sz="8" w:space="0" w:color="9BBB59"/>
              <w:right w:val="single" w:sz="8" w:space="0" w:color="9BBB59"/>
            </w:tcBorders>
            <w:shd w:val="clear" w:color="auto" w:fill="E6EED5"/>
            <w:vAlign w:val="center"/>
          </w:tcPr>
          <w:tbl>
            <w:tblPr>
              <w:tblW w:w="0" w:type="auto"/>
              <w:tblBorders>
                <w:top w:val="nil"/>
                <w:left w:val="nil"/>
                <w:bottom w:val="nil"/>
                <w:right w:val="nil"/>
              </w:tblBorders>
              <w:tblLook w:val="0000"/>
            </w:tblPr>
            <w:tblGrid>
              <w:gridCol w:w="1764"/>
            </w:tblGrid>
            <w:tr w:rsidR="007A2A0E" w:rsidRPr="00C043D5" w:rsidTr="009662B5">
              <w:trPr>
                <w:trHeight w:val="156"/>
              </w:trPr>
              <w:tc>
                <w:tcPr>
                  <w:tcW w:w="0" w:type="auto"/>
                </w:tcPr>
                <w:p w:rsidR="007A2A0E" w:rsidRPr="00C043D5" w:rsidRDefault="007A2A0E" w:rsidP="00CA2DED">
                  <w:pPr>
                    <w:pStyle w:val="Default"/>
                    <w:rPr>
                      <w:rFonts w:ascii="Arial" w:hAnsi="Arial" w:cs="Arial"/>
                      <w:sz w:val="16"/>
                      <w:szCs w:val="16"/>
                    </w:rPr>
                  </w:pPr>
                  <w:r w:rsidRPr="00C043D5">
                    <w:rPr>
                      <w:rFonts w:ascii="Arial" w:hAnsi="Arial" w:cs="Arial"/>
                      <w:sz w:val="16"/>
                      <w:szCs w:val="16"/>
                    </w:rPr>
                    <w:t>Fourie &amp; Hallen, 2001</w:t>
                  </w:r>
                </w:p>
              </w:tc>
            </w:tr>
          </w:tbl>
          <w:p w:rsidR="007A2A0E" w:rsidRPr="00C043D5" w:rsidRDefault="007A2A0E" w:rsidP="00CA2DED">
            <w:pPr>
              <w:spacing w:after="0"/>
              <w:jc w:val="left"/>
            </w:pPr>
          </w:p>
        </w:tc>
        <w:tc>
          <w:tcPr>
            <w:tcW w:w="1038" w:type="dxa"/>
            <w:vMerge w:val="restart"/>
            <w:tcBorders>
              <w:top w:val="single" w:sz="8" w:space="0" w:color="9BBB59"/>
              <w:left w:val="single" w:sz="8" w:space="0" w:color="9BBB59"/>
              <w:bottom w:val="single" w:sz="8" w:space="0" w:color="9BBB59"/>
              <w:right w:val="single" w:sz="8" w:space="0" w:color="9BBB59"/>
            </w:tcBorders>
            <w:shd w:val="clear" w:color="auto" w:fill="E6EED5"/>
            <w:vAlign w:val="center"/>
          </w:tcPr>
          <w:tbl>
            <w:tblPr>
              <w:tblW w:w="0" w:type="auto"/>
              <w:tblBorders>
                <w:top w:val="nil"/>
                <w:left w:val="nil"/>
                <w:bottom w:val="nil"/>
                <w:right w:val="nil"/>
              </w:tblBorders>
              <w:tblLook w:val="0000"/>
            </w:tblPr>
            <w:tblGrid>
              <w:gridCol w:w="848"/>
            </w:tblGrid>
            <w:tr w:rsidR="007A2A0E" w:rsidRPr="00C043D5" w:rsidTr="009662B5">
              <w:trPr>
                <w:trHeight w:val="156"/>
              </w:trPr>
              <w:tc>
                <w:tcPr>
                  <w:tcW w:w="0" w:type="auto"/>
                  <w:vAlign w:val="center"/>
                </w:tcPr>
                <w:p w:rsidR="007A2A0E" w:rsidRPr="00C043D5" w:rsidRDefault="007A2A0E" w:rsidP="00CA2DED">
                  <w:pPr>
                    <w:pStyle w:val="Default"/>
                    <w:rPr>
                      <w:rFonts w:ascii="Arial" w:hAnsi="Arial" w:cs="Arial"/>
                      <w:sz w:val="16"/>
                      <w:szCs w:val="16"/>
                    </w:rPr>
                  </w:pPr>
                  <w:r w:rsidRPr="00C043D5">
                    <w:rPr>
                      <w:rFonts w:ascii="Arial" w:hAnsi="Arial" w:cs="Arial"/>
                      <w:sz w:val="16"/>
                      <w:szCs w:val="16"/>
                    </w:rPr>
                    <w:t>África do Sul</w:t>
                  </w:r>
                </w:p>
              </w:tc>
            </w:tr>
          </w:tbl>
          <w:p w:rsidR="007A2A0E" w:rsidRPr="00C043D5" w:rsidRDefault="007A2A0E" w:rsidP="00CA2DED">
            <w:pPr>
              <w:spacing w:after="0"/>
              <w:jc w:val="left"/>
            </w:pPr>
          </w:p>
        </w:tc>
      </w:tr>
      <w:tr w:rsidR="007A2A0E" w:rsidRPr="00C043D5" w:rsidTr="008D0733">
        <w:trPr>
          <w:trHeight w:val="227"/>
        </w:trPr>
        <w:tc>
          <w:tcPr>
            <w:tcW w:w="3245" w:type="dxa"/>
            <w:tcBorders>
              <w:top w:val="single" w:sz="8" w:space="0" w:color="9BBB59"/>
              <w:left w:val="single" w:sz="8" w:space="0" w:color="9BBB59"/>
              <w:bottom w:val="single" w:sz="8" w:space="0" w:color="9BBB59"/>
              <w:right w:val="single" w:sz="8" w:space="0" w:color="9BBB59"/>
            </w:tcBorders>
            <w:vAlign w:val="center"/>
          </w:tcPr>
          <w:tbl>
            <w:tblPr>
              <w:tblW w:w="3059" w:type="dxa"/>
              <w:tblBorders>
                <w:top w:val="nil"/>
                <w:left w:val="nil"/>
                <w:bottom w:val="nil"/>
                <w:right w:val="nil"/>
              </w:tblBorders>
              <w:tblLook w:val="0000"/>
            </w:tblPr>
            <w:tblGrid>
              <w:gridCol w:w="3059"/>
            </w:tblGrid>
            <w:tr w:rsidR="007A2A0E" w:rsidRPr="00C043D5" w:rsidTr="009662B5">
              <w:trPr>
                <w:trHeight w:val="129"/>
              </w:trPr>
              <w:tc>
                <w:tcPr>
                  <w:tcW w:w="0" w:type="auto"/>
                </w:tcPr>
                <w:p w:rsidR="007A2A0E" w:rsidRPr="00C043D5" w:rsidRDefault="007A2A0E" w:rsidP="008D0733">
                  <w:pPr>
                    <w:pStyle w:val="Default"/>
                    <w:rPr>
                      <w:rFonts w:ascii="Arial" w:hAnsi="Arial" w:cs="Arial"/>
                      <w:sz w:val="16"/>
                      <w:szCs w:val="16"/>
                    </w:rPr>
                  </w:pPr>
                  <w:r w:rsidRPr="00C043D5">
                    <w:rPr>
                      <w:rFonts w:ascii="Arial" w:hAnsi="Arial" w:cs="Arial"/>
                      <w:i/>
                      <w:iCs/>
                      <w:sz w:val="16"/>
                      <w:szCs w:val="16"/>
                    </w:rPr>
                    <w:t>“B”. australis B dothidea “B”. lutea “B”. obtusa “B”. parva “B”. rhodina “B”. stevensii “B” viticola</w:t>
                  </w:r>
                </w:p>
              </w:tc>
            </w:tr>
          </w:tbl>
          <w:p w:rsidR="007A2A0E" w:rsidRPr="00C043D5" w:rsidRDefault="007A2A0E" w:rsidP="008D0733">
            <w:pPr>
              <w:spacing w:after="0"/>
              <w:jc w:val="left"/>
            </w:pPr>
          </w:p>
        </w:tc>
        <w:tc>
          <w:tcPr>
            <w:tcW w:w="2392" w:type="dxa"/>
            <w:tcBorders>
              <w:top w:val="single" w:sz="8" w:space="0" w:color="9BBB59"/>
              <w:left w:val="single" w:sz="8" w:space="0" w:color="9BBB59"/>
              <w:bottom w:val="single" w:sz="8" w:space="0" w:color="9BBB59"/>
              <w:right w:val="single" w:sz="8" w:space="0" w:color="9BBB59"/>
            </w:tcBorders>
            <w:vAlign w:val="center"/>
          </w:tcPr>
          <w:tbl>
            <w:tblPr>
              <w:tblW w:w="0" w:type="auto"/>
              <w:tblBorders>
                <w:top w:val="nil"/>
                <w:left w:val="nil"/>
                <w:bottom w:val="nil"/>
                <w:right w:val="nil"/>
              </w:tblBorders>
              <w:tblLook w:val="0000"/>
            </w:tblPr>
            <w:tblGrid>
              <w:gridCol w:w="2209"/>
            </w:tblGrid>
            <w:tr w:rsidR="007A2A0E" w:rsidRPr="00C043D5" w:rsidTr="009662B5">
              <w:trPr>
                <w:trHeight w:val="350"/>
              </w:trPr>
              <w:tc>
                <w:tcPr>
                  <w:tcW w:w="0" w:type="auto"/>
                </w:tcPr>
                <w:p w:rsidR="007A2A0E" w:rsidRPr="00C043D5" w:rsidRDefault="007A2A0E" w:rsidP="00CA2DED">
                  <w:pPr>
                    <w:pStyle w:val="Default"/>
                    <w:rPr>
                      <w:rFonts w:ascii="Arial" w:hAnsi="Arial" w:cs="Arial"/>
                      <w:sz w:val="16"/>
                      <w:szCs w:val="16"/>
                    </w:rPr>
                  </w:pPr>
                  <w:r w:rsidRPr="00C043D5">
                    <w:rPr>
                      <w:rFonts w:ascii="Arial" w:hAnsi="Arial" w:cs="Arial"/>
                      <w:sz w:val="16"/>
                      <w:szCs w:val="16"/>
                    </w:rPr>
                    <w:t>Declínio da videira Die-back</w:t>
                  </w:r>
                </w:p>
              </w:tc>
            </w:tr>
          </w:tbl>
          <w:p w:rsidR="007A2A0E" w:rsidRPr="00C043D5" w:rsidRDefault="007A2A0E" w:rsidP="00CA2DED">
            <w:pPr>
              <w:spacing w:after="0"/>
              <w:jc w:val="left"/>
            </w:pPr>
          </w:p>
        </w:tc>
        <w:tc>
          <w:tcPr>
            <w:tcW w:w="2611" w:type="dxa"/>
            <w:tcBorders>
              <w:top w:val="single" w:sz="8" w:space="0" w:color="9BBB59"/>
              <w:left w:val="single" w:sz="8" w:space="0" w:color="9BBB59"/>
              <w:bottom w:val="single" w:sz="8" w:space="0" w:color="9BBB59"/>
              <w:right w:val="single" w:sz="8" w:space="0" w:color="9BBB59"/>
            </w:tcBorders>
            <w:vAlign w:val="center"/>
          </w:tcPr>
          <w:tbl>
            <w:tblPr>
              <w:tblW w:w="0" w:type="auto"/>
              <w:tblBorders>
                <w:top w:val="nil"/>
                <w:left w:val="nil"/>
                <w:bottom w:val="nil"/>
                <w:right w:val="nil"/>
              </w:tblBorders>
              <w:tblLook w:val="0000"/>
            </w:tblPr>
            <w:tblGrid>
              <w:gridCol w:w="1853"/>
            </w:tblGrid>
            <w:tr w:rsidR="007A2A0E" w:rsidRPr="00C043D5" w:rsidTr="009662B5">
              <w:trPr>
                <w:trHeight w:val="156"/>
              </w:trPr>
              <w:tc>
                <w:tcPr>
                  <w:tcW w:w="0" w:type="auto"/>
                </w:tcPr>
                <w:p w:rsidR="007A2A0E" w:rsidRPr="00C043D5" w:rsidRDefault="007A2A0E" w:rsidP="00CA2DED">
                  <w:pPr>
                    <w:pStyle w:val="Default"/>
                    <w:rPr>
                      <w:rFonts w:ascii="Arial" w:hAnsi="Arial" w:cs="Arial"/>
                      <w:sz w:val="16"/>
                      <w:szCs w:val="16"/>
                    </w:rPr>
                  </w:pPr>
                  <w:r w:rsidRPr="00C043D5">
                    <w:rPr>
                      <w:rFonts w:ascii="Arial" w:hAnsi="Arial" w:cs="Arial"/>
                      <w:sz w:val="16"/>
                      <w:szCs w:val="16"/>
                    </w:rPr>
                    <w:t xml:space="preserve">van Niekerk </w:t>
                  </w:r>
                  <w:r w:rsidR="006F2254" w:rsidRPr="006F2254">
                    <w:rPr>
                      <w:rFonts w:ascii="Arial" w:hAnsi="Arial" w:cs="Arial"/>
                      <w:i/>
                      <w:iCs/>
                      <w:sz w:val="16"/>
                      <w:szCs w:val="16"/>
                    </w:rPr>
                    <w:t>et al.</w:t>
                  </w:r>
                  <w:r w:rsidRPr="00C043D5">
                    <w:rPr>
                      <w:rFonts w:ascii="Arial" w:hAnsi="Arial" w:cs="Arial"/>
                      <w:i/>
                      <w:iCs/>
                      <w:sz w:val="16"/>
                      <w:szCs w:val="16"/>
                    </w:rPr>
                    <w:t xml:space="preserve"> </w:t>
                  </w:r>
                  <w:r w:rsidRPr="00C043D5">
                    <w:rPr>
                      <w:rFonts w:ascii="Arial" w:hAnsi="Arial" w:cs="Arial"/>
                      <w:sz w:val="16"/>
                      <w:szCs w:val="16"/>
                    </w:rPr>
                    <w:t>2004</w:t>
                  </w:r>
                </w:p>
              </w:tc>
            </w:tr>
          </w:tbl>
          <w:p w:rsidR="007A2A0E" w:rsidRPr="00C043D5" w:rsidRDefault="007A2A0E" w:rsidP="00CA2DED">
            <w:pPr>
              <w:spacing w:after="0"/>
              <w:jc w:val="left"/>
            </w:pPr>
          </w:p>
        </w:tc>
        <w:tc>
          <w:tcPr>
            <w:tcW w:w="1038" w:type="dxa"/>
            <w:vMerge/>
            <w:tcBorders>
              <w:top w:val="single" w:sz="8" w:space="0" w:color="9BBB59"/>
              <w:left w:val="single" w:sz="8" w:space="0" w:color="9BBB59"/>
              <w:bottom w:val="single" w:sz="8" w:space="0" w:color="9BBB59"/>
              <w:right w:val="single" w:sz="8" w:space="0" w:color="9BBB59"/>
            </w:tcBorders>
            <w:vAlign w:val="center"/>
          </w:tcPr>
          <w:p w:rsidR="007A2A0E" w:rsidRPr="00C043D5" w:rsidRDefault="007A2A0E" w:rsidP="00CA2DED">
            <w:pPr>
              <w:spacing w:after="0"/>
              <w:jc w:val="left"/>
            </w:pPr>
          </w:p>
        </w:tc>
      </w:tr>
      <w:tr w:rsidR="007A2A0E" w:rsidRPr="00C043D5" w:rsidTr="008D0733">
        <w:trPr>
          <w:trHeight w:val="227"/>
        </w:trPr>
        <w:tc>
          <w:tcPr>
            <w:tcW w:w="3245" w:type="dxa"/>
            <w:tcBorders>
              <w:top w:val="single" w:sz="8" w:space="0" w:color="9BBB59"/>
              <w:left w:val="single" w:sz="8" w:space="0" w:color="9BBB59"/>
              <w:bottom w:val="single" w:sz="8" w:space="0" w:color="9BBB59"/>
              <w:right w:val="single" w:sz="8" w:space="0" w:color="9BBB59"/>
            </w:tcBorders>
            <w:vAlign w:val="center"/>
          </w:tcPr>
          <w:tbl>
            <w:tblPr>
              <w:tblW w:w="0" w:type="auto"/>
              <w:tblBorders>
                <w:top w:val="nil"/>
                <w:left w:val="nil"/>
                <w:bottom w:val="nil"/>
                <w:right w:val="nil"/>
              </w:tblBorders>
              <w:tblLook w:val="0000"/>
            </w:tblPr>
            <w:tblGrid>
              <w:gridCol w:w="2653"/>
            </w:tblGrid>
            <w:tr w:rsidR="007A2A0E" w:rsidRPr="00C043D5" w:rsidTr="009662B5">
              <w:trPr>
                <w:trHeight w:val="545"/>
              </w:trPr>
              <w:tc>
                <w:tcPr>
                  <w:tcW w:w="0" w:type="auto"/>
                </w:tcPr>
                <w:p w:rsidR="007A2A0E" w:rsidRPr="00C043D5" w:rsidRDefault="007A2A0E" w:rsidP="008D0733">
                  <w:pPr>
                    <w:pStyle w:val="Default"/>
                    <w:rPr>
                      <w:rFonts w:ascii="Arial" w:hAnsi="Arial" w:cs="Arial"/>
                      <w:sz w:val="16"/>
                      <w:szCs w:val="16"/>
                    </w:rPr>
                  </w:pPr>
                  <w:r w:rsidRPr="00C043D5">
                    <w:rPr>
                      <w:rFonts w:ascii="Arial" w:hAnsi="Arial" w:cs="Arial"/>
                      <w:i/>
                      <w:iCs/>
                      <w:sz w:val="16"/>
                      <w:szCs w:val="16"/>
                    </w:rPr>
                    <w:t>“B”. dothidea “B”. rhodina “B”. ribis</w:t>
                  </w:r>
                </w:p>
              </w:tc>
            </w:tr>
          </w:tbl>
          <w:p w:rsidR="007A2A0E" w:rsidRPr="00C043D5" w:rsidRDefault="007A2A0E" w:rsidP="008D0733">
            <w:pPr>
              <w:pStyle w:val="Default"/>
              <w:rPr>
                <w:rFonts w:ascii="Arial" w:eastAsia="Times New Roman" w:hAnsi="Arial" w:cs="Arial"/>
                <w:b/>
                <w:bCs/>
              </w:rPr>
            </w:pPr>
          </w:p>
        </w:tc>
        <w:tc>
          <w:tcPr>
            <w:tcW w:w="2392" w:type="dxa"/>
            <w:tcBorders>
              <w:top w:val="single" w:sz="8" w:space="0" w:color="9BBB59"/>
              <w:left w:val="single" w:sz="8" w:space="0" w:color="9BBB59"/>
              <w:bottom w:val="single" w:sz="8" w:space="0" w:color="9BBB59"/>
              <w:right w:val="single" w:sz="8" w:space="0" w:color="9BBB59"/>
            </w:tcBorders>
            <w:vAlign w:val="center"/>
          </w:tcPr>
          <w:tbl>
            <w:tblPr>
              <w:tblW w:w="0" w:type="auto"/>
              <w:tblBorders>
                <w:top w:val="nil"/>
                <w:left w:val="nil"/>
                <w:bottom w:val="nil"/>
                <w:right w:val="nil"/>
              </w:tblBorders>
              <w:tblLook w:val="0000"/>
            </w:tblPr>
            <w:tblGrid>
              <w:gridCol w:w="768"/>
            </w:tblGrid>
            <w:tr w:rsidR="007A2A0E" w:rsidRPr="00C043D5" w:rsidTr="009662B5">
              <w:trPr>
                <w:trHeight w:val="156"/>
              </w:trPr>
              <w:tc>
                <w:tcPr>
                  <w:tcW w:w="0" w:type="auto"/>
                </w:tcPr>
                <w:p w:rsidR="007A2A0E" w:rsidRPr="00C043D5" w:rsidRDefault="007A2A0E" w:rsidP="00CA2DED">
                  <w:pPr>
                    <w:pStyle w:val="Default"/>
                    <w:rPr>
                      <w:rFonts w:ascii="Arial" w:hAnsi="Arial" w:cs="Arial"/>
                      <w:sz w:val="16"/>
                      <w:szCs w:val="16"/>
                    </w:rPr>
                  </w:pPr>
                  <w:r w:rsidRPr="00C043D5">
                    <w:rPr>
                      <w:rFonts w:ascii="Arial" w:hAnsi="Arial" w:cs="Arial"/>
                      <w:sz w:val="16"/>
                      <w:szCs w:val="16"/>
                    </w:rPr>
                    <w:t>Fruit rot</w:t>
                  </w:r>
                </w:p>
              </w:tc>
            </w:tr>
          </w:tbl>
          <w:p w:rsidR="007A2A0E" w:rsidRPr="00C043D5" w:rsidRDefault="007A2A0E" w:rsidP="00CA2DED">
            <w:pPr>
              <w:pStyle w:val="Default"/>
              <w:rPr>
                <w:rFonts w:ascii="Arial" w:hAnsi="Arial" w:cs="Arial"/>
              </w:rPr>
            </w:pPr>
          </w:p>
        </w:tc>
        <w:tc>
          <w:tcPr>
            <w:tcW w:w="2611" w:type="dxa"/>
            <w:tcBorders>
              <w:top w:val="single" w:sz="8" w:space="0" w:color="9BBB59"/>
              <w:left w:val="single" w:sz="8" w:space="0" w:color="9BBB59"/>
              <w:bottom w:val="single" w:sz="8" w:space="0" w:color="9BBB59"/>
              <w:right w:val="single" w:sz="8" w:space="0" w:color="9BBB59"/>
            </w:tcBorders>
            <w:vAlign w:val="center"/>
          </w:tcPr>
          <w:tbl>
            <w:tblPr>
              <w:tblW w:w="2155" w:type="dxa"/>
              <w:tblBorders>
                <w:top w:val="nil"/>
                <w:left w:val="nil"/>
                <w:bottom w:val="nil"/>
                <w:right w:val="nil"/>
              </w:tblBorders>
              <w:tblLook w:val="0000"/>
            </w:tblPr>
            <w:tblGrid>
              <w:gridCol w:w="2155"/>
            </w:tblGrid>
            <w:tr w:rsidR="007A2A0E" w:rsidRPr="00C043D5" w:rsidTr="00C96AA1">
              <w:trPr>
                <w:trHeight w:val="78"/>
              </w:trPr>
              <w:tc>
                <w:tcPr>
                  <w:tcW w:w="0" w:type="auto"/>
                </w:tcPr>
                <w:p w:rsidR="007A2A0E" w:rsidRPr="00C043D5" w:rsidRDefault="007A2A0E" w:rsidP="00CA2DED">
                  <w:pPr>
                    <w:pStyle w:val="Default"/>
                    <w:rPr>
                      <w:rFonts w:ascii="Arial" w:hAnsi="Arial" w:cs="Arial"/>
                      <w:sz w:val="16"/>
                      <w:szCs w:val="16"/>
                    </w:rPr>
                  </w:pPr>
                  <w:r w:rsidRPr="00C043D5">
                    <w:rPr>
                      <w:rFonts w:ascii="Arial" w:hAnsi="Arial" w:cs="Arial"/>
                      <w:sz w:val="16"/>
                      <w:szCs w:val="16"/>
                    </w:rPr>
                    <w:t xml:space="preserve">Milholland,1991Kummuang </w:t>
                  </w:r>
                  <w:r w:rsidR="006F2254" w:rsidRPr="006F2254">
                    <w:rPr>
                      <w:rFonts w:ascii="Arial" w:hAnsi="Arial" w:cs="Arial"/>
                      <w:i/>
                      <w:iCs/>
                      <w:sz w:val="16"/>
                      <w:szCs w:val="16"/>
                    </w:rPr>
                    <w:t>et al.</w:t>
                  </w:r>
                  <w:r w:rsidRPr="00C043D5">
                    <w:rPr>
                      <w:rFonts w:ascii="Arial" w:hAnsi="Arial" w:cs="Arial"/>
                      <w:sz w:val="16"/>
                      <w:szCs w:val="16"/>
                    </w:rPr>
                    <w:t>, 1996</w:t>
                  </w:r>
                </w:p>
              </w:tc>
            </w:tr>
          </w:tbl>
          <w:p w:rsidR="007A2A0E" w:rsidRPr="00C043D5" w:rsidRDefault="007A2A0E" w:rsidP="00CA2DED">
            <w:pPr>
              <w:spacing w:after="0"/>
              <w:jc w:val="left"/>
            </w:pPr>
          </w:p>
        </w:tc>
        <w:tc>
          <w:tcPr>
            <w:tcW w:w="1038" w:type="dxa"/>
            <w:vMerge w:val="restart"/>
            <w:tcBorders>
              <w:top w:val="single" w:sz="8" w:space="0" w:color="9BBB59"/>
              <w:left w:val="single" w:sz="8" w:space="0" w:color="9BBB59"/>
              <w:bottom w:val="single" w:sz="8" w:space="0" w:color="9BBB59"/>
              <w:right w:val="single" w:sz="8" w:space="0" w:color="9BBB59"/>
            </w:tcBorders>
            <w:vAlign w:val="center"/>
          </w:tcPr>
          <w:tbl>
            <w:tblPr>
              <w:tblW w:w="0" w:type="auto"/>
              <w:tblBorders>
                <w:top w:val="nil"/>
                <w:left w:val="nil"/>
                <w:bottom w:val="nil"/>
                <w:right w:val="nil"/>
              </w:tblBorders>
              <w:tblLook w:val="0000"/>
            </w:tblPr>
            <w:tblGrid>
              <w:gridCol w:w="848"/>
            </w:tblGrid>
            <w:tr w:rsidR="007A2A0E" w:rsidRPr="00C043D5" w:rsidTr="009662B5">
              <w:trPr>
                <w:trHeight w:val="350"/>
              </w:trPr>
              <w:tc>
                <w:tcPr>
                  <w:tcW w:w="0" w:type="auto"/>
                  <w:vAlign w:val="center"/>
                </w:tcPr>
                <w:p w:rsidR="007A2A0E" w:rsidRPr="00C043D5" w:rsidRDefault="007A2A0E" w:rsidP="00CA2DED">
                  <w:pPr>
                    <w:pStyle w:val="Default"/>
                    <w:rPr>
                      <w:rFonts w:ascii="Arial" w:hAnsi="Arial" w:cs="Arial"/>
                      <w:sz w:val="16"/>
                      <w:szCs w:val="16"/>
                    </w:rPr>
                  </w:pPr>
                  <w:r w:rsidRPr="00C043D5">
                    <w:rPr>
                      <w:rFonts w:ascii="Arial" w:hAnsi="Arial" w:cs="Arial"/>
                      <w:sz w:val="16"/>
                      <w:szCs w:val="16"/>
                    </w:rPr>
                    <w:t>Estados Unidos da América</w:t>
                  </w:r>
                </w:p>
              </w:tc>
            </w:tr>
          </w:tbl>
          <w:p w:rsidR="007A2A0E" w:rsidRPr="00C043D5" w:rsidRDefault="007A2A0E" w:rsidP="00CA2DED">
            <w:pPr>
              <w:spacing w:after="0"/>
              <w:jc w:val="left"/>
            </w:pPr>
          </w:p>
        </w:tc>
      </w:tr>
      <w:tr w:rsidR="007A2A0E" w:rsidRPr="00C043D5" w:rsidTr="008D0733">
        <w:trPr>
          <w:trHeight w:val="227"/>
        </w:trPr>
        <w:tc>
          <w:tcPr>
            <w:tcW w:w="3245" w:type="dxa"/>
            <w:tcBorders>
              <w:top w:val="single" w:sz="8" w:space="0" w:color="9BBB59"/>
              <w:left w:val="single" w:sz="8" w:space="0" w:color="9BBB59"/>
              <w:bottom w:val="single" w:sz="8" w:space="0" w:color="9BBB59"/>
              <w:right w:val="single" w:sz="8" w:space="0" w:color="9BBB59"/>
            </w:tcBorders>
            <w:shd w:val="clear" w:color="auto" w:fill="E6EED5"/>
            <w:vAlign w:val="center"/>
          </w:tcPr>
          <w:tbl>
            <w:tblPr>
              <w:tblW w:w="0" w:type="auto"/>
              <w:tblBorders>
                <w:top w:val="nil"/>
                <w:left w:val="nil"/>
                <w:bottom w:val="nil"/>
                <w:right w:val="nil"/>
              </w:tblBorders>
              <w:tblLook w:val="0000"/>
            </w:tblPr>
            <w:tblGrid>
              <w:gridCol w:w="1052"/>
            </w:tblGrid>
            <w:tr w:rsidR="007A2A0E" w:rsidRPr="00C043D5" w:rsidTr="009662B5">
              <w:trPr>
                <w:trHeight w:val="156"/>
              </w:trPr>
              <w:tc>
                <w:tcPr>
                  <w:tcW w:w="0" w:type="auto"/>
                </w:tcPr>
                <w:p w:rsidR="007A2A0E" w:rsidRPr="00C043D5" w:rsidRDefault="007A2A0E" w:rsidP="008D0733">
                  <w:pPr>
                    <w:pStyle w:val="Default"/>
                    <w:rPr>
                      <w:rFonts w:ascii="Arial" w:hAnsi="Arial" w:cs="Arial"/>
                      <w:sz w:val="16"/>
                      <w:szCs w:val="16"/>
                    </w:rPr>
                  </w:pPr>
                  <w:r w:rsidRPr="00C043D5">
                    <w:rPr>
                      <w:rFonts w:ascii="Arial" w:hAnsi="Arial" w:cs="Arial"/>
                      <w:i/>
                      <w:iCs/>
                      <w:sz w:val="16"/>
                      <w:szCs w:val="16"/>
                    </w:rPr>
                    <w:t>“B”. rhodina</w:t>
                  </w:r>
                </w:p>
              </w:tc>
            </w:tr>
          </w:tbl>
          <w:p w:rsidR="007A2A0E" w:rsidRPr="00C043D5" w:rsidRDefault="007A2A0E" w:rsidP="008D0733">
            <w:pPr>
              <w:pStyle w:val="Default"/>
              <w:ind w:firstLine="709"/>
              <w:rPr>
                <w:rFonts w:ascii="Arial" w:eastAsia="Times New Roman" w:hAnsi="Arial" w:cs="Arial"/>
                <w:b/>
                <w:bCs/>
              </w:rPr>
            </w:pPr>
          </w:p>
        </w:tc>
        <w:tc>
          <w:tcPr>
            <w:tcW w:w="2392" w:type="dxa"/>
            <w:tcBorders>
              <w:top w:val="single" w:sz="8" w:space="0" w:color="9BBB59"/>
              <w:left w:val="single" w:sz="8" w:space="0" w:color="9BBB59"/>
              <w:bottom w:val="single" w:sz="8" w:space="0" w:color="9BBB59"/>
              <w:right w:val="single" w:sz="8" w:space="0" w:color="9BBB59"/>
            </w:tcBorders>
            <w:shd w:val="clear" w:color="auto" w:fill="E6EED5"/>
            <w:vAlign w:val="center"/>
          </w:tcPr>
          <w:tbl>
            <w:tblPr>
              <w:tblW w:w="0" w:type="auto"/>
              <w:tblBorders>
                <w:top w:val="nil"/>
                <w:left w:val="nil"/>
                <w:bottom w:val="nil"/>
                <w:right w:val="nil"/>
              </w:tblBorders>
              <w:tblLook w:val="0000"/>
            </w:tblPr>
            <w:tblGrid>
              <w:gridCol w:w="2250"/>
            </w:tblGrid>
            <w:tr w:rsidR="007A2A0E" w:rsidRPr="00C043D5" w:rsidTr="009662B5">
              <w:trPr>
                <w:trHeight w:val="350"/>
              </w:trPr>
              <w:tc>
                <w:tcPr>
                  <w:tcW w:w="0" w:type="auto"/>
                </w:tcPr>
                <w:p w:rsidR="007A2A0E" w:rsidRPr="00C043D5" w:rsidRDefault="007A2A0E" w:rsidP="00CA2DED">
                  <w:pPr>
                    <w:pStyle w:val="Default"/>
                    <w:rPr>
                      <w:rFonts w:ascii="Arial" w:hAnsi="Arial" w:cs="Arial"/>
                      <w:sz w:val="16"/>
                      <w:szCs w:val="16"/>
                    </w:rPr>
                  </w:pPr>
                  <w:r w:rsidRPr="00C043D5">
                    <w:rPr>
                      <w:rFonts w:ascii="Arial" w:hAnsi="Arial" w:cs="Arial"/>
                      <w:sz w:val="16"/>
                      <w:szCs w:val="16"/>
                    </w:rPr>
                    <w:t>Declínio da videira (necroses sectoriais)</w:t>
                  </w:r>
                </w:p>
              </w:tc>
            </w:tr>
          </w:tbl>
          <w:p w:rsidR="007A2A0E" w:rsidRPr="00C043D5" w:rsidRDefault="007A2A0E" w:rsidP="00CA2DED">
            <w:pPr>
              <w:pStyle w:val="Default"/>
              <w:rPr>
                <w:rFonts w:ascii="Arial" w:hAnsi="Arial" w:cs="Arial"/>
              </w:rPr>
            </w:pPr>
          </w:p>
        </w:tc>
        <w:tc>
          <w:tcPr>
            <w:tcW w:w="2611" w:type="dxa"/>
            <w:tcBorders>
              <w:top w:val="single" w:sz="8" w:space="0" w:color="9BBB59"/>
              <w:left w:val="single" w:sz="8" w:space="0" w:color="9BBB59"/>
              <w:bottom w:val="single" w:sz="8" w:space="0" w:color="9BBB59"/>
              <w:right w:val="single" w:sz="8" w:space="0" w:color="9BBB59"/>
            </w:tcBorders>
            <w:shd w:val="clear" w:color="auto" w:fill="E6EED5"/>
            <w:vAlign w:val="center"/>
          </w:tcPr>
          <w:tbl>
            <w:tblPr>
              <w:tblW w:w="0" w:type="auto"/>
              <w:tblBorders>
                <w:top w:val="nil"/>
                <w:left w:val="nil"/>
                <w:bottom w:val="nil"/>
                <w:right w:val="nil"/>
              </w:tblBorders>
              <w:tblLook w:val="0000"/>
            </w:tblPr>
            <w:tblGrid>
              <w:gridCol w:w="1479"/>
            </w:tblGrid>
            <w:tr w:rsidR="007A2A0E" w:rsidRPr="00C043D5" w:rsidTr="009662B5">
              <w:trPr>
                <w:trHeight w:val="156"/>
              </w:trPr>
              <w:tc>
                <w:tcPr>
                  <w:tcW w:w="0" w:type="auto"/>
                </w:tcPr>
                <w:p w:rsidR="007A2A0E" w:rsidRPr="00C043D5" w:rsidRDefault="007A2A0E" w:rsidP="00CA2DED">
                  <w:pPr>
                    <w:pStyle w:val="Default"/>
                    <w:rPr>
                      <w:rFonts w:ascii="Arial" w:hAnsi="Arial" w:cs="Arial"/>
                      <w:sz w:val="16"/>
                      <w:szCs w:val="16"/>
                    </w:rPr>
                  </w:pPr>
                  <w:r w:rsidRPr="00C043D5">
                    <w:rPr>
                      <w:rFonts w:ascii="Arial" w:hAnsi="Arial" w:cs="Arial"/>
                      <w:sz w:val="16"/>
                      <w:szCs w:val="16"/>
                    </w:rPr>
                    <w:t>Leavitt G.M. 2003</w:t>
                  </w:r>
                </w:p>
              </w:tc>
            </w:tr>
          </w:tbl>
          <w:p w:rsidR="007A2A0E" w:rsidRPr="00C043D5" w:rsidRDefault="007A2A0E" w:rsidP="00CA2DED">
            <w:pPr>
              <w:spacing w:after="0"/>
              <w:jc w:val="left"/>
            </w:pPr>
          </w:p>
        </w:tc>
        <w:tc>
          <w:tcPr>
            <w:tcW w:w="1038" w:type="dxa"/>
            <w:vMerge/>
            <w:tcBorders>
              <w:top w:val="single" w:sz="8" w:space="0" w:color="9BBB59"/>
              <w:left w:val="single" w:sz="8" w:space="0" w:color="9BBB59"/>
              <w:bottom w:val="single" w:sz="8" w:space="0" w:color="9BBB59"/>
              <w:right w:val="single" w:sz="8" w:space="0" w:color="9BBB59"/>
            </w:tcBorders>
            <w:shd w:val="clear" w:color="auto" w:fill="E6EED5"/>
            <w:vAlign w:val="center"/>
          </w:tcPr>
          <w:p w:rsidR="007A2A0E" w:rsidRPr="00C043D5" w:rsidRDefault="007A2A0E" w:rsidP="00CA2DED">
            <w:pPr>
              <w:spacing w:after="0"/>
              <w:jc w:val="left"/>
            </w:pPr>
          </w:p>
        </w:tc>
      </w:tr>
      <w:tr w:rsidR="007A2A0E" w:rsidRPr="00C043D5" w:rsidTr="008D0733">
        <w:trPr>
          <w:trHeight w:val="227"/>
        </w:trPr>
        <w:tc>
          <w:tcPr>
            <w:tcW w:w="3245" w:type="dxa"/>
            <w:tcBorders>
              <w:top w:val="single" w:sz="8" w:space="0" w:color="9BBB59"/>
              <w:left w:val="single" w:sz="8" w:space="0" w:color="9BBB59"/>
              <w:bottom w:val="single" w:sz="8" w:space="0" w:color="9BBB59"/>
              <w:right w:val="single" w:sz="8" w:space="0" w:color="9BBB59"/>
            </w:tcBorders>
            <w:vAlign w:val="center"/>
          </w:tcPr>
          <w:tbl>
            <w:tblPr>
              <w:tblW w:w="0" w:type="auto"/>
              <w:tblBorders>
                <w:top w:val="nil"/>
                <w:left w:val="nil"/>
                <w:bottom w:val="nil"/>
                <w:right w:val="nil"/>
              </w:tblBorders>
              <w:tblLook w:val="0000"/>
            </w:tblPr>
            <w:tblGrid>
              <w:gridCol w:w="1044"/>
            </w:tblGrid>
            <w:tr w:rsidR="007A2A0E" w:rsidRPr="00C043D5" w:rsidTr="009662B5">
              <w:trPr>
                <w:trHeight w:val="156"/>
              </w:trPr>
              <w:tc>
                <w:tcPr>
                  <w:tcW w:w="0" w:type="auto"/>
                </w:tcPr>
                <w:p w:rsidR="007A2A0E" w:rsidRPr="00C043D5" w:rsidRDefault="00C96AA1" w:rsidP="008D0733">
                  <w:pPr>
                    <w:pStyle w:val="Default"/>
                    <w:rPr>
                      <w:rFonts w:ascii="Arial" w:hAnsi="Arial" w:cs="Arial"/>
                      <w:sz w:val="16"/>
                      <w:szCs w:val="16"/>
                    </w:rPr>
                  </w:pPr>
                  <w:r w:rsidRPr="00C043D5">
                    <w:rPr>
                      <w:rFonts w:ascii="Arial" w:hAnsi="Arial" w:cs="Arial"/>
                      <w:i/>
                      <w:iCs/>
                      <w:sz w:val="16"/>
                      <w:szCs w:val="16"/>
                    </w:rPr>
                    <w:t xml:space="preserve"> </w:t>
                  </w:r>
                  <w:r w:rsidR="007A2A0E" w:rsidRPr="00C043D5">
                    <w:rPr>
                      <w:rFonts w:ascii="Arial" w:hAnsi="Arial" w:cs="Arial"/>
                      <w:i/>
                      <w:iCs/>
                      <w:sz w:val="16"/>
                      <w:szCs w:val="16"/>
                    </w:rPr>
                    <w:t>“B”. obtusa</w:t>
                  </w:r>
                </w:p>
              </w:tc>
            </w:tr>
          </w:tbl>
          <w:p w:rsidR="007A2A0E" w:rsidRPr="00C043D5" w:rsidRDefault="007A2A0E" w:rsidP="008D0733">
            <w:pPr>
              <w:pStyle w:val="Default"/>
              <w:rPr>
                <w:rFonts w:ascii="Arial" w:eastAsia="Times New Roman" w:hAnsi="Arial" w:cs="Arial"/>
                <w:b/>
                <w:bCs/>
              </w:rPr>
            </w:pPr>
          </w:p>
        </w:tc>
        <w:tc>
          <w:tcPr>
            <w:tcW w:w="2392" w:type="dxa"/>
            <w:tcBorders>
              <w:top w:val="single" w:sz="8" w:space="0" w:color="9BBB59"/>
              <w:left w:val="single" w:sz="8" w:space="0" w:color="9BBB59"/>
              <w:bottom w:val="single" w:sz="8" w:space="0" w:color="9BBB59"/>
              <w:right w:val="single" w:sz="8" w:space="0" w:color="9BBB59"/>
            </w:tcBorders>
            <w:vAlign w:val="center"/>
          </w:tcPr>
          <w:tbl>
            <w:tblPr>
              <w:tblW w:w="0" w:type="auto"/>
              <w:tblBorders>
                <w:top w:val="nil"/>
                <w:left w:val="nil"/>
                <w:bottom w:val="nil"/>
                <w:right w:val="nil"/>
              </w:tblBorders>
              <w:tblLook w:val="0000"/>
            </w:tblPr>
            <w:tblGrid>
              <w:gridCol w:w="1968"/>
            </w:tblGrid>
            <w:tr w:rsidR="007A2A0E" w:rsidRPr="00C043D5" w:rsidTr="009662B5">
              <w:trPr>
                <w:trHeight w:val="350"/>
              </w:trPr>
              <w:tc>
                <w:tcPr>
                  <w:tcW w:w="0" w:type="auto"/>
                </w:tcPr>
                <w:p w:rsidR="007A2A0E" w:rsidRPr="00C043D5" w:rsidRDefault="007A2A0E" w:rsidP="00CA2DED">
                  <w:pPr>
                    <w:pStyle w:val="Default"/>
                    <w:rPr>
                      <w:rFonts w:ascii="Arial" w:hAnsi="Arial" w:cs="Arial"/>
                      <w:sz w:val="16"/>
                      <w:szCs w:val="16"/>
                    </w:rPr>
                  </w:pPr>
                  <w:r w:rsidRPr="00C043D5">
                    <w:rPr>
                      <w:rFonts w:ascii="Arial" w:hAnsi="Arial" w:cs="Arial"/>
                      <w:sz w:val="16"/>
                      <w:szCs w:val="16"/>
                    </w:rPr>
                    <w:t>Black dead arm Cancros</w:t>
                  </w:r>
                </w:p>
              </w:tc>
            </w:tr>
          </w:tbl>
          <w:p w:rsidR="007A2A0E" w:rsidRPr="00C043D5" w:rsidRDefault="007A2A0E" w:rsidP="00CA2DED">
            <w:pPr>
              <w:pStyle w:val="Default"/>
              <w:rPr>
                <w:rFonts w:ascii="Arial" w:hAnsi="Arial" w:cs="Arial"/>
              </w:rPr>
            </w:pPr>
          </w:p>
        </w:tc>
        <w:tc>
          <w:tcPr>
            <w:tcW w:w="2611" w:type="dxa"/>
            <w:tcBorders>
              <w:top w:val="single" w:sz="8" w:space="0" w:color="9BBB59"/>
              <w:left w:val="single" w:sz="8" w:space="0" w:color="9BBB59"/>
              <w:bottom w:val="single" w:sz="8" w:space="0" w:color="9BBB59"/>
              <w:right w:val="single" w:sz="8" w:space="0" w:color="9BBB59"/>
            </w:tcBorders>
            <w:vAlign w:val="center"/>
          </w:tcPr>
          <w:tbl>
            <w:tblPr>
              <w:tblW w:w="0" w:type="auto"/>
              <w:tblBorders>
                <w:top w:val="nil"/>
                <w:left w:val="nil"/>
                <w:bottom w:val="nil"/>
                <w:right w:val="nil"/>
              </w:tblBorders>
              <w:tblLook w:val="0000"/>
            </w:tblPr>
            <w:tblGrid>
              <w:gridCol w:w="1391"/>
            </w:tblGrid>
            <w:tr w:rsidR="007A2A0E" w:rsidRPr="00C043D5" w:rsidTr="009662B5">
              <w:trPr>
                <w:trHeight w:val="156"/>
              </w:trPr>
              <w:tc>
                <w:tcPr>
                  <w:tcW w:w="0" w:type="auto"/>
                </w:tcPr>
                <w:p w:rsidR="007A2A0E" w:rsidRPr="00C043D5" w:rsidRDefault="007A2A0E" w:rsidP="00CA2DED">
                  <w:pPr>
                    <w:pStyle w:val="Default"/>
                    <w:rPr>
                      <w:rFonts w:ascii="Arial" w:hAnsi="Arial" w:cs="Arial"/>
                      <w:sz w:val="16"/>
                      <w:szCs w:val="16"/>
                    </w:rPr>
                  </w:pPr>
                  <w:r w:rsidRPr="00C043D5">
                    <w:rPr>
                      <w:rFonts w:ascii="Arial" w:hAnsi="Arial" w:cs="Arial"/>
                      <w:i/>
                      <w:iCs/>
                      <w:sz w:val="16"/>
                      <w:szCs w:val="16"/>
                    </w:rPr>
                    <w:t xml:space="preserve">Auger </w:t>
                  </w:r>
                  <w:r w:rsidR="006F2254" w:rsidRPr="006F2254">
                    <w:rPr>
                      <w:rFonts w:ascii="Arial" w:hAnsi="Arial" w:cs="Arial"/>
                      <w:i/>
                      <w:iCs/>
                      <w:sz w:val="16"/>
                      <w:szCs w:val="16"/>
                    </w:rPr>
                    <w:t>et al.</w:t>
                  </w:r>
                  <w:r w:rsidRPr="00C043D5">
                    <w:rPr>
                      <w:rFonts w:ascii="Arial" w:hAnsi="Arial" w:cs="Arial"/>
                      <w:i/>
                      <w:iCs/>
                      <w:sz w:val="16"/>
                      <w:szCs w:val="16"/>
                    </w:rPr>
                    <w:t>2005</w:t>
                  </w:r>
                </w:p>
              </w:tc>
            </w:tr>
          </w:tbl>
          <w:p w:rsidR="007A2A0E" w:rsidRPr="00C043D5" w:rsidRDefault="007A2A0E" w:rsidP="00CA2DED">
            <w:pPr>
              <w:spacing w:after="0"/>
              <w:jc w:val="left"/>
            </w:pPr>
          </w:p>
        </w:tc>
        <w:tc>
          <w:tcPr>
            <w:tcW w:w="1038" w:type="dxa"/>
            <w:tcBorders>
              <w:top w:val="single" w:sz="8" w:space="0" w:color="9BBB59"/>
              <w:left w:val="single" w:sz="8" w:space="0" w:color="9BBB59"/>
              <w:bottom w:val="single" w:sz="8" w:space="0" w:color="9BBB59"/>
              <w:right w:val="single" w:sz="8" w:space="0" w:color="9BBB59"/>
            </w:tcBorders>
            <w:vAlign w:val="center"/>
          </w:tcPr>
          <w:tbl>
            <w:tblPr>
              <w:tblW w:w="0" w:type="auto"/>
              <w:tblBorders>
                <w:top w:val="nil"/>
                <w:left w:val="nil"/>
                <w:bottom w:val="nil"/>
                <w:right w:val="nil"/>
              </w:tblBorders>
              <w:tblLook w:val="0000"/>
            </w:tblPr>
            <w:tblGrid>
              <w:gridCol w:w="581"/>
            </w:tblGrid>
            <w:tr w:rsidR="007A2A0E" w:rsidRPr="00C043D5" w:rsidTr="009662B5">
              <w:trPr>
                <w:trHeight w:val="156"/>
              </w:trPr>
              <w:tc>
                <w:tcPr>
                  <w:tcW w:w="0" w:type="auto"/>
                </w:tcPr>
                <w:p w:rsidR="007A2A0E" w:rsidRPr="00C043D5" w:rsidRDefault="007A2A0E" w:rsidP="00CA2DED">
                  <w:pPr>
                    <w:pStyle w:val="Default"/>
                    <w:rPr>
                      <w:rFonts w:ascii="Arial" w:hAnsi="Arial" w:cs="Arial"/>
                      <w:sz w:val="16"/>
                      <w:szCs w:val="16"/>
                    </w:rPr>
                  </w:pPr>
                  <w:r w:rsidRPr="00C043D5">
                    <w:rPr>
                      <w:rFonts w:ascii="Arial" w:hAnsi="Arial" w:cs="Arial"/>
                      <w:sz w:val="16"/>
                      <w:szCs w:val="16"/>
                    </w:rPr>
                    <w:t>Chile</w:t>
                  </w:r>
                </w:p>
              </w:tc>
            </w:tr>
          </w:tbl>
          <w:p w:rsidR="007A2A0E" w:rsidRPr="00C043D5" w:rsidRDefault="007A2A0E" w:rsidP="00CA2DED">
            <w:pPr>
              <w:spacing w:after="0"/>
              <w:jc w:val="left"/>
            </w:pPr>
          </w:p>
        </w:tc>
      </w:tr>
      <w:tr w:rsidR="007A2A0E" w:rsidRPr="00C043D5" w:rsidTr="008D0733">
        <w:trPr>
          <w:trHeight w:val="227"/>
        </w:trPr>
        <w:tc>
          <w:tcPr>
            <w:tcW w:w="3245" w:type="dxa"/>
            <w:tcBorders>
              <w:top w:val="single" w:sz="8" w:space="0" w:color="9BBB59"/>
              <w:left w:val="single" w:sz="8" w:space="0" w:color="9BBB59"/>
              <w:bottom w:val="single" w:sz="8" w:space="0" w:color="9BBB59"/>
              <w:right w:val="single" w:sz="8" w:space="0" w:color="9BBB59"/>
            </w:tcBorders>
            <w:shd w:val="clear" w:color="auto" w:fill="E6EED5"/>
            <w:vAlign w:val="center"/>
          </w:tcPr>
          <w:p w:rsidR="007A2A0E" w:rsidRPr="00C043D5" w:rsidRDefault="008D0733" w:rsidP="008D0733">
            <w:pPr>
              <w:pStyle w:val="Default"/>
              <w:rPr>
                <w:rFonts w:ascii="Arial" w:eastAsia="Times New Roman" w:hAnsi="Arial" w:cs="Arial"/>
                <w:bCs/>
              </w:rPr>
            </w:pPr>
            <w:r>
              <w:rPr>
                <w:rFonts w:ascii="Arial" w:eastAsia="Times New Roman" w:hAnsi="Arial" w:cs="Arial"/>
                <w:bCs/>
                <w:i/>
                <w:iCs/>
                <w:sz w:val="16"/>
                <w:szCs w:val="16"/>
              </w:rPr>
              <w:t xml:space="preserve">  </w:t>
            </w:r>
            <w:r w:rsidR="007A2A0E" w:rsidRPr="00C043D5">
              <w:rPr>
                <w:rFonts w:ascii="Arial" w:eastAsia="Times New Roman" w:hAnsi="Arial" w:cs="Arial"/>
                <w:bCs/>
                <w:i/>
                <w:iCs/>
                <w:sz w:val="16"/>
                <w:szCs w:val="16"/>
              </w:rPr>
              <w:t>“B”. obtusa</w:t>
            </w:r>
          </w:p>
        </w:tc>
        <w:tc>
          <w:tcPr>
            <w:tcW w:w="2392" w:type="dxa"/>
            <w:tcBorders>
              <w:top w:val="single" w:sz="8" w:space="0" w:color="9BBB59"/>
              <w:left w:val="single" w:sz="8" w:space="0" w:color="9BBB59"/>
              <w:bottom w:val="single" w:sz="8" w:space="0" w:color="9BBB59"/>
              <w:right w:val="single" w:sz="8" w:space="0" w:color="9BBB59"/>
            </w:tcBorders>
            <w:shd w:val="clear" w:color="auto" w:fill="E6EED5"/>
            <w:vAlign w:val="center"/>
          </w:tcPr>
          <w:tbl>
            <w:tblPr>
              <w:tblW w:w="0" w:type="auto"/>
              <w:tblBorders>
                <w:top w:val="nil"/>
                <w:left w:val="nil"/>
                <w:bottom w:val="nil"/>
                <w:right w:val="nil"/>
              </w:tblBorders>
              <w:tblLook w:val="0000"/>
            </w:tblPr>
            <w:tblGrid>
              <w:gridCol w:w="848"/>
            </w:tblGrid>
            <w:tr w:rsidR="007A2A0E" w:rsidRPr="00C043D5" w:rsidTr="009662B5">
              <w:trPr>
                <w:trHeight w:val="156"/>
              </w:trPr>
              <w:tc>
                <w:tcPr>
                  <w:tcW w:w="0" w:type="auto"/>
                </w:tcPr>
                <w:p w:rsidR="007A2A0E" w:rsidRPr="00C043D5" w:rsidRDefault="007A2A0E" w:rsidP="00CA2DED">
                  <w:pPr>
                    <w:pStyle w:val="Default"/>
                    <w:rPr>
                      <w:rFonts w:ascii="Arial" w:hAnsi="Arial" w:cs="Arial"/>
                      <w:sz w:val="16"/>
                      <w:szCs w:val="16"/>
                    </w:rPr>
                  </w:pPr>
                  <w:r w:rsidRPr="00C043D5">
                    <w:rPr>
                      <w:rFonts w:ascii="Arial" w:hAnsi="Arial" w:cs="Arial"/>
                      <w:sz w:val="16"/>
                      <w:szCs w:val="16"/>
                    </w:rPr>
                    <w:t>Die-back</w:t>
                  </w:r>
                </w:p>
              </w:tc>
            </w:tr>
          </w:tbl>
          <w:p w:rsidR="007A2A0E" w:rsidRPr="00C043D5" w:rsidRDefault="007A2A0E" w:rsidP="00CA2DED">
            <w:pPr>
              <w:pStyle w:val="Default"/>
              <w:rPr>
                <w:rFonts w:ascii="Arial" w:hAnsi="Arial" w:cs="Arial"/>
              </w:rPr>
            </w:pPr>
          </w:p>
        </w:tc>
        <w:tc>
          <w:tcPr>
            <w:tcW w:w="2611" w:type="dxa"/>
            <w:tcBorders>
              <w:top w:val="single" w:sz="8" w:space="0" w:color="9BBB59"/>
              <w:left w:val="single" w:sz="8" w:space="0" w:color="9BBB59"/>
              <w:bottom w:val="single" w:sz="8" w:space="0" w:color="9BBB59"/>
              <w:right w:val="single" w:sz="8" w:space="0" w:color="9BBB59"/>
            </w:tcBorders>
            <w:shd w:val="clear" w:color="auto" w:fill="E6EED5"/>
            <w:vAlign w:val="center"/>
          </w:tcPr>
          <w:tbl>
            <w:tblPr>
              <w:tblW w:w="0" w:type="auto"/>
              <w:tblBorders>
                <w:top w:val="nil"/>
                <w:left w:val="nil"/>
                <w:bottom w:val="nil"/>
                <w:right w:val="nil"/>
              </w:tblBorders>
              <w:tblLook w:val="0000"/>
            </w:tblPr>
            <w:tblGrid>
              <w:gridCol w:w="1960"/>
            </w:tblGrid>
            <w:tr w:rsidR="007A2A0E" w:rsidRPr="00C043D5" w:rsidTr="009662B5">
              <w:trPr>
                <w:trHeight w:val="156"/>
              </w:trPr>
              <w:tc>
                <w:tcPr>
                  <w:tcW w:w="0" w:type="auto"/>
                </w:tcPr>
                <w:p w:rsidR="007A2A0E" w:rsidRPr="00C043D5" w:rsidRDefault="007A2A0E" w:rsidP="00CA2DED">
                  <w:pPr>
                    <w:pStyle w:val="Default"/>
                    <w:rPr>
                      <w:rFonts w:ascii="Arial" w:hAnsi="Arial" w:cs="Arial"/>
                      <w:sz w:val="16"/>
                      <w:szCs w:val="16"/>
                    </w:rPr>
                  </w:pPr>
                  <w:r w:rsidRPr="00C043D5">
                    <w:rPr>
                      <w:rFonts w:ascii="Arial" w:hAnsi="Arial" w:cs="Arial"/>
                      <w:sz w:val="16"/>
                      <w:szCs w:val="16"/>
                    </w:rPr>
                    <w:t xml:space="preserve">Chamberlain </w:t>
                  </w:r>
                  <w:r w:rsidR="006F2254" w:rsidRPr="006F2254">
                    <w:rPr>
                      <w:rFonts w:ascii="Arial" w:hAnsi="Arial" w:cs="Arial"/>
                      <w:i/>
                      <w:iCs/>
                      <w:sz w:val="16"/>
                      <w:szCs w:val="16"/>
                    </w:rPr>
                    <w:t>et al.</w:t>
                  </w:r>
                  <w:r w:rsidRPr="00C043D5">
                    <w:rPr>
                      <w:rFonts w:ascii="Arial" w:hAnsi="Arial" w:cs="Arial"/>
                      <w:sz w:val="16"/>
                      <w:szCs w:val="16"/>
                    </w:rPr>
                    <w:t>, 1964</w:t>
                  </w:r>
                </w:p>
              </w:tc>
            </w:tr>
          </w:tbl>
          <w:p w:rsidR="007A2A0E" w:rsidRPr="00C043D5" w:rsidRDefault="007A2A0E" w:rsidP="00CA2DED">
            <w:pPr>
              <w:spacing w:after="0"/>
              <w:jc w:val="left"/>
            </w:pPr>
          </w:p>
        </w:tc>
        <w:tc>
          <w:tcPr>
            <w:tcW w:w="1038" w:type="dxa"/>
            <w:tcBorders>
              <w:top w:val="single" w:sz="8" w:space="0" w:color="9BBB59"/>
              <w:left w:val="single" w:sz="8" w:space="0" w:color="9BBB59"/>
              <w:bottom w:val="single" w:sz="8" w:space="0" w:color="9BBB59"/>
              <w:right w:val="single" w:sz="8" w:space="0" w:color="9BBB59"/>
            </w:tcBorders>
            <w:shd w:val="clear" w:color="auto" w:fill="E6EED5"/>
            <w:vAlign w:val="center"/>
          </w:tcPr>
          <w:tbl>
            <w:tblPr>
              <w:tblW w:w="0" w:type="auto"/>
              <w:tblBorders>
                <w:top w:val="nil"/>
                <w:left w:val="nil"/>
                <w:bottom w:val="nil"/>
                <w:right w:val="nil"/>
              </w:tblBorders>
              <w:tblLook w:val="0000"/>
            </w:tblPr>
            <w:tblGrid>
              <w:gridCol w:w="777"/>
            </w:tblGrid>
            <w:tr w:rsidR="007A2A0E" w:rsidRPr="00C043D5" w:rsidTr="009662B5">
              <w:trPr>
                <w:trHeight w:val="156"/>
              </w:trPr>
              <w:tc>
                <w:tcPr>
                  <w:tcW w:w="0" w:type="auto"/>
                </w:tcPr>
                <w:p w:rsidR="007A2A0E" w:rsidRPr="00C043D5" w:rsidRDefault="007A2A0E" w:rsidP="00CA2DED">
                  <w:pPr>
                    <w:pStyle w:val="Default"/>
                    <w:rPr>
                      <w:rFonts w:ascii="Arial" w:hAnsi="Arial" w:cs="Arial"/>
                      <w:sz w:val="16"/>
                      <w:szCs w:val="16"/>
                    </w:rPr>
                  </w:pPr>
                  <w:r w:rsidRPr="00C043D5">
                    <w:rPr>
                      <w:rFonts w:ascii="Arial" w:hAnsi="Arial" w:cs="Arial"/>
                      <w:sz w:val="16"/>
                      <w:szCs w:val="16"/>
                    </w:rPr>
                    <w:t>Canadá</w:t>
                  </w:r>
                </w:p>
              </w:tc>
            </w:tr>
          </w:tbl>
          <w:p w:rsidR="007A2A0E" w:rsidRPr="00C043D5" w:rsidRDefault="007A2A0E" w:rsidP="00CA2DED">
            <w:pPr>
              <w:spacing w:after="0"/>
              <w:jc w:val="left"/>
            </w:pPr>
          </w:p>
        </w:tc>
      </w:tr>
      <w:tr w:rsidR="007A2A0E" w:rsidRPr="00C043D5" w:rsidTr="008D0733">
        <w:trPr>
          <w:trHeight w:val="227"/>
        </w:trPr>
        <w:tc>
          <w:tcPr>
            <w:tcW w:w="3245" w:type="dxa"/>
            <w:tcBorders>
              <w:top w:val="single" w:sz="8" w:space="0" w:color="9BBB59"/>
              <w:left w:val="single" w:sz="8" w:space="0" w:color="9BBB59"/>
              <w:bottom w:val="single" w:sz="8" w:space="0" w:color="9BBB59"/>
              <w:right w:val="single" w:sz="8" w:space="0" w:color="9BBB59"/>
            </w:tcBorders>
            <w:vAlign w:val="center"/>
          </w:tcPr>
          <w:tbl>
            <w:tblPr>
              <w:tblW w:w="2847" w:type="dxa"/>
              <w:tblBorders>
                <w:top w:val="nil"/>
                <w:left w:val="nil"/>
                <w:bottom w:val="nil"/>
                <w:right w:val="nil"/>
              </w:tblBorders>
              <w:tblLook w:val="0000"/>
            </w:tblPr>
            <w:tblGrid>
              <w:gridCol w:w="2847"/>
            </w:tblGrid>
            <w:tr w:rsidR="007A2A0E" w:rsidRPr="00C043D5" w:rsidTr="009662B5">
              <w:trPr>
                <w:trHeight w:val="603"/>
              </w:trPr>
              <w:tc>
                <w:tcPr>
                  <w:tcW w:w="0" w:type="auto"/>
                </w:tcPr>
                <w:p w:rsidR="007A2A0E" w:rsidRPr="00C043D5" w:rsidRDefault="008D0733" w:rsidP="008D0733">
                  <w:pPr>
                    <w:pStyle w:val="Default"/>
                    <w:rPr>
                      <w:rFonts w:ascii="Arial" w:hAnsi="Arial" w:cs="Arial"/>
                      <w:sz w:val="16"/>
                      <w:szCs w:val="16"/>
                    </w:rPr>
                  </w:pPr>
                  <w:r>
                    <w:rPr>
                      <w:rFonts w:ascii="Arial" w:hAnsi="Arial" w:cs="Arial"/>
                      <w:i/>
                      <w:iCs/>
                      <w:sz w:val="16"/>
                      <w:szCs w:val="16"/>
                    </w:rPr>
                    <w:t>“</w:t>
                  </w:r>
                  <w:r w:rsidR="007A2A0E" w:rsidRPr="00C043D5">
                    <w:rPr>
                      <w:rFonts w:ascii="Arial" w:hAnsi="Arial" w:cs="Arial"/>
                      <w:i/>
                      <w:iCs/>
                      <w:sz w:val="16"/>
                      <w:szCs w:val="16"/>
                    </w:rPr>
                    <w:t>B</w:t>
                  </w:r>
                  <w:r>
                    <w:rPr>
                      <w:rFonts w:ascii="Arial" w:hAnsi="Arial" w:cs="Arial"/>
                      <w:i/>
                      <w:iCs/>
                      <w:sz w:val="16"/>
                      <w:szCs w:val="16"/>
                    </w:rPr>
                    <w:t>”</w:t>
                  </w:r>
                  <w:r w:rsidR="007A2A0E" w:rsidRPr="00C043D5">
                    <w:rPr>
                      <w:rFonts w:ascii="Arial" w:hAnsi="Arial" w:cs="Arial"/>
                      <w:i/>
                      <w:iCs/>
                      <w:sz w:val="16"/>
                      <w:szCs w:val="16"/>
                    </w:rPr>
                    <w:t>. dothidea “B”. obtusa “B”. parva “B”. stevensii</w:t>
                  </w:r>
                </w:p>
              </w:tc>
            </w:tr>
          </w:tbl>
          <w:p w:rsidR="007A2A0E" w:rsidRPr="00C043D5" w:rsidRDefault="007A2A0E" w:rsidP="008D0733">
            <w:pPr>
              <w:pStyle w:val="Default"/>
              <w:rPr>
                <w:rFonts w:ascii="Arial" w:eastAsia="Times New Roman" w:hAnsi="Arial" w:cs="Arial"/>
                <w:b/>
                <w:bCs/>
                <w:i/>
                <w:iCs/>
                <w:sz w:val="16"/>
                <w:szCs w:val="16"/>
              </w:rPr>
            </w:pPr>
          </w:p>
        </w:tc>
        <w:tc>
          <w:tcPr>
            <w:tcW w:w="2392" w:type="dxa"/>
            <w:tcBorders>
              <w:top w:val="single" w:sz="8" w:space="0" w:color="9BBB59"/>
              <w:left w:val="single" w:sz="8" w:space="0" w:color="9BBB59"/>
              <w:bottom w:val="single" w:sz="8" w:space="0" w:color="9BBB59"/>
              <w:right w:val="single" w:sz="8" w:space="0" w:color="9BBB59"/>
            </w:tcBorders>
            <w:vAlign w:val="center"/>
          </w:tcPr>
          <w:tbl>
            <w:tblPr>
              <w:tblW w:w="2250" w:type="dxa"/>
              <w:tblBorders>
                <w:top w:val="nil"/>
                <w:left w:val="nil"/>
                <w:bottom w:val="nil"/>
                <w:right w:val="nil"/>
              </w:tblBorders>
              <w:tblLook w:val="0000"/>
            </w:tblPr>
            <w:tblGrid>
              <w:gridCol w:w="2250"/>
            </w:tblGrid>
            <w:tr w:rsidR="007A2A0E" w:rsidRPr="00C043D5" w:rsidTr="009662B5">
              <w:trPr>
                <w:trHeight w:val="403"/>
              </w:trPr>
              <w:tc>
                <w:tcPr>
                  <w:tcW w:w="0" w:type="auto"/>
                </w:tcPr>
                <w:p w:rsidR="007A2A0E" w:rsidRPr="00C043D5" w:rsidRDefault="007A2A0E" w:rsidP="00CA2DED">
                  <w:pPr>
                    <w:pStyle w:val="Default"/>
                    <w:rPr>
                      <w:rFonts w:ascii="Arial" w:hAnsi="Arial" w:cs="Arial"/>
                      <w:sz w:val="16"/>
                      <w:szCs w:val="16"/>
                    </w:rPr>
                  </w:pPr>
                  <w:r w:rsidRPr="00C043D5">
                    <w:rPr>
                      <w:rFonts w:ascii="Arial" w:hAnsi="Arial" w:cs="Arial"/>
                      <w:sz w:val="16"/>
                      <w:szCs w:val="16"/>
                    </w:rPr>
                    <w:t>Declínio da videira, necroses sectoriais, die-back, escoriose, cancros black dead arm</w:t>
                  </w:r>
                </w:p>
              </w:tc>
            </w:tr>
          </w:tbl>
          <w:p w:rsidR="007A2A0E" w:rsidRPr="00C043D5" w:rsidRDefault="007A2A0E" w:rsidP="00CA2DED">
            <w:pPr>
              <w:pStyle w:val="Default"/>
              <w:ind w:firstLine="709"/>
              <w:rPr>
                <w:rFonts w:ascii="Arial" w:hAnsi="Arial" w:cs="Arial"/>
              </w:rPr>
            </w:pPr>
          </w:p>
        </w:tc>
        <w:tc>
          <w:tcPr>
            <w:tcW w:w="2611" w:type="dxa"/>
            <w:tcBorders>
              <w:top w:val="single" w:sz="8" w:space="0" w:color="9BBB59"/>
              <w:left w:val="single" w:sz="8" w:space="0" w:color="9BBB59"/>
              <w:bottom w:val="single" w:sz="8" w:space="0" w:color="9BBB59"/>
              <w:right w:val="single" w:sz="8" w:space="0" w:color="9BBB59"/>
            </w:tcBorders>
            <w:vAlign w:val="center"/>
          </w:tcPr>
          <w:tbl>
            <w:tblPr>
              <w:tblW w:w="1832" w:type="dxa"/>
              <w:tblBorders>
                <w:top w:val="nil"/>
                <w:left w:val="nil"/>
                <w:bottom w:val="nil"/>
                <w:right w:val="nil"/>
              </w:tblBorders>
              <w:tblLook w:val="0000"/>
            </w:tblPr>
            <w:tblGrid>
              <w:gridCol w:w="1832"/>
            </w:tblGrid>
            <w:tr w:rsidR="007A2A0E" w:rsidRPr="00C043D5" w:rsidTr="009662B5">
              <w:trPr>
                <w:trHeight w:val="251"/>
              </w:trPr>
              <w:tc>
                <w:tcPr>
                  <w:tcW w:w="0" w:type="auto"/>
                </w:tcPr>
                <w:p w:rsidR="007A2A0E" w:rsidRPr="00C043D5" w:rsidRDefault="007A2A0E" w:rsidP="00CA2DED">
                  <w:pPr>
                    <w:pStyle w:val="Default"/>
                    <w:rPr>
                      <w:rFonts w:ascii="Arial" w:hAnsi="Arial" w:cs="Arial"/>
                      <w:sz w:val="16"/>
                      <w:szCs w:val="16"/>
                    </w:rPr>
                  </w:pPr>
                  <w:r w:rsidRPr="00C043D5">
                    <w:rPr>
                      <w:rFonts w:ascii="Arial" w:hAnsi="Arial" w:cs="Arial"/>
                      <w:sz w:val="16"/>
                      <w:szCs w:val="16"/>
                    </w:rPr>
                    <w:t xml:space="preserve">Phillips, 2002 Rego </w:t>
                  </w:r>
                  <w:r w:rsidR="006F2254" w:rsidRPr="006F2254">
                    <w:rPr>
                      <w:rFonts w:ascii="Arial" w:hAnsi="Arial" w:cs="Arial"/>
                      <w:i/>
                      <w:iCs/>
                      <w:sz w:val="16"/>
                      <w:szCs w:val="16"/>
                    </w:rPr>
                    <w:t>et al.</w:t>
                  </w:r>
                  <w:r w:rsidRPr="00C043D5">
                    <w:rPr>
                      <w:rFonts w:ascii="Arial" w:hAnsi="Arial" w:cs="Arial"/>
                      <w:sz w:val="16"/>
                      <w:szCs w:val="16"/>
                    </w:rPr>
                    <w:t>, 2007</w:t>
                  </w:r>
                </w:p>
              </w:tc>
            </w:tr>
          </w:tbl>
          <w:p w:rsidR="007A2A0E" w:rsidRPr="00C043D5" w:rsidRDefault="007A2A0E" w:rsidP="00CA2DED">
            <w:pPr>
              <w:spacing w:after="0"/>
              <w:jc w:val="left"/>
            </w:pPr>
          </w:p>
        </w:tc>
        <w:tc>
          <w:tcPr>
            <w:tcW w:w="1038" w:type="dxa"/>
            <w:tcBorders>
              <w:top w:val="single" w:sz="8" w:space="0" w:color="9BBB59"/>
              <w:left w:val="single" w:sz="8" w:space="0" w:color="9BBB59"/>
              <w:bottom w:val="single" w:sz="8" w:space="0" w:color="9BBB59"/>
              <w:right w:val="single" w:sz="8" w:space="0" w:color="9BBB59"/>
            </w:tcBorders>
            <w:vAlign w:val="center"/>
          </w:tcPr>
          <w:tbl>
            <w:tblPr>
              <w:tblW w:w="0" w:type="auto"/>
              <w:tblBorders>
                <w:top w:val="nil"/>
                <w:left w:val="nil"/>
                <w:bottom w:val="nil"/>
                <w:right w:val="nil"/>
              </w:tblBorders>
              <w:tblLook w:val="0000"/>
            </w:tblPr>
            <w:tblGrid>
              <w:gridCol w:w="812"/>
            </w:tblGrid>
            <w:tr w:rsidR="007A2A0E" w:rsidRPr="00C043D5" w:rsidTr="009662B5">
              <w:trPr>
                <w:trHeight w:val="156"/>
              </w:trPr>
              <w:tc>
                <w:tcPr>
                  <w:tcW w:w="0" w:type="auto"/>
                </w:tcPr>
                <w:p w:rsidR="007A2A0E" w:rsidRPr="00C043D5" w:rsidRDefault="007A2A0E" w:rsidP="00CA2DED">
                  <w:pPr>
                    <w:pStyle w:val="Default"/>
                    <w:rPr>
                      <w:rFonts w:ascii="Arial" w:hAnsi="Arial" w:cs="Arial"/>
                      <w:sz w:val="16"/>
                      <w:szCs w:val="16"/>
                    </w:rPr>
                  </w:pPr>
                  <w:r w:rsidRPr="00C043D5">
                    <w:rPr>
                      <w:rFonts w:ascii="Arial" w:hAnsi="Arial" w:cs="Arial"/>
                      <w:sz w:val="16"/>
                      <w:szCs w:val="16"/>
                    </w:rPr>
                    <w:t>Portugal</w:t>
                  </w:r>
                </w:p>
              </w:tc>
            </w:tr>
          </w:tbl>
          <w:p w:rsidR="007A2A0E" w:rsidRPr="00C043D5" w:rsidRDefault="007A2A0E" w:rsidP="00CA2DED">
            <w:pPr>
              <w:spacing w:after="0"/>
              <w:jc w:val="left"/>
            </w:pPr>
          </w:p>
        </w:tc>
      </w:tr>
      <w:tr w:rsidR="007A2A0E" w:rsidRPr="00C043D5" w:rsidTr="008D0733">
        <w:trPr>
          <w:trHeight w:val="227"/>
        </w:trPr>
        <w:tc>
          <w:tcPr>
            <w:tcW w:w="3245" w:type="dxa"/>
            <w:tcBorders>
              <w:top w:val="single" w:sz="8" w:space="0" w:color="9BBB59"/>
              <w:left w:val="single" w:sz="8" w:space="0" w:color="9BBB59"/>
              <w:bottom w:val="single" w:sz="8" w:space="0" w:color="9BBB59"/>
              <w:right w:val="single" w:sz="8" w:space="0" w:color="9BBB59"/>
            </w:tcBorders>
            <w:shd w:val="clear" w:color="auto" w:fill="E6EED5"/>
            <w:vAlign w:val="center"/>
          </w:tcPr>
          <w:tbl>
            <w:tblPr>
              <w:tblW w:w="0" w:type="auto"/>
              <w:tblBorders>
                <w:top w:val="nil"/>
                <w:left w:val="nil"/>
                <w:bottom w:val="nil"/>
                <w:right w:val="nil"/>
              </w:tblBorders>
              <w:tblLook w:val="0000"/>
            </w:tblPr>
            <w:tblGrid>
              <w:gridCol w:w="1746"/>
            </w:tblGrid>
            <w:tr w:rsidR="007A2A0E" w:rsidRPr="00C043D5" w:rsidTr="009662B5">
              <w:trPr>
                <w:trHeight w:val="156"/>
              </w:trPr>
              <w:tc>
                <w:tcPr>
                  <w:tcW w:w="0" w:type="auto"/>
                </w:tcPr>
                <w:p w:rsidR="007A2A0E" w:rsidRPr="00C043D5" w:rsidRDefault="007A2A0E" w:rsidP="008D0733">
                  <w:pPr>
                    <w:pStyle w:val="Default"/>
                    <w:rPr>
                      <w:rFonts w:ascii="Arial" w:hAnsi="Arial" w:cs="Arial"/>
                      <w:sz w:val="16"/>
                      <w:szCs w:val="16"/>
                    </w:rPr>
                  </w:pPr>
                  <w:r w:rsidRPr="00C043D5">
                    <w:rPr>
                      <w:rFonts w:ascii="Arial" w:hAnsi="Arial" w:cs="Arial"/>
                      <w:i/>
                      <w:iCs/>
                      <w:sz w:val="16"/>
                      <w:szCs w:val="16"/>
                    </w:rPr>
                    <w:t>“</w:t>
                  </w:r>
                  <w:r w:rsidR="00016F11" w:rsidRPr="00016F11">
                    <w:rPr>
                      <w:rFonts w:ascii="Arial" w:hAnsi="Arial" w:cs="Arial"/>
                      <w:i/>
                      <w:iCs/>
                      <w:sz w:val="16"/>
                      <w:szCs w:val="16"/>
                    </w:rPr>
                    <w:t>Botryosphaeria</w:t>
                  </w:r>
                  <w:r w:rsidRPr="00C043D5">
                    <w:rPr>
                      <w:rFonts w:ascii="Arial" w:hAnsi="Arial" w:cs="Arial"/>
                      <w:i/>
                      <w:iCs/>
                      <w:sz w:val="16"/>
                      <w:szCs w:val="16"/>
                    </w:rPr>
                    <w:t xml:space="preserve">” </w:t>
                  </w:r>
                  <w:r w:rsidRPr="00C043D5">
                    <w:rPr>
                      <w:rFonts w:ascii="Arial" w:hAnsi="Arial" w:cs="Arial"/>
                      <w:sz w:val="16"/>
                      <w:szCs w:val="16"/>
                    </w:rPr>
                    <w:t>spp.</w:t>
                  </w:r>
                </w:p>
              </w:tc>
            </w:tr>
          </w:tbl>
          <w:p w:rsidR="007A2A0E" w:rsidRPr="00C043D5" w:rsidRDefault="007A2A0E" w:rsidP="008D0733">
            <w:pPr>
              <w:pStyle w:val="Default"/>
              <w:rPr>
                <w:rFonts w:ascii="Arial" w:eastAsia="Times New Roman" w:hAnsi="Arial" w:cs="Arial"/>
                <w:b/>
                <w:bCs/>
                <w:i/>
                <w:iCs/>
                <w:sz w:val="16"/>
                <w:szCs w:val="16"/>
              </w:rPr>
            </w:pPr>
          </w:p>
        </w:tc>
        <w:tc>
          <w:tcPr>
            <w:tcW w:w="2392" w:type="dxa"/>
            <w:vMerge w:val="restart"/>
            <w:tcBorders>
              <w:top w:val="single" w:sz="8" w:space="0" w:color="9BBB59"/>
              <w:left w:val="single" w:sz="8" w:space="0" w:color="9BBB59"/>
              <w:bottom w:val="single" w:sz="8" w:space="0" w:color="9BBB59"/>
              <w:right w:val="single" w:sz="8" w:space="0" w:color="9BBB59"/>
            </w:tcBorders>
            <w:shd w:val="clear" w:color="auto" w:fill="E6EED5"/>
            <w:vAlign w:val="center"/>
          </w:tcPr>
          <w:tbl>
            <w:tblPr>
              <w:tblW w:w="0" w:type="auto"/>
              <w:tblBorders>
                <w:top w:val="nil"/>
                <w:left w:val="nil"/>
                <w:bottom w:val="nil"/>
                <w:right w:val="nil"/>
              </w:tblBorders>
              <w:tblLook w:val="0000"/>
            </w:tblPr>
            <w:tblGrid>
              <w:gridCol w:w="2250"/>
            </w:tblGrid>
            <w:tr w:rsidR="007A2A0E" w:rsidRPr="00C043D5" w:rsidTr="009662B5">
              <w:trPr>
                <w:trHeight w:val="545"/>
              </w:trPr>
              <w:tc>
                <w:tcPr>
                  <w:tcW w:w="0" w:type="auto"/>
                </w:tcPr>
                <w:p w:rsidR="007A2A0E" w:rsidRPr="00C043D5" w:rsidRDefault="007A2A0E" w:rsidP="00CA2DED">
                  <w:pPr>
                    <w:pStyle w:val="Default"/>
                    <w:rPr>
                      <w:rFonts w:ascii="Arial" w:hAnsi="Arial" w:cs="Arial"/>
                      <w:sz w:val="16"/>
                      <w:szCs w:val="16"/>
                    </w:rPr>
                  </w:pPr>
                  <w:r w:rsidRPr="00C043D5">
                    <w:rPr>
                      <w:rFonts w:ascii="Arial" w:hAnsi="Arial" w:cs="Arial"/>
                      <w:sz w:val="16"/>
                      <w:szCs w:val="16"/>
                    </w:rPr>
                    <w:t>Declínio da videira Necroses em material de propagação vegetativa</w:t>
                  </w:r>
                </w:p>
              </w:tc>
            </w:tr>
          </w:tbl>
          <w:p w:rsidR="007A2A0E" w:rsidRPr="00C043D5" w:rsidRDefault="007A2A0E" w:rsidP="00CA2DED">
            <w:pPr>
              <w:pStyle w:val="Default"/>
              <w:rPr>
                <w:rFonts w:ascii="Arial" w:hAnsi="Arial" w:cs="Arial"/>
              </w:rPr>
            </w:pPr>
          </w:p>
        </w:tc>
        <w:tc>
          <w:tcPr>
            <w:tcW w:w="2611" w:type="dxa"/>
            <w:tcBorders>
              <w:top w:val="single" w:sz="8" w:space="0" w:color="9BBB59"/>
              <w:left w:val="single" w:sz="8" w:space="0" w:color="9BBB59"/>
              <w:bottom w:val="single" w:sz="8" w:space="0" w:color="9BBB59"/>
              <w:right w:val="single" w:sz="8" w:space="0" w:color="9BBB59"/>
            </w:tcBorders>
            <w:shd w:val="clear" w:color="auto" w:fill="E6EED5"/>
            <w:vAlign w:val="center"/>
          </w:tcPr>
          <w:tbl>
            <w:tblPr>
              <w:tblW w:w="0" w:type="auto"/>
              <w:tblBorders>
                <w:top w:val="nil"/>
                <w:left w:val="nil"/>
                <w:bottom w:val="nil"/>
                <w:right w:val="nil"/>
              </w:tblBorders>
              <w:tblLook w:val="0000"/>
            </w:tblPr>
            <w:tblGrid>
              <w:gridCol w:w="2129"/>
            </w:tblGrid>
            <w:tr w:rsidR="007A2A0E" w:rsidRPr="00C043D5" w:rsidTr="009662B5">
              <w:trPr>
                <w:trHeight w:val="156"/>
              </w:trPr>
              <w:tc>
                <w:tcPr>
                  <w:tcW w:w="0" w:type="auto"/>
                </w:tcPr>
                <w:p w:rsidR="007A2A0E" w:rsidRPr="00C043D5" w:rsidRDefault="007A2A0E" w:rsidP="00CA2DED">
                  <w:pPr>
                    <w:pStyle w:val="Default"/>
                    <w:rPr>
                      <w:rFonts w:ascii="Arial" w:hAnsi="Arial" w:cs="Arial"/>
                      <w:sz w:val="16"/>
                      <w:szCs w:val="16"/>
                    </w:rPr>
                  </w:pPr>
                  <w:r w:rsidRPr="00C043D5">
                    <w:rPr>
                      <w:rFonts w:ascii="Arial" w:hAnsi="Arial" w:cs="Arial"/>
                      <w:sz w:val="16"/>
                      <w:szCs w:val="16"/>
                    </w:rPr>
                    <w:t xml:space="preserve">Giménez-Jaime </w:t>
                  </w:r>
                  <w:r w:rsidR="006F2254" w:rsidRPr="006F2254">
                    <w:rPr>
                      <w:rFonts w:ascii="Arial" w:hAnsi="Arial" w:cs="Arial"/>
                      <w:i/>
                      <w:iCs/>
                      <w:sz w:val="16"/>
                      <w:szCs w:val="16"/>
                    </w:rPr>
                    <w:t>et al.</w:t>
                  </w:r>
                  <w:r w:rsidRPr="00C043D5">
                    <w:rPr>
                      <w:rFonts w:ascii="Arial" w:hAnsi="Arial" w:cs="Arial"/>
                      <w:i/>
                      <w:iCs/>
                      <w:sz w:val="16"/>
                      <w:szCs w:val="16"/>
                    </w:rPr>
                    <w:t>,</w:t>
                  </w:r>
                  <w:r w:rsidRPr="00C043D5">
                    <w:rPr>
                      <w:rFonts w:ascii="Arial" w:hAnsi="Arial" w:cs="Arial"/>
                      <w:sz w:val="16"/>
                      <w:szCs w:val="16"/>
                    </w:rPr>
                    <w:t>2006</w:t>
                  </w:r>
                </w:p>
              </w:tc>
            </w:tr>
          </w:tbl>
          <w:p w:rsidR="007A2A0E" w:rsidRPr="00C043D5" w:rsidRDefault="007A2A0E" w:rsidP="00CA2DED">
            <w:pPr>
              <w:spacing w:after="0"/>
              <w:jc w:val="left"/>
            </w:pPr>
          </w:p>
        </w:tc>
        <w:tc>
          <w:tcPr>
            <w:tcW w:w="1038" w:type="dxa"/>
            <w:vMerge w:val="restart"/>
            <w:tcBorders>
              <w:top w:val="single" w:sz="8" w:space="0" w:color="9BBB59"/>
              <w:left w:val="single" w:sz="8" w:space="0" w:color="9BBB59"/>
              <w:bottom w:val="single" w:sz="8" w:space="0" w:color="9BBB59"/>
              <w:right w:val="single" w:sz="8" w:space="0" w:color="9BBB59"/>
            </w:tcBorders>
            <w:shd w:val="clear" w:color="auto" w:fill="E6EED5"/>
            <w:vAlign w:val="center"/>
          </w:tcPr>
          <w:tbl>
            <w:tblPr>
              <w:tblW w:w="0" w:type="auto"/>
              <w:tblBorders>
                <w:top w:val="nil"/>
                <w:left w:val="nil"/>
                <w:bottom w:val="nil"/>
                <w:right w:val="nil"/>
              </w:tblBorders>
              <w:tblLook w:val="0000"/>
            </w:tblPr>
            <w:tblGrid>
              <w:gridCol w:w="848"/>
            </w:tblGrid>
            <w:tr w:rsidR="007A2A0E" w:rsidRPr="00C043D5" w:rsidTr="009662B5">
              <w:trPr>
                <w:trHeight w:val="156"/>
              </w:trPr>
              <w:tc>
                <w:tcPr>
                  <w:tcW w:w="0" w:type="auto"/>
                </w:tcPr>
                <w:p w:rsidR="007A2A0E" w:rsidRPr="00C043D5" w:rsidRDefault="007A2A0E" w:rsidP="00CA2DED">
                  <w:pPr>
                    <w:pStyle w:val="Default"/>
                    <w:rPr>
                      <w:rFonts w:ascii="Arial" w:hAnsi="Arial" w:cs="Arial"/>
                      <w:sz w:val="16"/>
                      <w:szCs w:val="16"/>
                    </w:rPr>
                  </w:pPr>
                  <w:r w:rsidRPr="00C043D5">
                    <w:rPr>
                      <w:rFonts w:ascii="Arial" w:hAnsi="Arial" w:cs="Arial"/>
                      <w:sz w:val="16"/>
                      <w:szCs w:val="16"/>
                    </w:rPr>
                    <w:t>Espanha</w:t>
                  </w:r>
                </w:p>
              </w:tc>
            </w:tr>
          </w:tbl>
          <w:p w:rsidR="007A2A0E" w:rsidRPr="00C043D5" w:rsidRDefault="007A2A0E" w:rsidP="00CA2DED">
            <w:pPr>
              <w:spacing w:after="0"/>
              <w:jc w:val="left"/>
            </w:pPr>
          </w:p>
        </w:tc>
      </w:tr>
      <w:tr w:rsidR="007A2A0E" w:rsidRPr="00C043D5" w:rsidTr="008D0733">
        <w:trPr>
          <w:trHeight w:val="227"/>
        </w:trPr>
        <w:tc>
          <w:tcPr>
            <w:tcW w:w="3245" w:type="dxa"/>
            <w:tcBorders>
              <w:top w:val="single" w:sz="8" w:space="0" w:color="9BBB59"/>
              <w:left w:val="single" w:sz="8" w:space="0" w:color="9BBB59"/>
              <w:bottom w:val="single" w:sz="8" w:space="0" w:color="9BBB59"/>
              <w:right w:val="single" w:sz="8" w:space="0" w:color="9BBB59"/>
            </w:tcBorders>
            <w:vAlign w:val="center"/>
          </w:tcPr>
          <w:tbl>
            <w:tblPr>
              <w:tblW w:w="2820" w:type="dxa"/>
              <w:tblBorders>
                <w:top w:val="nil"/>
                <w:left w:val="nil"/>
                <w:bottom w:val="nil"/>
                <w:right w:val="nil"/>
              </w:tblBorders>
              <w:tblLook w:val="0000"/>
            </w:tblPr>
            <w:tblGrid>
              <w:gridCol w:w="2820"/>
            </w:tblGrid>
            <w:tr w:rsidR="007A2A0E" w:rsidRPr="00C043D5" w:rsidTr="008D0733">
              <w:trPr>
                <w:trHeight w:val="264"/>
              </w:trPr>
              <w:tc>
                <w:tcPr>
                  <w:tcW w:w="0" w:type="auto"/>
                </w:tcPr>
                <w:p w:rsidR="007A2A0E" w:rsidRPr="00C043D5" w:rsidRDefault="007A2A0E" w:rsidP="008D0733">
                  <w:pPr>
                    <w:pStyle w:val="Default"/>
                    <w:rPr>
                      <w:rFonts w:ascii="Arial" w:hAnsi="Arial" w:cs="Arial"/>
                      <w:i/>
                      <w:iCs/>
                      <w:sz w:val="16"/>
                      <w:szCs w:val="16"/>
                    </w:rPr>
                  </w:pPr>
                  <w:r w:rsidRPr="00C043D5">
                    <w:rPr>
                      <w:rFonts w:ascii="Arial" w:hAnsi="Arial" w:cs="Arial"/>
                      <w:i/>
                      <w:iCs/>
                      <w:sz w:val="16"/>
                      <w:szCs w:val="16"/>
                    </w:rPr>
                    <w:t xml:space="preserve">“B”. obtusa </w:t>
                  </w:r>
                  <w:r w:rsidR="008D0733">
                    <w:rPr>
                      <w:rFonts w:ascii="Arial" w:hAnsi="Arial" w:cs="Arial"/>
                      <w:i/>
                      <w:iCs/>
                      <w:sz w:val="16"/>
                      <w:szCs w:val="16"/>
                    </w:rPr>
                    <w:t>“</w:t>
                  </w:r>
                  <w:r w:rsidRPr="00C043D5">
                    <w:rPr>
                      <w:rFonts w:ascii="Arial" w:hAnsi="Arial" w:cs="Arial"/>
                      <w:i/>
                      <w:iCs/>
                      <w:sz w:val="16"/>
                      <w:szCs w:val="16"/>
                    </w:rPr>
                    <w:t>B</w:t>
                  </w:r>
                  <w:r w:rsidR="008D0733">
                    <w:rPr>
                      <w:rFonts w:ascii="Arial" w:hAnsi="Arial" w:cs="Arial"/>
                      <w:i/>
                      <w:iCs/>
                      <w:sz w:val="16"/>
                      <w:szCs w:val="16"/>
                    </w:rPr>
                    <w:t>”</w:t>
                  </w:r>
                  <w:r w:rsidRPr="00C043D5">
                    <w:rPr>
                      <w:rFonts w:ascii="Arial" w:hAnsi="Arial" w:cs="Arial"/>
                      <w:i/>
                      <w:iCs/>
                      <w:sz w:val="16"/>
                      <w:szCs w:val="16"/>
                    </w:rPr>
                    <w:t>. dothidea “B”. parva</w:t>
                  </w:r>
                </w:p>
              </w:tc>
            </w:tr>
          </w:tbl>
          <w:p w:rsidR="007A2A0E" w:rsidRPr="00C043D5" w:rsidRDefault="007A2A0E" w:rsidP="008D0733">
            <w:pPr>
              <w:pStyle w:val="Default"/>
              <w:rPr>
                <w:rFonts w:ascii="Arial" w:eastAsia="Times New Roman" w:hAnsi="Arial" w:cs="Arial"/>
                <w:b/>
                <w:bCs/>
                <w:i/>
                <w:iCs/>
                <w:sz w:val="16"/>
                <w:szCs w:val="16"/>
              </w:rPr>
            </w:pPr>
          </w:p>
        </w:tc>
        <w:tc>
          <w:tcPr>
            <w:tcW w:w="2392" w:type="dxa"/>
            <w:vMerge/>
            <w:tcBorders>
              <w:top w:val="single" w:sz="8" w:space="0" w:color="9BBB59"/>
              <w:left w:val="single" w:sz="8" w:space="0" w:color="9BBB59"/>
              <w:bottom w:val="single" w:sz="8" w:space="0" w:color="9BBB59"/>
              <w:right w:val="single" w:sz="8" w:space="0" w:color="9BBB59"/>
            </w:tcBorders>
            <w:vAlign w:val="center"/>
          </w:tcPr>
          <w:p w:rsidR="007A2A0E" w:rsidRPr="00C043D5" w:rsidRDefault="007A2A0E" w:rsidP="00CA2DED">
            <w:pPr>
              <w:pStyle w:val="Default"/>
              <w:rPr>
                <w:rFonts w:ascii="Arial" w:hAnsi="Arial" w:cs="Arial"/>
              </w:rPr>
            </w:pPr>
          </w:p>
        </w:tc>
        <w:tc>
          <w:tcPr>
            <w:tcW w:w="2611" w:type="dxa"/>
            <w:tcBorders>
              <w:top w:val="single" w:sz="8" w:space="0" w:color="9BBB59"/>
              <w:left w:val="single" w:sz="8" w:space="0" w:color="9BBB59"/>
              <w:bottom w:val="single" w:sz="8" w:space="0" w:color="9BBB59"/>
              <w:right w:val="single" w:sz="8" w:space="0" w:color="9BBB59"/>
            </w:tcBorders>
            <w:vAlign w:val="center"/>
          </w:tcPr>
          <w:tbl>
            <w:tblPr>
              <w:tblW w:w="0" w:type="auto"/>
              <w:tblBorders>
                <w:top w:val="nil"/>
                <w:left w:val="nil"/>
                <w:bottom w:val="nil"/>
                <w:right w:val="nil"/>
              </w:tblBorders>
              <w:tblLook w:val="0000"/>
            </w:tblPr>
            <w:tblGrid>
              <w:gridCol w:w="1426"/>
            </w:tblGrid>
            <w:tr w:rsidR="007A2A0E" w:rsidRPr="00C043D5" w:rsidTr="009662B5">
              <w:trPr>
                <w:trHeight w:val="156"/>
              </w:trPr>
              <w:tc>
                <w:tcPr>
                  <w:tcW w:w="0" w:type="auto"/>
                </w:tcPr>
                <w:p w:rsidR="007A2A0E" w:rsidRPr="00C043D5" w:rsidRDefault="007A2A0E" w:rsidP="00CA2DED">
                  <w:pPr>
                    <w:pStyle w:val="Default"/>
                    <w:rPr>
                      <w:rFonts w:ascii="Arial" w:hAnsi="Arial" w:cs="Arial"/>
                      <w:sz w:val="16"/>
                      <w:szCs w:val="16"/>
                    </w:rPr>
                  </w:pPr>
                  <w:r w:rsidRPr="00C043D5">
                    <w:rPr>
                      <w:rFonts w:ascii="Arial" w:hAnsi="Arial" w:cs="Arial"/>
                      <w:sz w:val="16"/>
                      <w:szCs w:val="16"/>
                    </w:rPr>
                    <w:t xml:space="preserve">Aroca </w:t>
                  </w:r>
                  <w:r w:rsidRPr="00C043D5">
                    <w:rPr>
                      <w:rFonts w:ascii="Arial" w:hAnsi="Arial" w:cs="Arial"/>
                      <w:i/>
                      <w:iCs/>
                      <w:sz w:val="16"/>
                      <w:szCs w:val="16"/>
                    </w:rPr>
                    <w:t xml:space="preserve">et al, </w:t>
                  </w:r>
                  <w:r w:rsidRPr="00C043D5">
                    <w:rPr>
                      <w:rFonts w:ascii="Arial" w:hAnsi="Arial" w:cs="Arial"/>
                      <w:sz w:val="16"/>
                      <w:szCs w:val="16"/>
                    </w:rPr>
                    <w:t>2006</w:t>
                  </w:r>
                </w:p>
              </w:tc>
            </w:tr>
          </w:tbl>
          <w:p w:rsidR="007A2A0E" w:rsidRPr="00C043D5" w:rsidRDefault="007A2A0E" w:rsidP="00CA2DED">
            <w:pPr>
              <w:spacing w:after="0"/>
              <w:jc w:val="left"/>
            </w:pPr>
          </w:p>
        </w:tc>
        <w:tc>
          <w:tcPr>
            <w:tcW w:w="1038" w:type="dxa"/>
            <w:vMerge/>
            <w:tcBorders>
              <w:top w:val="single" w:sz="8" w:space="0" w:color="9BBB59"/>
              <w:left w:val="single" w:sz="8" w:space="0" w:color="9BBB59"/>
              <w:bottom w:val="single" w:sz="8" w:space="0" w:color="9BBB59"/>
              <w:right w:val="single" w:sz="8" w:space="0" w:color="9BBB59"/>
            </w:tcBorders>
            <w:vAlign w:val="center"/>
          </w:tcPr>
          <w:p w:rsidR="007A2A0E" w:rsidRPr="00C043D5" w:rsidRDefault="007A2A0E" w:rsidP="00CA2DED">
            <w:pPr>
              <w:spacing w:after="0"/>
              <w:jc w:val="left"/>
            </w:pPr>
          </w:p>
        </w:tc>
      </w:tr>
      <w:tr w:rsidR="007A2A0E" w:rsidRPr="00C043D5" w:rsidTr="008D0733">
        <w:trPr>
          <w:trHeight w:val="227"/>
        </w:trPr>
        <w:tc>
          <w:tcPr>
            <w:tcW w:w="3245" w:type="dxa"/>
            <w:tcBorders>
              <w:top w:val="single" w:sz="8" w:space="0" w:color="9BBB59"/>
              <w:left w:val="single" w:sz="8" w:space="0" w:color="9BBB59"/>
              <w:bottom w:val="single" w:sz="8" w:space="0" w:color="9BBB59"/>
              <w:right w:val="single" w:sz="8" w:space="0" w:color="9BBB59"/>
            </w:tcBorders>
            <w:shd w:val="clear" w:color="auto" w:fill="E6EED5"/>
            <w:vAlign w:val="center"/>
          </w:tcPr>
          <w:tbl>
            <w:tblPr>
              <w:tblW w:w="0" w:type="auto"/>
              <w:tblBorders>
                <w:top w:val="nil"/>
                <w:left w:val="nil"/>
                <w:bottom w:val="nil"/>
                <w:right w:val="nil"/>
              </w:tblBorders>
              <w:tblLook w:val="0000"/>
            </w:tblPr>
            <w:tblGrid>
              <w:gridCol w:w="963"/>
            </w:tblGrid>
            <w:tr w:rsidR="007A2A0E" w:rsidRPr="00C043D5" w:rsidTr="009662B5">
              <w:trPr>
                <w:trHeight w:val="156"/>
              </w:trPr>
              <w:tc>
                <w:tcPr>
                  <w:tcW w:w="0" w:type="auto"/>
                </w:tcPr>
                <w:p w:rsidR="007A2A0E" w:rsidRPr="00C043D5" w:rsidRDefault="007A2A0E" w:rsidP="008D0733">
                  <w:pPr>
                    <w:pStyle w:val="Default"/>
                    <w:rPr>
                      <w:rFonts w:ascii="Arial" w:hAnsi="Arial" w:cs="Arial"/>
                      <w:sz w:val="16"/>
                      <w:szCs w:val="16"/>
                    </w:rPr>
                  </w:pPr>
                  <w:r w:rsidRPr="00C043D5">
                    <w:rPr>
                      <w:rFonts w:ascii="Arial" w:hAnsi="Arial" w:cs="Arial"/>
                      <w:i/>
                      <w:iCs/>
                      <w:sz w:val="16"/>
                      <w:szCs w:val="16"/>
                    </w:rPr>
                    <w:t>“B” viticola</w:t>
                  </w:r>
                </w:p>
              </w:tc>
            </w:tr>
          </w:tbl>
          <w:p w:rsidR="007A2A0E" w:rsidRPr="00C043D5" w:rsidRDefault="007A2A0E" w:rsidP="008D0733">
            <w:pPr>
              <w:pStyle w:val="Default"/>
              <w:rPr>
                <w:rFonts w:ascii="Arial" w:eastAsia="Times New Roman" w:hAnsi="Arial" w:cs="Arial"/>
                <w:b/>
                <w:bCs/>
              </w:rPr>
            </w:pPr>
          </w:p>
        </w:tc>
        <w:tc>
          <w:tcPr>
            <w:tcW w:w="2392" w:type="dxa"/>
            <w:tcBorders>
              <w:top w:val="single" w:sz="8" w:space="0" w:color="9BBB59"/>
              <w:left w:val="single" w:sz="8" w:space="0" w:color="9BBB59"/>
              <w:bottom w:val="single" w:sz="8" w:space="0" w:color="9BBB59"/>
              <w:right w:val="single" w:sz="8" w:space="0" w:color="9BBB59"/>
            </w:tcBorders>
            <w:shd w:val="clear" w:color="auto" w:fill="E6EED5"/>
            <w:vAlign w:val="center"/>
          </w:tcPr>
          <w:tbl>
            <w:tblPr>
              <w:tblW w:w="0" w:type="auto"/>
              <w:tblBorders>
                <w:top w:val="nil"/>
                <w:left w:val="nil"/>
                <w:bottom w:val="nil"/>
                <w:right w:val="nil"/>
              </w:tblBorders>
              <w:tblLook w:val="0000"/>
            </w:tblPr>
            <w:tblGrid>
              <w:gridCol w:w="1853"/>
            </w:tblGrid>
            <w:tr w:rsidR="007A2A0E" w:rsidRPr="00C043D5" w:rsidTr="009662B5">
              <w:trPr>
                <w:trHeight w:val="156"/>
              </w:trPr>
              <w:tc>
                <w:tcPr>
                  <w:tcW w:w="0" w:type="auto"/>
                </w:tcPr>
                <w:p w:rsidR="007A2A0E" w:rsidRPr="00C043D5" w:rsidRDefault="007A2A0E" w:rsidP="00CA2DED">
                  <w:pPr>
                    <w:pStyle w:val="Default"/>
                    <w:rPr>
                      <w:rFonts w:ascii="Arial" w:hAnsi="Arial" w:cs="Arial"/>
                      <w:sz w:val="16"/>
                      <w:szCs w:val="16"/>
                    </w:rPr>
                  </w:pPr>
                  <w:r w:rsidRPr="00C043D5">
                    <w:rPr>
                      <w:rFonts w:ascii="Arial" w:hAnsi="Arial" w:cs="Arial"/>
                      <w:sz w:val="16"/>
                      <w:szCs w:val="16"/>
                    </w:rPr>
                    <w:t>Plantas assintomáticas</w:t>
                  </w:r>
                </w:p>
              </w:tc>
            </w:tr>
          </w:tbl>
          <w:p w:rsidR="007A2A0E" w:rsidRPr="00C043D5" w:rsidRDefault="007A2A0E" w:rsidP="00CA2DED">
            <w:pPr>
              <w:pStyle w:val="Default"/>
              <w:rPr>
                <w:rFonts w:ascii="Arial" w:hAnsi="Arial" w:cs="Arial"/>
              </w:rPr>
            </w:pPr>
          </w:p>
        </w:tc>
        <w:tc>
          <w:tcPr>
            <w:tcW w:w="2611" w:type="dxa"/>
            <w:tcBorders>
              <w:top w:val="single" w:sz="8" w:space="0" w:color="9BBB59"/>
              <w:left w:val="single" w:sz="8" w:space="0" w:color="9BBB59"/>
              <w:bottom w:val="single" w:sz="8" w:space="0" w:color="9BBB59"/>
              <w:right w:val="single" w:sz="8" w:space="0" w:color="9BBB59"/>
            </w:tcBorders>
            <w:shd w:val="clear" w:color="auto" w:fill="E6EED5"/>
            <w:vAlign w:val="center"/>
          </w:tcPr>
          <w:tbl>
            <w:tblPr>
              <w:tblW w:w="0" w:type="auto"/>
              <w:tblBorders>
                <w:top w:val="nil"/>
                <w:left w:val="nil"/>
                <w:bottom w:val="nil"/>
                <w:right w:val="nil"/>
              </w:tblBorders>
              <w:tblLook w:val="0000"/>
            </w:tblPr>
            <w:tblGrid>
              <w:gridCol w:w="1498"/>
            </w:tblGrid>
            <w:tr w:rsidR="007A2A0E" w:rsidRPr="00C043D5" w:rsidTr="009662B5">
              <w:trPr>
                <w:trHeight w:val="156"/>
              </w:trPr>
              <w:tc>
                <w:tcPr>
                  <w:tcW w:w="0" w:type="auto"/>
                </w:tcPr>
                <w:p w:rsidR="007A2A0E" w:rsidRPr="00C043D5" w:rsidRDefault="007A2A0E" w:rsidP="00CA2DED">
                  <w:pPr>
                    <w:pStyle w:val="Default"/>
                    <w:rPr>
                      <w:rFonts w:ascii="Arial" w:hAnsi="Arial" w:cs="Arial"/>
                      <w:sz w:val="16"/>
                      <w:szCs w:val="16"/>
                    </w:rPr>
                  </w:pPr>
                  <w:r w:rsidRPr="00C043D5">
                    <w:rPr>
                      <w:rFonts w:ascii="Arial" w:hAnsi="Arial" w:cs="Arial"/>
                      <w:sz w:val="16"/>
                      <w:szCs w:val="16"/>
                    </w:rPr>
                    <w:t xml:space="preserve">Luque </w:t>
                  </w:r>
                  <w:r w:rsidR="006F2254" w:rsidRPr="006F2254">
                    <w:rPr>
                      <w:rFonts w:ascii="Arial" w:hAnsi="Arial" w:cs="Arial"/>
                      <w:i/>
                      <w:iCs/>
                      <w:sz w:val="16"/>
                      <w:szCs w:val="16"/>
                    </w:rPr>
                    <w:t>et al.</w:t>
                  </w:r>
                  <w:r w:rsidRPr="00C043D5">
                    <w:rPr>
                      <w:rFonts w:ascii="Arial" w:hAnsi="Arial" w:cs="Arial"/>
                      <w:sz w:val="16"/>
                      <w:szCs w:val="16"/>
                    </w:rPr>
                    <w:t>, 2005</w:t>
                  </w:r>
                </w:p>
              </w:tc>
            </w:tr>
          </w:tbl>
          <w:p w:rsidR="007A2A0E" w:rsidRPr="00C043D5" w:rsidRDefault="007A2A0E" w:rsidP="00CA2DED">
            <w:pPr>
              <w:spacing w:after="0"/>
              <w:jc w:val="left"/>
            </w:pPr>
          </w:p>
        </w:tc>
        <w:tc>
          <w:tcPr>
            <w:tcW w:w="1038" w:type="dxa"/>
            <w:vMerge/>
            <w:tcBorders>
              <w:top w:val="single" w:sz="8" w:space="0" w:color="9BBB59"/>
              <w:left w:val="single" w:sz="8" w:space="0" w:color="9BBB59"/>
              <w:bottom w:val="single" w:sz="8" w:space="0" w:color="9BBB59"/>
              <w:right w:val="single" w:sz="8" w:space="0" w:color="9BBB59"/>
            </w:tcBorders>
            <w:shd w:val="clear" w:color="auto" w:fill="E6EED5"/>
            <w:vAlign w:val="center"/>
          </w:tcPr>
          <w:p w:rsidR="007A2A0E" w:rsidRPr="00C043D5" w:rsidRDefault="007A2A0E" w:rsidP="00CA2DED">
            <w:pPr>
              <w:spacing w:after="0"/>
              <w:jc w:val="left"/>
            </w:pPr>
          </w:p>
        </w:tc>
      </w:tr>
      <w:tr w:rsidR="007A2A0E" w:rsidRPr="00C043D5" w:rsidTr="008D0733">
        <w:trPr>
          <w:trHeight w:val="227"/>
        </w:trPr>
        <w:tc>
          <w:tcPr>
            <w:tcW w:w="3245" w:type="dxa"/>
            <w:tcBorders>
              <w:top w:val="single" w:sz="8" w:space="0" w:color="9BBB59"/>
              <w:left w:val="single" w:sz="8" w:space="0" w:color="9BBB59"/>
              <w:bottom w:val="single" w:sz="8" w:space="0" w:color="9BBB59"/>
              <w:right w:val="single" w:sz="8" w:space="0" w:color="9BBB59"/>
            </w:tcBorders>
            <w:vAlign w:val="center"/>
          </w:tcPr>
          <w:tbl>
            <w:tblPr>
              <w:tblW w:w="0" w:type="auto"/>
              <w:tblBorders>
                <w:top w:val="nil"/>
                <w:left w:val="nil"/>
                <w:bottom w:val="nil"/>
                <w:right w:val="nil"/>
              </w:tblBorders>
              <w:tblLook w:val="0000"/>
            </w:tblPr>
            <w:tblGrid>
              <w:gridCol w:w="999"/>
            </w:tblGrid>
            <w:tr w:rsidR="007A2A0E" w:rsidRPr="00C043D5" w:rsidTr="009662B5">
              <w:trPr>
                <w:trHeight w:val="156"/>
              </w:trPr>
              <w:tc>
                <w:tcPr>
                  <w:tcW w:w="0" w:type="auto"/>
                </w:tcPr>
                <w:p w:rsidR="007A2A0E" w:rsidRPr="00C043D5" w:rsidRDefault="007A2A0E" w:rsidP="008D0733">
                  <w:pPr>
                    <w:pStyle w:val="Default"/>
                    <w:rPr>
                      <w:rFonts w:ascii="Arial" w:hAnsi="Arial" w:cs="Arial"/>
                      <w:sz w:val="16"/>
                      <w:szCs w:val="16"/>
                    </w:rPr>
                  </w:pPr>
                  <w:r w:rsidRPr="00C043D5">
                    <w:rPr>
                      <w:rFonts w:ascii="Arial" w:hAnsi="Arial" w:cs="Arial"/>
                      <w:i/>
                      <w:iCs/>
                      <w:sz w:val="16"/>
                      <w:szCs w:val="16"/>
                    </w:rPr>
                    <w:t>“B”. obtusa</w:t>
                  </w:r>
                </w:p>
              </w:tc>
            </w:tr>
          </w:tbl>
          <w:p w:rsidR="007A2A0E" w:rsidRPr="00C043D5" w:rsidRDefault="007A2A0E" w:rsidP="008D0733">
            <w:pPr>
              <w:pStyle w:val="Default"/>
              <w:rPr>
                <w:rFonts w:ascii="Arial" w:eastAsia="Times New Roman" w:hAnsi="Arial" w:cs="Arial"/>
                <w:b/>
                <w:bCs/>
              </w:rPr>
            </w:pPr>
          </w:p>
        </w:tc>
        <w:tc>
          <w:tcPr>
            <w:tcW w:w="2392" w:type="dxa"/>
            <w:tcBorders>
              <w:top w:val="single" w:sz="8" w:space="0" w:color="9BBB59"/>
              <w:left w:val="single" w:sz="8" w:space="0" w:color="9BBB59"/>
              <w:bottom w:val="single" w:sz="8" w:space="0" w:color="9BBB59"/>
              <w:right w:val="single" w:sz="8" w:space="0" w:color="9BBB59"/>
            </w:tcBorders>
            <w:vAlign w:val="center"/>
          </w:tcPr>
          <w:tbl>
            <w:tblPr>
              <w:tblW w:w="0" w:type="auto"/>
              <w:tblBorders>
                <w:top w:val="nil"/>
                <w:left w:val="nil"/>
                <w:bottom w:val="nil"/>
                <w:right w:val="nil"/>
              </w:tblBorders>
              <w:tblLook w:val="0000"/>
            </w:tblPr>
            <w:tblGrid>
              <w:gridCol w:w="1749"/>
            </w:tblGrid>
            <w:tr w:rsidR="007A2A0E" w:rsidRPr="00C043D5" w:rsidTr="009662B5">
              <w:trPr>
                <w:trHeight w:val="156"/>
              </w:trPr>
              <w:tc>
                <w:tcPr>
                  <w:tcW w:w="0" w:type="auto"/>
                </w:tcPr>
                <w:tbl>
                  <w:tblPr>
                    <w:tblW w:w="0" w:type="auto"/>
                    <w:tblBorders>
                      <w:top w:val="nil"/>
                      <w:left w:val="nil"/>
                      <w:bottom w:val="nil"/>
                      <w:right w:val="nil"/>
                    </w:tblBorders>
                    <w:tblLook w:val="0000"/>
                  </w:tblPr>
                  <w:tblGrid>
                    <w:gridCol w:w="1533"/>
                  </w:tblGrid>
                  <w:tr w:rsidR="007A2A0E" w:rsidRPr="00C043D5" w:rsidTr="009662B5">
                    <w:trPr>
                      <w:trHeight w:val="156"/>
                    </w:trPr>
                    <w:tc>
                      <w:tcPr>
                        <w:tcW w:w="0" w:type="auto"/>
                      </w:tcPr>
                      <w:p w:rsidR="007A2A0E" w:rsidRPr="00C043D5" w:rsidRDefault="007A2A0E" w:rsidP="00CA2DED">
                        <w:pPr>
                          <w:pStyle w:val="Default"/>
                          <w:rPr>
                            <w:rFonts w:ascii="Arial" w:hAnsi="Arial" w:cs="Arial"/>
                            <w:sz w:val="16"/>
                            <w:szCs w:val="16"/>
                          </w:rPr>
                        </w:pPr>
                        <w:r w:rsidRPr="00C043D5">
                          <w:rPr>
                            <w:rFonts w:ascii="Arial" w:hAnsi="Arial" w:cs="Arial"/>
                            <w:sz w:val="16"/>
                            <w:szCs w:val="16"/>
                          </w:rPr>
                          <w:t>Declínio da videira</w:t>
                        </w:r>
                      </w:p>
                    </w:tc>
                  </w:tr>
                </w:tbl>
                <w:p w:rsidR="007A2A0E" w:rsidRPr="00C043D5" w:rsidRDefault="007A2A0E" w:rsidP="00CA2DED">
                  <w:pPr>
                    <w:pStyle w:val="Default"/>
                    <w:rPr>
                      <w:rFonts w:ascii="Arial" w:hAnsi="Arial" w:cs="Arial"/>
                      <w:sz w:val="16"/>
                      <w:szCs w:val="16"/>
                    </w:rPr>
                  </w:pPr>
                </w:p>
              </w:tc>
            </w:tr>
          </w:tbl>
          <w:p w:rsidR="007A2A0E" w:rsidRPr="00C043D5" w:rsidRDefault="007A2A0E" w:rsidP="00CA2DED">
            <w:pPr>
              <w:pStyle w:val="Default"/>
              <w:rPr>
                <w:rFonts w:ascii="Arial" w:hAnsi="Arial" w:cs="Arial"/>
              </w:rPr>
            </w:pPr>
          </w:p>
        </w:tc>
        <w:tc>
          <w:tcPr>
            <w:tcW w:w="2611" w:type="dxa"/>
            <w:tcBorders>
              <w:top w:val="single" w:sz="8" w:space="0" w:color="9BBB59"/>
              <w:left w:val="single" w:sz="8" w:space="0" w:color="9BBB59"/>
              <w:bottom w:val="single" w:sz="8" w:space="0" w:color="9BBB59"/>
              <w:right w:val="single" w:sz="8" w:space="0" w:color="9BBB59"/>
            </w:tcBorders>
            <w:vAlign w:val="center"/>
          </w:tcPr>
          <w:tbl>
            <w:tblPr>
              <w:tblW w:w="0" w:type="auto"/>
              <w:tblBorders>
                <w:top w:val="nil"/>
                <w:left w:val="nil"/>
                <w:bottom w:val="nil"/>
                <w:right w:val="nil"/>
              </w:tblBorders>
              <w:tblLook w:val="0000"/>
            </w:tblPr>
            <w:tblGrid>
              <w:gridCol w:w="2175"/>
            </w:tblGrid>
            <w:tr w:rsidR="007A2A0E" w:rsidRPr="00C043D5" w:rsidTr="009662B5">
              <w:trPr>
                <w:trHeight w:val="350"/>
              </w:trPr>
              <w:tc>
                <w:tcPr>
                  <w:tcW w:w="0" w:type="auto"/>
                </w:tcPr>
                <w:p w:rsidR="007A2A0E" w:rsidRPr="00C043D5" w:rsidRDefault="007A2A0E" w:rsidP="00CA2DED">
                  <w:pPr>
                    <w:pStyle w:val="Default"/>
                    <w:rPr>
                      <w:rFonts w:ascii="Arial" w:hAnsi="Arial" w:cs="Arial"/>
                      <w:sz w:val="16"/>
                      <w:szCs w:val="16"/>
                    </w:rPr>
                  </w:pPr>
                  <w:r w:rsidRPr="00C043D5">
                    <w:rPr>
                      <w:rFonts w:ascii="Arial" w:hAnsi="Arial" w:cs="Arial"/>
                      <w:sz w:val="16"/>
                      <w:szCs w:val="16"/>
                    </w:rPr>
                    <w:t>Horváth &amp; Scheighardt, 1991</w:t>
                  </w:r>
                </w:p>
              </w:tc>
            </w:tr>
          </w:tbl>
          <w:p w:rsidR="007A2A0E" w:rsidRPr="00C043D5" w:rsidRDefault="007A2A0E" w:rsidP="00CA2DED">
            <w:pPr>
              <w:spacing w:after="0"/>
              <w:jc w:val="left"/>
            </w:pPr>
          </w:p>
        </w:tc>
        <w:tc>
          <w:tcPr>
            <w:tcW w:w="1038" w:type="dxa"/>
            <w:vMerge w:val="restart"/>
            <w:tcBorders>
              <w:top w:val="single" w:sz="8" w:space="0" w:color="9BBB59"/>
              <w:left w:val="single" w:sz="8" w:space="0" w:color="9BBB59"/>
              <w:bottom w:val="single" w:sz="8" w:space="0" w:color="9BBB59"/>
              <w:right w:val="single" w:sz="8" w:space="0" w:color="9BBB59"/>
            </w:tcBorders>
            <w:vAlign w:val="center"/>
          </w:tcPr>
          <w:tbl>
            <w:tblPr>
              <w:tblW w:w="0" w:type="auto"/>
              <w:tblBorders>
                <w:top w:val="nil"/>
                <w:left w:val="nil"/>
                <w:bottom w:val="nil"/>
                <w:right w:val="nil"/>
              </w:tblBorders>
              <w:tblLook w:val="0000"/>
            </w:tblPr>
            <w:tblGrid>
              <w:gridCol w:w="777"/>
            </w:tblGrid>
            <w:tr w:rsidR="007A2A0E" w:rsidRPr="00C043D5" w:rsidTr="009662B5">
              <w:trPr>
                <w:trHeight w:val="156"/>
              </w:trPr>
              <w:tc>
                <w:tcPr>
                  <w:tcW w:w="0" w:type="auto"/>
                </w:tcPr>
                <w:p w:rsidR="007A2A0E" w:rsidRPr="00C043D5" w:rsidRDefault="007A2A0E" w:rsidP="00CA2DED">
                  <w:pPr>
                    <w:pStyle w:val="Default"/>
                    <w:rPr>
                      <w:rFonts w:ascii="Arial" w:hAnsi="Arial" w:cs="Arial"/>
                      <w:sz w:val="16"/>
                      <w:szCs w:val="16"/>
                    </w:rPr>
                  </w:pPr>
                  <w:r w:rsidRPr="00C043D5">
                    <w:rPr>
                      <w:rFonts w:ascii="Arial" w:hAnsi="Arial" w:cs="Arial"/>
                      <w:sz w:val="16"/>
                      <w:szCs w:val="16"/>
                    </w:rPr>
                    <w:t>Hungria</w:t>
                  </w:r>
                </w:p>
              </w:tc>
            </w:tr>
          </w:tbl>
          <w:p w:rsidR="007A2A0E" w:rsidRPr="00C043D5" w:rsidRDefault="007A2A0E" w:rsidP="00CA2DED">
            <w:pPr>
              <w:spacing w:after="0"/>
              <w:jc w:val="left"/>
            </w:pPr>
          </w:p>
        </w:tc>
      </w:tr>
      <w:tr w:rsidR="007A2A0E" w:rsidRPr="00C043D5" w:rsidTr="008D0733">
        <w:trPr>
          <w:trHeight w:val="227"/>
        </w:trPr>
        <w:tc>
          <w:tcPr>
            <w:tcW w:w="3245" w:type="dxa"/>
            <w:tcBorders>
              <w:top w:val="single" w:sz="8" w:space="0" w:color="9BBB59"/>
              <w:left w:val="single" w:sz="8" w:space="0" w:color="9BBB59"/>
              <w:bottom w:val="single" w:sz="8" w:space="0" w:color="9BBB59"/>
              <w:right w:val="single" w:sz="8" w:space="0" w:color="9BBB59"/>
            </w:tcBorders>
            <w:shd w:val="clear" w:color="auto" w:fill="E6EED5"/>
            <w:vAlign w:val="center"/>
          </w:tcPr>
          <w:tbl>
            <w:tblPr>
              <w:tblW w:w="0" w:type="auto"/>
              <w:tblBorders>
                <w:top w:val="nil"/>
                <w:left w:val="nil"/>
                <w:bottom w:val="nil"/>
                <w:right w:val="nil"/>
              </w:tblBorders>
              <w:tblLook w:val="0000"/>
            </w:tblPr>
            <w:tblGrid>
              <w:gridCol w:w="1141"/>
            </w:tblGrid>
            <w:tr w:rsidR="007A2A0E" w:rsidRPr="00C043D5" w:rsidTr="009662B5">
              <w:trPr>
                <w:trHeight w:val="156"/>
              </w:trPr>
              <w:tc>
                <w:tcPr>
                  <w:tcW w:w="0" w:type="auto"/>
                </w:tcPr>
                <w:p w:rsidR="007A2A0E" w:rsidRPr="00C043D5" w:rsidRDefault="007A2A0E" w:rsidP="008D0733">
                  <w:pPr>
                    <w:pStyle w:val="Default"/>
                    <w:rPr>
                      <w:rFonts w:ascii="Arial" w:hAnsi="Arial" w:cs="Arial"/>
                      <w:sz w:val="16"/>
                      <w:szCs w:val="16"/>
                    </w:rPr>
                  </w:pPr>
                  <w:r w:rsidRPr="00C043D5">
                    <w:rPr>
                      <w:rFonts w:ascii="Arial" w:hAnsi="Arial" w:cs="Arial"/>
                      <w:i/>
                      <w:iCs/>
                      <w:sz w:val="16"/>
                      <w:szCs w:val="16"/>
                    </w:rPr>
                    <w:t>“B”. stevensii</w:t>
                  </w:r>
                </w:p>
              </w:tc>
            </w:tr>
          </w:tbl>
          <w:p w:rsidR="007A2A0E" w:rsidRPr="00C043D5" w:rsidRDefault="007A2A0E" w:rsidP="008D0733">
            <w:pPr>
              <w:pStyle w:val="Default"/>
              <w:rPr>
                <w:rFonts w:ascii="Arial" w:eastAsia="Times New Roman" w:hAnsi="Arial" w:cs="Arial"/>
                <w:b/>
                <w:bCs/>
              </w:rPr>
            </w:pPr>
          </w:p>
        </w:tc>
        <w:tc>
          <w:tcPr>
            <w:tcW w:w="2392" w:type="dxa"/>
            <w:tcBorders>
              <w:top w:val="single" w:sz="8" w:space="0" w:color="9BBB59"/>
              <w:left w:val="single" w:sz="8" w:space="0" w:color="9BBB59"/>
              <w:bottom w:val="single" w:sz="8" w:space="0" w:color="9BBB59"/>
              <w:right w:val="single" w:sz="8" w:space="0" w:color="9BBB59"/>
            </w:tcBorders>
            <w:shd w:val="clear" w:color="auto" w:fill="E6EED5"/>
            <w:vAlign w:val="center"/>
          </w:tcPr>
          <w:tbl>
            <w:tblPr>
              <w:tblW w:w="0" w:type="auto"/>
              <w:tblBorders>
                <w:top w:val="nil"/>
                <w:left w:val="nil"/>
                <w:bottom w:val="nil"/>
                <w:right w:val="nil"/>
              </w:tblBorders>
              <w:tblLook w:val="0000"/>
            </w:tblPr>
            <w:tblGrid>
              <w:gridCol w:w="1328"/>
            </w:tblGrid>
            <w:tr w:rsidR="007A2A0E" w:rsidRPr="00C043D5" w:rsidTr="009662B5">
              <w:trPr>
                <w:trHeight w:val="156"/>
              </w:trPr>
              <w:tc>
                <w:tcPr>
                  <w:tcW w:w="0" w:type="auto"/>
                </w:tcPr>
                <w:p w:rsidR="007A2A0E" w:rsidRPr="00C043D5" w:rsidRDefault="007A2A0E" w:rsidP="00CA2DED">
                  <w:pPr>
                    <w:pStyle w:val="Default"/>
                    <w:rPr>
                      <w:rFonts w:ascii="Arial" w:hAnsi="Arial" w:cs="Arial"/>
                      <w:sz w:val="16"/>
                      <w:szCs w:val="16"/>
                    </w:rPr>
                  </w:pPr>
                  <w:r w:rsidRPr="00C043D5">
                    <w:rPr>
                      <w:rFonts w:ascii="Arial" w:hAnsi="Arial" w:cs="Arial"/>
                      <w:sz w:val="16"/>
                      <w:szCs w:val="16"/>
                    </w:rPr>
                    <w:t>Black dead arm</w:t>
                  </w:r>
                </w:p>
              </w:tc>
            </w:tr>
          </w:tbl>
          <w:p w:rsidR="007A2A0E" w:rsidRPr="00C043D5" w:rsidRDefault="007A2A0E" w:rsidP="00CA2DED">
            <w:pPr>
              <w:pStyle w:val="Default"/>
              <w:rPr>
                <w:rFonts w:ascii="Arial" w:hAnsi="Arial" w:cs="Arial"/>
              </w:rPr>
            </w:pPr>
          </w:p>
        </w:tc>
        <w:tc>
          <w:tcPr>
            <w:tcW w:w="2611" w:type="dxa"/>
            <w:tcBorders>
              <w:top w:val="single" w:sz="8" w:space="0" w:color="9BBB59"/>
              <w:left w:val="single" w:sz="8" w:space="0" w:color="9BBB59"/>
              <w:bottom w:val="single" w:sz="8" w:space="0" w:color="9BBB59"/>
              <w:right w:val="single" w:sz="8" w:space="0" w:color="9BBB59"/>
            </w:tcBorders>
            <w:shd w:val="clear" w:color="auto" w:fill="E6EED5"/>
            <w:vAlign w:val="center"/>
          </w:tcPr>
          <w:tbl>
            <w:tblPr>
              <w:tblW w:w="0" w:type="auto"/>
              <w:tblBorders>
                <w:top w:val="nil"/>
                <w:left w:val="nil"/>
                <w:bottom w:val="nil"/>
                <w:right w:val="nil"/>
              </w:tblBorders>
              <w:tblLook w:val="0000"/>
            </w:tblPr>
            <w:tblGrid>
              <w:gridCol w:w="1337"/>
            </w:tblGrid>
            <w:tr w:rsidR="007A2A0E" w:rsidRPr="00C043D5" w:rsidTr="009662B5">
              <w:trPr>
                <w:trHeight w:val="156"/>
              </w:trPr>
              <w:tc>
                <w:tcPr>
                  <w:tcW w:w="0" w:type="auto"/>
                </w:tcPr>
                <w:p w:rsidR="007A2A0E" w:rsidRPr="00C043D5" w:rsidRDefault="007A2A0E" w:rsidP="00CA2DED">
                  <w:pPr>
                    <w:pStyle w:val="Default"/>
                    <w:rPr>
                      <w:rFonts w:ascii="Arial" w:hAnsi="Arial" w:cs="Arial"/>
                      <w:sz w:val="16"/>
                      <w:szCs w:val="16"/>
                    </w:rPr>
                  </w:pPr>
                  <w:r w:rsidRPr="00C043D5">
                    <w:rPr>
                      <w:rFonts w:ascii="Arial" w:hAnsi="Arial" w:cs="Arial"/>
                      <w:sz w:val="16"/>
                      <w:szCs w:val="16"/>
                    </w:rPr>
                    <w:t>Lehoczky, 1974</w:t>
                  </w:r>
                </w:p>
              </w:tc>
            </w:tr>
          </w:tbl>
          <w:p w:rsidR="007A2A0E" w:rsidRPr="00C043D5" w:rsidRDefault="007A2A0E" w:rsidP="00CA2DED">
            <w:pPr>
              <w:spacing w:after="0"/>
              <w:jc w:val="left"/>
            </w:pPr>
          </w:p>
        </w:tc>
        <w:tc>
          <w:tcPr>
            <w:tcW w:w="1038" w:type="dxa"/>
            <w:vMerge/>
            <w:tcBorders>
              <w:top w:val="single" w:sz="8" w:space="0" w:color="9BBB59"/>
              <w:left w:val="single" w:sz="8" w:space="0" w:color="9BBB59"/>
              <w:bottom w:val="single" w:sz="8" w:space="0" w:color="9BBB59"/>
              <w:right w:val="single" w:sz="8" w:space="0" w:color="9BBB59"/>
            </w:tcBorders>
            <w:shd w:val="clear" w:color="auto" w:fill="E6EED5"/>
            <w:vAlign w:val="center"/>
          </w:tcPr>
          <w:p w:rsidR="007A2A0E" w:rsidRPr="00C043D5" w:rsidRDefault="007A2A0E" w:rsidP="00CA2DED">
            <w:pPr>
              <w:spacing w:after="0"/>
              <w:jc w:val="left"/>
            </w:pPr>
          </w:p>
        </w:tc>
      </w:tr>
    </w:tbl>
    <w:p w:rsidR="00D67F4F" w:rsidRDefault="00D67F4F" w:rsidP="007A2A0E"/>
    <w:p w:rsidR="00D67F4F" w:rsidRDefault="00D67F4F">
      <w:pPr>
        <w:spacing w:after="0" w:line="240" w:lineRule="auto"/>
        <w:jc w:val="left"/>
      </w:pPr>
      <w:r>
        <w:br w:type="page"/>
      </w:r>
    </w:p>
    <w:p w:rsidR="007A2A0E" w:rsidRPr="001A146F" w:rsidRDefault="007A2A0E" w:rsidP="00B73BBD">
      <w:pPr>
        <w:pStyle w:val="Ttulo3"/>
      </w:pPr>
      <w:bookmarkStart w:id="20" w:name="_Toc264890285"/>
      <w:r w:rsidRPr="001A146F">
        <w:lastRenderedPageBreak/>
        <w:t>Meios de luta</w:t>
      </w:r>
      <w:bookmarkEnd w:id="20"/>
    </w:p>
    <w:p w:rsidR="009764A7" w:rsidRPr="009764A7" w:rsidRDefault="007A2A0E" w:rsidP="009764A7">
      <w:pPr>
        <w:pStyle w:val="Estilo1"/>
        <w:rPr>
          <w:noProof/>
          <w:lang w:eastAsia="pt-PT"/>
        </w:rPr>
      </w:pPr>
      <w:r w:rsidRPr="00C043D5">
        <w:rPr>
          <w:noProof/>
          <w:lang w:eastAsia="pt-PT"/>
        </w:rPr>
        <w:t>O controlo das d</w:t>
      </w:r>
      <w:r>
        <w:rPr>
          <w:noProof/>
          <w:lang w:eastAsia="pt-PT"/>
        </w:rPr>
        <w:t xml:space="preserve">oenças causadas por </w:t>
      </w:r>
      <w:r w:rsidR="00016F11" w:rsidRPr="00016F11">
        <w:rPr>
          <w:i/>
          <w:noProof/>
          <w:lang w:eastAsia="pt-PT"/>
        </w:rPr>
        <w:t>Botryosphaeria</w:t>
      </w:r>
      <w:r>
        <w:rPr>
          <w:noProof/>
          <w:lang w:eastAsia="pt-PT"/>
        </w:rPr>
        <w:t>ceae</w:t>
      </w:r>
      <w:r w:rsidRPr="00C043D5">
        <w:rPr>
          <w:noProof/>
          <w:lang w:eastAsia="pt-PT"/>
        </w:rPr>
        <w:t xml:space="preserve"> é muito difícil porque </w:t>
      </w:r>
      <w:r>
        <w:rPr>
          <w:noProof/>
          <w:lang w:eastAsia="pt-PT"/>
        </w:rPr>
        <w:t xml:space="preserve">envolve diversas espécies, ocorre em toda a fileira viticola e ainda não </w:t>
      </w:r>
      <w:r w:rsidRPr="00C043D5">
        <w:rPr>
          <w:noProof/>
          <w:lang w:eastAsia="pt-PT"/>
        </w:rPr>
        <w:t>existe</w:t>
      </w:r>
      <w:r>
        <w:rPr>
          <w:noProof/>
          <w:lang w:eastAsia="pt-PT"/>
        </w:rPr>
        <w:t xml:space="preserve">m fungicidas </w:t>
      </w:r>
      <w:r w:rsidRPr="00C043D5">
        <w:rPr>
          <w:noProof/>
          <w:lang w:eastAsia="pt-PT"/>
        </w:rPr>
        <w:t xml:space="preserve"> </w:t>
      </w:r>
      <w:r>
        <w:rPr>
          <w:noProof/>
          <w:lang w:eastAsia="pt-PT"/>
        </w:rPr>
        <w:t xml:space="preserve">homologados </w:t>
      </w:r>
      <w:r w:rsidRPr="00C043D5">
        <w:rPr>
          <w:noProof/>
          <w:lang w:eastAsia="pt-PT"/>
        </w:rPr>
        <w:t xml:space="preserve">(van Niekerk </w:t>
      </w:r>
      <w:r w:rsidR="006F2254" w:rsidRPr="006F2254">
        <w:rPr>
          <w:i/>
          <w:noProof/>
          <w:lang w:eastAsia="pt-PT"/>
        </w:rPr>
        <w:t>et al.</w:t>
      </w:r>
      <w:r w:rsidRPr="00C043D5">
        <w:rPr>
          <w:noProof/>
          <w:lang w:eastAsia="pt-PT"/>
        </w:rPr>
        <w:t>, 2006). Nalguns casaos, as medidas de controlo recomendadas variam de país para país e até de região para região (Milholland, 1991).</w:t>
      </w:r>
    </w:p>
    <w:p w:rsidR="007A2A0E" w:rsidRPr="00B73BBD" w:rsidRDefault="007A2A0E" w:rsidP="00B73BBD">
      <w:pPr>
        <w:pStyle w:val="Ttulo4"/>
      </w:pPr>
      <w:bookmarkStart w:id="21" w:name="_Toc264890286"/>
      <w:r w:rsidRPr="00B73BBD">
        <w:t>Culturais</w:t>
      </w:r>
      <w:bookmarkEnd w:id="21"/>
    </w:p>
    <w:p w:rsidR="007A2A0E" w:rsidRPr="00C043D5" w:rsidRDefault="007A2A0E" w:rsidP="0004667C">
      <w:pPr>
        <w:pStyle w:val="Estilo1"/>
      </w:pPr>
      <w:r w:rsidRPr="00C043D5">
        <w:t xml:space="preserve">O material de propagação vegetativa utilizado na instalação de vinhas novas não deveria ser portador de </w:t>
      </w:r>
      <w:r w:rsidR="00016F11" w:rsidRPr="00016F11">
        <w:rPr>
          <w:i/>
          <w:iCs/>
        </w:rPr>
        <w:t>Botryosphaeria</w:t>
      </w:r>
      <w:r w:rsidRPr="00C043D5">
        <w:rPr>
          <w:i/>
          <w:iCs/>
        </w:rPr>
        <w:t xml:space="preserve"> </w:t>
      </w:r>
      <w:r w:rsidRPr="00C043D5">
        <w:t xml:space="preserve">spp. Para isso, há que implementar meios de luta nas vinhas-mãe de porta-enxertos e de garfos e em viveiro </w:t>
      </w:r>
      <w:r>
        <w:t>viticola</w:t>
      </w:r>
      <w:r w:rsidRPr="00C043D5">
        <w:t xml:space="preserve"> (Oliveira </w:t>
      </w:r>
      <w:r w:rsidR="006F2254" w:rsidRPr="006F2254">
        <w:rPr>
          <w:i/>
          <w:iCs/>
        </w:rPr>
        <w:t>et al.</w:t>
      </w:r>
      <w:r w:rsidRPr="00C043D5">
        <w:t xml:space="preserve">, 2004). Ainda antes da enxertia, em armazém, as infecções nas varas são reveladas pela presença de picnídios em zonas evidenciando “cane bleaching”. Este aspecto é mais evidente em </w:t>
      </w:r>
      <w:r w:rsidRPr="00C043D5">
        <w:rPr>
          <w:i/>
          <w:iCs/>
        </w:rPr>
        <w:t xml:space="preserve">V. vinifera </w:t>
      </w:r>
      <w:r w:rsidRPr="00C043D5">
        <w:t>(garfos), uma vez que em porta-enxertos as varas infectadas podem não revelar sintomas (Fourie &amp; Hal</w:t>
      </w:r>
      <w:r>
        <w:t>leen, 2002). Ao nível de porta-enxertos</w:t>
      </w:r>
      <w:r w:rsidRPr="00C043D5">
        <w:t xml:space="preserve"> e de enxertos-prontos, as contaminações podem ser detectadas, preliminarmente, através da observação de necroses no lenho. As práticas culturais a utilizar na vinha devem permitir a criação de uma estrutura de solo favorável, a grande profundidade, para assegurar o bom funcionamento hídrico da planta e diminuir as condições de stresse (Dubos, 1999, Larignon, 1999). Para evitar a disseminação de </w:t>
      </w:r>
      <w:r w:rsidR="00016F11" w:rsidRPr="00016F11">
        <w:rPr>
          <w:i/>
          <w:iCs/>
        </w:rPr>
        <w:t>Botryosphaeria</w:t>
      </w:r>
      <w:r w:rsidRPr="00C043D5">
        <w:rPr>
          <w:i/>
          <w:iCs/>
        </w:rPr>
        <w:t xml:space="preserve"> </w:t>
      </w:r>
      <w:r w:rsidRPr="00C043D5">
        <w:t xml:space="preserve">spp. na parcela, as operações culturais, sobretudo a poda, devem ser efectuadas </w:t>
      </w:r>
      <w:r>
        <w:t xml:space="preserve">o mais tarde possível e </w:t>
      </w:r>
      <w:r w:rsidRPr="00C043D5">
        <w:t xml:space="preserve">em último lugar nas zonas contaminadas </w:t>
      </w:r>
      <w:r>
        <w:t>(</w:t>
      </w:r>
      <w:r w:rsidRPr="00C043D5">
        <w:t xml:space="preserve">Larignon, 1999). </w:t>
      </w:r>
    </w:p>
    <w:p w:rsidR="007A2A0E" w:rsidRDefault="007A2A0E" w:rsidP="0004667C">
      <w:pPr>
        <w:pStyle w:val="Estilo1"/>
      </w:pPr>
      <w:r w:rsidRPr="00C043D5">
        <w:t xml:space="preserve">Uma medida largamente recomendada em vinhas infectadas é a remoção da lenha da poda, para evitar a contaminação das feridas produzidas (van Niekerk </w:t>
      </w:r>
      <w:r w:rsidR="006F2254" w:rsidRPr="006F2254">
        <w:rPr>
          <w:i/>
          <w:iCs/>
        </w:rPr>
        <w:t>et al.</w:t>
      </w:r>
      <w:r w:rsidRPr="00C043D5">
        <w:t>, 2004).</w:t>
      </w:r>
    </w:p>
    <w:p w:rsidR="007A2A0E" w:rsidRPr="00B73BBD" w:rsidRDefault="007A2A0E" w:rsidP="00B73BBD">
      <w:pPr>
        <w:pStyle w:val="Ttulo4"/>
      </w:pPr>
      <w:bookmarkStart w:id="22" w:name="_Toc264890287"/>
      <w:r w:rsidRPr="00B73BBD">
        <w:t>Químicos</w:t>
      </w:r>
      <w:bookmarkEnd w:id="22"/>
    </w:p>
    <w:p w:rsidR="007A2A0E" w:rsidRDefault="007A2A0E" w:rsidP="00755F18">
      <w:pPr>
        <w:pStyle w:val="Estilo1"/>
        <w:rPr>
          <w:noProof/>
          <w:lang w:eastAsia="pt-PT"/>
        </w:rPr>
      </w:pPr>
      <w:r w:rsidRPr="00C043D5">
        <w:rPr>
          <w:noProof/>
          <w:lang w:eastAsia="pt-PT"/>
        </w:rPr>
        <w:t xml:space="preserve">Os fungicidas para o controlo das doenças causadas por </w:t>
      </w:r>
      <w:r w:rsidRPr="00FE70E1">
        <w:rPr>
          <w:i/>
          <w:noProof/>
          <w:lang w:eastAsia="pt-PT"/>
        </w:rPr>
        <w:t xml:space="preserve">Botryosphaerea </w:t>
      </w:r>
      <w:r w:rsidRPr="00FE70E1">
        <w:rPr>
          <w:noProof/>
          <w:lang w:eastAsia="pt-PT"/>
        </w:rPr>
        <w:t xml:space="preserve">spp. foram registados apenas nalguns países. Em França, o arsenito de sódio foi inicialmente registado para o controlo de “black dead arm” associada à </w:t>
      </w:r>
      <w:r w:rsidR="00016F11" w:rsidRPr="00FE70E1">
        <w:rPr>
          <w:i/>
          <w:noProof/>
          <w:lang w:eastAsia="pt-PT"/>
        </w:rPr>
        <w:t>Botryosphaeria</w:t>
      </w:r>
      <w:r w:rsidRPr="00FE70E1">
        <w:rPr>
          <w:i/>
          <w:noProof/>
          <w:lang w:eastAsia="pt-PT"/>
        </w:rPr>
        <w:t xml:space="preserve"> </w:t>
      </w:r>
      <w:r w:rsidRPr="00FE70E1">
        <w:rPr>
          <w:noProof/>
          <w:lang w:eastAsia="pt-PT"/>
        </w:rPr>
        <w:t>s</w:t>
      </w:r>
      <w:r w:rsidR="008D0733" w:rsidRPr="00FE70E1">
        <w:rPr>
          <w:noProof/>
          <w:lang w:eastAsia="pt-PT"/>
        </w:rPr>
        <w:t>p</w:t>
      </w:r>
      <w:r w:rsidRPr="00FE70E1">
        <w:rPr>
          <w:noProof/>
          <w:lang w:eastAsia="pt-PT"/>
        </w:rPr>
        <w:t>p., e o tratamento</w:t>
      </w:r>
      <w:r w:rsidRPr="00C043D5">
        <w:rPr>
          <w:noProof/>
          <w:lang w:eastAsia="pt-PT"/>
        </w:rPr>
        <w:t xml:space="preserve"> recomendado foi o mesmo que o </w:t>
      </w:r>
      <w:r>
        <w:rPr>
          <w:noProof/>
          <w:lang w:eastAsia="pt-PT"/>
        </w:rPr>
        <w:t>t</w:t>
      </w:r>
      <w:r w:rsidRPr="00C043D5">
        <w:rPr>
          <w:noProof/>
          <w:lang w:eastAsia="pt-PT"/>
        </w:rPr>
        <w:t>ratamento da esca (L</w:t>
      </w:r>
      <w:r>
        <w:rPr>
          <w:noProof/>
          <w:lang w:eastAsia="pt-PT"/>
        </w:rPr>
        <w:t>ehoczky, 1974,1988; Larignon e</w:t>
      </w:r>
      <w:r w:rsidRPr="00C043D5">
        <w:rPr>
          <w:noProof/>
          <w:lang w:eastAsia="pt-PT"/>
        </w:rPr>
        <w:t xml:space="preserve"> </w:t>
      </w:r>
      <w:r w:rsidRPr="00C043D5">
        <w:rPr>
          <w:noProof/>
          <w:lang w:eastAsia="pt-PT"/>
        </w:rPr>
        <w:lastRenderedPageBreak/>
        <w:t xml:space="preserve">Dubos, 2001). Contudo esse fungicida foi proíbido por razões ambientais e por ser perigoso para a saúde do consumidor (Decoin, 20111; Lyubun </w:t>
      </w:r>
      <w:r w:rsidR="006F2254" w:rsidRPr="006F2254">
        <w:rPr>
          <w:i/>
          <w:noProof/>
          <w:lang w:eastAsia="pt-PT"/>
        </w:rPr>
        <w:t>et al.</w:t>
      </w:r>
      <w:r>
        <w:rPr>
          <w:noProof/>
          <w:lang w:eastAsia="pt-PT"/>
        </w:rPr>
        <w:t xml:space="preserve">, 2009). </w:t>
      </w:r>
    </w:p>
    <w:p w:rsidR="007A2A0E" w:rsidRPr="00C043D5" w:rsidRDefault="007A2A0E" w:rsidP="00755F18">
      <w:pPr>
        <w:pStyle w:val="Estilo1"/>
        <w:rPr>
          <w:noProof/>
          <w:lang w:eastAsia="pt-PT"/>
        </w:rPr>
      </w:pPr>
      <w:r w:rsidRPr="00C043D5">
        <w:rPr>
          <w:noProof/>
          <w:lang w:eastAsia="pt-PT"/>
        </w:rPr>
        <w:t xml:space="preserve">Desde que várias espécies de </w:t>
      </w:r>
      <w:r w:rsidR="00016F11" w:rsidRPr="00016F11">
        <w:rPr>
          <w:i/>
          <w:noProof/>
          <w:lang w:eastAsia="pt-PT"/>
        </w:rPr>
        <w:t>Botryosphaeria</w:t>
      </w:r>
      <w:r w:rsidRPr="00C043D5">
        <w:rPr>
          <w:i/>
          <w:noProof/>
          <w:lang w:eastAsia="pt-PT"/>
        </w:rPr>
        <w:t>,</w:t>
      </w:r>
      <w:r w:rsidRPr="00C043D5">
        <w:rPr>
          <w:noProof/>
          <w:lang w:eastAsia="pt-PT"/>
        </w:rPr>
        <w:t xml:space="preserve"> que ocorrem nas vinhas, foram consideradas  como patógeneos de ferida, é importante prevenir feridas desnecessárias nas plantas (Lechoczky, 1988; Milholland, 1988, 1991; Larignon and Dubos, 2001). Alguma investigação foi para a protecção das feridas de poda com fungicias e /ou agentes de controlo biológico (Larignon and Dubos, 2001).</w:t>
      </w:r>
    </w:p>
    <w:p w:rsidR="007A2A0E" w:rsidRPr="00FE70E1" w:rsidRDefault="007A2A0E" w:rsidP="00755F18">
      <w:pPr>
        <w:pStyle w:val="Estilo1"/>
      </w:pPr>
      <w:r w:rsidRPr="00FE70E1">
        <w:rPr>
          <w:noProof/>
          <w:lang w:eastAsia="pt-PT"/>
        </w:rPr>
        <w:t xml:space="preserve">Testes de fungicidas feitos </w:t>
      </w:r>
      <w:r w:rsidRPr="00FE70E1">
        <w:rPr>
          <w:i/>
          <w:noProof/>
          <w:lang w:eastAsia="pt-PT"/>
        </w:rPr>
        <w:t>in vitro</w:t>
      </w:r>
      <w:r w:rsidRPr="00FE70E1">
        <w:rPr>
          <w:noProof/>
          <w:lang w:eastAsia="pt-PT"/>
        </w:rPr>
        <w:t xml:space="preserve"> na África do Sul indicaram que benomil, tebuconazol, procloraz, cloreto de magnésio, flusilazol e fenarimol eram os mais eficientes no combate a </w:t>
      </w:r>
      <w:r w:rsidR="008D0733" w:rsidRPr="00FE70E1">
        <w:rPr>
          <w:i/>
          <w:noProof/>
          <w:lang w:eastAsia="pt-PT"/>
        </w:rPr>
        <w:t>“</w:t>
      </w:r>
      <w:r w:rsidRPr="00FE70E1">
        <w:rPr>
          <w:i/>
          <w:noProof/>
          <w:lang w:eastAsia="pt-PT"/>
        </w:rPr>
        <w:t>B</w:t>
      </w:r>
      <w:r w:rsidR="008D0733" w:rsidRPr="00FE70E1">
        <w:rPr>
          <w:i/>
          <w:noProof/>
          <w:lang w:eastAsia="pt-PT"/>
        </w:rPr>
        <w:t>”</w:t>
      </w:r>
      <w:r w:rsidRPr="00FE70E1">
        <w:rPr>
          <w:i/>
          <w:noProof/>
          <w:lang w:eastAsia="pt-PT"/>
        </w:rPr>
        <w:t>. australis</w:t>
      </w:r>
      <w:r w:rsidRPr="00FE70E1">
        <w:rPr>
          <w:noProof/>
          <w:lang w:eastAsia="pt-PT"/>
        </w:rPr>
        <w:t xml:space="preserve">, </w:t>
      </w:r>
      <w:r w:rsidR="008D0733" w:rsidRPr="00FE70E1">
        <w:rPr>
          <w:i/>
          <w:noProof/>
          <w:lang w:eastAsia="pt-PT"/>
        </w:rPr>
        <w:t xml:space="preserve">“B”. </w:t>
      </w:r>
      <w:r w:rsidRPr="00FE70E1">
        <w:rPr>
          <w:i/>
          <w:noProof/>
          <w:lang w:eastAsia="pt-PT"/>
        </w:rPr>
        <w:t>parva</w:t>
      </w:r>
      <w:r w:rsidRPr="00FE70E1">
        <w:rPr>
          <w:noProof/>
          <w:lang w:eastAsia="pt-PT"/>
        </w:rPr>
        <w:t xml:space="preserve"> e </w:t>
      </w:r>
      <w:r w:rsidR="008D0733" w:rsidRPr="00FE70E1">
        <w:rPr>
          <w:i/>
          <w:noProof/>
          <w:lang w:eastAsia="pt-PT"/>
        </w:rPr>
        <w:t xml:space="preserve">“B”. </w:t>
      </w:r>
      <w:r w:rsidRPr="00FE70E1">
        <w:rPr>
          <w:i/>
          <w:noProof/>
          <w:lang w:eastAsia="pt-PT"/>
        </w:rPr>
        <w:t>rhodina</w:t>
      </w:r>
      <w:r w:rsidR="009E08F0" w:rsidRPr="00FE70E1">
        <w:rPr>
          <w:noProof/>
          <w:lang w:eastAsia="pt-PT"/>
        </w:rPr>
        <w:t xml:space="preserve"> (Bester e</w:t>
      </w:r>
      <w:r w:rsidRPr="00FE70E1">
        <w:rPr>
          <w:noProof/>
          <w:lang w:eastAsia="pt-PT"/>
        </w:rPr>
        <w:t xml:space="preserve"> Fourie, 2005). Na Austrália, o tebuconazol, fenarimol, espiroxamina e fluaziname foram indicados para inibir o crescimento micelial de </w:t>
      </w:r>
      <w:r w:rsidR="00986F7A" w:rsidRPr="00FE70E1">
        <w:rPr>
          <w:i/>
          <w:noProof/>
          <w:lang w:eastAsia="pt-PT"/>
        </w:rPr>
        <w:t xml:space="preserve">“B”. </w:t>
      </w:r>
      <w:r w:rsidRPr="00FE70E1">
        <w:rPr>
          <w:i/>
          <w:noProof/>
          <w:lang w:eastAsia="pt-PT"/>
        </w:rPr>
        <w:t>obtusa</w:t>
      </w:r>
      <w:r w:rsidRPr="00FE70E1">
        <w:rPr>
          <w:noProof/>
          <w:lang w:eastAsia="pt-PT"/>
        </w:rPr>
        <w:t xml:space="preserve">, e </w:t>
      </w:r>
      <w:r w:rsidR="00986F7A" w:rsidRPr="00FE70E1">
        <w:rPr>
          <w:i/>
          <w:noProof/>
          <w:lang w:eastAsia="pt-PT"/>
        </w:rPr>
        <w:t xml:space="preserve">“B”. </w:t>
      </w:r>
      <w:r w:rsidRPr="00FE70E1">
        <w:rPr>
          <w:i/>
          <w:noProof/>
          <w:lang w:eastAsia="pt-PT"/>
        </w:rPr>
        <w:t>lutea</w:t>
      </w:r>
      <w:r w:rsidRPr="00FE70E1">
        <w:rPr>
          <w:noProof/>
          <w:lang w:eastAsia="pt-PT"/>
        </w:rPr>
        <w:t xml:space="preserve"> (Savocchia </w:t>
      </w:r>
      <w:r w:rsidR="006F2254" w:rsidRPr="00FE70E1">
        <w:rPr>
          <w:i/>
          <w:noProof/>
          <w:lang w:eastAsia="pt-PT"/>
        </w:rPr>
        <w:t>et al.</w:t>
      </w:r>
      <w:r w:rsidRPr="00FE70E1">
        <w:rPr>
          <w:noProof/>
          <w:lang w:eastAsia="pt-PT"/>
        </w:rPr>
        <w:t xml:space="preserve">, 2005). Em </w:t>
      </w:r>
      <w:r w:rsidRPr="00FE70E1">
        <w:t xml:space="preserve">testes realizados por Leavitt (2003) mostraram que a iprodiona, o benomil, a captana e o penconazol eram eficazes na redução da infecção das feridas da poda por </w:t>
      </w:r>
      <w:r w:rsidRPr="00FE70E1">
        <w:rPr>
          <w:i/>
          <w:iCs/>
        </w:rPr>
        <w:t xml:space="preserve">L. theobromae </w:t>
      </w:r>
      <w:r w:rsidR="00986F7A" w:rsidRPr="00FE70E1">
        <w:rPr>
          <w:i/>
          <w:noProof/>
          <w:lang w:eastAsia="pt-PT"/>
        </w:rPr>
        <w:t xml:space="preserve">“B”. </w:t>
      </w:r>
      <w:r w:rsidRPr="00FE70E1">
        <w:rPr>
          <w:i/>
          <w:iCs/>
        </w:rPr>
        <w:t>rhodina</w:t>
      </w:r>
      <w:r w:rsidRPr="00FE70E1">
        <w:t>), quando aplicados an</w:t>
      </w:r>
      <w:r w:rsidR="009E08F0" w:rsidRPr="00FE70E1">
        <w:t>tes da inoculação, em estufas (</w:t>
      </w:r>
      <w:r w:rsidRPr="00FE70E1">
        <w:t>Larignon, 1999). A fraca persistência dos fungicidas e o possível risco de fitotoxicidade quando são aplicadas altas doses são factores que vão influenciar a protecção a longo prazo de feridas de poda apenas com uma aplicação de fungicida (Brown-Rytlewsky e McManus, 2000; Larignon e Molot, 2004). Além disso é importante que seja utilizado mais do que um fungicida para permitir o seu uso alternado com o object</w:t>
      </w:r>
      <w:r w:rsidR="00986F7A" w:rsidRPr="00FE70E1">
        <w:t>ivo de prevenir a resistência de</w:t>
      </w:r>
      <w:r w:rsidRPr="00FE70E1">
        <w:t xml:space="preserve"> </w:t>
      </w:r>
      <w:r w:rsidR="00016F11" w:rsidRPr="00FE70E1">
        <w:rPr>
          <w:i/>
        </w:rPr>
        <w:t>Botryosphaeria</w:t>
      </w:r>
      <w:r w:rsidRPr="00FE70E1">
        <w:t xml:space="preserve"> spp., tal como se verificou a resistência à iprodiona, segundo Ma </w:t>
      </w:r>
      <w:r w:rsidR="006F2254" w:rsidRPr="00FE70E1">
        <w:rPr>
          <w:i/>
        </w:rPr>
        <w:t>et al.</w:t>
      </w:r>
      <w:r w:rsidRPr="00FE70E1">
        <w:t xml:space="preserve"> (2000).</w:t>
      </w:r>
    </w:p>
    <w:p w:rsidR="007A2A0E" w:rsidRPr="00DB697E" w:rsidRDefault="007A2A0E" w:rsidP="00755F18">
      <w:pPr>
        <w:pStyle w:val="Estilo1"/>
        <w:rPr>
          <w:rFonts w:cs="Arial"/>
        </w:rPr>
      </w:pPr>
      <w:r w:rsidRPr="00FE70E1">
        <w:rPr>
          <w:rFonts w:cs="Arial"/>
        </w:rPr>
        <w:t>Em Portugal, os fungicidas tebuconazol e as misturas piraclostrobina+metirame e ciprodinil+flud</w:t>
      </w:r>
      <w:r w:rsidR="00986F7A" w:rsidRPr="00FE70E1">
        <w:rPr>
          <w:rFonts w:cs="Arial"/>
        </w:rPr>
        <w:t>ioxonil revelaram eficácia bioló</w:t>
      </w:r>
      <w:r w:rsidRPr="00FE70E1">
        <w:rPr>
          <w:rFonts w:cs="Arial"/>
        </w:rPr>
        <w:t xml:space="preserve">gica relativamente a </w:t>
      </w:r>
      <w:r w:rsidR="00986F7A" w:rsidRPr="00FE70E1">
        <w:rPr>
          <w:i/>
          <w:noProof/>
          <w:lang w:eastAsia="pt-PT"/>
        </w:rPr>
        <w:t xml:space="preserve">“B”. </w:t>
      </w:r>
      <w:r w:rsidRPr="00FE70E1">
        <w:rPr>
          <w:rFonts w:cs="Arial"/>
          <w:noProof/>
          <w:lang w:eastAsia="pt-PT"/>
        </w:rPr>
        <w:t xml:space="preserve">obtusa, </w:t>
      </w:r>
      <w:r w:rsidR="00986F7A" w:rsidRPr="00FE70E1">
        <w:rPr>
          <w:i/>
          <w:noProof/>
          <w:lang w:eastAsia="pt-PT"/>
        </w:rPr>
        <w:t xml:space="preserve">“B”. </w:t>
      </w:r>
      <w:r w:rsidRPr="00FE70E1">
        <w:rPr>
          <w:rFonts w:cs="Arial"/>
          <w:noProof/>
          <w:lang w:eastAsia="pt-PT"/>
        </w:rPr>
        <w:t xml:space="preserve">lutea, </w:t>
      </w:r>
      <w:r w:rsidR="00986F7A" w:rsidRPr="00FE70E1">
        <w:rPr>
          <w:i/>
          <w:noProof/>
          <w:lang w:eastAsia="pt-PT"/>
        </w:rPr>
        <w:t xml:space="preserve">“B”. </w:t>
      </w:r>
      <w:r w:rsidRPr="00FE70E1">
        <w:rPr>
          <w:rFonts w:cs="Arial"/>
          <w:noProof/>
          <w:lang w:eastAsia="pt-PT"/>
        </w:rPr>
        <w:t xml:space="preserve">stevensii e </w:t>
      </w:r>
      <w:r w:rsidR="00986F7A" w:rsidRPr="00FE70E1">
        <w:rPr>
          <w:i/>
          <w:noProof/>
          <w:lang w:eastAsia="pt-PT"/>
        </w:rPr>
        <w:t xml:space="preserve">“B”. </w:t>
      </w:r>
      <w:r w:rsidRPr="00FE70E1">
        <w:rPr>
          <w:rFonts w:cs="Arial"/>
          <w:noProof/>
          <w:lang w:eastAsia="pt-PT"/>
        </w:rPr>
        <w:t xml:space="preserve">parva (Rego </w:t>
      </w:r>
      <w:r w:rsidRPr="00FE70E1">
        <w:rPr>
          <w:rFonts w:cs="Arial"/>
          <w:i/>
          <w:noProof/>
          <w:lang w:eastAsia="pt-PT"/>
        </w:rPr>
        <w:t>et al</w:t>
      </w:r>
      <w:r w:rsidRPr="00FE70E1">
        <w:rPr>
          <w:rFonts w:cs="Arial"/>
          <w:noProof/>
          <w:lang w:eastAsia="pt-PT"/>
        </w:rPr>
        <w:t xml:space="preserve">, 2007). </w:t>
      </w:r>
      <w:r w:rsidRPr="00FE70E1">
        <w:rPr>
          <w:rFonts w:cs="Arial"/>
          <w:spacing w:val="-2"/>
        </w:rPr>
        <w:t xml:space="preserve">A eficácia da mistura </w:t>
      </w:r>
      <w:r w:rsidRPr="00FE70E1">
        <w:rPr>
          <w:rFonts w:cs="Arial"/>
        </w:rPr>
        <w:t xml:space="preserve">piraclostrobina+metirame, </w:t>
      </w:r>
      <w:r w:rsidRPr="00FE70E1">
        <w:rPr>
          <w:rFonts w:cs="Arial"/>
          <w:spacing w:val="-2"/>
        </w:rPr>
        <w:t xml:space="preserve">quando aplicado por pulverização foliar nos estados fenológicos C/D e D/E, </w:t>
      </w:r>
      <w:r w:rsidRPr="00FE70E1">
        <w:rPr>
          <w:rFonts w:cs="Arial"/>
        </w:rPr>
        <w:t xml:space="preserve">foi </w:t>
      </w:r>
      <w:r w:rsidRPr="00FE70E1">
        <w:rPr>
          <w:rFonts w:cs="Arial"/>
          <w:spacing w:val="-2"/>
        </w:rPr>
        <w:t xml:space="preserve">comprovada em ensaios de campo (Rego </w:t>
      </w:r>
      <w:r w:rsidR="006F2254" w:rsidRPr="00FE70E1">
        <w:rPr>
          <w:rFonts w:cs="Arial"/>
          <w:i/>
          <w:spacing w:val="-2"/>
        </w:rPr>
        <w:t>et al.</w:t>
      </w:r>
      <w:r w:rsidRPr="00FE70E1">
        <w:rPr>
          <w:rFonts w:cs="Arial"/>
          <w:spacing w:val="-2"/>
        </w:rPr>
        <w:t xml:space="preserve">, 2010). As épocas, os materiais e os métodos de aplicação deverão ser igualmente investigados, para que os produtos ensaiados possam vir a ser alvo de recomendação no controlo das doenças causadas por </w:t>
      </w:r>
      <w:r w:rsidR="00016F11" w:rsidRPr="00FE70E1">
        <w:rPr>
          <w:rFonts w:cs="Arial"/>
          <w:i/>
        </w:rPr>
        <w:t>Botryosphaeria</w:t>
      </w:r>
      <w:r w:rsidR="009E08F0" w:rsidRPr="00FE70E1">
        <w:rPr>
          <w:rFonts w:cs="Arial"/>
        </w:rPr>
        <w:t>ceae</w:t>
      </w:r>
      <w:r w:rsidRPr="00FE70E1">
        <w:rPr>
          <w:rFonts w:cs="Arial"/>
          <w:spacing w:val="-2"/>
        </w:rPr>
        <w:t>.</w:t>
      </w:r>
      <w:r w:rsidRPr="00DB697E">
        <w:rPr>
          <w:rFonts w:cs="Arial"/>
        </w:rPr>
        <w:t xml:space="preserve"> </w:t>
      </w:r>
    </w:p>
    <w:p w:rsidR="007A2A0E" w:rsidRPr="00B73BBD" w:rsidRDefault="007A2A0E" w:rsidP="00B73BBD">
      <w:pPr>
        <w:pStyle w:val="Ttulo4"/>
      </w:pPr>
      <w:bookmarkStart w:id="23" w:name="_Toc264890288"/>
      <w:r w:rsidRPr="00B73BBD">
        <w:t>Biológicos</w:t>
      </w:r>
      <w:bookmarkEnd w:id="23"/>
    </w:p>
    <w:p w:rsidR="007A2A0E" w:rsidRDefault="007A2A0E" w:rsidP="00755F18">
      <w:pPr>
        <w:pStyle w:val="Estilo1"/>
      </w:pPr>
      <w:r w:rsidRPr="00C043D5">
        <w:t xml:space="preserve">Alguns agentes de controlo biológico como </w:t>
      </w:r>
      <w:r w:rsidRPr="00C043D5">
        <w:rPr>
          <w:i/>
          <w:iCs/>
        </w:rPr>
        <w:t xml:space="preserve">Fusarium lateritium </w:t>
      </w:r>
      <w:r w:rsidRPr="00C043D5">
        <w:t xml:space="preserve">Nees, </w:t>
      </w:r>
      <w:r w:rsidRPr="00C043D5">
        <w:rPr>
          <w:i/>
          <w:iCs/>
        </w:rPr>
        <w:t xml:space="preserve">Cladosporium herbarum </w:t>
      </w:r>
      <w:r w:rsidRPr="00C043D5">
        <w:t xml:space="preserve">(Pers.) Link, </w:t>
      </w:r>
      <w:r w:rsidRPr="00C043D5">
        <w:rPr>
          <w:i/>
          <w:iCs/>
        </w:rPr>
        <w:t xml:space="preserve">Trichoderma harzianum </w:t>
      </w:r>
      <w:r w:rsidRPr="00C043D5">
        <w:t xml:space="preserve">Rifai e </w:t>
      </w:r>
      <w:r w:rsidRPr="00C043D5">
        <w:rPr>
          <w:i/>
          <w:iCs/>
        </w:rPr>
        <w:t xml:space="preserve">Bacillus subtilis </w:t>
      </w:r>
      <w:r w:rsidRPr="00C043D5">
        <w:t xml:space="preserve">já demonstraram ser </w:t>
      </w:r>
      <w:r w:rsidRPr="00C043D5">
        <w:lastRenderedPageBreak/>
        <w:t xml:space="preserve">eficazes na redução do crescimento micelial de </w:t>
      </w:r>
      <w:r w:rsidRPr="00C043D5">
        <w:rPr>
          <w:i/>
          <w:iCs/>
        </w:rPr>
        <w:t>E</w:t>
      </w:r>
      <w:r w:rsidR="00986F7A">
        <w:rPr>
          <w:i/>
          <w:iCs/>
        </w:rPr>
        <w:t>utypa</w:t>
      </w:r>
      <w:r w:rsidRPr="00C043D5">
        <w:rPr>
          <w:i/>
          <w:iCs/>
        </w:rPr>
        <w:t xml:space="preserve"> lata</w:t>
      </w:r>
      <w:r w:rsidRPr="00C043D5">
        <w:t xml:space="preserve">. Para </w:t>
      </w:r>
      <w:r w:rsidR="00016F11" w:rsidRPr="00016F11">
        <w:rPr>
          <w:i/>
          <w:iCs/>
        </w:rPr>
        <w:t>Botryosphaeria</w:t>
      </w:r>
      <w:r w:rsidRPr="00C043D5">
        <w:rPr>
          <w:i/>
          <w:iCs/>
        </w:rPr>
        <w:t xml:space="preserve"> </w:t>
      </w:r>
      <w:r w:rsidRPr="00C043D5">
        <w:t xml:space="preserve">também existem alguns agentes biológicos que demonstraram a sua eficácia </w:t>
      </w:r>
      <w:r w:rsidRPr="00C043D5">
        <w:rPr>
          <w:i/>
          <w:iCs/>
        </w:rPr>
        <w:t>in vitro</w:t>
      </w:r>
      <w:r w:rsidRPr="00C043D5">
        <w:t xml:space="preserve">. Vários testes realizados demonstraram que diferentes </w:t>
      </w:r>
      <w:r w:rsidRPr="00C043D5">
        <w:rPr>
          <w:i/>
          <w:iCs/>
        </w:rPr>
        <w:t xml:space="preserve">Trichoderma </w:t>
      </w:r>
      <w:r w:rsidRPr="00C043D5">
        <w:t xml:space="preserve">spp. são micoparasitas de espécies de </w:t>
      </w:r>
      <w:r w:rsidR="00016F11" w:rsidRPr="00016F11">
        <w:rPr>
          <w:i/>
          <w:iCs/>
        </w:rPr>
        <w:t>Botryosphaeria</w:t>
      </w:r>
      <w:r w:rsidRPr="00C043D5">
        <w:rPr>
          <w:i/>
          <w:iCs/>
        </w:rPr>
        <w:t xml:space="preserve"> </w:t>
      </w:r>
      <w:r w:rsidRPr="00C043D5">
        <w:t xml:space="preserve">(KeXiang </w:t>
      </w:r>
      <w:r w:rsidR="006F2254" w:rsidRPr="006F2254">
        <w:rPr>
          <w:i/>
          <w:iCs/>
        </w:rPr>
        <w:t>et al.</w:t>
      </w:r>
      <w:r w:rsidRPr="00C043D5">
        <w:rPr>
          <w:i/>
          <w:iCs/>
        </w:rPr>
        <w:t xml:space="preserve"> </w:t>
      </w:r>
      <w:r w:rsidRPr="00C043D5">
        <w:t xml:space="preserve">200,, Chen </w:t>
      </w:r>
      <w:r w:rsidR="006F2254" w:rsidRPr="006F2254">
        <w:rPr>
          <w:i/>
          <w:iCs/>
        </w:rPr>
        <w:t>et al.</w:t>
      </w:r>
      <w:r w:rsidRPr="00C043D5">
        <w:t xml:space="preserve">, 2003), com a vantagem de conseguirem </w:t>
      </w:r>
      <w:r w:rsidRPr="00FE70E1">
        <w:t xml:space="preserve">colonizar e sobreviver em feridas da poda. Também </w:t>
      </w:r>
      <w:r w:rsidRPr="00FE70E1">
        <w:rPr>
          <w:i/>
          <w:iCs/>
        </w:rPr>
        <w:t xml:space="preserve">Paenibacillus lentimorbus </w:t>
      </w:r>
      <w:r w:rsidRPr="00FE70E1">
        <w:t xml:space="preserve">mostrou ser antagonista de </w:t>
      </w:r>
      <w:r w:rsidR="00986F7A" w:rsidRPr="00FE70E1">
        <w:rPr>
          <w:i/>
          <w:noProof/>
          <w:lang w:eastAsia="pt-PT"/>
        </w:rPr>
        <w:t xml:space="preserve">“B”. </w:t>
      </w:r>
      <w:r w:rsidRPr="00FE70E1">
        <w:rPr>
          <w:i/>
          <w:iCs/>
        </w:rPr>
        <w:t>dothidea</w:t>
      </w:r>
      <w:r w:rsidRPr="00FE70E1">
        <w:t xml:space="preserve">, em pistachio. Quando aplicado às feridas de poda, antes da inoculação com conídios de </w:t>
      </w:r>
      <w:r w:rsidR="00986F7A" w:rsidRPr="00FE70E1">
        <w:rPr>
          <w:i/>
          <w:noProof/>
          <w:lang w:eastAsia="pt-PT"/>
        </w:rPr>
        <w:t xml:space="preserve">“B”. </w:t>
      </w:r>
      <w:r w:rsidRPr="00FE70E1">
        <w:rPr>
          <w:i/>
          <w:iCs/>
        </w:rPr>
        <w:t>dothidea</w:t>
      </w:r>
      <w:r w:rsidRPr="00C043D5">
        <w:t xml:space="preserve">, reduziu bastante a infecção das regiões de corte, em comparação com as testemunhas (KeXiang </w:t>
      </w:r>
      <w:r w:rsidR="006F2254" w:rsidRPr="006F2254">
        <w:rPr>
          <w:i/>
          <w:iCs/>
        </w:rPr>
        <w:t>et al.</w:t>
      </w:r>
      <w:r w:rsidRPr="00C043D5">
        <w:rPr>
          <w:i/>
          <w:iCs/>
        </w:rPr>
        <w:t xml:space="preserve"> </w:t>
      </w:r>
      <w:r w:rsidRPr="00C043D5">
        <w:t xml:space="preserve">2002, Chen </w:t>
      </w:r>
      <w:r w:rsidR="006F2254" w:rsidRPr="006F2254">
        <w:rPr>
          <w:i/>
          <w:iCs/>
        </w:rPr>
        <w:t>et al.</w:t>
      </w:r>
      <w:r w:rsidRPr="00C043D5">
        <w:t>, 2003).</w:t>
      </w:r>
    </w:p>
    <w:p w:rsidR="007A2A0E" w:rsidRPr="00B73BBD" w:rsidRDefault="007A2A0E" w:rsidP="00B73BBD">
      <w:pPr>
        <w:pStyle w:val="Ttulo4"/>
      </w:pPr>
      <w:bookmarkStart w:id="24" w:name="_Toc264890289"/>
      <w:r w:rsidRPr="00B73BBD">
        <w:t>Indutores de mecanismos de defesa</w:t>
      </w:r>
      <w:bookmarkEnd w:id="24"/>
      <w:r w:rsidRPr="00B73BBD">
        <w:t xml:space="preserve"> </w:t>
      </w:r>
    </w:p>
    <w:p w:rsidR="007A2A0E" w:rsidRDefault="007A2A0E" w:rsidP="00755F18">
      <w:pPr>
        <w:pStyle w:val="Estilo1"/>
      </w:pPr>
      <w:r w:rsidRPr="00A220D6">
        <w:t xml:space="preserve">Existem alguns produtos que funcionam como eliciadores ou activadores de mecanismos de defesa das plantas. Exemplo destes é a quitosana, que é um polímero biológico obtido por desacetilação da quitina, não tóxico e biodegradável. Como activador de defesa: inibe a acção de poligalacturonases produzidas pelos fungos; estimula a produção de fitalexinas na planta; aumenta a síntese de enzimas na planta como quitinase, quitosanase e peroxidase que inibem </w:t>
      </w:r>
      <w:r w:rsidR="00BC3273">
        <w:t xml:space="preserve">o crescimento do fungo. A </w:t>
      </w:r>
      <w:r w:rsidR="00BC3273" w:rsidRPr="00FE70E1">
        <w:t>sua a</w:t>
      </w:r>
      <w:r w:rsidRPr="00FE70E1">
        <w:t>cção já é conhecida</w:t>
      </w:r>
      <w:r w:rsidRPr="00A220D6">
        <w:t xml:space="preserve"> contra um elevado número de fungos, tendo grande potencialidade em protecção de plantas. Em Portugal, ensaios realizados com quitosana demonstraram que este produto exibe elevado poder fungicida/fungistático em relação aos principais fungos responsáveis pelas doenças do lenho da videira, onde se incluem os fungos </w:t>
      </w:r>
      <w:r w:rsidR="00016F11" w:rsidRPr="00016F11">
        <w:rPr>
          <w:i/>
        </w:rPr>
        <w:t>Botryosphaeria</w:t>
      </w:r>
      <w:r w:rsidRPr="00A220D6">
        <w:t xml:space="preserve">ceae (Nascimento </w:t>
      </w:r>
      <w:r w:rsidR="006F2254" w:rsidRPr="006F2254">
        <w:rPr>
          <w:i/>
          <w:iCs/>
        </w:rPr>
        <w:t>et al.</w:t>
      </w:r>
      <w:r w:rsidRPr="00A220D6">
        <w:t xml:space="preserve">, 2007, Oliveira </w:t>
      </w:r>
      <w:r w:rsidRPr="00A220D6">
        <w:rPr>
          <w:i/>
          <w:iCs/>
        </w:rPr>
        <w:t>et al</w:t>
      </w:r>
      <w:r w:rsidRPr="00A220D6">
        <w:t>, 2008).</w:t>
      </w:r>
    </w:p>
    <w:p w:rsidR="007A2A0E" w:rsidRPr="00755F18" w:rsidRDefault="007A2A0E" w:rsidP="00B73BBD">
      <w:pPr>
        <w:pStyle w:val="Ttulo2"/>
      </w:pPr>
      <w:bookmarkStart w:id="25" w:name="_Toc264890290"/>
      <w:r w:rsidRPr="00755F18">
        <w:t xml:space="preserve">Doenças da videira causadas por fungos do género </w:t>
      </w:r>
      <w:r w:rsidRPr="00C96AA1">
        <w:rPr>
          <w:i/>
        </w:rPr>
        <w:t>Phomopsis</w:t>
      </w:r>
      <w:bookmarkEnd w:id="25"/>
    </w:p>
    <w:p w:rsidR="007A2A0E" w:rsidRPr="002644C9" w:rsidRDefault="007A2A0E" w:rsidP="00755F18">
      <w:pPr>
        <w:pStyle w:val="Estilo1"/>
        <w:rPr>
          <w:lang w:eastAsia="pt-PT"/>
        </w:rPr>
      </w:pPr>
      <w:r w:rsidRPr="002644C9">
        <w:rPr>
          <w:lang w:eastAsia="pt-PT"/>
        </w:rPr>
        <w:t xml:space="preserve">A escoriose é uma das principais doenças da videira e é causada pelo fungo </w:t>
      </w:r>
      <w:r w:rsidRPr="002644C9">
        <w:rPr>
          <w:i/>
          <w:lang w:eastAsia="pt-PT"/>
        </w:rPr>
        <w:t>Phomopsis</w:t>
      </w:r>
      <w:r w:rsidRPr="002644C9">
        <w:rPr>
          <w:lang w:eastAsia="pt-PT"/>
        </w:rPr>
        <w:t xml:space="preserve"> </w:t>
      </w:r>
      <w:r w:rsidRPr="002644C9">
        <w:rPr>
          <w:i/>
          <w:lang w:eastAsia="pt-PT"/>
        </w:rPr>
        <w:t>viticola Sacc</w:t>
      </w:r>
      <w:r w:rsidRPr="002644C9">
        <w:rPr>
          <w:lang w:eastAsia="pt-PT"/>
        </w:rPr>
        <w:t>.. Este fungo está presente em quase todas as áreas de vinha de Portugal e a sua incidência tem vindo a aumentar nos últimos anos.</w:t>
      </w:r>
      <w:r>
        <w:rPr>
          <w:lang w:eastAsia="pt-PT"/>
        </w:rPr>
        <w:t xml:space="preserve"> </w:t>
      </w:r>
      <w:r w:rsidRPr="002644C9">
        <w:rPr>
          <w:lang w:eastAsia="pt-PT"/>
        </w:rPr>
        <w:t xml:space="preserve">A proibição do arsenito de sódio e do DNOC, que eram usados em muitas regiões em tratamento de Inverno e, em geral, um mau posicionamento dos tratamentos são causas para a sua expansão. Os seus prejuízos são função do estado sanitário de cada vinha (presença de inóculo) e fazem sentir-se com maior gravidade em anos com Primaveras chuvosas. Os pâmpanos mais atacados quebram, muitas vezes, pela base numa fase posterior do seu desenvolvimento levando á morte de braços. O grande número de gomos basais inviáveis obriga a que na poda se deixe um </w:t>
      </w:r>
      <w:r w:rsidRPr="002644C9">
        <w:rPr>
          <w:lang w:eastAsia="pt-PT"/>
        </w:rPr>
        <w:lastRenderedPageBreak/>
        <w:t>maior número de gomos por talão ou pelo contrário a cortes pronunciados (mutilações) que são porta de entrada a outras doenças da videira, vulgarmente designadas por doenças do lenho.</w:t>
      </w:r>
    </w:p>
    <w:p w:rsidR="007A2A0E" w:rsidRPr="001A146F" w:rsidRDefault="007A2A0E" w:rsidP="00B86761">
      <w:pPr>
        <w:pStyle w:val="Ttulo3"/>
      </w:pPr>
      <w:bookmarkStart w:id="26" w:name="_Toc264890291"/>
      <w:r w:rsidRPr="001A146F">
        <w:t>Agentes causais</w:t>
      </w:r>
      <w:bookmarkEnd w:id="26"/>
    </w:p>
    <w:p w:rsidR="007A2A0E" w:rsidRPr="00C043D5" w:rsidRDefault="007A2A0E" w:rsidP="00755F18">
      <w:pPr>
        <w:pStyle w:val="Estilo1"/>
      </w:pPr>
      <w:r w:rsidRPr="00C043D5">
        <w:t xml:space="preserve">O género </w:t>
      </w:r>
      <w:r w:rsidRPr="00C043D5">
        <w:rPr>
          <w:i/>
        </w:rPr>
        <w:t>Phomopsis</w:t>
      </w:r>
      <w:r w:rsidRPr="00C043D5">
        <w:t xml:space="preserve"> contém mais de 800 espécies hospedeiras, estando assinalados como patogéneos e co</w:t>
      </w:r>
      <w:r>
        <w:t xml:space="preserve">mo saprófitas. A espécie </w:t>
      </w:r>
      <w:r w:rsidRPr="000409D3">
        <w:rPr>
          <w:i/>
        </w:rPr>
        <w:t>P. viticola</w:t>
      </w:r>
      <w:r w:rsidRPr="00C043D5">
        <w:t xml:space="preserve"> é tradicionalmente associada ao “Phomopsis cane blight” contudo, têm sido isoladas a partir de videira outras espécies pertencentes ao género.</w:t>
      </w:r>
    </w:p>
    <w:p w:rsidR="007A2A0E" w:rsidRPr="00C043D5" w:rsidRDefault="007A2A0E" w:rsidP="00755F18">
      <w:pPr>
        <w:pStyle w:val="Estilo1"/>
      </w:pPr>
      <w:r w:rsidRPr="00C043D5">
        <w:t xml:space="preserve">Inicialmente, foram identificadas na Austrália quatro espécies de </w:t>
      </w:r>
      <w:r w:rsidRPr="000409D3">
        <w:rPr>
          <w:i/>
        </w:rPr>
        <w:t>Phomopsis</w:t>
      </w:r>
      <w:r w:rsidRPr="00C043D5">
        <w:t xml:space="preserve"> designadas por taxon 1, taxon 2, taxon 3 e taxon 4 (Merrin </w:t>
      </w:r>
      <w:r w:rsidR="006F2254" w:rsidRPr="006F2254">
        <w:rPr>
          <w:i/>
        </w:rPr>
        <w:t>et al.</w:t>
      </w:r>
      <w:r w:rsidRPr="00C043D5">
        <w:t xml:space="preserve">, 1995), tendo Philips (1999) sugerido, posteriormente, a denominação de </w:t>
      </w:r>
      <w:r w:rsidRPr="000409D3">
        <w:rPr>
          <w:i/>
        </w:rPr>
        <w:t>Diaporthe perjuncta</w:t>
      </w:r>
      <w:r w:rsidRPr="00C043D5">
        <w:t xml:space="preserve"> para o taxon 1 e </w:t>
      </w:r>
      <w:r w:rsidRPr="00986F7A">
        <w:rPr>
          <w:i/>
        </w:rPr>
        <w:t>P. viticola</w:t>
      </w:r>
      <w:r w:rsidRPr="00C043D5">
        <w:t xml:space="preserve"> para o taxon 2. Schepper </w:t>
      </w:r>
      <w:r w:rsidR="006F2254" w:rsidRPr="006F2254">
        <w:rPr>
          <w:i/>
        </w:rPr>
        <w:t>et al.</w:t>
      </w:r>
      <w:r w:rsidRPr="00C043D5">
        <w:t xml:space="preserve"> (2000) discordou desta atribuição tendo então d</w:t>
      </w:r>
      <w:r>
        <w:t xml:space="preserve">esignado o teleomorfo de </w:t>
      </w:r>
      <w:r w:rsidRPr="000409D3">
        <w:rPr>
          <w:i/>
        </w:rPr>
        <w:t>P. viticola</w:t>
      </w:r>
      <w:r>
        <w:t xml:space="preserve"> Taxon 1 por </w:t>
      </w:r>
      <w:r w:rsidRPr="000409D3">
        <w:rPr>
          <w:i/>
        </w:rPr>
        <w:t>D. viticola</w:t>
      </w:r>
      <w:r w:rsidRPr="00C043D5">
        <w:t xml:space="preserve">. Para além disso, a espécie </w:t>
      </w:r>
      <w:r w:rsidRPr="000409D3">
        <w:rPr>
          <w:i/>
        </w:rPr>
        <w:t>D. perjuncta</w:t>
      </w:r>
      <w:r w:rsidRPr="00C043D5">
        <w:t xml:space="preserve"> foi considerada não patogénica para a videira.</w:t>
      </w:r>
    </w:p>
    <w:p w:rsidR="007A2A0E" w:rsidRPr="00C043D5" w:rsidRDefault="007A2A0E" w:rsidP="00755F18">
      <w:pPr>
        <w:pStyle w:val="Estilo1"/>
      </w:pPr>
      <w:r w:rsidRPr="00C043D5">
        <w:t xml:space="preserve">Estudos desenvolvidos na África do Sul permitiram a caracterização de seis espécies de </w:t>
      </w:r>
      <w:r w:rsidRPr="000409D3">
        <w:rPr>
          <w:i/>
        </w:rPr>
        <w:t>Phomopsis</w:t>
      </w:r>
      <w:r w:rsidRPr="00C043D5">
        <w:t xml:space="preserve"> associadas à videira. Uma espécie (teleomorfo), identificada como </w:t>
      </w:r>
      <w:r w:rsidRPr="000409D3">
        <w:rPr>
          <w:i/>
        </w:rPr>
        <w:t>D. perjuncta</w:t>
      </w:r>
      <w:r w:rsidRPr="00C043D5">
        <w:t xml:space="preserve">, </w:t>
      </w:r>
      <w:r w:rsidRPr="00FE70E1">
        <w:t xml:space="preserve">foi caracterizada e uma “neotype” espécie foi designada por </w:t>
      </w:r>
      <w:r w:rsidRPr="00FE70E1">
        <w:rPr>
          <w:i/>
        </w:rPr>
        <w:t>P. viticola</w:t>
      </w:r>
      <w:r w:rsidR="0000283C">
        <w:t xml:space="preserve"> </w:t>
      </w:r>
      <w:r w:rsidR="0000283C" w:rsidRPr="00FE70E1">
        <w:t>ST</w:t>
      </w:r>
      <w:r w:rsidRPr="00FE70E1">
        <w:t>EU 2</w:t>
      </w:r>
      <w:r w:rsidRPr="00C043D5">
        <w:t xml:space="preserve">660. Foi identificado </w:t>
      </w:r>
      <w:r w:rsidRPr="000409D3">
        <w:rPr>
          <w:i/>
        </w:rPr>
        <w:t>Phomopsis</w:t>
      </w:r>
      <w:r w:rsidRPr="00C043D5">
        <w:t xml:space="preserve"> Taxon 3 e </w:t>
      </w:r>
      <w:r w:rsidRPr="000409D3">
        <w:rPr>
          <w:i/>
        </w:rPr>
        <w:t>Phomopsis</w:t>
      </w:r>
      <w:r>
        <w:t xml:space="preserve"> Taxon 4</w:t>
      </w:r>
      <w:r w:rsidRPr="00C043D5">
        <w:t xml:space="preserve"> </w:t>
      </w:r>
      <w:r>
        <w:t>(</w:t>
      </w:r>
      <w:r w:rsidRPr="00C043D5">
        <w:t xml:space="preserve">Merrin </w:t>
      </w:r>
      <w:r w:rsidR="006F2254" w:rsidRPr="006F2254">
        <w:rPr>
          <w:i/>
        </w:rPr>
        <w:t>et al.</w:t>
      </w:r>
      <w:r>
        <w:t xml:space="preserve"> 1995) como </w:t>
      </w:r>
      <w:r w:rsidRPr="000409D3">
        <w:rPr>
          <w:i/>
        </w:rPr>
        <w:t>Phomopsis</w:t>
      </w:r>
      <w:r w:rsidRPr="00C043D5">
        <w:t xml:space="preserve"> sp. 1 (complexo de espécies) e como uma espécie de </w:t>
      </w:r>
      <w:r w:rsidRPr="00C043D5">
        <w:rPr>
          <w:i/>
        </w:rPr>
        <w:t>Libertella</w:t>
      </w:r>
      <w:r>
        <w:t xml:space="preserve">, </w:t>
      </w:r>
      <w:r w:rsidRPr="00C043D5">
        <w:t xml:space="preserve">respectivamente (Mostert </w:t>
      </w:r>
      <w:r w:rsidR="006F2254" w:rsidRPr="006F2254">
        <w:rPr>
          <w:i/>
        </w:rPr>
        <w:t>et al.</w:t>
      </w:r>
      <w:r w:rsidRPr="00C043D5">
        <w:t>, 2001). Foram ainda identificados dois iso</w:t>
      </w:r>
      <w:r>
        <w:t xml:space="preserve">lados obtidos de </w:t>
      </w:r>
      <w:r w:rsidRPr="000409D3">
        <w:rPr>
          <w:i/>
        </w:rPr>
        <w:t>V. vinifera</w:t>
      </w:r>
      <w:r w:rsidRPr="00C043D5">
        <w:t xml:space="preserve">, (um de Itália e outro da África do Sul), como </w:t>
      </w:r>
      <w:r w:rsidRPr="000409D3">
        <w:rPr>
          <w:i/>
        </w:rPr>
        <w:t>Phomopsis</w:t>
      </w:r>
      <w:r w:rsidRPr="00C043D5">
        <w:t xml:space="preserve"> sp. 2 e </w:t>
      </w:r>
      <w:r w:rsidRPr="000409D3">
        <w:rPr>
          <w:i/>
        </w:rPr>
        <w:t>P. amygdali</w:t>
      </w:r>
      <w:r w:rsidRPr="00C043D5">
        <w:t xml:space="preserve">, respectivamente. Para além disso, não se encontrou relação entre a espécie </w:t>
      </w:r>
      <w:r w:rsidRPr="000409D3">
        <w:rPr>
          <w:i/>
        </w:rPr>
        <w:t>P. vitimegaspora</w:t>
      </w:r>
      <w:r w:rsidRPr="00C043D5">
        <w:t>, agente causal da “swelling arm” da videira e as restantes espécies em estudo.</w:t>
      </w:r>
    </w:p>
    <w:p w:rsidR="007A2A0E" w:rsidRPr="00C043D5" w:rsidRDefault="007A2A0E" w:rsidP="00755F18">
      <w:pPr>
        <w:pStyle w:val="Estilo1"/>
      </w:pPr>
      <w:r w:rsidRPr="00C043D5">
        <w:t xml:space="preserve">Posteriormente os isolados europeus, identificados como </w:t>
      </w:r>
      <w:r w:rsidRPr="000409D3">
        <w:rPr>
          <w:i/>
        </w:rPr>
        <w:t>D. perjuncta</w:t>
      </w:r>
      <w:r w:rsidRPr="00C043D5">
        <w:t xml:space="preserve"> po</w:t>
      </w:r>
      <w:r>
        <w:t xml:space="preserve">r Philips (1999) ou como </w:t>
      </w:r>
      <w:r w:rsidRPr="000409D3">
        <w:rPr>
          <w:i/>
        </w:rPr>
        <w:t>D. viticola</w:t>
      </w:r>
      <w:r w:rsidRPr="00C043D5">
        <w:t xml:space="preserve"> por Scheper </w:t>
      </w:r>
      <w:r w:rsidR="006F2254" w:rsidRPr="006F2254">
        <w:rPr>
          <w:i/>
        </w:rPr>
        <w:t>et al.</w:t>
      </w:r>
      <w:r w:rsidRPr="00C043D5">
        <w:t xml:space="preserve"> (2000)</w:t>
      </w:r>
      <w:r>
        <w:t xml:space="preserve">, foram considerados </w:t>
      </w:r>
      <w:r w:rsidRPr="000409D3">
        <w:rPr>
          <w:i/>
        </w:rPr>
        <w:t>D. viticola</w:t>
      </w:r>
      <w:r w:rsidRPr="00C043D5">
        <w:t xml:space="preserve">, enquanto os isolados obtidos na África do Sul e Austrália foram descritos como uma nova espécie </w:t>
      </w:r>
      <w:r w:rsidRPr="000409D3">
        <w:rPr>
          <w:i/>
        </w:rPr>
        <w:t>D. australafricana</w:t>
      </w:r>
      <w:r w:rsidRPr="00C043D5">
        <w:t>.</w:t>
      </w:r>
    </w:p>
    <w:p w:rsidR="007A2A0E" w:rsidRDefault="007A2A0E" w:rsidP="00755F18">
      <w:pPr>
        <w:pStyle w:val="Estilo1"/>
      </w:pPr>
      <w:r w:rsidRPr="00C043D5">
        <w:t xml:space="preserve">Em estudos mais recentes, quinze espécies de </w:t>
      </w:r>
      <w:r w:rsidRPr="000409D3">
        <w:rPr>
          <w:i/>
        </w:rPr>
        <w:t xml:space="preserve">Phomopsis </w:t>
      </w:r>
      <w:r>
        <w:t xml:space="preserve">ou </w:t>
      </w:r>
      <w:r w:rsidRPr="000409D3">
        <w:rPr>
          <w:i/>
        </w:rPr>
        <w:t>Diaporthe</w:t>
      </w:r>
      <w:r w:rsidRPr="00C043D5">
        <w:t xml:space="preserve"> estão associados à videira, estando sete </w:t>
      </w:r>
      <w:r>
        <w:t xml:space="preserve">delas identificadas como </w:t>
      </w:r>
      <w:r w:rsidRPr="000409D3">
        <w:rPr>
          <w:i/>
        </w:rPr>
        <w:t>P. viticola</w:t>
      </w:r>
      <w:r>
        <w:t xml:space="preserve">, </w:t>
      </w:r>
      <w:r w:rsidRPr="000409D3">
        <w:rPr>
          <w:i/>
        </w:rPr>
        <w:t>D. viticola</w:t>
      </w:r>
      <w:r w:rsidRPr="00C043D5">
        <w:t xml:space="preserve">, </w:t>
      </w:r>
      <w:r w:rsidRPr="000409D3">
        <w:rPr>
          <w:i/>
        </w:rPr>
        <w:t>D. australafricana</w:t>
      </w:r>
      <w:r w:rsidRPr="00C043D5">
        <w:t xml:space="preserve">, </w:t>
      </w:r>
      <w:r w:rsidRPr="000409D3">
        <w:rPr>
          <w:i/>
        </w:rPr>
        <w:t>P. amygdali</w:t>
      </w:r>
      <w:r w:rsidRPr="00C043D5">
        <w:t xml:space="preserve">, </w:t>
      </w:r>
      <w:r w:rsidRPr="000409D3">
        <w:rPr>
          <w:i/>
        </w:rPr>
        <w:t>P. longiparaphysata</w:t>
      </w:r>
      <w:r w:rsidRPr="00C043D5">
        <w:t xml:space="preserve">, </w:t>
      </w:r>
      <w:r w:rsidRPr="000409D3">
        <w:rPr>
          <w:i/>
        </w:rPr>
        <w:t>P. vitemegaspora</w:t>
      </w:r>
      <w:r w:rsidRPr="00C043D5">
        <w:t xml:space="preserve">, </w:t>
      </w:r>
      <w:r w:rsidRPr="000409D3">
        <w:rPr>
          <w:i/>
        </w:rPr>
        <w:t>D. helianthi</w:t>
      </w:r>
      <w:r>
        <w:t xml:space="preserve"> e </w:t>
      </w:r>
      <w:r w:rsidRPr="000409D3">
        <w:rPr>
          <w:i/>
        </w:rPr>
        <w:t>D. ambigua</w:t>
      </w:r>
      <w:r w:rsidRPr="00C043D5">
        <w:t xml:space="preserve">, permanecendo as restantes por identificar ou descrever (Merrin </w:t>
      </w:r>
      <w:r w:rsidR="006F2254" w:rsidRPr="006F2254">
        <w:rPr>
          <w:i/>
        </w:rPr>
        <w:t>et al.</w:t>
      </w:r>
      <w:r w:rsidR="000A6E4F">
        <w:t xml:space="preserve">, 1995, Mostert </w:t>
      </w:r>
      <w:r w:rsidR="000A6E4F" w:rsidRPr="000A6E4F">
        <w:rPr>
          <w:i/>
        </w:rPr>
        <w:t>e</w:t>
      </w:r>
      <w:r w:rsidRPr="000A6E4F">
        <w:rPr>
          <w:i/>
        </w:rPr>
        <w:t>t</w:t>
      </w:r>
      <w:r w:rsidR="000A6E4F" w:rsidRPr="000A6E4F">
        <w:rPr>
          <w:i/>
        </w:rPr>
        <w:t xml:space="preserve"> </w:t>
      </w:r>
      <w:r w:rsidRPr="000A6E4F">
        <w:rPr>
          <w:i/>
        </w:rPr>
        <w:t>al</w:t>
      </w:r>
      <w:r w:rsidRPr="00C043D5">
        <w:t xml:space="preserve">., 2001). </w:t>
      </w:r>
      <w:r w:rsidR="0000283C">
        <w:t>Há</w:t>
      </w:r>
      <w:r w:rsidRPr="00C043D5">
        <w:t xml:space="preserve"> </w:t>
      </w:r>
      <w:r w:rsidR="0000283C">
        <w:lastRenderedPageBreak/>
        <w:t>relativamente pouco tempo</w:t>
      </w:r>
      <w:r w:rsidRPr="00C043D5">
        <w:t xml:space="preserve">, van Niekerk </w:t>
      </w:r>
      <w:r w:rsidR="006F2254" w:rsidRPr="006F2254">
        <w:rPr>
          <w:i/>
        </w:rPr>
        <w:t>et al.</w:t>
      </w:r>
      <w:r w:rsidR="0000283C">
        <w:t xml:space="preserve"> (2005) sugeriram</w:t>
      </w:r>
      <w:r w:rsidRPr="00C043D5">
        <w:t xml:space="preserve"> que o taxon </w:t>
      </w:r>
      <w:r w:rsidRPr="000409D3">
        <w:rPr>
          <w:i/>
        </w:rPr>
        <w:t>D. viticola</w:t>
      </w:r>
      <w:r w:rsidR="0000283C">
        <w:t xml:space="preserve"> poderia</w:t>
      </w:r>
      <w:r w:rsidRPr="00C043D5">
        <w:t xml:space="preserve"> ser aplicado a colecções de isolados em Portugal.</w:t>
      </w:r>
    </w:p>
    <w:p w:rsidR="007A2A0E" w:rsidRPr="001A146F" w:rsidRDefault="007A2A0E" w:rsidP="00B73BBD">
      <w:pPr>
        <w:pStyle w:val="Ttulo3"/>
      </w:pPr>
      <w:bookmarkStart w:id="27" w:name="_Toc264890292"/>
      <w:r w:rsidRPr="001A146F">
        <w:t>Bioecologia</w:t>
      </w:r>
      <w:bookmarkEnd w:id="27"/>
    </w:p>
    <w:p w:rsidR="00A67CD5" w:rsidRDefault="007A2A0E" w:rsidP="007A2A0E">
      <w:r>
        <w:t>A e</w:t>
      </w:r>
      <w:r w:rsidRPr="00C043D5">
        <w:t xml:space="preserve">scoriose americana é uma doença da videira causada pelo fungo </w:t>
      </w:r>
      <w:r w:rsidRPr="00C043D5">
        <w:rPr>
          <w:i/>
        </w:rPr>
        <w:t xml:space="preserve">Phomopsis </w:t>
      </w:r>
      <w:r>
        <w:rPr>
          <w:i/>
        </w:rPr>
        <w:t xml:space="preserve">viticola </w:t>
      </w:r>
      <w:r w:rsidRPr="00C17CFC">
        <w:t>(Sacc.).</w:t>
      </w:r>
      <w:r w:rsidRPr="00C043D5">
        <w:rPr>
          <w:i/>
        </w:rPr>
        <w:t xml:space="preserve"> </w:t>
      </w:r>
      <w:r w:rsidRPr="00C043D5">
        <w:t>Este fungo sobrevive durante o Inverno nos tecidos dos sarmentos que for</w:t>
      </w:r>
      <w:r>
        <w:t>am infectados no ano anterior (F</w:t>
      </w:r>
      <w:r w:rsidRPr="00C043D5">
        <w:t>ig</w:t>
      </w:r>
      <w:r>
        <w:t>ura 2</w:t>
      </w:r>
      <w:r w:rsidR="00A67CD5">
        <w:t>.2</w:t>
      </w:r>
      <w:r w:rsidRPr="00C043D5">
        <w:t>). Na Primavera, o patogéneo produz numerosos picnídios nos sarmentos infectados. Os conídios produzidos peles picnídios são disperso</w:t>
      </w:r>
      <w:r>
        <w:t>s pela chuva</w:t>
      </w:r>
      <w:r w:rsidRPr="00C043D5">
        <w:t xml:space="preserve"> e infectam </w:t>
      </w:r>
      <w:r>
        <w:t>os órgãos das videiras</w:t>
      </w:r>
      <w:r w:rsidRPr="00C043D5">
        <w:t xml:space="preserve"> em crescimento se as condições ambient</w:t>
      </w:r>
      <w:r>
        <w:t>ais forem favoráveis. A produção</w:t>
      </w:r>
      <w:r w:rsidRPr="00C043D5">
        <w:t xml:space="preserve"> de conídios é </w:t>
      </w:r>
      <w:r>
        <w:t xml:space="preserve">maior na Primavera e decresce à </w:t>
      </w:r>
      <w:r w:rsidRPr="00C043D5">
        <w:t>medida que a estação de crescimento progride</w:t>
      </w:r>
      <w:r>
        <w:t xml:space="preserve"> (Cucuzza</w:t>
      </w:r>
      <w:r w:rsidRPr="00C043D5">
        <w:t xml:space="preserve">, 1982) </w:t>
      </w:r>
      <w:r w:rsidRPr="00951084">
        <w:t xml:space="preserve">e novas infecções não </w:t>
      </w:r>
      <w:r>
        <w:t xml:space="preserve">se </w:t>
      </w:r>
      <w:r w:rsidRPr="00951084">
        <w:t>desencadeiam antes do ano seguinte. Deste mo</w:t>
      </w:r>
      <w:r w:rsidRPr="00C043D5">
        <w:t>do, o ciclo biológico é cons</w:t>
      </w:r>
      <w:r>
        <w:t>iderado monocíclico (Mizuho</w:t>
      </w:r>
      <w:r w:rsidRPr="00C043D5">
        <w:t xml:space="preserve">, 2007).O parasita responsável tem duas formas de </w:t>
      </w:r>
      <w:r>
        <w:t>conservação inver</w:t>
      </w:r>
      <w:r w:rsidR="009E08F0">
        <w:t xml:space="preserve">nal: os picnídios, formados no </w:t>
      </w:r>
      <w:r>
        <w:t>ritidoma necrosado</w:t>
      </w:r>
      <w:r w:rsidRPr="00C043D5">
        <w:t xml:space="preserve"> ou esbranquiçada dos </w:t>
      </w:r>
      <w:r>
        <w:t>sarmentos</w:t>
      </w:r>
      <w:r w:rsidRPr="00C043D5">
        <w:t xml:space="preserve"> e</w:t>
      </w:r>
      <w:r>
        <w:t xml:space="preserve"> o micélio presente no ritidoma</w:t>
      </w:r>
      <w:r w:rsidRPr="00C043D5">
        <w:t xml:space="preserve"> e nalguns gomos (Bugaret </w:t>
      </w:r>
      <w:r w:rsidR="006F2254" w:rsidRPr="006F2254">
        <w:rPr>
          <w:i/>
        </w:rPr>
        <w:t>et al.</w:t>
      </w:r>
      <w:r w:rsidRPr="00C043D5">
        <w:t xml:space="preserve">, 2006). Segundo </w:t>
      </w:r>
      <w:r w:rsidRPr="00C043D5">
        <w:rPr>
          <w:rFonts w:eastAsia="Times New Roman"/>
          <w:color w:val="000000"/>
          <w:lang w:eastAsia="pt-PT"/>
        </w:rPr>
        <w:t xml:space="preserve">Schilder </w:t>
      </w:r>
      <w:r>
        <w:rPr>
          <w:rFonts w:eastAsia="Times New Roman"/>
          <w:color w:val="000000"/>
          <w:lang w:eastAsia="pt-PT"/>
        </w:rPr>
        <w:t>(</w:t>
      </w:r>
      <w:r w:rsidRPr="00C043D5">
        <w:rPr>
          <w:rFonts w:eastAsia="Times New Roman"/>
          <w:color w:val="000000"/>
          <w:lang w:eastAsia="pt-PT"/>
        </w:rPr>
        <w:t>2001</w:t>
      </w:r>
      <w:r>
        <w:rPr>
          <w:rFonts w:eastAsia="Times New Roman"/>
          <w:color w:val="000000"/>
          <w:lang w:eastAsia="pt-PT"/>
        </w:rPr>
        <w:t>)</w:t>
      </w:r>
      <w:r w:rsidRPr="00C043D5">
        <w:rPr>
          <w:rFonts w:eastAsia="Times New Roman"/>
          <w:color w:val="000000"/>
          <w:lang w:eastAsia="pt-PT"/>
        </w:rPr>
        <w:t>,</w:t>
      </w:r>
      <w:r w:rsidRPr="00C043D5">
        <w:rPr>
          <w:b/>
        </w:rPr>
        <w:t xml:space="preserve"> </w:t>
      </w:r>
      <w:r>
        <w:rPr>
          <w:rFonts w:eastAsia="Times New Roman"/>
          <w:i/>
          <w:color w:val="000000"/>
          <w:lang w:eastAsia="pt-PT"/>
        </w:rPr>
        <w:t>P.</w:t>
      </w:r>
      <w:r w:rsidRPr="00C043D5">
        <w:rPr>
          <w:rFonts w:eastAsia="Times New Roman"/>
          <w:i/>
          <w:color w:val="000000"/>
          <w:lang w:eastAsia="pt-PT"/>
        </w:rPr>
        <w:t xml:space="preserve"> viticola</w:t>
      </w:r>
      <w:r w:rsidRPr="00C043D5">
        <w:rPr>
          <w:rFonts w:eastAsia="Times New Roman"/>
          <w:color w:val="000000"/>
          <w:lang w:eastAsia="pt-PT"/>
        </w:rPr>
        <w:t xml:space="preserve"> permanece durante o Inverno em sarmentos doentes e feridas de poda. </w:t>
      </w:r>
    </w:p>
    <w:p w:rsidR="00A67CD5" w:rsidRDefault="00EB3060" w:rsidP="00A67CD5">
      <w:pPr>
        <w:pStyle w:val="Legenda"/>
        <w:spacing w:before="120" w:after="120" w:line="240" w:lineRule="auto"/>
      </w:pPr>
      <w:r>
        <w:rPr>
          <w:noProof/>
          <w:shd w:val="clear" w:color="auto" w:fill="auto"/>
          <w:lang w:eastAsia="pt-PT"/>
        </w:rPr>
        <w:pict>
          <v:group id="_x0000_s1152" style="position:absolute;margin-left:50pt;margin-top:22.85pt;width:349.05pt;height:212pt;z-index:251660288" coordorigin="2064,4417" coordsize="6981,4240">
            <v:shape id="_x0000_s1130" type="#_x0000_t202" style="position:absolute;left:2064;top:4417;width:4535;height:649;mso-width-relative:margin;mso-height-relative:margin;v-text-anchor:middle">
              <v:textbox style="mso-next-textbox:#_x0000_s1130">
                <w:txbxContent>
                  <w:p w:rsidR="003E4AC6" w:rsidRPr="00951084" w:rsidRDefault="003E4AC6" w:rsidP="007A2A0E">
                    <w:pPr>
                      <w:spacing w:after="0" w:line="240" w:lineRule="auto"/>
                      <w:jc w:val="center"/>
                      <w:rPr>
                        <w:sz w:val="20"/>
                        <w:szCs w:val="20"/>
                      </w:rPr>
                    </w:pPr>
                    <w:r w:rsidRPr="00951084">
                      <w:rPr>
                        <w:sz w:val="20"/>
                        <w:szCs w:val="20"/>
                      </w:rPr>
                      <w:t>Disseminação e infecção</w:t>
                    </w:r>
                  </w:p>
                  <w:p w:rsidR="003E4AC6" w:rsidRPr="00951084" w:rsidRDefault="003E4AC6" w:rsidP="007A2A0E">
                    <w:pPr>
                      <w:spacing w:after="0" w:line="240" w:lineRule="auto"/>
                      <w:jc w:val="center"/>
                      <w:rPr>
                        <w:sz w:val="20"/>
                        <w:szCs w:val="20"/>
                      </w:rPr>
                    </w:pPr>
                    <w:r w:rsidRPr="00951084">
                      <w:rPr>
                        <w:sz w:val="20"/>
                        <w:szCs w:val="20"/>
                      </w:rPr>
                      <w:t>(Primavera)</w:t>
                    </w:r>
                  </w:p>
                </w:txbxContent>
              </v:textbox>
            </v:shape>
            <v:shape id="_x0000_s1131" type="#_x0000_t202" style="position:absolute;left:6946;top:6349;width:2099;height:649;mso-width-relative:margin;mso-height-relative:margin;v-text-anchor:middle">
              <v:textbox style="mso-next-textbox:#_x0000_s1131">
                <w:txbxContent>
                  <w:p w:rsidR="003E4AC6" w:rsidRPr="00951084" w:rsidRDefault="003E4AC6" w:rsidP="007A2A0E">
                    <w:pPr>
                      <w:spacing w:after="0" w:line="240" w:lineRule="auto"/>
                      <w:jc w:val="center"/>
                      <w:rPr>
                        <w:sz w:val="20"/>
                        <w:szCs w:val="20"/>
                      </w:rPr>
                    </w:pPr>
                    <w:r>
                      <w:rPr>
                        <w:sz w:val="20"/>
                        <w:szCs w:val="20"/>
                      </w:rPr>
                      <w:t>Colonização</w:t>
                    </w:r>
                  </w:p>
                </w:txbxContent>
              </v:textbox>
            </v:shape>
            <v:shape id="_x0000_s1132" type="#_x0000_t202" style="position:absolute;left:5273;top:7989;width:1329;height:668;mso-width-relative:margin;mso-height-relative:margin;v-text-anchor:middle">
              <v:textbox style="mso-next-textbox:#_x0000_s1132">
                <w:txbxContent>
                  <w:p w:rsidR="003E4AC6" w:rsidRPr="00951084" w:rsidRDefault="003E4AC6" w:rsidP="007A2A0E">
                    <w:pPr>
                      <w:spacing w:after="0" w:line="240" w:lineRule="auto"/>
                      <w:jc w:val="center"/>
                      <w:rPr>
                        <w:sz w:val="20"/>
                        <w:szCs w:val="20"/>
                      </w:rPr>
                    </w:pPr>
                    <w:r>
                      <w:rPr>
                        <w:sz w:val="20"/>
                        <w:szCs w:val="20"/>
                      </w:rPr>
                      <w:t>Hibernação</w:t>
                    </w:r>
                  </w:p>
                </w:txbxContent>
              </v:textbox>
            </v:shape>
          </v:group>
        </w:pict>
      </w:r>
    </w:p>
    <w:p w:rsidR="00A67CD5" w:rsidRPr="00120973" w:rsidRDefault="00A67CD5" w:rsidP="00A67CD5">
      <w:pPr>
        <w:pStyle w:val="Legenda"/>
        <w:jc w:val="center"/>
      </w:pPr>
      <w:r>
        <w:rPr>
          <w:noProof/>
          <w:shd w:val="clear" w:color="auto" w:fill="auto"/>
          <w:lang w:eastAsia="pt-PT"/>
        </w:rPr>
        <w:drawing>
          <wp:anchor distT="0" distB="0" distL="114300" distR="114300" simplePos="0" relativeHeight="251657216" behindDoc="1" locked="0" layoutInCell="1" allowOverlap="1">
            <wp:simplePos x="0" y="0"/>
            <wp:positionH relativeFrom="margin">
              <wp:posOffset>621030</wp:posOffset>
            </wp:positionH>
            <wp:positionV relativeFrom="margin">
              <wp:posOffset>4768850</wp:posOffset>
            </wp:positionV>
            <wp:extent cx="4441190" cy="3180080"/>
            <wp:effectExtent l="19050" t="0" r="0" b="0"/>
            <wp:wrapTopAndBottom/>
            <wp:docPr id="104" name="Imagem 3" descr="http://www.plantmanagementnetwork.org/pub/php/symposium/melhus/manage/image/strategies1sm.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3" descr="http://www.plantmanagementnetwork.org/pub/php/symposium/melhus/manage/image/strategies1sm.jpg"/>
                    <pic:cNvPicPr>
                      <a:picLocks noChangeAspect="1" noChangeArrowheads="1"/>
                    </pic:cNvPicPr>
                  </pic:nvPicPr>
                  <pic:blipFill>
                    <a:blip r:embed="rId17" cstate="print"/>
                    <a:srcRect/>
                    <a:stretch>
                      <a:fillRect/>
                    </a:stretch>
                  </pic:blipFill>
                  <pic:spPr bwMode="auto">
                    <a:xfrm>
                      <a:off x="0" y="0"/>
                      <a:ext cx="4441190" cy="3180080"/>
                    </a:xfrm>
                    <a:prstGeom prst="rect">
                      <a:avLst/>
                    </a:prstGeom>
                    <a:noFill/>
                    <a:ln w="9525">
                      <a:noFill/>
                      <a:miter lim="800000"/>
                      <a:headEnd/>
                      <a:tailEnd/>
                    </a:ln>
                  </pic:spPr>
                </pic:pic>
              </a:graphicData>
            </a:graphic>
          </wp:anchor>
        </w:drawing>
      </w:r>
      <w:bookmarkStart w:id="28" w:name="_Toc264890315"/>
      <w:r>
        <w:t xml:space="preserve">Figura </w:t>
      </w:r>
      <w:fldSimple w:instr=" STYLEREF 1 \s ">
        <w:r w:rsidR="00E2640D">
          <w:rPr>
            <w:noProof/>
          </w:rPr>
          <w:t>2</w:t>
        </w:r>
      </w:fldSimple>
      <w:r>
        <w:t>.</w:t>
      </w:r>
      <w:fldSimple w:instr=" SEQ Figura \* ARABIC \s 1 ">
        <w:r w:rsidR="00E2640D">
          <w:rPr>
            <w:noProof/>
          </w:rPr>
          <w:t>2</w:t>
        </w:r>
      </w:fldSimple>
      <w:r>
        <w:t xml:space="preserve">. </w:t>
      </w:r>
      <w:r w:rsidRPr="00755F18">
        <w:t xml:space="preserve">Ciclo Biológico do fungo </w:t>
      </w:r>
      <w:r w:rsidRPr="0000283C">
        <w:rPr>
          <w:i/>
        </w:rPr>
        <w:t xml:space="preserve">Phomopsis </w:t>
      </w:r>
      <w:r w:rsidR="00E1278F">
        <w:rPr>
          <w:i/>
        </w:rPr>
        <w:t>vitícola</w:t>
      </w:r>
      <w:r w:rsidR="00E1278F">
        <w:t xml:space="preserve"> Sacc</w:t>
      </w:r>
      <w:r w:rsidRPr="00755F18">
        <w:t>.</w:t>
      </w:r>
      <w:bookmarkEnd w:id="28"/>
    </w:p>
    <w:p w:rsidR="00A67CD5" w:rsidRDefault="00A67CD5" w:rsidP="007A2A0E"/>
    <w:p w:rsidR="007A2A0E" w:rsidRPr="004044F7" w:rsidRDefault="00A67CD5" w:rsidP="007A2A0E">
      <w:pPr>
        <w:rPr>
          <w:b/>
        </w:rPr>
      </w:pPr>
      <w:r w:rsidRPr="00C043D5">
        <w:lastRenderedPageBreak/>
        <w:t xml:space="preserve">Na Primavera, próximo do abrolhamento, o fungo entra em actividade. Os </w:t>
      </w:r>
      <w:r>
        <w:t>picnídi</w:t>
      </w:r>
      <w:r w:rsidRPr="00C043D5">
        <w:t xml:space="preserve">os libertam os esporos aglutinados em cirros. As gotas de chuva caiem nos cirros e projectam os esporos através dos salpicos que </w:t>
      </w:r>
      <w:r w:rsidR="007A2A0E" w:rsidRPr="00C043D5">
        <w:t xml:space="preserve">vão atingir os gomos em desenvolvimento (sensibilidade máxima: estado </w:t>
      </w:r>
      <w:r w:rsidR="007A2A0E">
        <w:t xml:space="preserve">fenológico </w:t>
      </w:r>
      <w:r w:rsidR="007A2A0E" w:rsidRPr="00C043D5">
        <w:t xml:space="preserve">D). Os esporos germinam bem na água e podem contaminar os órgãos verdes se </w:t>
      </w:r>
      <w:r w:rsidR="00E1278F">
        <w:t>entretanto</w:t>
      </w:r>
      <w:r w:rsidR="007A2A0E" w:rsidRPr="00C043D5">
        <w:t xml:space="preserve"> se encontrarem em humectação </w:t>
      </w:r>
      <w:r w:rsidR="00E1278F">
        <w:t>durante</w:t>
      </w:r>
      <w:r w:rsidR="007A2A0E" w:rsidRPr="00C043D5">
        <w:t xml:space="preserve"> algum</w:t>
      </w:r>
      <w:r w:rsidR="007A2A0E">
        <w:t xml:space="preserve"> </w:t>
      </w:r>
      <w:r w:rsidR="007A2A0E" w:rsidRPr="00C043D5">
        <w:t>tempo (</w:t>
      </w:r>
      <w:r w:rsidR="007A2A0E">
        <w:t>Bugaret</w:t>
      </w:r>
      <w:r w:rsidR="007A2A0E" w:rsidRPr="00C043D5">
        <w:t xml:space="preserve"> </w:t>
      </w:r>
      <w:r w:rsidR="006F2254" w:rsidRPr="006F2254">
        <w:rPr>
          <w:i/>
        </w:rPr>
        <w:t>et al.</w:t>
      </w:r>
      <w:r w:rsidR="007A2A0E" w:rsidRPr="00C043D5">
        <w:t>, 2006).</w:t>
      </w:r>
      <w:r w:rsidR="007A2A0E" w:rsidRPr="00ED2BB5">
        <w:t xml:space="preserve"> </w:t>
      </w:r>
    </w:p>
    <w:p w:rsidR="007A2A0E" w:rsidRPr="00C043D5" w:rsidRDefault="007A2A0E" w:rsidP="007A2A0E">
      <w:r w:rsidRPr="005F3362">
        <w:t>O fungo</w:t>
      </w:r>
      <w:r>
        <w:t xml:space="preserve"> foi isolado</w:t>
      </w:r>
      <w:r w:rsidRPr="00C043D5">
        <w:t xml:space="preserve"> de folhas saudáveis de videira após </w:t>
      </w:r>
      <w:r w:rsidR="00E1278F">
        <w:t xml:space="preserve">a </w:t>
      </w:r>
      <w:r w:rsidRPr="00C043D5">
        <w:t xml:space="preserve">esterilização intensiva da sua superfície o que significa que é um fungo endófito de </w:t>
      </w:r>
      <w:r>
        <w:rPr>
          <w:i/>
        </w:rPr>
        <w:t>Vitis vini</w:t>
      </w:r>
      <w:r w:rsidRPr="00C043D5">
        <w:rPr>
          <w:i/>
        </w:rPr>
        <w:t>fera</w:t>
      </w:r>
      <w:r w:rsidRPr="00C043D5">
        <w:t xml:space="preserve"> (Cardinali </w:t>
      </w:r>
      <w:r w:rsidR="006F2254" w:rsidRPr="006F2254">
        <w:rPr>
          <w:i/>
        </w:rPr>
        <w:t>et al.</w:t>
      </w:r>
      <w:r w:rsidRPr="00C043D5">
        <w:t>, 1994). Não existe muita informação disponível sobre este aspecto e tamb</w:t>
      </w:r>
      <w:r w:rsidR="00E1278F">
        <w:t xml:space="preserve">ém não se sabe se é fonte de </w:t>
      </w:r>
      <w:r w:rsidR="00E1278F" w:rsidRPr="00FE70E1">
        <w:t>inó</w:t>
      </w:r>
      <w:r w:rsidRPr="00FE70E1">
        <w:t>culo, em vin</w:t>
      </w:r>
      <w:r w:rsidRPr="00C043D5">
        <w:t xml:space="preserve">has aparentemente sãs. Além disso, mais do que quatro taxon de </w:t>
      </w:r>
      <w:r w:rsidRPr="005F3362">
        <w:rPr>
          <w:i/>
        </w:rPr>
        <w:t>Phomopsis</w:t>
      </w:r>
      <w:r w:rsidRPr="00C043D5">
        <w:t xml:space="preserve"> na Austrália foram associados a “cane and leaf spot disease” (Merrin </w:t>
      </w:r>
      <w:r w:rsidR="006F2254" w:rsidRPr="006F2254">
        <w:rPr>
          <w:i/>
        </w:rPr>
        <w:t>et al.</w:t>
      </w:r>
      <w:r w:rsidRPr="00C043D5">
        <w:t>, 1995), alguns dos quais podem provavelmente ser endófitos. Diversos estudos efectuados sobre a hipótese de serem</w:t>
      </w:r>
      <w:r>
        <w:t xml:space="preserve"> fungos endófitos (Sieber </w:t>
      </w:r>
      <w:r w:rsidR="006F2254" w:rsidRPr="006F2254">
        <w:rPr>
          <w:i/>
        </w:rPr>
        <w:t>et al.</w:t>
      </w:r>
      <w:r>
        <w:t xml:space="preserve">, 1990; Johson </w:t>
      </w:r>
      <w:r w:rsidR="006F2254" w:rsidRPr="006F2254">
        <w:rPr>
          <w:i/>
        </w:rPr>
        <w:t>et al.</w:t>
      </w:r>
      <w:r w:rsidRPr="00C043D5">
        <w:t xml:space="preserve">, 1992; Smith </w:t>
      </w:r>
      <w:r w:rsidR="006F2254" w:rsidRPr="006F2254">
        <w:rPr>
          <w:i/>
        </w:rPr>
        <w:t>et al.</w:t>
      </w:r>
      <w:r w:rsidRPr="00C043D5">
        <w:t>, 1996) foram entendidos através das definições de Petrin</w:t>
      </w:r>
      <w:r>
        <w:t>i’s (1991) e Wilson’s (1995):</w:t>
      </w:r>
      <w:r w:rsidRPr="00C043D5">
        <w:t xml:space="preserve"> o fungo pode ser tanto endófito como patogénico, dependendo da fase do seu ciclo.</w:t>
      </w:r>
      <w:r>
        <w:t xml:space="preserve"> Mostert</w:t>
      </w:r>
      <w:r w:rsidRPr="00C043D5">
        <w:t xml:space="preserve"> </w:t>
      </w:r>
      <w:r w:rsidR="006F2254" w:rsidRPr="006F2254">
        <w:rPr>
          <w:i/>
        </w:rPr>
        <w:t>et al.</w:t>
      </w:r>
      <w:r>
        <w:rPr>
          <w:i/>
        </w:rPr>
        <w:t xml:space="preserve"> </w:t>
      </w:r>
      <w:r w:rsidRPr="00C043D5">
        <w:t xml:space="preserve">(2000) </w:t>
      </w:r>
      <w:r>
        <w:t xml:space="preserve">isolaram </w:t>
      </w:r>
      <w:r w:rsidRPr="009E63BB">
        <w:rPr>
          <w:i/>
        </w:rPr>
        <w:t xml:space="preserve">P. </w:t>
      </w:r>
      <w:r w:rsidR="00BE5D0A">
        <w:rPr>
          <w:i/>
        </w:rPr>
        <w:t>vitícola,</w:t>
      </w:r>
      <w:r>
        <w:t xml:space="preserve"> </w:t>
      </w:r>
      <w:r w:rsidRPr="00C043D5">
        <w:t xml:space="preserve">endófito de </w:t>
      </w:r>
      <w:r w:rsidR="00BF2199">
        <w:rPr>
          <w:i/>
        </w:rPr>
        <w:t>V.</w:t>
      </w:r>
      <w:r w:rsidRPr="009E63BB">
        <w:rPr>
          <w:i/>
        </w:rPr>
        <w:t xml:space="preserve"> </w:t>
      </w:r>
      <w:r w:rsidR="00BE5D0A">
        <w:rPr>
          <w:i/>
        </w:rPr>
        <w:t>vinífera,</w:t>
      </w:r>
      <w:r w:rsidRPr="00C043D5">
        <w:t xml:space="preserve"> com pouca frequência. </w:t>
      </w:r>
      <w:r>
        <w:t xml:space="preserve">O </w:t>
      </w:r>
      <w:r w:rsidRPr="00C043D5">
        <w:t xml:space="preserve">Taxon 1 e </w:t>
      </w:r>
      <w:r>
        <w:t xml:space="preserve">o </w:t>
      </w:r>
      <w:r w:rsidRPr="00C043D5">
        <w:t>Taxon 2 foram isolados na África do Sul</w:t>
      </w:r>
      <w:r>
        <w:t xml:space="preserve"> e t</w:t>
      </w:r>
      <w:r w:rsidRPr="00C043D5">
        <w:t xml:space="preserve">udo indica que Taxon 1 pode ser visto como um verdadeiro endófito. Inoculações em tecidos de jovens videiras sãs, mostraram que Taxon 2 seria um patogéneo primário em vez de um endófito. </w:t>
      </w:r>
      <w:r w:rsidRPr="002D4780">
        <w:rPr>
          <w:i/>
        </w:rPr>
        <w:t>P. viticola</w:t>
      </w:r>
      <w:r w:rsidRPr="00C043D5">
        <w:t xml:space="preserve"> foi encontrado em tecidos específicos, nos nós e entrenós, mais especificamente nos três a seis primeiros entrenós, onde os sintomas da doença normalmente são observados (</w:t>
      </w:r>
      <w:r w:rsidR="000A6E4F">
        <w:t xml:space="preserve">Hewitt and </w:t>
      </w:r>
      <w:r w:rsidRPr="00C043D5">
        <w:t>Pearson</w:t>
      </w:r>
      <w:r w:rsidR="000A6E4F">
        <w:t>,1988</w:t>
      </w:r>
      <w:r w:rsidRPr="00C043D5">
        <w:t>). Não houve diferenças, em exper</w:t>
      </w:r>
      <w:r>
        <w:t xml:space="preserve">iências efectuadas por Mostert </w:t>
      </w:r>
      <w:r w:rsidR="006F2254" w:rsidRPr="006F2254">
        <w:rPr>
          <w:i/>
        </w:rPr>
        <w:t>et al.</w:t>
      </w:r>
      <w:r w:rsidR="000A6E4F">
        <w:t>, (2001</w:t>
      </w:r>
      <w:r>
        <w:t>)</w:t>
      </w:r>
      <w:r w:rsidRPr="00C043D5">
        <w:t xml:space="preserve"> em relação a isolados obtidos do lado do gomo e do lado sem gomo do nó. Isto indica que </w:t>
      </w:r>
      <w:r>
        <w:rPr>
          <w:i/>
        </w:rPr>
        <w:t>P. viti</w:t>
      </w:r>
      <w:r w:rsidRPr="00C043D5">
        <w:rPr>
          <w:i/>
        </w:rPr>
        <w:t>cola</w:t>
      </w:r>
      <w:r w:rsidRPr="00C043D5">
        <w:t xml:space="preserve"> não existe assintomaticamente apenas nos gomos mas sim em todo o nó. Este estudo também revelou que a maior parte dos isolados de </w:t>
      </w:r>
      <w:r>
        <w:rPr>
          <w:i/>
        </w:rPr>
        <w:t>P. viti</w:t>
      </w:r>
      <w:r w:rsidRPr="00C043D5">
        <w:rPr>
          <w:i/>
        </w:rPr>
        <w:t>cola</w:t>
      </w:r>
      <w:r w:rsidRPr="00C043D5">
        <w:t xml:space="preserve"> foram obtidos dos segundos nós e entrenós das varas de anos anteriores. Portanto, </w:t>
      </w:r>
      <w:r>
        <w:t xml:space="preserve">os </w:t>
      </w:r>
      <w:r w:rsidRPr="00C043D5">
        <w:t xml:space="preserve">isolados de </w:t>
      </w:r>
      <w:r w:rsidRPr="00C043D5">
        <w:rPr>
          <w:i/>
        </w:rPr>
        <w:t xml:space="preserve">P. </w:t>
      </w:r>
      <w:r>
        <w:rPr>
          <w:i/>
        </w:rPr>
        <w:t>viticola</w:t>
      </w:r>
      <w:r w:rsidRPr="00C043D5">
        <w:t xml:space="preserve"> viáveis existem em varas de poda, aparentemente sãs, que podem tornar-se numa fonte de inoculo. Para </w:t>
      </w:r>
      <w:r w:rsidRPr="005D1734">
        <w:t xml:space="preserve">controlar o inoculo da doença podem ser aplicados fungicidas durante o repouso vegetativo (Castillo-Pando </w:t>
      </w:r>
      <w:r w:rsidR="006F2254" w:rsidRPr="006F2254">
        <w:rPr>
          <w:i/>
        </w:rPr>
        <w:t>et al.</w:t>
      </w:r>
      <w:r w:rsidRPr="005D1734">
        <w:t>, 1997).</w:t>
      </w:r>
    </w:p>
    <w:p w:rsidR="007A2A0E" w:rsidRDefault="007A2A0E" w:rsidP="007A2A0E">
      <w:pPr>
        <w:rPr>
          <w:lang w:eastAsia="pt-PT"/>
        </w:rPr>
      </w:pPr>
      <w:r w:rsidRPr="00C043D5">
        <w:rPr>
          <w:lang w:eastAsia="pt-PT"/>
        </w:rPr>
        <w:t xml:space="preserve">Num estudo realizado em Michigan, a maioria dos esporos foram libertados durante as chuvas de Maio e Junho. Não foram detectados esporos após </w:t>
      </w:r>
      <w:r>
        <w:rPr>
          <w:lang w:eastAsia="pt-PT"/>
        </w:rPr>
        <w:t>o crescimento</w:t>
      </w:r>
      <w:r w:rsidRPr="00C043D5">
        <w:rPr>
          <w:lang w:eastAsia="pt-PT"/>
        </w:rPr>
        <w:t xml:space="preserve"> do cacho (meados de Julho)</w:t>
      </w:r>
      <w:r w:rsidRPr="005D1734">
        <w:rPr>
          <w:lang w:eastAsia="pt-PT"/>
        </w:rPr>
        <w:t xml:space="preserve"> </w:t>
      </w:r>
      <w:r w:rsidR="009E08F0">
        <w:rPr>
          <w:lang w:eastAsia="pt-PT"/>
        </w:rPr>
        <w:t>(Schilder</w:t>
      </w:r>
      <w:r w:rsidRPr="00C043D5">
        <w:rPr>
          <w:lang w:eastAsia="pt-PT"/>
        </w:rPr>
        <w:t>, 2001)</w:t>
      </w:r>
      <w:r>
        <w:rPr>
          <w:lang w:eastAsia="pt-PT"/>
        </w:rPr>
        <w:t xml:space="preserve">. </w:t>
      </w:r>
      <w:r w:rsidRPr="00C043D5">
        <w:t>Após uma incubação de uma a três semanas, os primeiros sintomas, aparecem discretamente sobre os entrenós da base dos ramos. O micélio dos gomos desenvolve-se à superfície dos ramos jovens a</w:t>
      </w:r>
      <w:r>
        <w:t>companhando o seu crescimento (Bugaret</w:t>
      </w:r>
      <w:r w:rsidRPr="00C043D5">
        <w:t xml:space="preserve"> </w:t>
      </w:r>
      <w:r w:rsidR="006F2254" w:rsidRPr="006F2254">
        <w:rPr>
          <w:i/>
        </w:rPr>
        <w:t>et al.</w:t>
      </w:r>
      <w:r w:rsidRPr="00C043D5">
        <w:t>, 2006).</w:t>
      </w:r>
      <w:r>
        <w:t xml:space="preserve"> </w:t>
      </w:r>
      <w:r w:rsidRPr="00C043D5">
        <w:t xml:space="preserve">No Verão os sintomas acentuam-se e os gomos são contaminados pelo micélio. </w:t>
      </w:r>
    </w:p>
    <w:p w:rsidR="007A2A0E" w:rsidRDefault="007A2A0E" w:rsidP="007A2A0E">
      <w:r w:rsidRPr="00C043D5">
        <w:lastRenderedPageBreak/>
        <w:t>No Outono</w:t>
      </w:r>
      <w:r>
        <w:t>,</w:t>
      </w:r>
      <w:r w:rsidRPr="00C043D5">
        <w:t xml:space="preserve"> os sarmentos afectados pela escoriose apresentam manchas esbranquiçadas onde se formam picnídios que começam a sua maturação. O micélio instalado nos gomos, durante o Verão está em latência até à Primavera seguinte</w:t>
      </w:r>
      <w:r>
        <w:t xml:space="preserve"> (Bugaret</w:t>
      </w:r>
      <w:r w:rsidRPr="00C043D5">
        <w:t xml:space="preserve"> </w:t>
      </w:r>
      <w:r w:rsidR="006F2254" w:rsidRPr="006F2254">
        <w:rPr>
          <w:i/>
        </w:rPr>
        <w:t>et al.</w:t>
      </w:r>
      <w:r w:rsidRPr="00C043D5">
        <w:t>, 2006).</w:t>
      </w:r>
      <w:r>
        <w:t xml:space="preserve"> </w:t>
      </w:r>
      <w:r w:rsidRPr="00C043D5">
        <w:t xml:space="preserve">Os efeitos da temperatura e duração da humectação na infecção por </w:t>
      </w:r>
      <w:r w:rsidRPr="00C043D5">
        <w:rPr>
          <w:i/>
        </w:rPr>
        <w:t>P</w:t>
      </w:r>
      <w:r>
        <w:rPr>
          <w:i/>
        </w:rPr>
        <w:t>. viticola</w:t>
      </w:r>
      <w:r w:rsidRPr="00C043D5">
        <w:t xml:space="preserve"> foram apresentados</w:t>
      </w:r>
      <w:r>
        <w:t xml:space="preserve"> inicialmente por Bugaret </w:t>
      </w:r>
      <w:r w:rsidRPr="00C043D5">
        <w:t xml:space="preserve">(1984). Segundo este, as temperaturas óptimas para infecção encontravam-se entre 23 e 25ºC e quatro horas de humectação para ocorrer a infecção. </w:t>
      </w:r>
      <w:r>
        <w:t xml:space="preserve">Segundo </w:t>
      </w:r>
      <w:r w:rsidRPr="00C043D5">
        <w:t xml:space="preserve">Erincik (2003), estes resultados diferem um pouco </w:t>
      </w:r>
      <w:r>
        <w:t>daqueles que obteve</w:t>
      </w:r>
      <w:r w:rsidRPr="00C043D5">
        <w:t>, alegando que</w:t>
      </w:r>
      <w:r w:rsidRPr="005D0266">
        <w:t xml:space="preserve"> </w:t>
      </w:r>
      <w:r>
        <w:t>Bugar</w:t>
      </w:r>
      <w:r w:rsidRPr="00C043D5">
        <w:t xml:space="preserve">et </w:t>
      </w:r>
      <w:r w:rsidR="009E08F0" w:rsidRPr="00C043D5">
        <w:t>(1984)</w:t>
      </w:r>
      <w:r w:rsidR="009E08F0">
        <w:t xml:space="preserve"> </w:t>
      </w:r>
      <w:r w:rsidRPr="00C043D5">
        <w:t xml:space="preserve">apenas </w:t>
      </w:r>
      <w:r>
        <w:t xml:space="preserve">fez </w:t>
      </w:r>
      <w:r w:rsidRPr="00C043D5">
        <w:t xml:space="preserve">estudos em </w:t>
      </w:r>
      <w:r w:rsidRPr="00C043D5">
        <w:rPr>
          <w:i/>
        </w:rPr>
        <w:t>Vitis vinifera</w:t>
      </w:r>
      <w:r w:rsidRPr="00C043D5">
        <w:t xml:space="preserve"> e util</w:t>
      </w:r>
      <w:r>
        <w:t>izou</w:t>
      </w:r>
      <w:r w:rsidRPr="00C043D5">
        <w:t xml:space="preserve"> um isolado de </w:t>
      </w:r>
      <w:r w:rsidRPr="00C043D5">
        <w:rPr>
          <w:i/>
        </w:rPr>
        <w:t xml:space="preserve">P. </w:t>
      </w:r>
      <w:r>
        <w:rPr>
          <w:i/>
        </w:rPr>
        <w:t>viticola</w:t>
      </w:r>
      <w:r w:rsidRPr="00C043D5">
        <w:t xml:space="preserve"> recolhido em França. Est</w:t>
      </w:r>
      <w:r>
        <w:t>udos efectuados por Erincick</w:t>
      </w:r>
      <w:r w:rsidRPr="00C043D5">
        <w:t xml:space="preserve"> </w:t>
      </w:r>
      <w:r w:rsidR="006F2254" w:rsidRPr="006F2254">
        <w:rPr>
          <w:i/>
        </w:rPr>
        <w:t>et al.</w:t>
      </w:r>
      <w:r>
        <w:t xml:space="preserve"> (2003), constatam que a </w:t>
      </w:r>
      <w:r w:rsidRPr="00C043D5">
        <w:t xml:space="preserve">a temperatura para </w:t>
      </w:r>
      <w:r>
        <w:t xml:space="preserve">que ocorra </w:t>
      </w:r>
      <w:r w:rsidRPr="00C043D5">
        <w:t xml:space="preserve">infecção </w:t>
      </w:r>
      <w:r>
        <w:t xml:space="preserve">se situa entre os </w:t>
      </w:r>
      <w:r w:rsidRPr="00C043D5">
        <w:t>5 e 35,5ºC</w:t>
      </w:r>
      <w:r>
        <w:t>,</w:t>
      </w:r>
      <w:r w:rsidRPr="00C043D5">
        <w:t xml:space="preserve"> respectivamente</w:t>
      </w:r>
      <w:r>
        <w:t xml:space="preserve"> mínima e máxima, sendo a óptima</w:t>
      </w:r>
      <w:r w:rsidRPr="00C043D5">
        <w:t xml:space="preserve"> entre 16 e 20ºC. A incidência e a severidade da doença variam de </w:t>
      </w:r>
      <w:r>
        <w:t>ano para ano</w:t>
      </w:r>
      <w:r w:rsidRPr="00C043D5">
        <w:t>, sendo estas atribuídas às variações nas condições ambientais tais como a precipitação e a temperatura (</w:t>
      </w:r>
      <w:r w:rsidR="000A6E4F">
        <w:t>Hewitt and Pearson, 1988</w:t>
      </w:r>
      <w:r>
        <w:t>)</w:t>
      </w:r>
      <w:r w:rsidRPr="00C043D5">
        <w:t xml:space="preserve">. </w:t>
      </w:r>
      <w:r>
        <w:t>Conclui-se</w:t>
      </w:r>
      <w:r w:rsidRPr="00C043D5">
        <w:t xml:space="preserve"> que a incidência e severidade da doença é geralmente mais alta nas estações hú</w:t>
      </w:r>
      <w:r>
        <w:t>midas do que nas secas</w:t>
      </w:r>
      <w:r w:rsidRPr="00C043D5">
        <w:t>. Foi observado que, com chuvas prolongadas, especialmente nas épocas de Primavera quando os gomos iniciam o abrolhamento</w:t>
      </w:r>
      <w:r>
        <w:t>,</w:t>
      </w:r>
      <w:r w:rsidRPr="00C043D5">
        <w:t xml:space="preserve"> existem grandes hipóteses d</w:t>
      </w:r>
      <w:r>
        <w:t>e infecção. Hewitt</w:t>
      </w:r>
      <w:r w:rsidRPr="00C043D5">
        <w:t xml:space="preserve"> </w:t>
      </w:r>
      <w:r w:rsidR="006F2254" w:rsidRPr="006F2254">
        <w:rPr>
          <w:i/>
        </w:rPr>
        <w:t>et al.</w:t>
      </w:r>
      <w:r w:rsidRPr="00C043D5">
        <w:t xml:space="preserve"> (1990) associam as infecções precoces da estação com as baixas (provavelmente abaixo do normal) temperaturas durante esse tempo. Também concluíram que o fungo está activo apenas a baixa temperatura e que quando esta aumenta o fungo fica inactivo não dand</w:t>
      </w:r>
      <w:r>
        <w:t xml:space="preserve">o origem a infecções tardias no ciclo </w:t>
      </w:r>
      <w:r w:rsidRPr="00C043D5">
        <w:t>de crescimento. Para</w:t>
      </w:r>
      <w:r>
        <w:t xml:space="preserve"> Erincick</w:t>
      </w:r>
      <w:r w:rsidRPr="00C043D5">
        <w:t xml:space="preserve"> </w:t>
      </w:r>
      <w:r w:rsidR="006F2254" w:rsidRPr="006F2254">
        <w:rPr>
          <w:i/>
        </w:rPr>
        <w:t>et al.</w:t>
      </w:r>
      <w:r w:rsidRPr="00C043D5">
        <w:t xml:space="preserve"> (2002), os bagos podem ser invadidos através dos tecidos infectados do ráquis, no entanto não é obrigatório que exista infecção do ráquis para se desenvolver a podridão dos frutos. Segundo </w:t>
      </w:r>
      <w:r>
        <w:t xml:space="preserve">Erincick </w:t>
      </w:r>
      <w:r w:rsidR="006F2254" w:rsidRPr="006F2254">
        <w:rPr>
          <w:i/>
        </w:rPr>
        <w:t>et al.</w:t>
      </w:r>
      <w:r w:rsidRPr="00C043D5">
        <w:t xml:space="preserve"> (2003), os tecidos do ráquis aparentam serem mais susceptíveis do que os tecidos dos bagos. </w:t>
      </w:r>
    </w:p>
    <w:p w:rsidR="007A2A0E" w:rsidRPr="001A146F" w:rsidRDefault="007A2A0E" w:rsidP="00B73BBD">
      <w:pPr>
        <w:pStyle w:val="Ttulo3"/>
      </w:pPr>
      <w:bookmarkStart w:id="29" w:name="_Toc264890293"/>
      <w:r w:rsidRPr="001A146F">
        <w:t>Sintomas</w:t>
      </w:r>
      <w:bookmarkEnd w:id="29"/>
    </w:p>
    <w:p w:rsidR="007A2A0E" w:rsidRDefault="007A2A0E" w:rsidP="007A2A0E">
      <w:pPr>
        <w:rPr>
          <w:rStyle w:val="Estilo1Carcter"/>
        </w:rPr>
      </w:pPr>
      <w:r w:rsidRPr="00C043D5">
        <w:t>O fungo pode infectar todas as partes verdes da planta. As folhas infectadas apresentam pontuações necrosadas com halo amarelo no limbo e manchas escuras nos pecíolos e nervuras principais e podem ainda estar enrugadas (Marin, 1992)</w:t>
      </w:r>
      <w:r w:rsidR="004044F7">
        <w:t xml:space="preserve"> (Figura 2.3</w:t>
      </w:r>
      <w:r>
        <w:t xml:space="preserve"> e </w:t>
      </w:r>
      <w:r w:rsidR="004044F7">
        <w:t>2.5</w:t>
      </w:r>
      <w:r>
        <w:t>)</w:t>
      </w:r>
      <w:r w:rsidRPr="00C043D5">
        <w:t xml:space="preserve">. Nos pecíolos, pâmpanos e ráquis podem aparecer manchas ou estrias com centros escuros alongados </w:t>
      </w:r>
      <w:r w:rsidRPr="00C043D5">
        <w:rPr>
          <w:rStyle w:val="Estilo1Carcter"/>
        </w:rPr>
        <w:t>o que torna o tecido frágil e</w:t>
      </w:r>
      <w:r w:rsidRPr="00C043D5">
        <w:rPr>
          <w:shd w:val="clear" w:color="auto" w:fill="EBEFF9"/>
        </w:rPr>
        <w:t xml:space="preserve"> </w:t>
      </w:r>
      <w:r w:rsidRPr="00C043D5">
        <w:rPr>
          <w:rStyle w:val="Estilo1Carcter"/>
        </w:rPr>
        <w:t>propenso</w:t>
      </w:r>
      <w:r>
        <w:rPr>
          <w:rStyle w:val="Estilo1Carcter"/>
        </w:rPr>
        <w:t xml:space="preserve"> ao fendilhamento </w:t>
      </w:r>
      <w:r w:rsidR="004044F7">
        <w:t>(Figura 2.4</w:t>
      </w:r>
      <w:r>
        <w:t>)</w:t>
      </w:r>
      <w:r w:rsidRPr="00C043D5">
        <w:rPr>
          <w:rStyle w:val="Estilo1Carcter"/>
        </w:rPr>
        <w:t xml:space="preserve">. A maioria das </w:t>
      </w:r>
      <w:r>
        <w:rPr>
          <w:rStyle w:val="Estilo1Carcter"/>
        </w:rPr>
        <w:t xml:space="preserve">necroses </w:t>
      </w:r>
      <w:r w:rsidRPr="00C043D5">
        <w:rPr>
          <w:rStyle w:val="Estilo1Carcter"/>
        </w:rPr>
        <w:t>ocorre</w:t>
      </w:r>
      <w:r w:rsidRPr="00C043D5">
        <w:t xml:space="preserve"> </w:t>
      </w:r>
      <w:r w:rsidRPr="00C043D5">
        <w:rPr>
          <w:rStyle w:val="Estilo1Carcter"/>
        </w:rPr>
        <w:t>nos três a seis entrenós basais, originando a morte dos gomos (Marin, 1992) Os</w:t>
      </w:r>
      <w:r w:rsidRPr="00C043D5">
        <w:t xml:space="preserve"> </w:t>
      </w:r>
      <w:r w:rsidRPr="00C043D5">
        <w:rPr>
          <w:rStyle w:val="Estilo1Carcter"/>
        </w:rPr>
        <w:t>tecidos com crescimento mais activo são mais susceptíveis à infecção</w:t>
      </w:r>
      <w:r>
        <w:rPr>
          <w:rStyle w:val="Estilo1Carcter"/>
        </w:rPr>
        <w:t>.</w:t>
      </w:r>
    </w:p>
    <w:p w:rsidR="00120973" w:rsidRPr="00120973" w:rsidRDefault="008724C9" w:rsidP="00A67CD5">
      <w:pPr>
        <w:pStyle w:val="Legenda"/>
        <w:jc w:val="center"/>
        <w:rPr>
          <w:szCs w:val="22"/>
        </w:rPr>
      </w:pPr>
      <w:r>
        <w:rPr>
          <w:noProof/>
          <w:shd w:val="clear" w:color="auto" w:fill="auto"/>
          <w:lang w:eastAsia="pt-PT"/>
        </w:rPr>
        <w:lastRenderedPageBreak/>
        <w:drawing>
          <wp:anchor distT="0" distB="0" distL="114300" distR="114300" simplePos="0" relativeHeight="251648000" behindDoc="0" locked="0" layoutInCell="1" allowOverlap="1">
            <wp:simplePos x="0" y="0"/>
            <wp:positionH relativeFrom="column">
              <wp:posOffset>709295</wp:posOffset>
            </wp:positionH>
            <wp:positionV relativeFrom="paragraph">
              <wp:posOffset>2844165</wp:posOffset>
            </wp:positionV>
            <wp:extent cx="4361815" cy="1725295"/>
            <wp:effectExtent l="19050" t="0" r="635" b="0"/>
            <wp:wrapTopAndBottom/>
            <wp:docPr id="92" name="Imagem 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2"/>
                    <pic:cNvPicPr>
                      <a:picLocks noChangeAspect="1" noChangeArrowheads="1"/>
                    </pic:cNvPicPr>
                  </pic:nvPicPr>
                  <pic:blipFill>
                    <a:blip r:embed="rId18" cstate="print"/>
                    <a:srcRect t="4037" b="4164"/>
                    <a:stretch>
                      <a:fillRect/>
                    </a:stretch>
                  </pic:blipFill>
                  <pic:spPr bwMode="auto">
                    <a:xfrm>
                      <a:off x="0" y="0"/>
                      <a:ext cx="4361815" cy="1725295"/>
                    </a:xfrm>
                    <a:prstGeom prst="rect">
                      <a:avLst/>
                    </a:prstGeom>
                    <a:noFill/>
                    <a:ln w="9525">
                      <a:noFill/>
                      <a:miter lim="800000"/>
                      <a:headEnd/>
                      <a:tailEnd/>
                    </a:ln>
                  </pic:spPr>
                </pic:pic>
              </a:graphicData>
            </a:graphic>
          </wp:anchor>
        </w:drawing>
      </w:r>
      <w:r>
        <w:rPr>
          <w:noProof/>
          <w:shd w:val="clear" w:color="auto" w:fill="auto"/>
          <w:lang w:eastAsia="pt-PT"/>
        </w:rPr>
        <w:drawing>
          <wp:anchor distT="0" distB="0" distL="114300" distR="114300" simplePos="0" relativeHeight="251663360" behindDoc="0" locked="0" layoutInCell="1" allowOverlap="1">
            <wp:simplePos x="0" y="0"/>
            <wp:positionH relativeFrom="column">
              <wp:posOffset>1185545</wp:posOffset>
            </wp:positionH>
            <wp:positionV relativeFrom="paragraph">
              <wp:posOffset>212725</wp:posOffset>
            </wp:positionV>
            <wp:extent cx="3296285" cy="2162175"/>
            <wp:effectExtent l="19050" t="0" r="0" b="0"/>
            <wp:wrapTopAndBottom/>
            <wp:docPr id="110" name="Imagem 1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0"/>
                    <pic:cNvPicPr>
                      <a:picLocks noChangeAspect="1" noChangeArrowheads="1"/>
                    </pic:cNvPicPr>
                  </pic:nvPicPr>
                  <pic:blipFill>
                    <a:blip r:embed="rId19" cstate="print"/>
                    <a:srcRect b="2448"/>
                    <a:stretch>
                      <a:fillRect/>
                    </a:stretch>
                  </pic:blipFill>
                  <pic:spPr bwMode="auto">
                    <a:xfrm>
                      <a:off x="0" y="0"/>
                      <a:ext cx="3296285" cy="2162175"/>
                    </a:xfrm>
                    <a:prstGeom prst="rect">
                      <a:avLst/>
                    </a:prstGeom>
                    <a:noFill/>
                    <a:ln w="9525">
                      <a:noFill/>
                      <a:miter lim="800000"/>
                      <a:headEnd/>
                      <a:tailEnd/>
                    </a:ln>
                  </pic:spPr>
                </pic:pic>
              </a:graphicData>
            </a:graphic>
          </wp:anchor>
        </w:drawing>
      </w:r>
      <w:bookmarkStart w:id="30" w:name="_Toc264890316"/>
      <w:r w:rsidR="00120973" w:rsidRPr="00120973">
        <w:t xml:space="preserve">Figura </w:t>
      </w:r>
      <w:fldSimple w:instr=" STYLEREF 1 \s ">
        <w:r w:rsidR="00E2640D">
          <w:rPr>
            <w:noProof/>
          </w:rPr>
          <w:t>2</w:t>
        </w:r>
      </w:fldSimple>
      <w:r w:rsidR="00C37A87">
        <w:t>.</w:t>
      </w:r>
      <w:fldSimple w:instr=" SEQ Figura \* ARABIC \s 1 ">
        <w:r w:rsidR="00E2640D">
          <w:rPr>
            <w:noProof/>
          </w:rPr>
          <w:t>3</w:t>
        </w:r>
      </w:fldSimple>
      <w:r w:rsidR="00120973" w:rsidRPr="00120973">
        <w:t xml:space="preserve">. </w:t>
      </w:r>
      <w:r w:rsidR="00120973" w:rsidRPr="00120973">
        <w:rPr>
          <w:szCs w:val="22"/>
        </w:rPr>
        <w:t>Sintomas em folhas mais novas, no início da estação</w:t>
      </w:r>
      <w:bookmarkEnd w:id="30"/>
    </w:p>
    <w:p w:rsidR="00120973" w:rsidRPr="00120973" w:rsidRDefault="008724C9" w:rsidP="00A67CD5">
      <w:pPr>
        <w:pStyle w:val="Legenda"/>
        <w:jc w:val="center"/>
        <w:rPr>
          <w:szCs w:val="22"/>
        </w:rPr>
      </w:pPr>
      <w:r>
        <w:rPr>
          <w:noProof/>
          <w:shd w:val="clear" w:color="auto" w:fill="auto"/>
          <w:lang w:eastAsia="pt-PT"/>
        </w:rPr>
        <w:drawing>
          <wp:anchor distT="0" distB="0" distL="114300" distR="114300" simplePos="0" relativeHeight="251650048" behindDoc="0" locked="0" layoutInCell="1" allowOverlap="1">
            <wp:simplePos x="0" y="0"/>
            <wp:positionH relativeFrom="column">
              <wp:posOffset>963295</wp:posOffset>
            </wp:positionH>
            <wp:positionV relativeFrom="paragraph">
              <wp:posOffset>2362200</wp:posOffset>
            </wp:positionV>
            <wp:extent cx="3526790" cy="1709420"/>
            <wp:effectExtent l="19050" t="0" r="0" b="0"/>
            <wp:wrapTopAndBottom/>
            <wp:docPr id="94" name="Imagem 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4"/>
                    <pic:cNvPicPr>
                      <a:picLocks noChangeAspect="1" noChangeArrowheads="1"/>
                    </pic:cNvPicPr>
                  </pic:nvPicPr>
                  <pic:blipFill>
                    <a:blip r:embed="rId20" cstate="print"/>
                    <a:srcRect t="6586" b="17383"/>
                    <a:stretch>
                      <a:fillRect/>
                    </a:stretch>
                  </pic:blipFill>
                  <pic:spPr bwMode="auto">
                    <a:xfrm>
                      <a:off x="0" y="0"/>
                      <a:ext cx="3526790" cy="1709420"/>
                    </a:xfrm>
                    <a:prstGeom prst="rect">
                      <a:avLst/>
                    </a:prstGeom>
                    <a:noFill/>
                    <a:ln w="9525">
                      <a:noFill/>
                      <a:miter lim="800000"/>
                      <a:headEnd/>
                      <a:tailEnd/>
                    </a:ln>
                  </pic:spPr>
                </pic:pic>
              </a:graphicData>
            </a:graphic>
          </wp:anchor>
        </w:drawing>
      </w:r>
      <w:bookmarkStart w:id="31" w:name="_Toc264890317"/>
      <w:r w:rsidR="00120973" w:rsidRPr="00120973">
        <w:t xml:space="preserve">Figura </w:t>
      </w:r>
      <w:fldSimple w:instr=" STYLEREF 1 \s ">
        <w:r w:rsidR="00E2640D">
          <w:rPr>
            <w:noProof/>
          </w:rPr>
          <w:t>2</w:t>
        </w:r>
      </w:fldSimple>
      <w:r w:rsidR="00C37A87">
        <w:t>.</w:t>
      </w:r>
      <w:fldSimple w:instr=" SEQ Figura \* ARABIC \s 1 ">
        <w:r w:rsidR="00E2640D">
          <w:rPr>
            <w:noProof/>
          </w:rPr>
          <w:t>4</w:t>
        </w:r>
      </w:fldSimple>
      <w:r w:rsidR="00120973" w:rsidRPr="00120973">
        <w:t xml:space="preserve">. </w:t>
      </w:r>
      <w:r w:rsidR="00120973" w:rsidRPr="00120973">
        <w:rPr>
          <w:szCs w:val="22"/>
        </w:rPr>
        <w:t>Manchas e fendilhamentos causadas por Phomopsis viticola</w:t>
      </w:r>
      <w:bookmarkEnd w:id="31"/>
    </w:p>
    <w:p w:rsidR="007A2A0E" w:rsidRPr="008724C9" w:rsidRDefault="00120973" w:rsidP="00A67CD5">
      <w:pPr>
        <w:pStyle w:val="Legenda"/>
        <w:jc w:val="center"/>
        <w:rPr>
          <w:rStyle w:val="Estilo1Carcter"/>
          <w:sz w:val="16"/>
        </w:rPr>
      </w:pPr>
      <w:bookmarkStart w:id="32" w:name="_Toc264890318"/>
      <w:r w:rsidRPr="008724C9">
        <w:t xml:space="preserve">Figura </w:t>
      </w:r>
      <w:fldSimple w:instr=" STYLEREF 1 \s ">
        <w:r w:rsidR="00E2640D">
          <w:rPr>
            <w:noProof/>
          </w:rPr>
          <w:t>2</w:t>
        </w:r>
      </w:fldSimple>
      <w:r w:rsidR="00C37A87">
        <w:t>.</w:t>
      </w:r>
      <w:fldSimple w:instr=" SEQ Figura \* ARABIC \s 1 ">
        <w:r w:rsidR="00E2640D">
          <w:rPr>
            <w:noProof/>
          </w:rPr>
          <w:t>5</w:t>
        </w:r>
      </w:fldSimple>
      <w:r w:rsidR="008724C9" w:rsidRPr="008724C9">
        <w:t xml:space="preserve">. </w:t>
      </w:r>
      <w:r w:rsidR="008724C9" w:rsidRPr="008724C9">
        <w:rPr>
          <w:szCs w:val="22"/>
        </w:rPr>
        <w:t>Sintomas em folhas mais velhas, no fim da estação</w:t>
      </w:r>
      <w:bookmarkEnd w:id="32"/>
    </w:p>
    <w:p w:rsidR="007B1E40" w:rsidRDefault="007B1E40" w:rsidP="007A2A0E">
      <w:pPr>
        <w:rPr>
          <w:rStyle w:val="Estilo1Carcter"/>
        </w:rPr>
      </w:pPr>
    </w:p>
    <w:p w:rsidR="007B1E40" w:rsidRDefault="00271D3C" w:rsidP="007A2A0E">
      <w:pPr>
        <w:rPr>
          <w:rStyle w:val="Estilo1Carcter"/>
        </w:rPr>
      </w:pPr>
      <w:r>
        <w:rPr>
          <w:noProof/>
          <w:shd w:val="clear" w:color="auto" w:fill="auto"/>
          <w:lang w:eastAsia="pt-PT"/>
        </w:rPr>
        <w:lastRenderedPageBreak/>
        <w:drawing>
          <wp:anchor distT="0" distB="0" distL="114300" distR="114300" simplePos="0" relativeHeight="251695104" behindDoc="1" locked="0" layoutInCell="1" allowOverlap="1">
            <wp:simplePos x="0" y="0"/>
            <wp:positionH relativeFrom="column">
              <wp:posOffset>1918970</wp:posOffset>
            </wp:positionH>
            <wp:positionV relativeFrom="paragraph">
              <wp:posOffset>3271520</wp:posOffset>
            </wp:positionV>
            <wp:extent cx="2075815" cy="2447925"/>
            <wp:effectExtent l="209550" t="0" r="210185" b="0"/>
            <wp:wrapTight wrapText="bothSides">
              <wp:wrapPolygon edited="0">
                <wp:start x="21752" y="-207"/>
                <wp:lineTo x="-251" y="-207"/>
                <wp:lineTo x="-251" y="21813"/>
                <wp:lineTo x="21752" y="21813"/>
                <wp:lineTo x="21752" y="-207"/>
              </wp:wrapPolygon>
            </wp:wrapTight>
            <wp:docPr id="21" name="il_fi" descr="http://www.bayercropscience.pt/internet/images/central/int_img2_jorn_2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l_fi" descr="http://www.bayercropscience.pt/internet/images/central/int_img2_jorn_202.jpg"/>
                    <pic:cNvPicPr>
                      <a:picLocks noChangeAspect="1" noChangeArrowheads="1"/>
                    </pic:cNvPicPr>
                  </pic:nvPicPr>
                  <pic:blipFill>
                    <a:blip r:embed="rId21" cstate="print"/>
                    <a:srcRect l="70789" t="61631" r="-6579"/>
                    <a:stretch>
                      <a:fillRect/>
                    </a:stretch>
                  </pic:blipFill>
                  <pic:spPr bwMode="auto">
                    <a:xfrm rot="16200000">
                      <a:off x="0" y="0"/>
                      <a:ext cx="2075815" cy="2447925"/>
                    </a:xfrm>
                    <a:prstGeom prst="rect">
                      <a:avLst/>
                    </a:prstGeom>
                    <a:noFill/>
                    <a:ln w="12700">
                      <a:solidFill>
                        <a:schemeClr val="tx1"/>
                      </a:solidFill>
                      <a:miter lim="800000"/>
                      <a:headEnd/>
                      <a:tailEnd/>
                    </a:ln>
                  </pic:spPr>
                </pic:pic>
              </a:graphicData>
            </a:graphic>
          </wp:anchor>
        </w:drawing>
      </w:r>
      <w:r w:rsidR="00EB3060" w:rsidRPr="00EB3060">
        <w:rPr>
          <w:noProof/>
        </w:rPr>
        <w:pict>
          <v:shape id="_x0000_s1121" type="#_x0000_t202" style="position:absolute;left:0;text-align:left;margin-left:89.25pt;margin-top:234.85pt;width:275.25pt;height:37.8pt;z-index:251653120;mso-position-horizontal-relative:text;mso-position-vertical-relative:text" stroked="f">
            <v:textbox style="mso-next-textbox:#_x0000_s1121;mso-fit-shape-to-text:t" inset="0,0,0,0">
              <w:txbxContent>
                <w:p w:rsidR="003E4AC6" w:rsidRPr="008724C9" w:rsidRDefault="003E4AC6" w:rsidP="008724C9">
                  <w:pPr>
                    <w:pStyle w:val="Legenda"/>
                  </w:pPr>
                  <w:bookmarkStart w:id="33" w:name="_Toc264890320"/>
                  <w:r w:rsidRPr="008724C9">
                    <w:t xml:space="preserve">Figura </w:t>
                  </w:r>
                  <w:fldSimple w:instr=" STYLEREF 1 \s ">
                    <w:r w:rsidR="00E2640D">
                      <w:rPr>
                        <w:noProof/>
                      </w:rPr>
                      <w:t>2</w:t>
                    </w:r>
                  </w:fldSimple>
                  <w:r>
                    <w:t>.6</w:t>
                  </w:r>
                  <w:r w:rsidRPr="008724C9">
                    <w:t xml:space="preserve">. </w:t>
                  </w:r>
                  <w:r w:rsidRPr="008724C9">
                    <w:rPr>
                      <w:szCs w:val="22"/>
                    </w:rPr>
                    <w:t>Sintomas de infecção nos frutos</w:t>
                  </w:r>
                  <w:bookmarkEnd w:id="33"/>
                </w:p>
              </w:txbxContent>
            </v:textbox>
            <w10:wrap type="topAndBottom"/>
          </v:shape>
        </w:pict>
      </w:r>
      <w:r w:rsidR="00A26989">
        <w:rPr>
          <w:noProof/>
          <w:shd w:val="clear" w:color="auto" w:fill="auto"/>
          <w:lang w:eastAsia="pt-PT"/>
        </w:rPr>
        <w:drawing>
          <wp:anchor distT="0" distB="0" distL="114300" distR="114300" simplePos="0" relativeHeight="251652096" behindDoc="0" locked="0" layoutInCell="1" allowOverlap="1">
            <wp:simplePos x="0" y="0"/>
            <wp:positionH relativeFrom="column">
              <wp:posOffset>1166495</wp:posOffset>
            </wp:positionH>
            <wp:positionV relativeFrom="paragraph">
              <wp:posOffset>823595</wp:posOffset>
            </wp:positionV>
            <wp:extent cx="3495675" cy="2176145"/>
            <wp:effectExtent l="19050" t="0" r="9525" b="0"/>
            <wp:wrapTopAndBottom/>
            <wp:docPr id="96" name="Imagem 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6"/>
                    <pic:cNvPicPr>
                      <a:picLocks noChangeAspect="1" noChangeArrowheads="1"/>
                    </pic:cNvPicPr>
                  </pic:nvPicPr>
                  <pic:blipFill>
                    <a:blip r:embed="rId22" cstate="print"/>
                    <a:srcRect t="7503"/>
                    <a:stretch>
                      <a:fillRect/>
                    </a:stretch>
                  </pic:blipFill>
                  <pic:spPr bwMode="auto">
                    <a:xfrm>
                      <a:off x="0" y="0"/>
                      <a:ext cx="3495675" cy="2176145"/>
                    </a:xfrm>
                    <a:prstGeom prst="rect">
                      <a:avLst/>
                    </a:prstGeom>
                    <a:noFill/>
                    <a:ln w="9525">
                      <a:noFill/>
                      <a:miter lim="800000"/>
                      <a:headEnd/>
                      <a:tailEnd/>
                    </a:ln>
                  </pic:spPr>
                </pic:pic>
              </a:graphicData>
            </a:graphic>
          </wp:anchor>
        </w:drawing>
      </w:r>
      <w:r w:rsidR="007A2A0E" w:rsidRPr="00C043D5">
        <w:rPr>
          <w:rStyle w:val="Estilo1Carcter"/>
        </w:rPr>
        <w:t xml:space="preserve">As infecções do ráquis e dos bagos tornam-se evidentes, semanas </w:t>
      </w:r>
      <w:r w:rsidR="007A2A0E">
        <w:rPr>
          <w:rStyle w:val="Estilo1Carcter"/>
        </w:rPr>
        <w:t xml:space="preserve">antes da colheita e continuam agravam-se ao longo do tempo. </w:t>
      </w:r>
      <w:r w:rsidR="007A2A0E" w:rsidRPr="00C043D5">
        <w:rPr>
          <w:rStyle w:val="Estilo1Carcter"/>
        </w:rPr>
        <w:t>As infecções do ráquis e pedúnculo levam ao aparecimento de manchas</w:t>
      </w:r>
      <w:r w:rsidR="007A2A0E">
        <w:rPr>
          <w:rStyle w:val="Estilo1Carcter"/>
        </w:rPr>
        <w:t xml:space="preserve"> escuras </w:t>
      </w:r>
      <w:r w:rsidR="007A2A0E" w:rsidRPr="00C043D5">
        <w:rPr>
          <w:rStyle w:val="Estilo1Carcter"/>
        </w:rPr>
        <w:t xml:space="preserve">(Amaro </w:t>
      </w:r>
      <w:r w:rsidR="006F2254" w:rsidRPr="006F2254">
        <w:rPr>
          <w:rStyle w:val="Estilo1Carcter"/>
          <w:i/>
        </w:rPr>
        <w:t>et al.</w:t>
      </w:r>
      <w:r w:rsidR="007A2A0E" w:rsidRPr="00C043D5">
        <w:rPr>
          <w:rStyle w:val="Estilo1Carcter"/>
        </w:rPr>
        <w:t>, 2004)</w:t>
      </w:r>
      <w:r w:rsidR="007A2A0E">
        <w:rPr>
          <w:rStyle w:val="Estilo1Carcter"/>
        </w:rPr>
        <w:t xml:space="preserve"> </w:t>
      </w:r>
      <w:r w:rsidR="004044F7">
        <w:t>(Figura 2.6</w:t>
      </w:r>
      <w:r w:rsidR="007A2A0E">
        <w:t>)</w:t>
      </w:r>
      <w:r w:rsidR="007A2A0E">
        <w:rPr>
          <w:rStyle w:val="Estilo1Carcter"/>
        </w:rPr>
        <w:t xml:space="preserve"> </w:t>
      </w:r>
      <w:r w:rsidR="007A2A0E" w:rsidRPr="00C043D5">
        <w:rPr>
          <w:rStyle w:val="Estilo1Carcter"/>
        </w:rPr>
        <w:t xml:space="preserve">provocando a queda </w:t>
      </w:r>
      <w:r w:rsidR="007B1E40">
        <w:rPr>
          <w:rStyle w:val="Estilo1Carcter"/>
        </w:rPr>
        <w:br w:type="textWrapping" w:clear="all"/>
      </w:r>
    </w:p>
    <w:p w:rsidR="007B1E40" w:rsidRDefault="007B1E40" w:rsidP="007A2A0E">
      <w:pPr>
        <w:rPr>
          <w:rStyle w:val="Estilo1Carcter"/>
        </w:rPr>
      </w:pPr>
    </w:p>
    <w:p w:rsidR="007B1E40" w:rsidRDefault="007B1E40" w:rsidP="007A2A0E">
      <w:pPr>
        <w:rPr>
          <w:rStyle w:val="Estilo1Carcter"/>
        </w:rPr>
      </w:pPr>
    </w:p>
    <w:p w:rsidR="007B1E40" w:rsidRDefault="007B1E40" w:rsidP="007A2A0E">
      <w:pPr>
        <w:rPr>
          <w:rStyle w:val="Estilo1Carcter"/>
        </w:rPr>
      </w:pPr>
    </w:p>
    <w:p w:rsidR="007B1E40" w:rsidRDefault="00EB3060" w:rsidP="007A2A0E">
      <w:pPr>
        <w:rPr>
          <w:rStyle w:val="Estilo1Carcter"/>
        </w:rPr>
      </w:pPr>
      <w:r w:rsidRPr="00EB3060">
        <w:rPr>
          <w:noProof/>
        </w:rPr>
        <w:pict>
          <v:shape id="_x0000_s1123" type="#_x0000_t202" style="position:absolute;left:0;text-align:left;margin-left:70.7pt;margin-top:53pt;width:329.85pt;height:37.8pt;z-index:251655168" stroked="f">
            <v:textbox style="mso-next-textbox:#_x0000_s1123;mso-fit-shape-to-text:t" inset="0,0,0,0">
              <w:txbxContent>
                <w:p w:rsidR="003E4AC6" w:rsidRPr="008724C9" w:rsidRDefault="003E4AC6" w:rsidP="008724C9">
                  <w:pPr>
                    <w:pStyle w:val="Legenda"/>
                  </w:pPr>
                  <w:bookmarkStart w:id="34" w:name="_Toc264890319"/>
                  <w:r w:rsidRPr="008724C9">
                    <w:t xml:space="preserve">Figura </w:t>
                  </w:r>
                  <w:fldSimple w:instr=" STYLEREF 1 \s ">
                    <w:r w:rsidR="00E2640D">
                      <w:rPr>
                        <w:noProof/>
                      </w:rPr>
                      <w:t>2</w:t>
                    </w:r>
                  </w:fldSimple>
                  <w:r>
                    <w:t>.7</w:t>
                  </w:r>
                  <w:r w:rsidRPr="008724C9">
                    <w:t>. Picnídios de Phomopsis viticola num sarmento no repouso vegetativo</w:t>
                  </w:r>
                  <w:bookmarkEnd w:id="34"/>
                </w:p>
              </w:txbxContent>
            </v:textbox>
            <w10:wrap type="topAndBottom"/>
          </v:shape>
        </w:pict>
      </w:r>
    </w:p>
    <w:p w:rsidR="007B1E40" w:rsidRDefault="007B1E40" w:rsidP="007A2A0E">
      <w:pPr>
        <w:rPr>
          <w:rStyle w:val="Estilo1Carcter"/>
        </w:rPr>
      </w:pPr>
    </w:p>
    <w:p w:rsidR="00A67CD5" w:rsidRDefault="007A2A0E" w:rsidP="007A2A0E">
      <w:pPr>
        <w:rPr>
          <w:lang w:eastAsia="pt-PT"/>
        </w:rPr>
      </w:pPr>
      <w:r w:rsidRPr="00C043D5">
        <w:rPr>
          <w:rStyle w:val="Estilo1Carcter"/>
        </w:rPr>
        <w:t xml:space="preserve">prematura dos bagos </w:t>
      </w:r>
      <w:r w:rsidR="00BC3273" w:rsidRPr="00533D89">
        <w:rPr>
          <w:rStyle w:val="Estilo1Carcter"/>
        </w:rPr>
        <w:t>(</w:t>
      </w:r>
      <w:r w:rsidR="00BC3273" w:rsidRPr="00533D89">
        <w:rPr>
          <w:bCs/>
          <w:lang w:eastAsia="pt-PT"/>
        </w:rPr>
        <w:t>Grapes.msu.edu., 2009</w:t>
      </w:r>
      <w:r w:rsidR="00BC3273" w:rsidRPr="00533D89">
        <w:rPr>
          <w:lang w:eastAsia="pt-PT"/>
        </w:rPr>
        <w:t>)</w:t>
      </w:r>
      <w:r w:rsidRPr="00C043D5">
        <w:rPr>
          <w:rStyle w:val="Estilo1Carcter"/>
        </w:rPr>
        <w:t xml:space="preserve">. O fungo pode infectar os bagos, tanto através da casca como do ráquis. Os bagos infectados ficam castanhos e moles com aspecto de borracha. Os picnídios podem aparecer como numerosas pequenas pontuações na superfície do bago ou um exsudado de gotículas de esporos de cor creme. Zonas </w:t>
      </w:r>
      <w:r>
        <w:rPr>
          <w:rStyle w:val="Estilo1Carcter"/>
        </w:rPr>
        <w:t xml:space="preserve">necrosadas com picnídios </w:t>
      </w:r>
      <w:r w:rsidR="004044F7">
        <w:t>(Figura 2.7</w:t>
      </w:r>
      <w:r>
        <w:t>)</w:t>
      </w:r>
      <w:r w:rsidRPr="00C043D5">
        <w:rPr>
          <w:rStyle w:val="Estilo1Carcter"/>
        </w:rPr>
        <w:t>, por vezes delineadas com linhas negras em sarmentos dormentes são indicadoras de infecção</w:t>
      </w:r>
      <w:r w:rsidRPr="00C043D5">
        <w:rPr>
          <w:sz w:val="20"/>
          <w:szCs w:val="20"/>
          <w:lang w:eastAsia="pt-PT"/>
        </w:rPr>
        <w:t xml:space="preserve">. </w:t>
      </w:r>
      <w:r w:rsidRPr="00C043D5">
        <w:rPr>
          <w:lang w:eastAsia="pt-PT"/>
        </w:rPr>
        <w:t>Os sintomas aparecem mais frequentemente nos sarmentos, tanto na Primavera como no Outono e Verão e, durante este último, pode ocorrer desnoca, devido ao ataque do fungo, levando ao estrangulamento das varas (Bugaret, 1984).</w:t>
      </w:r>
    </w:p>
    <w:p w:rsidR="007A2A0E" w:rsidRPr="0014764C" w:rsidRDefault="007A2A0E" w:rsidP="00B73BBD">
      <w:pPr>
        <w:pStyle w:val="Ttulo3"/>
      </w:pPr>
      <w:bookmarkStart w:id="35" w:name="_Toc264890294"/>
      <w:r w:rsidRPr="0014764C">
        <w:lastRenderedPageBreak/>
        <w:t>Meios de luta</w:t>
      </w:r>
      <w:bookmarkEnd w:id="35"/>
    </w:p>
    <w:p w:rsidR="007A2A0E" w:rsidRPr="00B73BBD" w:rsidRDefault="007A2A0E" w:rsidP="00B73BBD">
      <w:pPr>
        <w:pStyle w:val="Ttulo4"/>
      </w:pPr>
      <w:bookmarkStart w:id="36" w:name="_Toc264890295"/>
      <w:r w:rsidRPr="00B73BBD">
        <w:t>Culturais</w:t>
      </w:r>
      <w:bookmarkEnd w:id="36"/>
      <w:r w:rsidRPr="00B73BBD">
        <w:tab/>
      </w:r>
    </w:p>
    <w:p w:rsidR="007A2A0E" w:rsidRPr="0014764C" w:rsidRDefault="007A2A0E" w:rsidP="007A2A0E">
      <w:pPr>
        <w:rPr>
          <w:color w:val="000000"/>
          <w:shd w:val="clear" w:color="auto" w:fill="auto"/>
          <w:lang w:eastAsia="pt-PT"/>
        </w:rPr>
      </w:pPr>
      <w:r w:rsidRPr="0014764C">
        <w:rPr>
          <w:rStyle w:val="Estilo1Carcter"/>
          <w:color w:val="000000"/>
        </w:rPr>
        <w:t>Os meios de luta culturais consistem em utilizar cultivares resistentes ou menos</w:t>
      </w:r>
      <w:r w:rsidRPr="0014764C">
        <w:rPr>
          <w:color w:val="000000"/>
        </w:rPr>
        <w:t xml:space="preserve"> </w:t>
      </w:r>
      <w:r w:rsidRPr="0014764C">
        <w:rPr>
          <w:rStyle w:val="Estilo1Carcter"/>
          <w:color w:val="000000"/>
        </w:rPr>
        <w:t>susceptíveis, podar rigorosamente a madeira infectada, criar condições de bom arejamento da vinha para reduzir</w:t>
      </w:r>
      <w:r w:rsidRPr="0014764C">
        <w:rPr>
          <w:color w:val="000000"/>
        </w:rPr>
        <w:t xml:space="preserve"> </w:t>
      </w:r>
      <w:r w:rsidRPr="0014764C">
        <w:rPr>
          <w:rStyle w:val="Estilo1Carcter"/>
          <w:color w:val="000000"/>
        </w:rPr>
        <w:t xml:space="preserve">humidade e melhorar a cobertura de pulverização e colher atempadamente para reduzir as perdas de frutos </w:t>
      </w:r>
      <w:r w:rsidR="00533D89" w:rsidRPr="00533D89">
        <w:rPr>
          <w:rStyle w:val="Estilo1Carcter"/>
        </w:rPr>
        <w:t>(</w:t>
      </w:r>
      <w:r w:rsidR="00533D89" w:rsidRPr="00533D89">
        <w:rPr>
          <w:bCs/>
          <w:lang w:eastAsia="pt-PT"/>
        </w:rPr>
        <w:t>Grapes.msu.edu., 2009</w:t>
      </w:r>
      <w:r w:rsidR="00533D89" w:rsidRPr="00533D89">
        <w:rPr>
          <w:lang w:eastAsia="pt-PT"/>
        </w:rPr>
        <w:t>)</w:t>
      </w:r>
      <w:r w:rsidRPr="0014764C">
        <w:rPr>
          <w:color w:val="000000"/>
        </w:rPr>
        <w:t xml:space="preserve">. </w:t>
      </w:r>
    </w:p>
    <w:p w:rsidR="00C20FED" w:rsidRPr="0014764C" w:rsidRDefault="007A2A0E" w:rsidP="00C20FED">
      <w:pPr>
        <w:spacing w:after="120"/>
        <w:rPr>
          <w:color w:val="000000"/>
        </w:rPr>
      </w:pPr>
      <w:r w:rsidRPr="0014764C">
        <w:rPr>
          <w:color w:val="000000"/>
        </w:rPr>
        <w:t xml:space="preserve">A vinha deve ser instalada em locais com sol directo durante todo o dia, evitando o ensombramento. Uma boa drenagem do solo e boa circulação de ar é muito importante. Devem-se orientar as linhas de plantação de forma a ter o máximo de aproveitamento da incidência do sol e do movimento do ar. As práticas culturais aumentam a circulação do ar e a penetração da luz na vinha, diminuindo os períodos de humidade e são benéficas para o controlo </w:t>
      </w:r>
      <w:r w:rsidR="00D73CB9">
        <w:rPr>
          <w:color w:val="000000"/>
        </w:rPr>
        <w:t>d</w:t>
      </w:r>
      <w:r w:rsidRPr="0014764C">
        <w:rPr>
          <w:color w:val="000000"/>
        </w:rPr>
        <w:t>a doença (Elis, 2008).</w:t>
      </w:r>
    </w:p>
    <w:p w:rsidR="00C20FED" w:rsidRPr="0014764C" w:rsidRDefault="00C20FED" w:rsidP="00C20FED">
      <w:pPr>
        <w:spacing w:after="120"/>
        <w:rPr>
          <w:color w:val="000000"/>
        </w:rPr>
      </w:pPr>
      <w:r w:rsidRPr="0014764C">
        <w:rPr>
          <w:color w:val="000000"/>
        </w:rPr>
        <w:t xml:space="preserve">As práticas culturais a utilizar na vinha devem permitir a criação de uma estrutura de solo favorável, a grande profundidade, para assegurar o bom funcionamento hídrico da planta e diminuir as condições de stresse (Dubos, 1999; Larignon, 1999). Para evitar a disseminação de </w:t>
      </w:r>
      <w:r w:rsidR="00016F11" w:rsidRPr="00016F11">
        <w:rPr>
          <w:i/>
          <w:color w:val="000000"/>
        </w:rPr>
        <w:t>Botryosphaeria</w:t>
      </w:r>
      <w:r w:rsidRPr="0014764C">
        <w:rPr>
          <w:color w:val="000000"/>
        </w:rPr>
        <w:t xml:space="preserve"> spp. na parcela, as operações culturais, sobretudo a poda, devem ser efectuadas em último lugar nas zonas contaminadas. </w:t>
      </w:r>
    </w:p>
    <w:p w:rsidR="0014764C" w:rsidRPr="0014764C" w:rsidRDefault="0014764C" w:rsidP="0014764C">
      <w:pPr>
        <w:rPr>
          <w:color w:val="000000"/>
        </w:rPr>
      </w:pPr>
      <w:r w:rsidRPr="0014764C">
        <w:rPr>
          <w:color w:val="000000"/>
        </w:rPr>
        <w:t>Durante a poda de Inverno devem-se cortar a madeira que se encontra infectada e destrui-la. Deve-se seleccionar a madeira que está vigorosa, sã e uniforme em termos de cor, para produzir na estação seguinte (Elis, 2008).</w:t>
      </w:r>
    </w:p>
    <w:p w:rsidR="00C20FED" w:rsidRPr="0014764C" w:rsidRDefault="00C20FED" w:rsidP="00C20FED">
      <w:pPr>
        <w:spacing w:after="120"/>
        <w:rPr>
          <w:color w:val="000000"/>
        </w:rPr>
      </w:pPr>
      <w:r w:rsidRPr="0014764C">
        <w:rPr>
          <w:color w:val="000000"/>
        </w:rPr>
        <w:t xml:space="preserve">Uma medida largamente recomendada em vinhas infectadas é a remoção da lenha da poda, para evitar a contaminação das feridas produzidas (van Niekerk </w:t>
      </w:r>
      <w:r w:rsidR="006F2254" w:rsidRPr="006F2254">
        <w:rPr>
          <w:i/>
          <w:color w:val="000000"/>
        </w:rPr>
        <w:t>et al.</w:t>
      </w:r>
      <w:r w:rsidRPr="0014764C">
        <w:rPr>
          <w:color w:val="000000"/>
        </w:rPr>
        <w:t xml:space="preserve">, 2004). Em cepas infectadas, e desde que seja possível a respectiva recondução, é possível prolongar o tempo de vida da planta, removendo cirurgicamente toda a madeira doente, tal como recomendado para a eutipiose (Savocchia </w:t>
      </w:r>
      <w:r w:rsidR="006F2254" w:rsidRPr="006F2254">
        <w:rPr>
          <w:i/>
          <w:color w:val="000000"/>
        </w:rPr>
        <w:t>et al.</w:t>
      </w:r>
      <w:r w:rsidRPr="0014764C">
        <w:rPr>
          <w:color w:val="000000"/>
        </w:rPr>
        <w:t>, 2005).</w:t>
      </w:r>
    </w:p>
    <w:p w:rsidR="00C20FED" w:rsidRPr="0014764C" w:rsidRDefault="00C20FED" w:rsidP="00C20FED">
      <w:pPr>
        <w:spacing w:after="120"/>
        <w:rPr>
          <w:color w:val="000000"/>
        </w:rPr>
      </w:pPr>
      <w:r w:rsidRPr="0014764C">
        <w:rPr>
          <w:color w:val="000000"/>
        </w:rPr>
        <w:t xml:space="preserve">A prática muito generalizada da incorporação da madeira de poda no solo é desaconselhável, para este e para outros fungos do lenho da videira, mas após compostagem da mesma, a maioria dos fungos do lenho é destruída, podendo o composto resultante ser reintroduzido na vinha como fonte de matéria orgânica (Lecomte </w:t>
      </w:r>
      <w:r w:rsidR="006F2254" w:rsidRPr="006F2254">
        <w:rPr>
          <w:i/>
          <w:color w:val="000000"/>
        </w:rPr>
        <w:t>et al.</w:t>
      </w:r>
      <w:r w:rsidRPr="0014764C">
        <w:rPr>
          <w:i/>
          <w:color w:val="000000"/>
        </w:rPr>
        <w:t>,</w:t>
      </w:r>
      <w:r w:rsidRPr="0014764C">
        <w:rPr>
          <w:color w:val="000000"/>
        </w:rPr>
        <w:t xml:space="preserve"> 2006).</w:t>
      </w:r>
    </w:p>
    <w:p w:rsidR="007A2A0E" w:rsidRPr="0014764C" w:rsidRDefault="007A2A0E" w:rsidP="007A2A0E">
      <w:pPr>
        <w:rPr>
          <w:color w:val="000000"/>
        </w:rPr>
      </w:pPr>
    </w:p>
    <w:p w:rsidR="007A2A0E" w:rsidRPr="00B73BBD" w:rsidRDefault="007A2A0E" w:rsidP="00B73BBD">
      <w:pPr>
        <w:pStyle w:val="Ttulo4"/>
      </w:pPr>
      <w:bookmarkStart w:id="37" w:name="_Toc264890296"/>
      <w:r w:rsidRPr="00B73BBD">
        <w:lastRenderedPageBreak/>
        <w:t>Químicos</w:t>
      </w:r>
      <w:bookmarkEnd w:id="37"/>
    </w:p>
    <w:p w:rsidR="007A2A0E" w:rsidRDefault="007A2A0E" w:rsidP="007A2A0E">
      <w:pPr>
        <w:rPr>
          <w:shd w:val="clear" w:color="auto" w:fill="auto"/>
          <w:lang w:eastAsia="pt-PT"/>
        </w:rPr>
      </w:pPr>
      <w:r w:rsidRPr="00D97785">
        <w:rPr>
          <w:shd w:val="clear" w:color="auto" w:fill="auto"/>
          <w:lang w:eastAsia="pt-PT"/>
        </w:rPr>
        <w:t xml:space="preserve">Este método de luta consiste no uso de </w:t>
      </w:r>
      <w:r w:rsidRPr="00D97785">
        <w:rPr>
          <w:bCs/>
          <w:shd w:val="clear" w:color="auto" w:fill="auto"/>
          <w:lang w:eastAsia="pt-PT"/>
        </w:rPr>
        <w:t xml:space="preserve">substâncias naturais </w:t>
      </w:r>
      <w:r w:rsidRPr="00D97785">
        <w:rPr>
          <w:shd w:val="clear" w:color="auto" w:fill="auto"/>
          <w:lang w:eastAsia="pt-PT"/>
        </w:rPr>
        <w:t xml:space="preserve">ou </w:t>
      </w:r>
      <w:r w:rsidRPr="00D97785">
        <w:rPr>
          <w:bCs/>
          <w:shd w:val="clear" w:color="auto" w:fill="auto"/>
          <w:lang w:eastAsia="pt-PT"/>
        </w:rPr>
        <w:t>de síntese</w:t>
      </w:r>
      <w:r>
        <w:rPr>
          <w:bCs/>
          <w:shd w:val="clear" w:color="auto" w:fill="auto"/>
          <w:lang w:eastAsia="pt-PT"/>
        </w:rPr>
        <w:t xml:space="preserve"> </w:t>
      </w:r>
      <w:r>
        <w:rPr>
          <w:shd w:val="clear" w:color="auto" w:fill="auto"/>
          <w:lang w:eastAsia="pt-PT"/>
        </w:rPr>
        <w:t xml:space="preserve">na protecção das </w:t>
      </w:r>
      <w:r w:rsidRPr="00D97785">
        <w:rPr>
          <w:shd w:val="clear" w:color="auto" w:fill="auto"/>
          <w:lang w:eastAsia="pt-PT"/>
        </w:rPr>
        <w:t>plantas, no sentido de as proteger da influência de</w:t>
      </w:r>
      <w:r>
        <w:rPr>
          <w:bCs/>
          <w:shd w:val="clear" w:color="auto" w:fill="auto"/>
          <w:lang w:eastAsia="pt-PT"/>
        </w:rPr>
        <w:t xml:space="preserve"> </w:t>
      </w:r>
      <w:r w:rsidRPr="00D97785">
        <w:rPr>
          <w:shd w:val="clear" w:color="auto" w:fill="auto"/>
          <w:lang w:eastAsia="pt-PT"/>
        </w:rPr>
        <w:t>factore</w:t>
      </w:r>
      <w:r>
        <w:rPr>
          <w:shd w:val="clear" w:color="auto" w:fill="auto"/>
          <w:lang w:eastAsia="pt-PT"/>
        </w:rPr>
        <w:t xml:space="preserve">s bióticos. A base de suporte é </w:t>
      </w:r>
      <w:r w:rsidRPr="00D97785">
        <w:rPr>
          <w:shd w:val="clear" w:color="auto" w:fill="auto"/>
          <w:lang w:eastAsia="pt-PT"/>
        </w:rPr>
        <w:t xml:space="preserve">fornecida pelos </w:t>
      </w:r>
      <w:r>
        <w:rPr>
          <w:bCs/>
          <w:shd w:val="clear" w:color="auto" w:fill="auto"/>
          <w:lang w:eastAsia="pt-PT"/>
        </w:rPr>
        <w:t>p</w:t>
      </w:r>
      <w:r w:rsidRPr="00D97785">
        <w:rPr>
          <w:bCs/>
          <w:shd w:val="clear" w:color="auto" w:fill="auto"/>
          <w:lang w:eastAsia="pt-PT"/>
        </w:rPr>
        <w:t>rodutos fitofarmacêuticos</w:t>
      </w:r>
      <w:r w:rsidRPr="00D97785">
        <w:rPr>
          <w:shd w:val="clear" w:color="auto" w:fill="auto"/>
          <w:lang w:eastAsia="pt-PT"/>
        </w:rPr>
        <w:t>.</w:t>
      </w:r>
      <w:r>
        <w:rPr>
          <w:bCs/>
          <w:shd w:val="clear" w:color="auto" w:fill="auto"/>
          <w:lang w:eastAsia="pt-PT"/>
        </w:rPr>
        <w:t xml:space="preserve"> </w:t>
      </w:r>
      <w:r w:rsidRPr="00D97785">
        <w:rPr>
          <w:shd w:val="clear" w:color="auto" w:fill="auto"/>
          <w:lang w:eastAsia="pt-PT"/>
        </w:rPr>
        <w:t xml:space="preserve">Quando se fala </w:t>
      </w:r>
      <w:r>
        <w:rPr>
          <w:shd w:val="clear" w:color="auto" w:fill="auto"/>
          <w:lang w:eastAsia="pt-PT"/>
        </w:rPr>
        <w:t xml:space="preserve">de substâncias naturais, está-se, </w:t>
      </w:r>
      <w:r w:rsidR="001F66A3">
        <w:rPr>
          <w:shd w:val="clear" w:color="auto" w:fill="auto"/>
          <w:lang w:eastAsia="pt-PT"/>
        </w:rPr>
        <w:t>normalmente,</w:t>
      </w:r>
      <w:r w:rsidRPr="00D97785">
        <w:rPr>
          <w:shd w:val="clear" w:color="auto" w:fill="auto"/>
          <w:lang w:eastAsia="pt-PT"/>
        </w:rPr>
        <w:t xml:space="preserve"> a</w:t>
      </w:r>
      <w:r>
        <w:rPr>
          <w:bCs/>
          <w:shd w:val="clear" w:color="auto" w:fill="auto"/>
          <w:lang w:eastAsia="pt-PT"/>
        </w:rPr>
        <w:t xml:space="preserve"> </w:t>
      </w:r>
      <w:r w:rsidR="001F66A3">
        <w:rPr>
          <w:bCs/>
          <w:shd w:val="clear" w:color="auto" w:fill="auto"/>
          <w:lang w:eastAsia="pt-PT"/>
        </w:rPr>
        <w:t xml:space="preserve">fazer </w:t>
      </w:r>
      <w:r w:rsidR="001F66A3">
        <w:rPr>
          <w:shd w:val="clear" w:color="auto" w:fill="auto"/>
          <w:lang w:eastAsia="pt-PT"/>
        </w:rPr>
        <w:t>referência</w:t>
      </w:r>
      <w:r>
        <w:rPr>
          <w:shd w:val="clear" w:color="auto" w:fill="auto"/>
          <w:lang w:eastAsia="pt-PT"/>
        </w:rPr>
        <w:t xml:space="preserve"> a</w:t>
      </w:r>
      <w:r w:rsidRPr="00D97785">
        <w:rPr>
          <w:shd w:val="clear" w:color="auto" w:fill="auto"/>
          <w:lang w:eastAsia="pt-PT"/>
        </w:rPr>
        <w:t xml:space="preserve"> pr</w:t>
      </w:r>
      <w:r w:rsidR="001F66A3">
        <w:rPr>
          <w:shd w:val="clear" w:color="auto" w:fill="auto"/>
          <w:lang w:eastAsia="pt-PT"/>
        </w:rPr>
        <w:t xml:space="preserve">odutos de origem vegetal. Podem, por exemplo, </w:t>
      </w:r>
      <w:r w:rsidRPr="00D97785">
        <w:rPr>
          <w:shd w:val="clear" w:color="auto" w:fill="auto"/>
          <w:lang w:eastAsia="pt-PT"/>
        </w:rPr>
        <w:t>ser considerados os</w:t>
      </w:r>
      <w:r>
        <w:rPr>
          <w:bCs/>
          <w:shd w:val="clear" w:color="auto" w:fill="auto"/>
          <w:lang w:eastAsia="pt-PT"/>
        </w:rPr>
        <w:t xml:space="preserve"> </w:t>
      </w:r>
      <w:r w:rsidR="001F66A3">
        <w:rPr>
          <w:shd w:val="clear" w:color="auto" w:fill="auto"/>
          <w:lang w:eastAsia="pt-PT"/>
        </w:rPr>
        <w:t>antibióticos</w:t>
      </w:r>
      <w:r>
        <w:rPr>
          <w:shd w:val="clear" w:color="auto" w:fill="auto"/>
          <w:lang w:eastAsia="pt-PT"/>
        </w:rPr>
        <w:t xml:space="preserve"> produzidos </w:t>
      </w:r>
      <w:r w:rsidRPr="00D97785">
        <w:rPr>
          <w:shd w:val="clear" w:color="auto" w:fill="auto"/>
          <w:lang w:eastAsia="pt-PT"/>
        </w:rPr>
        <w:t>por f</w:t>
      </w:r>
      <w:r w:rsidR="001F66A3">
        <w:rPr>
          <w:shd w:val="clear" w:color="auto" w:fill="auto"/>
          <w:lang w:eastAsia="pt-PT"/>
        </w:rPr>
        <w:t>ungos, todavia</w:t>
      </w:r>
      <w:r w:rsidRPr="00D97785">
        <w:rPr>
          <w:shd w:val="clear" w:color="auto" w:fill="auto"/>
          <w:lang w:eastAsia="pt-PT"/>
        </w:rPr>
        <w:t xml:space="preserve"> o grande</w:t>
      </w:r>
      <w:r>
        <w:rPr>
          <w:bCs/>
          <w:shd w:val="clear" w:color="auto" w:fill="auto"/>
          <w:lang w:eastAsia="pt-PT"/>
        </w:rPr>
        <w:t xml:space="preserve"> </w:t>
      </w:r>
      <w:r w:rsidRPr="00D97785">
        <w:rPr>
          <w:shd w:val="clear" w:color="auto" w:fill="auto"/>
          <w:lang w:eastAsia="pt-PT"/>
        </w:rPr>
        <w:t>g</w:t>
      </w:r>
      <w:r>
        <w:rPr>
          <w:shd w:val="clear" w:color="auto" w:fill="auto"/>
          <w:lang w:eastAsia="pt-PT"/>
        </w:rPr>
        <w:t xml:space="preserve">rupo que aqui se inclui é o dos </w:t>
      </w:r>
      <w:r>
        <w:rPr>
          <w:bCs/>
          <w:shd w:val="clear" w:color="auto" w:fill="auto"/>
          <w:lang w:eastAsia="pt-PT"/>
        </w:rPr>
        <w:t xml:space="preserve">pesticidas </w:t>
      </w:r>
      <w:r w:rsidR="001F66A3">
        <w:rPr>
          <w:shd w:val="clear" w:color="auto" w:fill="auto"/>
          <w:lang w:eastAsia="pt-PT"/>
        </w:rPr>
        <w:t>de síntese</w:t>
      </w:r>
      <w:r>
        <w:rPr>
          <w:bCs/>
          <w:shd w:val="clear" w:color="auto" w:fill="auto"/>
          <w:lang w:eastAsia="pt-PT"/>
        </w:rPr>
        <w:t xml:space="preserve"> </w:t>
      </w:r>
      <w:r w:rsidRPr="00D97785">
        <w:rPr>
          <w:shd w:val="clear" w:color="auto" w:fill="auto"/>
          <w:lang w:eastAsia="pt-PT"/>
        </w:rPr>
        <w:t>obtidos</w:t>
      </w:r>
      <w:r w:rsidR="001F66A3">
        <w:rPr>
          <w:shd w:val="clear" w:color="auto" w:fill="auto"/>
          <w:lang w:eastAsia="pt-PT"/>
        </w:rPr>
        <w:t xml:space="preserve"> </w:t>
      </w:r>
      <w:r w:rsidRPr="00D97785">
        <w:rPr>
          <w:shd w:val="clear" w:color="auto" w:fill="auto"/>
          <w:lang w:eastAsia="pt-PT"/>
        </w:rPr>
        <w:t>por via química.</w:t>
      </w:r>
    </w:p>
    <w:p w:rsidR="007A2A0E" w:rsidRDefault="00C5522F" w:rsidP="007A2A0E">
      <w:pPr>
        <w:rPr>
          <w:i/>
          <w:color w:val="5F5F5F"/>
          <w:sz w:val="20"/>
          <w:szCs w:val="20"/>
          <w:lang w:eastAsia="pt-PT"/>
        </w:rPr>
      </w:pPr>
      <w:r>
        <w:rPr>
          <w:lang w:eastAsia="pt-PT"/>
        </w:rPr>
        <w:t>A</w:t>
      </w:r>
      <w:r w:rsidR="007A2A0E" w:rsidRPr="00F61D97">
        <w:rPr>
          <w:lang w:eastAsia="pt-PT"/>
        </w:rPr>
        <w:t xml:space="preserve"> decisão de intervir depende de três factores, para além da sensibilidade das castas, da receptividade da videira (com uma proporção determinada de gomos abrolhados), do estado sanitário que pode ser efectuado a partir de observações efectuadas durante a poda e de chuvas previstas para este período já que são elas que causam um risco de contaminação. Sempre que um destes três principais indicadores não ocorra o tratamento poderá não ser realizado. Caso contrário, como quase sempre sucede nas condições climatéricas</w:t>
      </w:r>
      <w:r w:rsidR="007A2A0E">
        <w:rPr>
          <w:lang w:eastAsia="pt-PT"/>
        </w:rPr>
        <w:t xml:space="preserve"> em Portugal</w:t>
      </w:r>
      <w:r w:rsidR="007A2A0E" w:rsidRPr="00F61D97">
        <w:rPr>
          <w:lang w:eastAsia="pt-PT"/>
        </w:rPr>
        <w:t>, é necessário estar atento ao desenrolar do período de abrolhamento da videira e proceder a aplicações preventivas de</w:t>
      </w:r>
      <w:r w:rsidR="007A2A0E" w:rsidRPr="007775F7">
        <w:rPr>
          <w:i/>
          <w:color w:val="5F5F5F"/>
          <w:sz w:val="20"/>
          <w:szCs w:val="20"/>
          <w:lang w:eastAsia="pt-PT"/>
        </w:rPr>
        <w:t xml:space="preserve"> </w:t>
      </w:r>
      <w:r w:rsidR="007A2A0E" w:rsidRPr="00F61D97">
        <w:rPr>
          <w:lang w:eastAsia="pt-PT"/>
        </w:rPr>
        <w:t xml:space="preserve">fungicidas homologados </w:t>
      </w:r>
      <w:r w:rsidR="007A2A0E">
        <w:rPr>
          <w:lang w:eastAsia="pt-PT"/>
        </w:rPr>
        <w:t xml:space="preserve">no país contra a </w:t>
      </w:r>
      <w:r w:rsidR="007A2A0E" w:rsidRPr="00F61D97">
        <w:rPr>
          <w:lang w:eastAsia="pt-PT"/>
        </w:rPr>
        <w:t>escoriose</w:t>
      </w:r>
      <w:r>
        <w:rPr>
          <w:lang w:eastAsia="pt-PT"/>
        </w:rPr>
        <w:t xml:space="preserve"> </w:t>
      </w:r>
      <w:r w:rsidR="0007468F" w:rsidRPr="0007468F">
        <w:rPr>
          <w:lang w:eastAsia="pt-PT"/>
        </w:rPr>
        <w:t>(</w:t>
      </w:r>
      <w:r w:rsidR="0007468F" w:rsidRPr="0007468F">
        <w:t>Bayer CropScience Portugal, 2009)</w:t>
      </w:r>
      <w:r w:rsidR="0007468F" w:rsidRPr="0007468F">
        <w:rPr>
          <w:lang w:eastAsia="pt-PT"/>
        </w:rPr>
        <w:t>.</w:t>
      </w:r>
    </w:p>
    <w:p w:rsidR="007A2A0E" w:rsidRPr="00CF404C" w:rsidRDefault="007A2A0E" w:rsidP="007A2A0E">
      <w:pPr>
        <w:rPr>
          <w:lang w:eastAsia="pt-PT"/>
        </w:rPr>
      </w:pPr>
      <w:r w:rsidRPr="00F61D97">
        <w:rPr>
          <w:lang w:eastAsia="pt-PT"/>
        </w:rPr>
        <w:t>Em geral</w:t>
      </w:r>
      <w:r w:rsidR="0014764C">
        <w:rPr>
          <w:lang w:eastAsia="pt-PT"/>
        </w:rPr>
        <w:t xml:space="preserve"> para a escoriose</w:t>
      </w:r>
      <w:r w:rsidRPr="00F61D97">
        <w:rPr>
          <w:lang w:eastAsia="pt-PT"/>
        </w:rPr>
        <w:t>, recomendam-se dois tratamentos para os fungicidas de contacto ou superfície: o primeiro desde que 30 a 40% dos gomos da base dos talões e/ou varas atingiram o estado sensível (a partir do estado fenológico C - "ponta verde") e o segundo quando essa mesma proporção de gomos evoluiu para o estado de 2 a 3 folhas separadas</w:t>
      </w:r>
      <w:r w:rsidR="001F66A3">
        <w:rPr>
          <w:lang w:eastAsia="pt-PT"/>
        </w:rPr>
        <w:t xml:space="preserve"> (estado fenológico D)</w:t>
      </w:r>
      <w:r w:rsidRPr="00F61D97">
        <w:rPr>
          <w:lang w:eastAsia="pt-PT"/>
        </w:rPr>
        <w:t>. O intervalo entre estas duas aplicações pode variar por um período entre 4 e 10 dias dependendo das condições climatéricas.</w:t>
      </w:r>
      <w:r>
        <w:rPr>
          <w:lang w:eastAsia="pt-PT"/>
        </w:rPr>
        <w:t xml:space="preserve"> </w:t>
      </w:r>
      <w:r w:rsidRPr="00F61D97">
        <w:rPr>
          <w:lang w:eastAsia="pt-PT"/>
        </w:rPr>
        <w:t>Os fungicidas de aglomerados dispers</w:t>
      </w:r>
      <w:r>
        <w:rPr>
          <w:lang w:eastAsia="pt-PT"/>
        </w:rPr>
        <w:t xml:space="preserve">íveis em água à base de fosetil de </w:t>
      </w:r>
      <w:r w:rsidRPr="00F61D97">
        <w:rPr>
          <w:lang w:eastAsia="pt-PT"/>
        </w:rPr>
        <w:t>alumínio e folpete</w:t>
      </w:r>
      <w:r>
        <w:rPr>
          <w:lang w:eastAsia="pt-PT"/>
        </w:rPr>
        <w:t xml:space="preserve"> são aconselh</w:t>
      </w:r>
      <w:r w:rsidR="00C5522F">
        <w:rPr>
          <w:lang w:eastAsia="pt-PT"/>
        </w:rPr>
        <w:t>áveis</w:t>
      </w:r>
      <w:r>
        <w:rPr>
          <w:lang w:eastAsia="pt-PT"/>
        </w:rPr>
        <w:t xml:space="preserve">. O fosetil de </w:t>
      </w:r>
      <w:r w:rsidRPr="00F61D97">
        <w:rPr>
          <w:lang w:eastAsia="pt-PT"/>
        </w:rPr>
        <w:t>alumínio aplicado sobre os gomos abrolhados migra no interior dos tecidos para os ápices de crescimento mas a excelente persistência de acção desta associa</w:t>
      </w:r>
      <w:r>
        <w:rPr>
          <w:lang w:eastAsia="pt-PT"/>
        </w:rPr>
        <w:t xml:space="preserve">ção resulta também da acção da mistura com folpete. </w:t>
      </w:r>
      <w:r w:rsidRPr="00F61D97">
        <w:rPr>
          <w:lang w:eastAsia="pt-PT"/>
        </w:rPr>
        <w:t>A aplicação sobre lançamentos mais adiantados na fase de tratamento tem acção sobre a colonização dos jovens pâmpanos pelo micélio proveniente dos gomos. Recomenda-se uma aplicação desde que 30 a 40% dos gomos da base dos talões e</w:t>
      </w:r>
      <w:r w:rsidR="009244F9">
        <w:rPr>
          <w:lang w:eastAsia="pt-PT"/>
        </w:rPr>
        <w:t>/ou varas atinjam</w:t>
      </w:r>
      <w:r w:rsidRPr="00F61D97">
        <w:rPr>
          <w:lang w:eastAsia="pt-PT"/>
        </w:rPr>
        <w:t xml:space="preserve"> o estado sensível (estado fenológico C-D). Nalgumas castas uma segunda </w:t>
      </w:r>
      <w:r>
        <w:rPr>
          <w:lang w:eastAsia="pt-PT"/>
        </w:rPr>
        <w:t>aplicação poderá ser necessária</w:t>
      </w:r>
      <w:r w:rsidRPr="00F61D97">
        <w:rPr>
          <w:lang w:eastAsia="pt-PT"/>
        </w:rPr>
        <w:t xml:space="preserve">. Os tratamentos devem ser efectuados a alto volume e dirigidos aos órgãos a tratar. Em muitos países os pulverizadores utilizados nestas aplicações dispõem de </w:t>
      </w:r>
      <w:r w:rsidR="00C5522F">
        <w:rPr>
          <w:lang w:eastAsia="pt-PT"/>
        </w:rPr>
        <w:t xml:space="preserve">painéis recuperadores de calda </w:t>
      </w:r>
      <w:r w:rsidR="0007468F" w:rsidRPr="0007468F">
        <w:rPr>
          <w:lang w:eastAsia="pt-PT"/>
        </w:rPr>
        <w:t>(</w:t>
      </w:r>
      <w:r w:rsidR="0007468F" w:rsidRPr="0007468F">
        <w:t>Bayer CropScience Portugal, 2009)</w:t>
      </w:r>
      <w:r w:rsidR="00C5522F" w:rsidRPr="0007468F">
        <w:rPr>
          <w:lang w:eastAsia="pt-PT"/>
        </w:rPr>
        <w:t>.</w:t>
      </w:r>
    </w:p>
    <w:p w:rsidR="007A2A0E" w:rsidRPr="00C043D5" w:rsidRDefault="007A2A0E" w:rsidP="007A2A0E">
      <w:pPr>
        <w:rPr>
          <w:lang w:eastAsia="pt-PT"/>
        </w:rPr>
      </w:pPr>
      <w:r w:rsidRPr="00C043D5">
        <w:rPr>
          <w:rStyle w:val="Estilo1Carcter"/>
        </w:rPr>
        <w:t>As infecções do ráquis podem continuar pelo menos até o fecho do cacho, se</w:t>
      </w:r>
      <w:r w:rsidRPr="00C043D5">
        <w:t xml:space="preserve"> o </w:t>
      </w:r>
      <w:r w:rsidR="0082687A" w:rsidRPr="00FE70E1">
        <w:rPr>
          <w:rStyle w:val="Estilo1Carcter"/>
        </w:rPr>
        <w:t>inó</w:t>
      </w:r>
      <w:r w:rsidRPr="00FE70E1">
        <w:rPr>
          <w:rStyle w:val="Estilo1Carcter"/>
        </w:rPr>
        <w:t>culo</w:t>
      </w:r>
      <w:r w:rsidRPr="00C043D5">
        <w:rPr>
          <w:rStyle w:val="Estilo1Carcter"/>
        </w:rPr>
        <w:t xml:space="preserve"> estiver disponível, e são responsáveis pela queda dos bagos antes e durante a</w:t>
      </w:r>
      <w:r w:rsidRPr="00C043D5">
        <w:t xml:space="preserve"> </w:t>
      </w:r>
      <w:r w:rsidRPr="00C043D5">
        <w:rPr>
          <w:rStyle w:val="Estilo1Carcter"/>
        </w:rPr>
        <w:t xml:space="preserve">colheita. Os </w:t>
      </w:r>
      <w:r w:rsidRPr="00C043D5">
        <w:rPr>
          <w:rStyle w:val="Estilo1Carcter"/>
        </w:rPr>
        <w:lastRenderedPageBreak/>
        <w:t>bagos podem ser infectados através do ráquis ou directamente através da casca do fruto. É importante manter a vinha protegida, particularmente</w:t>
      </w:r>
      <w:r w:rsidRPr="00C043D5">
        <w:t xml:space="preserve"> </w:t>
      </w:r>
      <w:r w:rsidRPr="00C043D5">
        <w:rPr>
          <w:rStyle w:val="Estilo1Carcter"/>
        </w:rPr>
        <w:t xml:space="preserve">durante o tempo húmido. Quando se utilizam fungicidas </w:t>
      </w:r>
      <w:r>
        <w:rPr>
          <w:rStyle w:val="Estilo1Carcter"/>
        </w:rPr>
        <w:t>de contacto</w:t>
      </w:r>
      <w:r w:rsidRPr="00C043D5">
        <w:rPr>
          <w:rStyle w:val="Estilo1Carcter"/>
        </w:rPr>
        <w:t xml:space="preserve"> é importante o controlo exaustivo dos cachos. </w:t>
      </w:r>
      <w:r>
        <w:rPr>
          <w:rStyle w:val="Estilo1Carcter"/>
        </w:rPr>
        <w:t>As necroses</w:t>
      </w:r>
      <w:r w:rsidRPr="00C043D5">
        <w:rPr>
          <w:rStyle w:val="Estilo1Carcter"/>
        </w:rPr>
        <w:t xml:space="preserve"> do ráquis não estão visíveis antes das 3-4 semanas após a infecção </w:t>
      </w:r>
      <w:r w:rsidRPr="00533D89">
        <w:rPr>
          <w:rStyle w:val="Estilo1Carcter"/>
        </w:rPr>
        <w:t>(</w:t>
      </w:r>
      <w:r w:rsidR="00533D89" w:rsidRPr="00533D89">
        <w:rPr>
          <w:bCs/>
          <w:lang w:eastAsia="pt-PT"/>
        </w:rPr>
        <w:t>Grapes.msu.edu., 2009</w:t>
      </w:r>
      <w:r w:rsidRPr="00533D89">
        <w:rPr>
          <w:lang w:eastAsia="pt-PT"/>
        </w:rPr>
        <w:t>).</w:t>
      </w:r>
    </w:p>
    <w:p w:rsidR="009244F9" w:rsidRDefault="007A2A0E" w:rsidP="006A765F">
      <w:pPr>
        <w:pStyle w:val="Estilo1"/>
        <w:rPr>
          <w:lang w:eastAsia="pt-PT"/>
        </w:rPr>
      </w:pPr>
      <w:r>
        <w:rPr>
          <w:lang w:eastAsia="pt-PT"/>
        </w:rPr>
        <w:t xml:space="preserve">Segundo </w:t>
      </w:r>
      <w:r w:rsidRPr="00FE70E1">
        <w:rPr>
          <w:lang w:eastAsia="pt-PT"/>
        </w:rPr>
        <w:t>E</w:t>
      </w:r>
      <w:r w:rsidR="009244F9" w:rsidRPr="00FE70E1">
        <w:rPr>
          <w:lang w:eastAsia="pt-PT"/>
        </w:rPr>
        <w:t>l</w:t>
      </w:r>
      <w:r w:rsidRPr="00FE70E1">
        <w:rPr>
          <w:lang w:eastAsia="pt-PT"/>
        </w:rPr>
        <w:t xml:space="preserve">lis (2008), é importante que as aplicações de fungicidas sejam feitas cedo, logo no início da temporada. </w:t>
      </w:r>
      <w:r w:rsidRPr="00FE70E1">
        <w:t>Alguns meios de controlo mais comum da doença, como por exemplo aplicação de fungicida numa fase de dormência ap</w:t>
      </w:r>
      <w:r w:rsidR="009244F9" w:rsidRPr="00FE70E1">
        <w:t>resentaram resultados positivos, c</w:t>
      </w:r>
      <w:r w:rsidRPr="00FE70E1">
        <w:t>ontudo, não controlam totalmente a doença. Como complemento, pode haver ainda benefícios na aplicação sulfocálcica no início da Primavera. Por causa das chuvas frequentes durante a Primavera pode haver dificuldade na aplicação de fungicidas de</w:t>
      </w:r>
      <w:r w:rsidR="00151E70" w:rsidRPr="00FE70E1">
        <w:t xml:space="preserve"> </w:t>
      </w:r>
      <w:r w:rsidRPr="00FE70E1">
        <w:t xml:space="preserve">contacto, assim, uma aplicação de fungicida no período de dormência, pode fornecer algum nível de protecção durante este período crítico </w:t>
      </w:r>
      <w:r w:rsidRPr="00FE70E1">
        <w:rPr>
          <w:lang w:eastAsia="pt-PT"/>
        </w:rPr>
        <w:t xml:space="preserve">(Nita </w:t>
      </w:r>
      <w:r w:rsidR="006F2254" w:rsidRPr="00FE70E1">
        <w:rPr>
          <w:i/>
          <w:lang w:eastAsia="pt-PT"/>
        </w:rPr>
        <w:t>et al.</w:t>
      </w:r>
      <w:r w:rsidRPr="00FE70E1">
        <w:rPr>
          <w:lang w:eastAsia="pt-PT"/>
        </w:rPr>
        <w:t>, 2007).</w:t>
      </w:r>
      <w:r w:rsidR="0014764C" w:rsidRPr="00FE70E1">
        <w:rPr>
          <w:lang w:eastAsia="pt-PT"/>
        </w:rPr>
        <w:t xml:space="preserve"> Segundo E</w:t>
      </w:r>
      <w:r w:rsidR="009244F9" w:rsidRPr="00FE70E1">
        <w:rPr>
          <w:lang w:eastAsia="pt-PT"/>
        </w:rPr>
        <w:t>l</w:t>
      </w:r>
      <w:r w:rsidR="0014764C" w:rsidRPr="00FE70E1">
        <w:rPr>
          <w:lang w:eastAsia="pt-PT"/>
        </w:rPr>
        <w:t>lis</w:t>
      </w:r>
      <w:r w:rsidRPr="00FE70E1">
        <w:rPr>
          <w:lang w:eastAsia="pt-PT"/>
        </w:rPr>
        <w:t>, (2004), mancozebe, zirame e captana são os fungicidas mais aconselhados para o tratamento</w:t>
      </w:r>
      <w:r w:rsidRPr="00C043D5">
        <w:rPr>
          <w:lang w:eastAsia="pt-PT"/>
        </w:rPr>
        <w:t xml:space="preserve"> da doença e devem ser incluídos no programa logo no início da estação.</w:t>
      </w:r>
      <w:r w:rsidR="0014764C">
        <w:rPr>
          <w:lang w:eastAsia="pt-PT"/>
        </w:rPr>
        <w:t xml:space="preserve"> </w:t>
      </w:r>
    </w:p>
    <w:p w:rsidR="007A2A0E" w:rsidRDefault="00D453E4" w:rsidP="006A765F">
      <w:pPr>
        <w:pStyle w:val="Estilo1"/>
      </w:pPr>
      <w:r>
        <w:t xml:space="preserve">Em </w:t>
      </w:r>
      <w:r w:rsidRPr="00C043D5">
        <w:t xml:space="preserve">protecção </w:t>
      </w:r>
      <w:r>
        <w:t>integrada,</w:t>
      </w:r>
      <w:r w:rsidRPr="00C043D5">
        <w:t xml:space="preserve"> </w:t>
      </w:r>
      <w:r>
        <w:t>o</w:t>
      </w:r>
      <w:r w:rsidR="007A2A0E" w:rsidRPr="00C043D5">
        <w:t xml:space="preserve">s fungicidas autorizados </w:t>
      </w:r>
      <w:r w:rsidR="001371AB">
        <w:t>(extremes ou em mistura)</w:t>
      </w:r>
      <w:r w:rsidR="001371AB" w:rsidRPr="00C043D5">
        <w:t xml:space="preserve"> </w:t>
      </w:r>
      <w:r>
        <w:t xml:space="preserve">ou de uso condicionado </w:t>
      </w:r>
      <w:r w:rsidR="007A2A0E">
        <w:t>encontram-se no Q</w:t>
      </w:r>
      <w:r w:rsidR="007A2A0E" w:rsidRPr="00C043D5">
        <w:t xml:space="preserve">uadro </w:t>
      </w:r>
      <w:r w:rsidR="004044F7">
        <w:t>2.</w:t>
      </w:r>
      <w:r w:rsidR="007A2A0E">
        <w:t xml:space="preserve">3. </w:t>
      </w:r>
    </w:p>
    <w:p w:rsidR="0014764C" w:rsidRPr="001371AB" w:rsidRDefault="005A55A6" w:rsidP="006A765F">
      <w:pPr>
        <w:pStyle w:val="Estilo1"/>
      </w:pPr>
      <w:r>
        <w:t>No que se relaciona com o</w:t>
      </w:r>
      <w:r w:rsidR="0014764C" w:rsidRPr="001371AB">
        <w:t xml:space="preserve"> controlo das doenças causadas por </w:t>
      </w:r>
      <w:r w:rsidR="00016F11" w:rsidRPr="00016F11">
        <w:rPr>
          <w:i/>
        </w:rPr>
        <w:t>Botryosphaeria</w:t>
      </w:r>
      <w:r>
        <w:rPr>
          <w:i/>
        </w:rPr>
        <w:t>,</w:t>
      </w:r>
      <w:r w:rsidR="0014764C" w:rsidRPr="001371AB">
        <w:t xml:space="preserve"> </w:t>
      </w:r>
      <w:r>
        <w:t>existe bastante dificuldade,</w:t>
      </w:r>
      <w:r w:rsidR="0014764C" w:rsidRPr="001371AB">
        <w:t xml:space="preserve"> pois a informação existente sobre a eficácia de fungicidas é ainda muito escassa. Desde que o arsenito de sódio foi banido do mercado (por razões toxicológicas e ambientais), não foi encontrado nenhum substituto.</w:t>
      </w:r>
    </w:p>
    <w:p w:rsidR="00FA4FC7" w:rsidRDefault="005A55A6" w:rsidP="006A765F">
      <w:pPr>
        <w:pStyle w:val="Estilo1"/>
      </w:pPr>
      <w:r w:rsidRPr="001371AB">
        <w:t xml:space="preserve">A maioria dos estudos realizados sobre meios de luta química </w:t>
      </w:r>
      <w:r w:rsidR="00FA4FC7">
        <w:t xml:space="preserve">no que diz respeito às </w:t>
      </w:r>
      <w:r w:rsidR="00FA4FC7" w:rsidRPr="001371AB">
        <w:t xml:space="preserve">doenças causadas por </w:t>
      </w:r>
      <w:r w:rsidR="00FA4FC7" w:rsidRPr="00016F11">
        <w:rPr>
          <w:i/>
        </w:rPr>
        <w:t>Botryosphaeria</w:t>
      </w:r>
      <w:r w:rsidR="00FA4FC7" w:rsidRPr="001371AB">
        <w:t xml:space="preserve"> </w:t>
      </w:r>
      <w:r w:rsidRPr="001371AB">
        <w:t>tem sido direccionada</w:t>
      </w:r>
      <w:r>
        <w:t xml:space="preserve"> para a protecção das feridas de</w:t>
      </w:r>
      <w:r w:rsidR="00FA4FC7">
        <w:t xml:space="preserve"> poda.</w:t>
      </w:r>
    </w:p>
    <w:p w:rsidR="00AA1484" w:rsidRDefault="0014764C" w:rsidP="006A765F">
      <w:pPr>
        <w:pStyle w:val="Estilo1"/>
      </w:pPr>
      <w:r w:rsidRPr="001371AB">
        <w:t xml:space="preserve">Testes de eficácia de fungicidas, </w:t>
      </w:r>
      <w:r w:rsidRPr="001371AB">
        <w:rPr>
          <w:i/>
        </w:rPr>
        <w:t>in vitro,</w:t>
      </w:r>
      <w:r w:rsidRPr="001371AB">
        <w:t xml:space="preserve"> realizados na África do Sul indicaram que o benomil, tebuconazol, procloraz - Mn, flusilazol e fenarimol eram os mais eficazes na inibição de crescimento micelial de </w:t>
      </w:r>
      <w:r w:rsidRPr="001371AB">
        <w:rPr>
          <w:i/>
        </w:rPr>
        <w:t>“B”. australis</w:t>
      </w:r>
      <w:r w:rsidRPr="001371AB">
        <w:t xml:space="preserve">, </w:t>
      </w:r>
      <w:r w:rsidRPr="001371AB">
        <w:rPr>
          <w:i/>
        </w:rPr>
        <w:t>“B”. obtusa</w:t>
      </w:r>
      <w:r w:rsidRPr="001371AB">
        <w:t xml:space="preserve">, </w:t>
      </w:r>
      <w:r w:rsidRPr="001371AB">
        <w:rPr>
          <w:i/>
        </w:rPr>
        <w:t>“B”. parva</w:t>
      </w:r>
      <w:r w:rsidRPr="001371AB">
        <w:t xml:space="preserve"> e </w:t>
      </w:r>
      <w:r w:rsidRPr="001371AB">
        <w:rPr>
          <w:i/>
        </w:rPr>
        <w:t>“B”. rhodina</w:t>
      </w:r>
      <w:r w:rsidRPr="001371AB">
        <w:t xml:space="preserve"> (Bester &amp; Fourie, 2005). Já na Austrália, os fungicidas tebuconazol, fenarimol, espiroxamina e fluaziname inibiram o crescimento de </w:t>
      </w:r>
      <w:r w:rsidRPr="001371AB">
        <w:rPr>
          <w:i/>
        </w:rPr>
        <w:t>“B”. obtusa</w:t>
      </w:r>
      <w:r w:rsidRPr="001371AB">
        <w:t xml:space="preserve"> e </w:t>
      </w:r>
      <w:r w:rsidRPr="001371AB">
        <w:rPr>
          <w:i/>
        </w:rPr>
        <w:t>“B”. lutea</w:t>
      </w:r>
      <w:r w:rsidRPr="001371AB">
        <w:t xml:space="preserve"> (Savocchia </w:t>
      </w:r>
      <w:r w:rsidR="006F2254" w:rsidRPr="006F2254">
        <w:rPr>
          <w:i/>
        </w:rPr>
        <w:t>et al.</w:t>
      </w:r>
      <w:r w:rsidRPr="001371AB">
        <w:t xml:space="preserve"> 2005). Testes realizados por Leavitt (2003) mostraram que a iprodiona, o benomil, a captana e o penconazol eram eficazes na redução da infecção das feridas da poda por </w:t>
      </w:r>
      <w:r w:rsidRPr="001371AB">
        <w:rPr>
          <w:i/>
        </w:rPr>
        <w:t>L. theobromae</w:t>
      </w:r>
      <w:r w:rsidRPr="001371AB">
        <w:t xml:space="preserve"> (</w:t>
      </w:r>
      <w:r w:rsidRPr="001371AB">
        <w:rPr>
          <w:i/>
        </w:rPr>
        <w:t>“B”. rhodina</w:t>
      </w:r>
      <w:r w:rsidRPr="001371AB">
        <w:t xml:space="preserve">), quando aplicados antes da inoculação, em estufa de campo. </w:t>
      </w:r>
    </w:p>
    <w:p w:rsidR="006A765F" w:rsidRDefault="006A765F">
      <w:pPr>
        <w:spacing w:after="0" w:line="240" w:lineRule="auto"/>
        <w:jc w:val="left"/>
        <w:rPr>
          <w:rFonts w:cs="Times New Roman"/>
        </w:rPr>
      </w:pPr>
      <w:r>
        <w:br w:type="page"/>
      </w:r>
    </w:p>
    <w:p w:rsidR="007A2A0E" w:rsidRPr="001A146F" w:rsidRDefault="008724C9" w:rsidP="008724C9">
      <w:pPr>
        <w:pStyle w:val="Legenda"/>
        <w:rPr>
          <w:iCs/>
        </w:rPr>
      </w:pPr>
      <w:bookmarkStart w:id="38" w:name="_Toc264890330"/>
      <w:r>
        <w:lastRenderedPageBreak/>
        <w:t xml:space="preserve">Quadro </w:t>
      </w:r>
      <w:fldSimple w:instr=" STYLEREF 1 \s ">
        <w:r w:rsidR="00E2640D">
          <w:rPr>
            <w:noProof/>
          </w:rPr>
          <w:t>2</w:t>
        </w:r>
      </w:fldSimple>
      <w:r w:rsidR="00C37A87">
        <w:t>.</w:t>
      </w:r>
      <w:fldSimple w:instr=" SEQ Quadro \* ARABIC \s 1 ">
        <w:r w:rsidR="00E2640D">
          <w:rPr>
            <w:noProof/>
          </w:rPr>
          <w:t>3</w:t>
        </w:r>
      </w:fldSimple>
      <w:r>
        <w:t>. F</w:t>
      </w:r>
      <w:r w:rsidRPr="00C043D5">
        <w:t>ungicidas autorizados ou de uso condicionado em protecção integrada</w:t>
      </w:r>
      <w:bookmarkEnd w:id="38"/>
    </w:p>
    <w:tbl>
      <w:tblPr>
        <w:tblW w:w="0" w:type="auto"/>
        <w:tblBorders>
          <w:top w:val="single" w:sz="8" w:space="0" w:color="9BBB59"/>
          <w:bottom w:val="single" w:sz="8" w:space="0" w:color="9BBB59"/>
        </w:tblBorders>
        <w:tblLook w:val="04A0"/>
      </w:tblPr>
      <w:tblGrid>
        <w:gridCol w:w="3070"/>
        <w:gridCol w:w="3070"/>
        <w:gridCol w:w="3070"/>
      </w:tblGrid>
      <w:tr w:rsidR="007A2A0E" w:rsidRPr="00C043D5" w:rsidTr="0014764C">
        <w:tc>
          <w:tcPr>
            <w:tcW w:w="3070" w:type="dxa"/>
            <w:tcBorders>
              <w:top w:val="single" w:sz="8" w:space="0" w:color="9BBB59"/>
              <w:left w:val="nil"/>
              <w:bottom w:val="single" w:sz="8" w:space="0" w:color="9BBB59"/>
              <w:right w:val="nil"/>
            </w:tcBorders>
          </w:tcPr>
          <w:p w:rsidR="007A2A0E" w:rsidRPr="0014764C" w:rsidRDefault="007A2A0E" w:rsidP="0014764C">
            <w:pPr>
              <w:spacing w:after="0" w:line="240" w:lineRule="auto"/>
              <w:jc w:val="left"/>
              <w:rPr>
                <w:b/>
                <w:sz w:val="20"/>
                <w:szCs w:val="20"/>
              </w:rPr>
            </w:pPr>
            <w:r w:rsidRPr="0014764C">
              <w:rPr>
                <w:b/>
                <w:sz w:val="20"/>
                <w:szCs w:val="20"/>
              </w:rPr>
              <w:t>Grupo/Família Química</w:t>
            </w:r>
          </w:p>
        </w:tc>
        <w:tc>
          <w:tcPr>
            <w:tcW w:w="3070" w:type="dxa"/>
            <w:tcBorders>
              <w:top w:val="single" w:sz="8" w:space="0" w:color="9BBB59"/>
              <w:left w:val="nil"/>
              <w:bottom w:val="single" w:sz="8" w:space="0" w:color="9BBB59"/>
              <w:right w:val="nil"/>
            </w:tcBorders>
          </w:tcPr>
          <w:p w:rsidR="007A2A0E" w:rsidRPr="0014764C" w:rsidRDefault="007A2A0E" w:rsidP="0014764C">
            <w:pPr>
              <w:spacing w:after="0" w:line="240" w:lineRule="auto"/>
              <w:jc w:val="left"/>
              <w:rPr>
                <w:b/>
                <w:sz w:val="20"/>
                <w:szCs w:val="20"/>
              </w:rPr>
            </w:pPr>
            <w:r w:rsidRPr="0014764C">
              <w:rPr>
                <w:b/>
                <w:sz w:val="20"/>
                <w:szCs w:val="20"/>
              </w:rPr>
              <w:t>Nome da substância activa</w:t>
            </w:r>
          </w:p>
        </w:tc>
        <w:tc>
          <w:tcPr>
            <w:tcW w:w="3070" w:type="dxa"/>
            <w:tcBorders>
              <w:top w:val="single" w:sz="8" w:space="0" w:color="9BBB59"/>
              <w:left w:val="nil"/>
              <w:bottom w:val="single" w:sz="8" w:space="0" w:color="9BBB59"/>
              <w:right w:val="nil"/>
            </w:tcBorders>
          </w:tcPr>
          <w:p w:rsidR="007A2A0E" w:rsidRPr="0014764C" w:rsidRDefault="007A2A0E" w:rsidP="0014764C">
            <w:pPr>
              <w:spacing w:after="0" w:line="240" w:lineRule="auto"/>
              <w:jc w:val="left"/>
              <w:rPr>
                <w:b/>
                <w:sz w:val="20"/>
                <w:szCs w:val="20"/>
              </w:rPr>
            </w:pPr>
            <w:r w:rsidRPr="0014764C">
              <w:rPr>
                <w:b/>
                <w:sz w:val="20"/>
                <w:szCs w:val="20"/>
              </w:rPr>
              <w:t>Modo de acção</w:t>
            </w:r>
          </w:p>
        </w:tc>
      </w:tr>
      <w:tr w:rsidR="007A2A0E" w:rsidRPr="00C043D5" w:rsidTr="0014764C">
        <w:tc>
          <w:tcPr>
            <w:tcW w:w="3070" w:type="dxa"/>
            <w:tcBorders>
              <w:left w:val="nil"/>
              <w:right w:val="nil"/>
            </w:tcBorders>
            <w:shd w:val="clear" w:color="auto" w:fill="E6EED5"/>
          </w:tcPr>
          <w:p w:rsidR="007A2A0E" w:rsidRPr="00D67F4F" w:rsidRDefault="007A2A0E" w:rsidP="009E08F0">
            <w:pPr>
              <w:spacing w:after="60" w:line="240" w:lineRule="auto"/>
              <w:jc w:val="left"/>
              <w:rPr>
                <w:sz w:val="20"/>
                <w:szCs w:val="20"/>
              </w:rPr>
            </w:pPr>
            <w:r w:rsidRPr="00D67F4F">
              <w:rPr>
                <w:sz w:val="20"/>
                <w:szCs w:val="20"/>
              </w:rPr>
              <w:t>INORGÂNICOS</w:t>
            </w:r>
          </w:p>
        </w:tc>
        <w:tc>
          <w:tcPr>
            <w:tcW w:w="3070" w:type="dxa"/>
            <w:tcBorders>
              <w:left w:val="nil"/>
              <w:right w:val="nil"/>
            </w:tcBorders>
            <w:shd w:val="clear" w:color="auto" w:fill="E6EED5"/>
          </w:tcPr>
          <w:p w:rsidR="007A2A0E" w:rsidRPr="00D67F4F" w:rsidRDefault="007A2A0E" w:rsidP="009E08F0">
            <w:pPr>
              <w:spacing w:after="60" w:line="240" w:lineRule="auto"/>
              <w:jc w:val="left"/>
              <w:rPr>
                <w:sz w:val="20"/>
                <w:szCs w:val="20"/>
              </w:rPr>
            </w:pPr>
            <w:r w:rsidRPr="00D67F4F">
              <w:rPr>
                <w:sz w:val="20"/>
                <w:szCs w:val="20"/>
              </w:rPr>
              <w:t>Enxofre</w:t>
            </w:r>
          </w:p>
        </w:tc>
        <w:tc>
          <w:tcPr>
            <w:tcW w:w="3070" w:type="dxa"/>
            <w:tcBorders>
              <w:left w:val="nil"/>
              <w:right w:val="nil"/>
            </w:tcBorders>
            <w:shd w:val="clear" w:color="auto" w:fill="E6EED5"/>
          </w:tcPr>
          <w:p w:rsidR="007A2A0E" w:rsidRPr="00D67F4F" w:rsidRDefault="007A2A0E" w:rsidP="009E08F0">
            <w:pPr>
              <w:spacing w:after="60" w:line="240" w:lineRule="auto"/>
              <w:jc w:val="left"/>
              <w:rPr>
                <w:sz w:val="20"/>
                <w:szCs w:val="20"/>
              </w:rPr>
            </w:pPr>
            <w:r w:rsidRPr="00D67F4F">
              <w:rPr>
                <w:sz w:val="20"/>
                <w:szCs w:val="20"/>
              </w:rPr>
              <w:t>Mu</w:t>
            </w:r>
            <w:r w:rsidR="0082687A">
              <w:rPr>
                <w:sz w:val="20"/>
                <w:szCs w:val="20"/>
              </w:rPr>
              <w:t>l</w:t>
            </w:r>
            <w:r w:rsidRPr="00D67F4F">
              <w:rPr>
                <w:sz w:val="20"/>
                <w:szCs w:val="20"/>
              </w:rPr>
              <w:t>ti-alvo</w:t>
            </w:r>
          </w:p>
        </w:tc>
      </w:tr>
      <w:tr w:rsidR="007A2A0E" w:rsidRPr="00C043D5" w:rsidTr="0014764C">
        <w:tc>
          <w:tcPr>
            <w:tcW w:w="3070" w:type="dxa"/>
          </w:tcPr>
          <w:p w:rsidR="007A2A0E" w:rsidRPr="00D67F4F" w:rsidRDefault="007A2A0E" w:rsidP="009E08F0">
            <w:pPr>
              <w:spacing w:after="60" w:line="240" w:lineRule="auto"/>
              <w:jc w:val="left"/>
              <w:rPr>
                <w:sz w:val="20"/>
                <w:szCs w:val="20"/>
              </w:rPr>
            </w:pPr>
            <w:r w:rsidRPr="00D67F4F">
              <w:rPr>
                <w:sz w:val="20"/>
                <w:szCs w:val="20"/>
              </w:rPr>
              <w:t>ORGÂNICOS</w:t>
            </w:r>
          </w:p>
        </w:tc>
        <w:tc>
          <w:tcPr>
            <w:tcW w:w="3070" w:type="dxa"/>
          </w:tcPr>
          <w:p w:rsidR="007A2A0E" w:rsidRPr="00D67F4F" w:rsidRDefault="007A2A0E" w:rsidP="009E08F0">
            <w:pPr>
              <w:spacing w:after="60" w:line="240" w:lineRule="auto"/>
              <w:jc w:val="left"/>
              <w:rPr>
                <w:sz w:val="20"/>
                <w:szCs w:val="20"/>
              </w:rPr>
            </w:pPr>
          </w:p>
        </w:tc>
        <w:tc>
          <w:tcPr>
            <w:tcW w:w="3070" w:type="dxa"/>
          </w:tcPr>
          <w:p w:rsidR="007A2A0E" w:rsidRPr="00D67F4F" w:rsidRDefault="007A2A0E" w:rsidP="009E08F0">
            <w:pPr>
              <w:spacing w:after="60" w:line="240" w:lineRule="auto"/>
              <w:jc w:val="left"/>
              <w:rPr>
                <w:sz w:val="20"/>
                <w:szCs w:val="20"/>
              </w:rPr>
            </w:pPr>
          </w:p>
        </w:tc>
      </w:tr>
      <w:tr w:rsidR="007A2A0E" w:rsidRPr="00C043D5" w:rsidTr="0014764C">
        <w:tc>
          <w:tcPr>
            <w:tcW w:w="3070" w:type="dxa"/>
            <w:tcBorders>
              <w:left w:val="nil"/>
              <w:right w:val="nil"/>
            </w:tcBorders>
            <w:shd w:val="clear" w:color="auto" w:fill="E6EED5"/>
          </w:tcPr>
          <w:p w:rsidR="007A2A0E" w:rsidRPr="00D67F4F" w:rsidRDefault="007A2A0E" w:rsidP="009E08F0">
            <w:pPr>
              <w:spacing w:after="60" w:line="240" w:lineRule="auto"/>
              <w:jc w:val="left"/>
              <w:rPr>
                <w:sz w:val="20"/>
                <w:szCs w:val="20"/>
              </w:rPr>
            </w:pPr>
            <w:r w:rsidRPr="00D67F4F">
              <w:rPr>
                <w:sz w:val="20"/>
                <w:szCs w:val="20"/>
              </w:rPr>
              <w:t>Ditiocarbamatos</w:t>
            </w:r>
          </w:p>
        </w:tc>
        <w:tc>
          <w:tcPr>
            <w:tcW w:w="3070" w:type="dxa"/>
            <w:tcBorders>
              <w:left w:val="nil"/>
              <w:right w:val="nil"/>
            </w:tcBorders>
            <w:shd w:val="clear" w:color="auto" w:fill="E6EED5"/>
          </w:tcPr>
          <w:p w:rsidR="007A2A0E" w:rsidRPr="00D67F4F" w:rsidRDefault="007A2A0E" w:rsidP="009E08F0">
            <w:pPr>
              <w:spacing w:after="60" w:line="240" w:lineRule="auto"/>
              <w:jc w:val="left"/>
              <w:rPr>
                <w:sz w:val="20"/>
                <w:szCs w:val="20"/>
              </w:rPr>
            </w:pPr>
            <w:r w:rsidRPr="00D67F4F">
              <w:rPr>
                <w:sz w:val="20"/>
                <w:szCs w:val="20"/>
              </w:rPr>
              <w:t>Folpete, Mancozebe, Metirame, Propinebe</w:t>
            </w:r>
          </w:p>
        </w:tc>
        <w:tc>
          <w:tcPr>
            <w:tcW w:w="3070" w:type="dxa"/>
            <w:tcBorders>
              <w:left w:val="nil"/>
              <w:right w:val="nil"/>
            </w:tcBorders>
            <w:shd w:val="clear" w:color="auto" w:fill="E6EED5"/>
          </w:tcPr>
          <w:p w:rsidR="007A2A0E" w:rsidRPr="00D67F4F" w:rsidRDefault="007A2A0E" w:rsidP="009E08F0">
            <w:pPr>
              <w:spacing w:after="60" w:line="240" w:lineRule="auto"/>
              <w:jc w:val="left"/>
              <w:rPr>
                <w:sz w:val="20"/>
                <w:szCs w:val="20"/>
              </w:rPr>
            </w:pPr>
            <w:r w:rsidRPr="00D67F4F">
              <w:rPr>
                <w:sz w:val="20"/>
                <w:szCs w:val="20"/>
              </w:rPr>
              <w:t>Multi-alvo</w:t>
            </w:r>
          </w:p>
        </w:tc>
      </w:tr>
      <w:tr w:rsidR="007A2A0E" w:rsidRPr="00C043D5" w:rsidTr="0014764C">
        <w:tc>
          <w:tcPr>
            <w:tcW w:w="3070" w:type="dxa"/>
            <w:tcBorders>
              <w:left w:val="nil"/>
              <w:right w:val="nil"/>
            </w:tcBorders>
            <w:shd w:val="clear" w:color="auto" w:fill="E6EED5"/>
          </w:tcPr>
          <w:p w:rsidR="007A2A0E" w:rsidRPr="00D67F4F" w:rsidRDefault="007A2A0E" w:rsidP="009E08F0">
            <w:pPr>
              <w:spacing w:after="60" w:line="240" w:lineRule="auto"/>
              <w:jc w:val="left"/>
              <w:rPr>
                <w:sz w:val="20"/>
                <w:szCs w:val="20"/>
              </w:rPr>
            </w:pPr>
            <w:r w:rsidRPr="00D67F4F">
              <w:rPr>
                <w:sz w:val="20"/>
                <w:szCs w:val="20"/>
              </w:rPr>
              <w:t>Estrobilurina</w:t>
            </w:r>
          </w:p>
        </w:tc>
        <w:tc>
          <w:tcPr>
            <w:tcW w:w="3070" w:type="dxa"/>
            <w:tcBorders>
              <w:left w:val="nil"/>
              <w:right w:val="nil"/>
            </w:tcBorders>
            <w:shd w:val="clear" w:color="auto" w:fill="E6EED5"/>
          </w:tcPr>
          <w:p w:rsidR="007A2A0E" w:rsidRPr="00D67F4F" w:rsidRDefault="00FA4FC7" w:rsidP="009E08F0">
            <w:pPr>
              <w:spacing w:after="60" w:line="240" w:lineRule="auto"/>
              <w:jc w:val="left"/>
              <w:rPr>
                <w:sz w:val="20"/>
                <w:szCs w:val="20"/>
              </w:rPr>
            </w:pPr>
            <w:r>
              <w:rPr>
                <w:sz w:val="20"/>
                <w:szCs w:val="20"/>
              </w:rPr>
              <w:t>A</w:t>
            </w:r>
            <w:r w:rsidR="007A2A0E" w:rsidRPr="00D67F4F">
              <w:rPr>
                <w:sz w:val="20"/>
                <w:szCs w:val="20"/>
              </w:rPr>
              <w:t>zoxistrobina</w:t>
            </w:r>
          </w:p>
        </w:tc>
        <w:tc>
          <w:tcPr>
            <w:tcW w:w="3070" w:type="dxa"/>
            <w:tcBorders>
              <w:left w:val="nil"/>
              <w:right w:val="nil"/>
            </w:tcBorders>
            <w:shd w:val="clear" w:color="auto" w:fill="E6EED5"/>
          </w:tcPr>
          <w:p w:rsidR="007A2A0E" w:rsidRPr="00D67F4F" w:rsidRDefault="007A2A0E" w:rsidP="009E08F0">
            <w:pPr>
              <w:spacing w:after="60" w:line="240" w:lineRule="auto"/>
              <w:jc w:val="left"/>
              <w:rPr>
                <w:sz w:val="20"/>
                <w:szCs w:val="20"/>
              </w:rPr>
            </w:pPr>
            <w:r w:rsidRPr="00D67F4F">
              <w:rPr>
                <w:sz w:val="20"/>
                <w:szCs w:val="20"/>
              </w:rPr>
              <w:t>Inibição da respiração mitocondrial ao nível do complexo III (ubiquinona-citocromo C-redutase)</w:t>
            </w:r>
          </w:p>
        </w:tc>
      </w:tr>
      <w:tr w:rsidR="007A2A0E" w:rsidRPr="00C043D5" w:rsidTr="0014764C">
        <w:tc>
          <w:tcPr>
            <w:tcW w:w="3070" w:type="dxa"/>
          </w:tcPr>
          <w:p w:rsidR="007A2A0E" w:rsidRPr="00D67F4F" w:rsidRDefault="007A2A0E" w:rsidP="009E08F0">
            <w:pPr>
              <w:spacing w:after="60" w:line="240" w:lineRule="auto"/>
              <w:jc w:val="left"/>
              <w:rPr>
                <w:sz w:val="20"/>
                <w:szCs w:val="20"/>
              </w:rPr>
            </w:pPr>
            <w:r w:rsidRPr="00D67F4F">
              <w:rPr>
                <w:sz w:val="20"/>
                <w:szCs w:val="20"/>
              </w:rPr>
              <w:t>Organometálico</w:t>
            </w:r>
            <w:r w:rsidR="009E08F0">
              <w:rPr>
                <w:sz w:val="20"/>
                <w:szCs w:val="20"/>
              </w:rPr>
              <w:t xml:space="preserve"> </w:t>
            </w:r>
            <w:r w:rsidRPr="00D67F4F">
              <w:rPr>
                <w:sz w:val="20"/>
                <w:szCs w:val="20"/>
              </w:rPr>
              <w:t>com alumínio</w:t>
            </w:r>
          </w:p>
        </w:tc>
        <w:tc>
          <w:tcPr>
            <w:tcW w:w="3070" w:type="dxa"/>
          </w:tcPr>
          <w:p w:rsidR="007A2A0E" w:rsidRPr="00D67F4F" w:rsidRDefault="007A2A0E" w:rsidP="009E08F0">
            <w:pPr>
              <w:spacing w:after="60" w:line="240" w:lineRule="auto"/>
              <w:jc w:val="left"/>
              <w:rPr>
                <w:sz w:val="20"/>
                <w:szCs w:val="20"/>
              </w:rPr>
            </w:pPr>
            <w:r w:rsidRPr="00D67F4F">
              <w:rPr>
                <w:sz w:val="20"/>
                <w:szCs w:val="20"/>
              </w:rPr>
              <w:t>Fosetil-alumínio</w:t>
            </w:r>
          </w:p>
        </w:tc>
        <w:tc>
          <w:tcPr>
            <w:tcW w:w="3070" w:type="dxa"/>
          </w:tcPr>
          <w:p w:rsidR="007A2A0E" w:rsidRPr="00D67F4F" w:rsidRDefault="007A2A0E" w:rsidP="009E08F0">
            <w:pPr>
              <w:spacing w:after="60" w:line="240" w:lineRule="auto"/>
              <w:jc w:val="left"/>
              <w:rPr>
                <w:sz w:val="20"/>
                <w:szCs w:val="20"/>
              </w:rPr>
            </w:pPr>
            <w:r w:rsidRPr="00D67F4F">
              <w:rPr>
                <w:sz w:val="20"/>
                <w:szCs w:val="20"/>
              </w:rPr>
              <w:t>Efeito anti-fosfato e indutor de mecanismos de defesa da planta</w:t>
            </w:r>
          </w:p>
        </w:tc>
      </w:tr>
      <w:tr w:rsidR="007A2A0E" w:rsidRPr="00C043D5" w:rsidTr="0014764C">
        <w:tc>
          <w:tcPr>
            <w:tcW w:w="3070" w:type="dxa"/>
            <w:tcBorders>
              <w:left w:val="nil"/>
              <w:right w:val="nil"/>
            </w:tcBorders>
            <w:shd w:val="clear" w:color="auto" w:fill="E6EED5"/>
          </w:tcPr>
          <w:p w:rsidR="007A2A0E" w:rsidRPr="00D67F4F" w:rsidRDefault="007A2A0E" w:rsidP="009E08F0">
            <w:pPr>
              <w:spacing w:after="60" w:line="240" w:lineRule="auto"/>
              <w:jc w:val="left"/>
              <w:rPr>
                <w:sz w:val="20"/>
                <w:szCs w:val="20"/>
              </w:rPr>
            </w:pPr>
            <w:r w:rsidRPr="00D67F4F">
              <w:rPr>
                <w:sz w:val="20"/>
                <w:szCs w:val="20"/>
              </w:rPr>
              <w:t>Oxazolidinedionas</w:t>
            </w:r>
          </w:p>
        </w:tc>
        <w:tc>
          <w:tcPr>
            <w:tcW w:w="3070" w:type="dxa"/>
            <w:tcBorders>
              <w:left w:val="nil"/>
              <w:right w:val="nil"/>
            </w:tcBorders>
            <w:shd w:val="clear" w:color="auto" w:fill="E6EED5"/>
          </w:tcPr>
          <w:p w:rsidR="007A2A0E" w:rsidRPr="00D67F4F" w:rsidRDefault="007A2A0E" w:rsidP="009E08F0">
            <w:pPr>
              <w:spacing w:after="60" w:line="240" w:lineRule="auto"/>
              <w:jc w:val="left"/>
              <w:rPr>
                <w:sz w:val="20"/>
                <w:szCs w:val="20"/>
              </w:rPr>
            </w:pPr>
            <w:r w:rsidRPr="00D67F4F">
              <w:rPr>
                <w:sz w:val="20"/>
                <w:szCs w:val="20"/>
              </w:rPr>
              <w:t>Famoxadona</w:t>
            </w:r>
          </w:p>
        </w:tc>
        <w:tc>
          <w:tcPr>
            <w:tcW w:w="3070" w:type="dxa"/>
            <w:tcBorders>
              <w:left w:val="nil"/>
              <w:right w:val="nil"/>
            </w:tcBorders>
            <w:shd w:val="clear" w:color="auto" w:fill="E6EED5"/>
          </w:tcPr>
          <w:p w:rsidR="007A2A0E" w:rsidRPr="00D67F4F" w:rsidRDefault="007A2A0E" w:rsidP="009E08F0">
            <w:pPr>
              <w:spacing w:after="60" w:line="240" w:lineRule="auto"/>
              <w:jc w:val="left"/>
              <w:rPr>
                <w:sz w:val="20"/>
                <w:szCs w:val="20"/>
              </w:rPr>
            </w:pPr>
            <w:r w:rsidRPr="00D67F4F">
              <w:rPr>
                <w:sz w:val="20"/>
                <w:szCs w:val="20"/>
              </w:rPr>
              <w:t>Inibição da respiração mitocondrial ao nível do complexo III (ubiquinona-citocromo C-redutase)</w:t>
            </w:r>
          </w:p>
        </w:tc>
      </w:tr>
    </w:tbl>
    <w:p w:rsidR="007A2A0E" w:rsidRPr="00B73BBD" w:rsidRDefault="007A2A0E" w:rsidP="00B73BBD">
      <w:pPr>
        <w:pStyle w:val="Ttulo4"/>
      </w:pPr>
      <w:bookmarkStart w:id="39" w:name="_Toc264890297"/>
      <w:r w:rsidRPr="00B73BBD">
        <w:t>Biológicos</w:t>
      </w:r>
      <w:bookmarkEnd w:id="39"/>
      <w:r w:rsidRPr="00B73BBD">
        <w:tab/>
      </w:r>
    </w:p>
    <w:p w:rsidR="007A2A0E" w:rsidRDefault="007A2A0E" w:rsidP="006A765F">
      <w:pPr>
        <w:pStyle w:val="Estilo1"/>
        <w:rPr>
          <w:shd w:val="clear" w:color="auto" w:fill="auto"/>
          <w:lang w:eastAsia="pt-PT"/>
        </w:rPr>
      </w:pPr>
      <w:r w:rsidRPr="00664F65">
        <w:rPr>
          <w:shd w:val="clear" w:color="auto" w:fill="auto"/>
          <w:lang w:eastAsia="pt-PT"/>
        </w:rPr>
        <w:t xml:space="preserve">A </w:t>
      </w:r>
      <w:r w:rsidRPr="00664F65">
        <w:rPr>
          <w:bCs/>
          <w:shd w:val="clear" w:color="auto" w:fill="auto"/>
          <w:lang w:eastAsia="pt-PT"/>
        </w:rPr>
        <w:t>luta biológica</w:t>
      </w:r>
      <w:r>
        <w:rPr>
          <w:bCs/>
          <w:shd w:val="clear" w:color="auto" w:fill="auto"/>
          <w:lang w:eastAsia="pt-PT"/>
        </w:rPr>
        <w:t xml:space="preserve"> </w:t>
      </w:r>
      <w:r w:rsidRPr="00664F65">
        <w:rPr>
          <w:shd w:val="clear" w:color="auto" w:fill="auto"/>
          <w:lang w:eastAsia="pt-PT"/>
        </w:rPr>
        <w:t>consiste no emprego de organismos</w:t>
      </w:r>
      <w:r>
        <w:rPr>
          <w:shd w:val="clear" w:color="auto" w:fill="auto"/>
          <w:lang w:eastAsia="pt-PT"/>
        </w:rPr>
        <w:t xml:space="preserve"> vivos para </w:t>
      </w:r>
      <w:r w:rsidRPr="00664F65">
        <w:rPr>
          <w:shd w:val="clear" w:color="auto" w:fill="auto"/>
          <w:lang w:eastAsia="pt-PT"/>
        </w:rPr>
        <w:t xml:space="preserve">controlar organismos nocivos. </w:t>
      </w:r>
      <w:r w:rsidR="00FA4FC7">
        <w:rPr>
          <w:shd w:val="clear" w:color="auto" w:fill="auto"/>
          <w:lang w:eastAsia="pt-PT"/>
        </w:rPr>
        <w:t>Segundo De Bach</w:t>
      </w:r>
      <w:r>
        <w:rPr>
          <w:shd w:val="clear" w:color="auto" w:fill="auto"/>
          <w:lang w:eastAsia="pt-PT"/>
        </w:rPr>
        <w:t xml:space="preserve"> (1964), foi definida como a Acção de parasitas, predadores ou patogénios que mantêm a densidade das populações de outros organismos a níveis médios inferiores aos que ocorreriam na sua ausência</w:t>
      </w:r>
      <w:r w:rsidRPr="00664F65">
        <w:rPr>
          <w:shd w:val="clear" w:color="auto" w:fill="auto"/>
          <w:lang w:eastAsia="pt-PT"/>
        </w:rPr>
        <w:t>. A investigação e os ince</w:t>
      </w:r>
      <w:r>
        <w:rPr>
          <w:shd w:val="clear" w:color="auto" w:fill="auto"/>
          <w:lang w:eastAsia="pt-PT"/>
        </w:rPr>
        <w:t xml:space="preserve">ntivos à criação de agentes que </w:t>
      </w:r>
      <w:r w:rsidRPr="00664F65">
        <w:rPr>
          <w:shd w:val="clear" w:color="auto" w:fill="auto"/>
          <w:lang w:eastAsia="pt-PT"/>
        </w:rPr>
        <w:t>possam</w:t>
      </w:r>
      <w:r>
        <w:rPr>
          <w:shd w:val="clear" w:color="auto" w:fill="auto"/>
          <w:lang w:eastAsia="pt-PT"/>
        </w:rPr>
        <w:t xml:space="preserve"> substituir os convencionais p</w:t>
      </w:r>
      <w:r w:rsidRPr="00664F65">
        <w:rPr>
          <w:shd w:val="clear" w:color="auto" w:fill="auto"/>
          <w:lang w:eastAsia="pt-PT"/>
        </w:rPr>
        <w:t>rodutos fitofarmacêuticos, continuam</w:t>
      </w:r>
      <w:r>
        <w:rPr>
          <w:shd w:val="clear" w:color="auto" w:fill="auto"/>
          <w:lang w:eastAsia="pt-PT"/>
        </w:rPr>
        <w:t xml:space="preserve"> </w:t>
      </w:r>
      <w:r w:rsidRPr="00664F65">
        <w:rPr>
          <w:shd w:val="clear" w:color="auto" w:fill="auto"/>
          <w:lang w:eastAsia="pt-PT"/>
        </w:rPr>
        <w:t>mas, no plano</w:t>
      </w:r>
      <w:r>
        <w:rPr>
          <w:shd w:val="clear" w:color="auto" w:fill="auto"/>
          <w:lang w:eastAsia="pt-PT"/>
        </w:rPr>
        <w:t xml:space="preserve"> </w:t>
      </w:r>
      <w:r w:rsidRPr="00664F65">
        <w:rPr>
          <w:shd w:val="clear" w:color="auto" w:fill="auto"/>
          <w:lang w:eastAsia="pt-PT"/>
        </w:rPr>
        <w:t>prático, as expectativas ficaram aquém do desejável, pelo que a investigação</w:t>
      </w:r>
      <w:r>
        <w:rPr>
          <w:shd w:val="clear" w:color="auto" w:fill="auto"/>
          <w:lang w:eastAsia="pt-PT"/>
        </w:rPr>
        <w:t xml:space="preserve"> </w:t>
      </w:r>
      <w:r w:rsidRPr="00664F65">
        <w:rPr>
          <w:shd w:val="clear" w:color="auto" w:fill="auto"/>
          <w:lang w:eastAsia="pt-PT"/>
        </w:rPr>
        <w:t>relativa à criação de promissores «biopesticidas» continua (Wall</w:t>
      </w:r>
      <w:r w:rsidRPr="00664F65">
        <w:rPr>
          <w:b/>
          <w:bCs/>
          <w:shd w:val="clear" w:color="auto" w:fill="auto"/>
          <w:lang w:eastAsia="pt-PT"/>
        </w:rPr>
        <w:t xml:space="preserve">, </w:t>
      </w:r>
      <w:r w:rsidRPr="00664F65">
        <w:rPr>
          <w:shd w:val="clear" w:color="auto" w:fill="auto"/>
          <w:lang w:eastAsia="pt-PT"/>
        </w:rPr>
        <w:t>1997).</w:t>
      </w:r>
    </w:p>
    <w:p w:rsidR="007A2A0E" w:rsidRDefault="007A2A0E" w:rsidP="006A765F">
      <w:pPr>
        <w:pStyle w:val="Estilo1"/>
      </w:pPr>
      <w:r w:rsidRPr="00597BE2">
        <w:t>A vinha é uma cultura com elevado consumo de pesticidas, pelo que é imprescindível reduzir ao mínimo a sua aplicação, obtendo a má</w:t>
      </w:r>
      <w:r>
        <w:t>xima eficiência</w:t>
      </w:r>
      <w:r w:rsidRPr="00597BE2">
        <w:t xml:space="preserve"> (Boller </w:t>
      </w:r>
      <w:r w:rsidR="006F2254" w:rsidRPr="006F2254">
        <w:rPr>
          <w:i/>
          <w:iCs/>
        </w:rPr>
        <w:t>et al.</w:t>
      </w:r>
      <w:r w:rsidRPr="00597BE2">
        <w:rPr>
          <w:i/>
          <w:iCs/>
        </w:rPr>
        <w:t xml:space="preserve">, </w:t>
      </w:r>
      <w:r>
        <w:t>1999; Amaro, 2002)</w:t>
      </w:r>
      <w:r w:rsidRPr="00597BE2">
        <w:t>.</w:t>
      </w:r>
      <w:r>
        <w:t xml:space="preserve"> Presentemente, n</w:t>
      </w:r>
      <w:r w:rsidRPr="00C043D5">
        <w:t>o que diz respeito à luta biológica, não existe a nível de investigação, uma informação consistente.</w:t>
      </w:r>
    </w:p>
    <w:p w:rsidR="007A2A0E" w:rsidRPr="00B73BBD" w:rsidRDefault="007A2A0E" w:rsidP="00B73BBD">
      <w:pPr>
        <w:pStyle w:val="Ttulo4"/>
      </w:pPr>
      <w:bookmarkStart w:id="40" w:name="_Toc264890298"/>
      <w:r w:rsidRPr="00B73BBD">
        <w:t>Genéticos</w:t>
      </w:r>
      <w:bookmarkEnd w:id="40"/>
    </w:p>
    <w:p w:rsidR="007A2A0E" w:rsidRPr="00036882" w:rsidRDefault="007A2A0E" w:rsidP="006A765F">
      <w:pPr>
        <w:pStyle w:val="Estilo1"/>
        <w:rPr>
          <w:shd w:val="clear" w:color="auto" w:fill="auto"/>
          <w:lang w:eastAsia="pt-PT"/>
        </w:rPr>
      </w:pPr>
      <w:r w:rsidRPr="00036882">
        <w:rPr>
          <w:shd w:val="clear" w:color="auto" w:fill="auto"/>
          <w:lang w:eastAsia="pt-PT"/>
        </w:rPr>
        <w:t xml:space="preserve">Os objectivos </w:t>
      </w:r>
      <w:r>
        <w:rPr>
          <w:shd w:val="clear" w:color="auto" w:fill="auto"/>
          <w:lang w:eastAsia="pt-PT"/>
        </w:rPr>
        <w:t xml:space="preserve">da luta genética </w:t>
      </w:r>
      <w:r w:rsidRPr="00036882">
        <w:rPr>
          <w:shd w:val="clear" w:color="auto" w:fill="auto"/>
          <w:lang w:eastAsia="pt-PT"/>
        </w:rPr>
        <w:t>foram sempre a criação de linhas de bom potencial produtivo</w:t>
      </w:r>
      <w:r>
        <w:rPr>
          <w:shd w:val="clear" w:color="auto" w:fill="auto"/>
          <w:lang w:eastAsia="pt-PT"/>
        </w:rPr>
        <w:t xml:space="preserve"> e nalguns casos </w:t>
      </w:r>
      <w:r w:rsidRPr="00036882">
        <w:rPr>
          <w:shd w:val="clear" w:color="auto" w:fill="auto"/>
          <w:lang w:eastAsia="pt-PT"/>
        </w:rPr>
        <w:t>a resistência a determinadas pragas ou patogénios.</w:t>
      </w:r>
      <w:r>
        <w:rPr>
          <w:shd w:val="clear" w:color="auto" w:fill="auto"/>
          <w:lang w:eastAsia="pt-PT"/>
        </w:rPr>
        <w:t xml:space="preserve"> </w:t>
      </w:r>
      <w:r w:rsidRPr="00036882">
        <w:rPr>
          <w:shd w:val="clear" w:color="auto" w:fill="auto"/>
          <w:lang w:eastAsia="pt-PT"/>
        </w:rPr>
        <w:t>As técnicas de</w:t>
      </w:r>
      <w:r>
        <w:rPr>
          <w:shd w:val="clear" w:color="auto" w:fill="auto"/>
          <w:lang w:eastAsia="pt-PT"/>
        </w:rPr>
        <w:t xml:space="preserve"> </w:t>
      </w:r>
      <w:r w:rsidRPr="00036882">
        <w:rPr>
          <w:shd w:val="clear" w:color="auto" w:fill="auto"/>
          <w:lang w:eastAsia="pt-PT"/>
        </w:rPr>
        <w:t>melhoramento evoluíram muito nos últimos anos.</w:t>
      </w:r>
      <w:r>
        <w:rPr>
          <w:shd w:val="clear" w:color="auto" w:fill="auto"/>
          <w:lang w:eastAsia="pt-PT"/>
        </w:rPr>
        <w:t xml:space="preserve"> Surgiram novas</w:t>
      </w:r>
      <w:r w:rsidRPr="00036882">
        <w:rPr>
          <w:shd w:val="clear" w:color="auto" w:fill="auto"/>
          <w:lang w:eastAsia="pt-PT"/>
        </w:rPr>
        <w:t xml:space="preserve"> técnicas de biologia celular como a micropropagação ou multiplicação</w:t>
      </w:r>
      <w:r>
        <w:rPr>
          <w:shd w:val="clear" w:color="auto" w:fill="auto"/>
          <w:lang w:eastAsia="pt-PT"/>
        </w:rPr>
        <w:t xml:space="preserve"> </w:t>
      </w:r>
      <w:r w:rsidRPr="00036882">
        <w:rPr>
          <w:shd w:val="clear" w:color="auto" w:fill="auto"/>
          <w:lang w:eastAsia="pt-PT"/>
        </w:rPr>
        <w:t xml:space="preserve">vegetativa </w:t>
      </w:r>
      <w:r>
        <w:rPr>
          <w:i/>
          <w:iCs/>
          <w:shd w:val="clear" w:color="auto" w:fill="auto"/>
          <w:lang w:eastAsia="pt-PT"/>
        </w:rPr>
        <w:t xml:space="preserve">in </w:t>
      </w:r>
      <w:r w:rsidRPr="00036882">
        <w:rPr>
          <w:i/>
          <w:iCs/>
          <w:shd w:val="clear" w:color="auto" w:fill="auto"/>
          <w:lang w:eastAsia="pt-PT"/>
        </w:rPr>
        <w:t>vitro</w:t>
      </w:r>
      <w:r w:rsidRPr="00036882">
        <w:rPr>
          <w:shd w:val="clear" w:color="auto" w:fill="auto"/>
          <w:lang w:eastAsia="pt-PT"/>
        </w:rPr>
        <w:t xml:space="preserve">, a haploidização, a </w:t>
      </w:r>
      <w:r w:rsidRPr="00036882">
        <w:rPr>
          <w:shd w:val="clear" w:color="auto" w:fill="auto"/>
          <w:lang w:eastAsia="pt-PT"/>
        </w:rPr>
        <w:lastRenderedPageBreak/>
        <w:t>cultura de embriões e fusão de</w:t>
      </w:r>
      <w:r>
        <w:rPr>
          <w:shd w:val="clear" w:color="auto" w:fill="auto"/>
          <w:lang w:eastAsia="pt-PT"/>
        </w:rPr>
        <w:t xml:space="preserve"> </w:t>
      </w:r>
      <w:r w:rsidRPr="00036882">
        <w:rPr>
          <w:shd w:val="clear" w:color="auto" w:fill="auto"/>
          <w:lang w:eastAsia="pt-PT"/>
        </w:rPr>
        <w:t>protoplastos. Se exceptuarmos a cultura de protoplastos, a biologia celular faz, ao</w:t>
      </w:r>
      <w:r>
        <w:rPr>
          <w:shd w:val="clear" w:color="auto" w:fill="auto"/>
          <w:lang w:eastAsia="pt-PT"/>
        </w:rPr>
        <w:t xml:space="preserve"> </w:t>
      </w:r>
      <w:r w:rsidRPr="00036882">
        <w:rPr>
          <w:shd w:val="clear" w:color="auto" w:fill="auto"/>
          <w:lang w:eastAsia="pt-PT"/>
        </w:rPr>
        <w:t>nível da célula, aquilo que as técnicas ancestrais de reprodução faziam ao</w:t>
      </w:r>
      <w:r>
        <w:rPr>
          <w:shd w:val="clear" w:color="auto" w:fill="auto"/>
          <w:lang w:eastAsia="pt-PT"/>
        </w:rPr>
        <w:t xml:space="preserve"> </w:t>
      </w:r>
      <w:r w:rsidRPr="00036882">
        <w:rPr>
          <w:shd w:val="clear" w:color="auto" w:fill="auto"/>
          <w:lang w:eastAsia="pt-PT"/>
        </w:rPr>
        <w:t>nível da planta.</w:t>
      </w:r>
      <w:r>
        <w:rPr>
          <w:shd w:val="clear" w:color="auto" w:fill="auto"/>
          <w:lang w:eastAsia="pt-PT"/>
        </w:rPr>
        <w:t xml:space="preserve"> Mas hoje </w:t>
      </w:r>
      <w:r w:rsidRPr="00036882">
        <w:rPr>
          <w:shd w:val="clear" w:color="auto" w:fill="auto"/>
          <w:lang w:eastAsia="pt-PT"/>
        </w:rPr>
        <w:t>enfrenta-se uma nova técnica – a transgenética – que permite a</w:t>
      </w:r>
      <w:r>
        <w:rPr>
          <w:shd w:val="clear" w:color="auto" w:fill="auto"/>
          <w:lang w:eastAsia="pt-PT"/>
        </w:rPr>
        <w:t xml:space="preserve"> </w:t>
      </w:r>
      <w:r w:rsidRPr="00036882">
        <w:rPr>
          <w:shd w:val="clear" w:color="auto" w:fill="auto"/>
          <w:lang w:eastAsia="pt-PT"/>
        </w:rPr>
        <w:t>manipulação dos genes contidos no ADN e a alteração do genoma de um ser</w:t>
      </w:r>
      <w:r>
        <w:rPr>
          <w:shd w:val="clear" w:color="auto" w:fill="auto"/>
          <w:lang w:eastAsia="pt-PT"/>
        </w:rPr>
        <w:t xml:space="preserve"> </w:t>
      </w:r>
      <w:r w:rsidRPr="00036882">
        <w:rPr>
          <w:shd w:val="clear" w:color="auto" w:fill="auto"/>
          <w:lang w:eastAsia="pt-PT"/>
        </w:rPr>
        <w:t>vi</w:t>
      </w:r>
      <w:r>
        <w:rPr>
          <w:shd w:val="clear" w:color="auto" w:fill="auto"/>
          <w:lang w:eastAsia="pt-PT"/>
        </w:rPr>
        <w:t xml:space="preserve">vo. Trata-se de um grande salto </w:t>
      </w:r>
      <w:r w:rsidRPr="00036882">
        <w:rPr>
          <w:shd w:val="clear" w:color="auto" w:fill="auto"/>
          <w:lang w:eastAsia="pt-PT"/>
        </w:rPr>
        <w:t>tecnológico e científico, que tem gerado</w:t>
      </w:r>
      <w:r>
        <w:rPr>
          <w:shd w:val="clear" w:color="auto" w:fill="auto"/>
          <w:lang w:eastAsia="pt-PT"/>
        </w:rPr>
        <w:t xml:space="preserve"> </w:t>
      </w:r>
      <w:r w:rsidRPr="00036882">
        <w:rPr>
          <w:shd w:val="clear" w:color="auto" w:fill="auto"/>
          <w:lang w:eastAsia="pt-PT"/>
        </w:rPr>
        <w:t>alguma polémica</w:t>
      </w:r>
      <w:r>
        <w:rPr>
          <w:shd w:val="clear" w:color="auto" w:fill="auto"/>
          <w:lang w:eastAsia="pt-PT"/>
        </w:rPr>
        <w:t xml:space="preserve">, uma vez que se apresenta como </w:t>
      </w:r>
      <w:r w:rsidRPr="00036882">
        <w:rPr>
          <w:shd w:val="clear" w:color="auto" w:fill="auto"/>
          <w:lang w:eastAsia="pt-PT"/>
        </w:rPr>
        <w:t>uma tecnologia de ruptura,</w:t>
      </w:r>
      <w:r>
        <w:rPr>
          <w:shd w:val="clear" w:color="auto" w:fill="auto"/>
          <w:lang w:eastAsia="pt-PT"/>
        </w:rPr>
        <w:t xml:space="preserve"> </w:t>
      </w:r>
      <w:r w:rsidRPr="00036882">
        <w:rPr>
          <w:shd w:val="clear" w:color="auto" w:fill="auto"/>
          <w:lang w:eastAsia="pt-PT"/>
        </w:rPr>
        <w:t>eticamente diferente das tecn</w:t>
      </w:r>
      <w:r>
        <w:rPr>
          <w:shd w:val="clear" w:color="auto" w:fill="auto"/>
          <w:lang w:eastAsia="pt-PT"/>
        </w:rPr>
        <w:t xml:space="preserve">ologias atrás citadas. Por isso </w:t>
      </w:r>
      <w:r w:rsidRPr="00036882">
        <w:rPr>
          <w:shd w:val="clear" w:color="auto" w:fill="auto"/>
          <w:lang w:eastAsia="pt-PT"/>
        </w:rPr>
        <w:t>mesmo, merece</w:t>
      </w:r>
      <w:r>
        <w:rPr>
          <w:shd w:val="clear" w:color="auto" w:fill="auto"/>
          <w:lang w:eastAsia="pt-PT"/>
        </w:rPr>
        <w:t xml:space="preserve"> </w:t>
      </w:r>
      <w:r w:rsidRPr="00036882">
        <w:rPr>
          <w:shd w:val="clear" w:color="auto" w:fill="auto"/>
          <w:lang w:eastAsia="pt-PT"/>
        </w:rPr>
        <w:t>ser compreendida, discutida e legislada.</w:t>
      </w:r>
    </w:p>
    <w:p w:rsidR="007A2A0E" w:rsidRDefault="007A2A0E" w:rsidP="006A765F">
      <w:pPr>
        <w:pStyle w:val="Estilo1"/>
      </w:pPr>
      <w:r w:rsidRPr="00C043D5">
        <w:t>Tal como no caso da luta biológica não existe por enquanto informação relevante nesta matéria.</w:t>
      </w:r>
    </w:p>
    <w:p w:rsidR="009764A7" w:rsidRDefault="009764A7">
      <w:pPr>
        <w:spacing w:after="0" w:line="240" w:lineRule="auto"/>
        <w:jc w:val="left"/>
      </w:pPr>
      <w:r>
        <w:br w:type="page"/>
      </w:r>
    </w:p>
    <w:p w:rsidR="00315B95" w:rsidRPr="00B73BBD" w:rsidRDefault="00315B95" w:rsidP="00277AB0">
      <w:pPr>
        <w:pStyle w:val="Ttulo1"/>
      </w:pPr>
      <w:bookmarkStart w:id="41" w:name="_Toc264890299"/>
      <w:r w:rsidRPr="00B73BBD">
        <w:lastRenderedPageBreak/>
        <w:t>Material e Métodos</w:t>
      </w:r>
      <w:bookmarkEnd w:id="41"/>
    </w:p>
    <w:p w:rsidR="00A7344A" w:rsidRDefault="005E279D" w:rsidP="00B73BBD">
      <w:pPr>
        <w:pStyle w:val="Ttulo2"/>
      </w:pPr>
      <w:bookmarkStart w:id="42" w:name="_Toc264890300"/>
      <w:r>
        <w:t>Epid</w:t>
      </w:r>
      <w:r w:rsidR="00C20FED">
        <w:t xml:space="preserve">emiologia de </w:t>
      </w:r>
      <w:r w:rsidR="00016F11" w:rsidRPr="00016F11">
        <w:rPr>
          <w:i/>
        </w:rPr>
        <w:t>Botryosphaeria</w:t>
      </w:r>
      <w:r w:rsidR="00C20FED" w:rsidRPr="00DD783D">
        <w:t>ceae</w:t>
      </w:r>
      <w:bookmarkEnd w:id="42"/>
    </w:p>
    <w:p w:rsidR="00CC1A43" w:rsidRPr="00C043D5" w:rsidRDefault="00CC1A43" w:rsidP="006A765F">
      <w:pPr>
        <w:pStyle w:val="Estilo1"/>
      </w:pPr>
      <w:r w:rsidRPr="00C043D5">
        <w:t xml:space="preserve">O ensaio de campo </w:t>
      </w:r>
      <w:r>
        <w:t xml:space="preserve">para </w:t>
      </w:r>
      <w:r w:rsidR="00095C5B">
        <w:t xml:space="preserve">a </w:t>
      </w:r>
      <w:r>
        <w:t xml:space="preserve">realização de estudos epidemiológicos </w:t>
      </w:r>
      <w:r w:rsidRPr="00C043D5">
        <w:t xml:space="preserve">foi instalado na parcela denominada Vinha Nova, na Quinta do Carmo, situada em Glória, no concelho de Estremoz. A vinha em questão, enxertada na casta Aragonês, tem </w:t>
      </w:r>
      <w:r>
        <w:t>15</w:t>
      </w:r>
      <w:r w:rsidRPr="00C043D5">
        <w:t xml:space="preserve"> anos de idade e estende-se por uma área de </w:t>
      </w:r>
      <w:r>
        <w:t>5</w:t>
      </w:r>
      <w:r w:rsidRPr="00C043D5">
        <w:t xml:space="preserve"> hectares. O compasso é de </w:t>
      </w:r>
      <w:r>
        <w:t>2,1 x 1,7</w:t>
      </w:r>
      <w:r w:rsidR="00121B1D">
        <w:t xml:space="preserve"> m,</w:t>
      </w:r>
      <w:r w:rsidRPr="00C043D5">
        <w:t xml:space="preserve"> </w:t>
      </w:r>
      <w:r w:rsidR="00121B1D" w:rsidRPr="00C043D5">
        <w:t xml:space="preserve">está conduzida em Guyot </w:t>
      </w:r>
      <w:r w:rsidR="00121B1D">
        <w:t xml:space="preserve">e </w:t>
      </w:r>
      <w:r w:rsidRPr="00C043D5">
        <w:t xml:space="preserve">a densidade da plantação </w:t>
      </w:r>
      <w:r w:rsidR="00121B1D">
        <w:t xml:space="preserve">é </w:t>
      </w:r>
      <w:r w:rsidRPr="00C043D5">
        <w:t xml:space="preserve">de aproximadamente de </w:t>
      </w:r>
      <w:r>
        <w:t>2800</w:t>
      </w:r>
      <w:r w:rsidR="00121B1D">
        <w:t xml:space="preserve"> plantas /ha</w:t>
      </w:r>
      <w:r w:rsidRPr="00C043D5">
        <w:t>.</w:t>
      </w:r>
    </w:p>
    <w:p w:rsidR="008B5EE4" w:rsidRPr="00FE70E1" w:rsidRDefault="00CC1A43" w:rsidP="006A765F">
      <w:pPr>
        <w:pStyle w:val="Estilo1"/>
        <w:rPr>
          <w:rFonts w:cs="Arial"/>
        </w:rPr>
      </w:pPr>
      <w:r>
        <w:rPr>
          <w:rFonts w:cs="Arial"/>
        </w:rPr>
        <w:t>Vinte</w:t>
      </w:r>
      <w:r w:rsidRPr="00C6751C">
        <w:rPr>
          <w:rFonts w:cs="Arial"/>
        </w:rPr>
        <w:t xml:space="preserve"> </w:t>
      </w:r>
      <w:r w:rsidR="008B5EE4">
        <w:rPr>
          <w:rFonts w:cs="Arial"/>
        </w:rPr>
        <w:t xml:space="preserve">armadilhas </w:t>
      </w:r>
      <w:r w:rsidR="003A61C4">
        <w:rPr>
          <w:rFonts w:cs="Arial"/>
        </w:rPr>
        <w:t xml:space="preserve">foram </w:t>
      </w:r>
      <w:r w:rsidRPr="00C6751C">
        <w:rPr>
          <w:rFonts w:cs="Arial"/>
        </w:rPr>
        <w:t>distribu</w:t>
      </w:r>
      <w:r>
        <w:rPr>
          <w:rFonts w:cs="Arial"/>
        </w:rPr>
        <w:t xml:space="preserve">ídas </w:t>
      </w:r>
      <w:r w:rsidR="003A61C4">
        <w:rPr>
          <w:rFonts w:cs="Arial"/>
        </w:rPr>
        <w:t>aleatoriamente</w:t>
      </w:r>
      <w:r w:rsidR="003A61C4" w:rsidRPr="00C6751C">
        <w:rPr>
          <w:rFonts w:cs="Arial"/>
        </w:rPr>
        <w:t xml:space="preserve"> </w:t>
      </w:r>
      <w:r w:rsidR="00095C5B">
        <w:rPr>
          <w:rFonts w:cs="Arial"/>
        </w:rPr>
        <w:t>por uma</w:t>
      </w:r>
      <w:r>
        <w:rPr>
          <w:rFonts w:cs="Arial"/>
        </w:rPr>
        <w:t xml:space="preserve"> parcela </w:t>
      </w:r>
      <w:r w:rsidR="00095C5B">
        <w:rPr>
          <w:rFonts w:cs="Arial"/>
        </w:rPr>
        <w:t>da vinha com</w:t>
      </w:r>
      <w:r>
        <w:rPr>
          <w:rFonts w:cs="Arial"/>
        </w:rPr>
        <w:t xml:space="preserve"> 540 videiras</w:t>
      </w:r>
      <w:r w:rsidRPr="00C6751C">
        <w:rPr>
          <w:rFonts w:cs="Arial"/>
        </w:rPr>
        <w:t xml:space="preserve"> </w:t>
      </w:r>
      <w:r w:rsidR="00095C5B">
        <w:rPr>
          <w:rFonts w:cs="Arial"/>
        </w:rPr>
        <w:t xml:space="preserve">(10 linhas) </w:t>
      </w:r>
      <w:r w:rsidRPr="00C6751C">
        <w:rPr>
          <w:rFonts w:cs="Arial"/>
        </w:rPr>
        <w:t xml:space="preserve">de forma a </w:t>
      </w:r>
      <w:r w:rsidR="00095C5B">
        <w:rPr>
          <w:rFonts w:cs="Arial"/>
        </w:rPr>
        <w:t xml:space="preserve">alcançar-se </w:t>
      </w:r>
      <w:r w:rsidRPr="00C6751C">
        <w:rPr>
          <w:rFonts w:cs="Arial"/>
        </w:rPr>
        <w:t xml:space="preserve">uma ampla amostragem. </w:t>
      </w:r>
      <w:r w:rsidR="003A61C4">
        <w:rPr>
          <w:rFonts w:cs="Arial"/>
        </w:rPr>
        <w:t xml:space="preserve">As armadilhas </w:t>
      </w:r>
      <w:r w:rsidR="004044F7">
        <w:rPr>
          <w:rFonts w:cs="Arial"/>
        </w:rPr>
        <w:t>(Figura 3.1</w:t>
      </w:r>
      <w:r w:rsidR="001C4369">
        <w:rPr>
          <w:rFonts w:cs="Arial"/>
        </w:rPr>
        <w:t xml:space="preserve">) </w:t>
      </w:r>
      <w:r w:rsidR="003A61C4">
        <w:rPr>
          <w:rFonts w:cs="Arial"/>
        </w:rPr>
        <w:t xml:space="preserve">consistiam em </w:t>
      </w:r>
      <w:r w:rsidR="008B5EE4">
        <w:rPr>
          <w:rFonts w:cs="Arial"/>
        </w:rPr>
        <w:t>lâminas</w:t>
      </w:r>
      <w:r w:rsidR="003A61C4">
        <w:rPr>
          <w:rFonts w:cs="Arial"/>
        </w:rPr>
        <w:t xml:space="preserve"> de vidro de microscopia revestidas </w:t>
      </w:r>
      <w:r w:rsidR="00095C5B">
        <w:rPr>
          <w:rFonts w:cs="Arial"/>
        </w:rPr>
        <w:t>com vaselina (Golbi ®)</w:t>
      </w:r>
      <w:r w:rsidR="008B5EE4" w:rsidRPr="008B5EE4">
        <w:rPr>
          <w:rFonts w:cs="Arial"/>
        </w:rPr>
        <w:t xml:space="preserve"> </w:t>
      </w:r>
      <w:r w:rsidR="008B5EE4" w:rsidRPr="00C6751C">
        <w:rPr>
          <w:rFonts w:cs="Arial"/>
        </w:rPr>
        <w:t>nas duas faces</w:t>
      </w:r>
      <w:r w:rsidR="00095C5B">
        <w:rPr>
          <w:rFonts w:cs="Arial"/>
        </w:rPr>
        <w:t>.</w:t>
      </w:r>
      <w:r w:rsidRPr="00C6751C">
        <w:rPr>
          <w:rFonts w:cs="Arial"/>
        </w:rPr>
        <w:t xml:space="preserve"> </w:t>
      </w:r>
      <w:r w:rsidR="008B5EE4">
        <w:rPr>
          <w:rFonts w:cs="Arial"/>
        </w:rPr>
        <w:t>F</w:t>
      </w:r>
      <w:r w:rsidR="008B5EE4" w:rsidRPr="00C6751C">
        <w:rPr>
          <w:rFonts w:cs="Arial"/>
        </w:rPr>
        <w:t xml:space="preserve">oram </w:t>
      </w:r>
      <w:r w:rsidR="008B5EE4" w:rsidRPr="00FE70E1">
        <w:rPr>
          <w:rFonts w:cs="Arial"/>
        </w:rPr>
        <w:t>presas a uma mola (Figura 3.1) e colocada</w:t>
      </w:r>
      <w:r w:rsidR="00121B1D" w:rsidRPr="00FE70E1">
        <w:rPr>
          <w:rFonts w:cs="Arial"/>
        </w:rPr>
        <w:t>s</w:t>
      </w:r>
      <w:r w:rsidR="008B5EE4" w:rsidRPr="00FE70E1">
        <w:rPr>
          <w:rFonts w:cs="Arial"/>
        </w:rPr>
        <w:t xml:space="preserve"> à altura correspondente à dos cortes de poda. </w:t>
      </w:r>
      <w:r w:rsidR="00095C5B" w:rsidRPr="00FE70E1">
        <w:rPr>
          <w:rFonts w:cs="Arial"/>
        </w:rPr>
        <w:t xml:space="preserve">As </w:t>
      </w:r>
      <w:r w:rsidR="007D6B7A" w:rsidRPr="00FE70E1">
        <w:rPr>
          <w:rFonts w:cs="Arial"/>
        </w:rPr>
        <w:t>lâminas</w:t>
      </w:r>
      <w:r w:rsidRPr="00FE70E1">
        <w:rPr>
          <w:rFonts w:cs="Arial"/>
        </w:rPr>
        <w:t xml:space="preserve"> foram recolhidas </w:t>
      </w:r>
      <w:r w:rsidR="003A61C4" w:rsidRPr="00FE70E1">
        <w:rPr>
          <w:rFonts w:cs="Arial"/>
        </w:rPr>
        <w:t>quinzenalmente</w:t>
      </w:r>
      <w:r w:rsidR="008B5EE4" w:rsidRPr="00FE70E1">
        <w:rPr>
          <w:rFonts w:cs="Arial"/>
        </w:rPr>
        <w:t>, durante um período que decorreu de Janeiro de 2008 a Junho de 2009</w:t>
      </w:r>
      <w:r w:rsidR="00121B1D" w:rsidRPr="00FE70E1">
        <w:rPr>
          <w:rFonts w:cs="Arial"/>
        </w:rPr>
        <w:t>.</w:t>
      </w:r>
      <w:r w:rsidR="008B5EE4" w:rsidRPr="00FE70E1">
        <w:rPr>
          <w:rFonts w:cs="Arial"/>
        </w:rPr>
        <w:t xml:space="preserve"> O transporte das lâminas fez-se dentro de tubos falcon esterilizados </w:t>
      </w:r>
      <w:r w:rsidRPr="00FE70E1">
        <w:rPr>
          <w:rFonts w:cs="Arial"/>
        </w:rPr>
        <w:t xml:space="preserve">e </w:t>
      </w:r>
      <w:r w:rsidR="008B5EE4" w:rsidRPr="00FE70E1">
        <w:rPr>
          <w:rFonts w:cs="Arial"/>
        </w:rPr>
        <w:t xml:space="preserve">foram </w:t>
      </w:r>
      <w:r w:rsidRPr="00FE70E1">
        <w:rPr>
          <w:rFonts w:cs="Arial"/>
        </w:rPr>
        <w:t xml:space="preserve">processadas </w:t>
      </w:r>
      <w:r w:rsidR="00121B1D" w:rsidRPr="00FE70E1">
        <w:rPr>
          <w:rFonts w:cs="Arial"/>
        </w:rPr>
        <w:t>no laboratório de acordo com o</w:t>
      </w:r>
      <w:r w:rsidRPr="00FE70E1">
        <w:rPr>
          <w:rFonts w:cs="Arial"/>
        </w:rPr>
        <w:t xml:space="preserve"> </w:t>
      </w:r>
      <w:r w:rsidR="00121B1D" w:rsidRPr="00FE70E1">
        <w:rPr>
          <w:rFonts w:cs="Arial"/>
        </w:rPr>
        <w:t>método</w:t>
      </w:r>
      <w:r w:rsidRPr="00FE70E1">
        <w:rPr>
          <w:rFonts w:cs="Arial"/>
        </w:rPr>
        <w:t xml:space="preserve"> descr</w:t>
      </w:r>
      <w:r w:rsidR="00121B1D" w:rsidRPr="00FE70E1">
        <w:rPr>
          <w:rFonts w:cs="Arial"/>
        </w:rPr>
        <w:t>ito</w:t>
      </w:r>
      <w:r w:rsidRPr="00FE70E1">
        <w:rPr>
          <w:rFonts w:cs="Arial"/>
        </w:rPr>
        <w:t xml:space="preserve"> por Eskalen &amp; Gubler (2001).</w:t>
      </w:r>
      <w:r w:rsidR="008B5EE4" w:rsidRPr="00FE70E1">
        <w:rPr>
          <w:rFonts w:cs="Arial"/>
        </w:rPr>
        <w:t xml:space="preserve"> </w:t>
      </w:r>
    </w:p>
    <w:p w:rsidR="00CC1A43" w:rsidRPr="00C6751C" w:rsidRDefault="00CC1A43" w:rsidP="006A765F">
      <w:pPr>
        <w:pStyle w:val="Estilo1"/>
        <w:rPr>
          <w:rFonts w:cs="Arial"/>
        </w:rPr>
      </w:pPr>
      <w:r w:rsidRPr="00FE70E1">
        <w:rPr>
          <w:rFonts w:cs="Arial"/>
        </w:rPr>
        <w:t>Uma vez no laboratório</w:t>
      </w:r>
      <w:r w:rsidR="00095C5B" w:rsidRPr="00FE70E1">
        <w:rPr>
          <w:rFonts w:cs="Arial"/>
        </w:rPr>
        <w:t>,</w:t>
      </w:r>
      <w:r w:rsidRPr="00FE70E1">
        <w:rPr>
          <w:rFonts w:cs="Arial"/>
        </w:rPr>
        <w:t xml:space="preserve"> as</w:t>
      </w:r>
      <w:r w:rsidR="00512B11" w:rsidRPr="00FE70E1">
        <w:rPr>
          <w:rFonts w:cs="Arial"/>
        </w:rPr>
        <w:t xml:space="preserve"> lâminas foram lavadas </w:t>
      </w:r>
      <w:r w:rsidR="007D6B7A" w:rsidRPr="00FE70E1">
        <w:rPr>
          <w:rFonts w:cs="Arial"/>
        </w:rPr>
        <w:t xml:space="preserve">com o auxílio de um pincel, </w:t>
      </w:r>
      <w:r w:rsidR="00512B11" w:rsidRPr="00FE70E1">
        <w:rPr>
          <w:rFonts w:cs="Arial"/>
        </w:rPr>
        <w:t>com</w:t>
      </w:r>
      <w:r w:rsidR="00512B11">
        <w:rPr>
          <w:rFonts w:cs="Arial"/>
        </w:rPr>
        <w:t xml:space="preserve"> 10 mL</w:t>
      </w:r>
      <w:r w:rsidR="007D6B7A">
        <w:rPr>
          <w:rFonts w:cs="Arial"/>
        </w:rPr>
        <w:t xml:space="preserve"> de água destilada</w:t>
      </w:r>
      <w:r w:rsidRPr="00C6751C">
        <w:rPr>
          <w:rFonts w:cs="Arial"/>
        </w:rPr>
        <w:t xml:space="preserve"> esterilizada e aquecida</w:t>
      </w:r>
      <w:r w:rsidR="000A039C">
        <w:rPr>
          <w:rFonts w:cs="Arial"/>
        </w:rPr>
        <w:t xml:space="preserve"> à temperatura de aproximadamente 37</w:t>
      </w:r>
      <w:r w:rsidR="000A039C" w:rsidRPr="00C6751C">
        <w:rPr>
          <w:rFonts w:cs="Arial"/>
        </w:rPr>
        <w:t>ºC</w:t>
      </w:r>
      <w:r w:rsidRPr="00C6751C">
        <w:rPr>
          <w:rFonts w:cs="Arial"/>
        </w:rPr>
        <w:t>, para que a vaselina fluidificasse melhor. Com uma micropipeta fizeram-se duas tomas, de 20</w:t>
      </w:r>
      <w:r w:rsidR="00EB6DEA">
        <w:rPr>
          <w:rFonts w:cs="Arial"/>
        </w:rPr>
        <w:t>0</w:t>
      </w:r>
      <w:r w:rsidRPr="00C6751C">
        <w:rPr>
          <w:rFonts w:cs="Arial"/>
        </w:rPr>
        <w:t xml:space="preserve"> µL, para duas placas contendo </w:t>
      </w:r>
      <w:r w:rsidR="00EB6DEA">
        <w:rPr>
          <w:rFonts w:cs="Arial"/>
        </w:rPr>
        <w:t xml:space="preserve">gelose de batata glucosada </w:t>
      </w:r>
      <w:r w:rsidR="00EB6DEA" w:rsidRPr="00F218F8">
        <w:rPr>
          <w:rFonts w:cs="Arial"/>
        </w:rPr>
        <w:t>(</w:t>
      </w:r>
      <w:r w:rsidR="00F218F8" w:rsidRPr="00F218F8">
        <w:rPr>
          <w:rFonts w:cs="Arial"/>
        </w:rPr>
        <w:t>PDA, Difco Laboratories, Detroit, MI, EUA</w:t>
      </w:r>
      <w:r w:rsidR="008231F3" w:rsidRPr="00F218F8">
        <w:rPr>
          <w:rFonts w:cs="Arial"/>
        </w:rPr>
        <w:t>)</w:t>
      </w:r>
      <w:r w:rsidRPr="00F218F8">
        <w:rPr>
          <w:rFonts w:cs="Arial"/>
        </w:rPr>
        <w:t xml:space="preserve">. </w:t>
      </w:r>
      <w:r w:rsidRPr="00FE70E1">
        <w:rPr>
          <w:rFonts w:cs="Arial"/>
        </w:rPr>
        <w:t xml:space="preserve">O </w:t>
      </w:r>
      <w:r w:rsidR="007D6B7A" w:rsidRPr="00FE70E1">
        <w:rPr>
          <w:rFonts w:cs="Arial"/>
        </w:rPr>
        <w:t>inó</w:t>
      </w:r>
      <w:r w:rsidR="00151E70" w:rsidRPr="00FE70E1">
        <w:rPr>
          <w:rFonts w:cs="Arial"/>
        </w:rPr>
        <w:t>culo</w:t>
      </w:r>
      <w:r w:rsidRPr="00FE70E1">
        <w:rPr>
          <w:rFonts w:cs="Arial"/>
        </w:rPr>
        <w:t xml:space="preserve"> foi espalhado com o auxílio de uma vareta de vidro em V, previamente esteriliz</w:t>
      </w:r>
      <w:r w:rsidR="000A039C" w:rsidRPr="00FE70E1">
        <w:rPr>
          <w:rFonts w:cs="Arial"/>
        </w:rPr>
        <w:t>ada. As placas foram a incubar à temperatura de</w:t>
      </w:r>
      <w:r w:rsidRPr="00FE70E1">
        <w:rPr>
          <w:rFonts w:cs="Arial"/>
        </w:rPr>
        <w:t xml:space="preserve"> 25</w:t>
      </w:r>
      <w:r w:rsidR="008231F3" w:rsidRPr="00FE70E1">
        <w:rPr>
          <w:rFonts w:cs="Arial"/>
        </w:rPr>
        <w:t xml:space="preserve"> ± 1</w:t>
      </w:r>
      <w:r w:rsidRPr="00FE70E1">
        <w:rPr>
          <w:rFonts w:cs="Arial"/>
        </w:rPr>
        <w:t>ºC</w:t>
      </w:r>
      <w:r w:rsidR="008231F3" w:rsidRPr="00FE70E1">
        <w:rPr>
          <w:rFonts w:cs="Arial"/>
        </w:rPr>
        <w:t>,</w:t>
      </w:r>
      <w:r w:rsidRPr="00FE70E1">
        <w:rPr>
          <w:rFonts w:cs="Arial"/>
        </w:rPr>
        <w:t xml:space="preserve"> na obscuridade durante </w:t>
      </w:r>
      <w:r w:rsidR="00F218F8" w:rsidRPr="00FE70E1">
        <w:rPr>
          <w:rFonts w:cs="Arial"/>
        </w:rPr>
        <w:t>5</w:t>
      </w:r>
      <w:r w:rsidR="000A039C" w:rsidRPr="00FE70E1">
        <w:rPr>
          <w:rFonts w:cs="Arial"/>
        </w:rPr>
        <w:t xml:space="preserve"> a </w:t>
      </w:r>
      <w:r w:rsidR="00F218F8" w:rsidRPr="00FE70E1">
        <w:rPr>
          <w:rFonts w:cs="Arial"/>
        </w:rPr>
        <w:t>8</w:t>
      </w:r>
      <w:r w:rsidRPr="00FE70E1">
        <w:rPr>
          <w:rFonts w:cs="Arial"/>
        </w:rPr>
        <w:t xml:space="preserve"> dias. </w:t>
      </w:r>
      <w:r w:rsidR="007D6B7A" w:rsidRPr="00FE70E1">
        <w:rPr>
          <w:rFonts w:cs="Arial"/>
        </w:rPr>
        <w:t xml:space="preserve">Identificaram-se e contaram-se as colónias </w:t>
      </w:r>
      <w:r w:rsidRPr="00FE70E1">
        <w:rPr>
          <w:rFonts w:cs="Arial"/>
        </w:rPr>
        <w:t>presentes nas placas</w:t>
      </w:r>
      <w:r w:rsidR="001C4369" w:rsidRPr="00FE70E1">
        <w:rPr>
          <w:rFonts w:cs="Arial"/>
        </w:rPr>
        <w:t xml:space="preserve"> de acordo com as </w:t>
      </w:r>
      <w:r w:rsidR="00E3471F" w:rsidRPr="00FE70E1">
        <w:rPr>
          <w:rFonts w:cs="Arial"/>
        </w:rPr>
        <w:t xml:space="preserve">suas </w:t>
      </w:r>
      <w:r w:rsidR="001C4369" w:rsidRPr="00FE70E1">
        <w:rPr>
          <w:rFonts w:cs="Arial"/>
        </w:rPr>
        <w:t>caracte</w:t>
      </w:r>
      <w:r w:rsidR="00E3471F" w:rsidRPr="00FE70E1">
        <w:rPr>
          <w:rFonts w:cs="Arial"/>
        </w:rPr>
        <w:t xml:space="preserve">rísticas culturais </w:t>
      </w:r>
      <w:r w:rsidR="001C4369" w:rsidRPr="00FE70E1">
        <w:rPr>
          <w:rFonts w:cs="Arial"/>
        </w:rPr>
        <w:t xml:space="preserve">(Vaz, 2008). </w:t>
      </w:r>
      <w:r w:rsidR="009C4240" w:rsidRPr="00FE70E1">
        <w:rPr>
          <w:rFonts w:cs="Arial"/>
        </w:rPr>
        <w:t>A contagem final foi expressa no número total de esporos presentes na</w:t>
      </w:r>
      <w:r w:rsidR="00121B1D" w:rsidRPr="00FE70E1">
        <w:rPr>
          <w:rFonts w:cs="Arial"/>
        </w:rPr>
        <w:t>s vinte</w:t>
      </w:r>
      <w:r w:rsidR="009C4240" w:rsidRPr="00FE70E1">
        <w:rPr>
          <w:rFonts w:cs="Arial"/>
        </w:rPr>
        <w:t xml:space="preserve"> lâminas para cada data de colheita, calculado com base no volume de água utilizado</w:t>
      </w:r>
      <w:r w:rsidR="009C4240">
        <w:rPr>
          <w:rFonts w:cs="Arial"/>
        </w:rPr>
        <w:t xml:space="preserve"> para dissolver a vaselina e no número de colónias.</w:t>
      </w:r>
    </w:p>
    <w:p w:rsidR="00CC1A43" w:rsidRPr="00C6751C" w:rsidRDefault="00CC1A43" w:rsidP="001C4369">
      <w:pPr>
        <w:pStyle w:val="SemEspaamento1"/>
        <w:spacing w:after="200" w:line="360" w:lineRule="auto"/>
        <w:jc w:val="both"/>
        <w:rPr>
          <w:rFonts w:ascii="Arial" w:hAnsi="Arial" w:cs="Arial"/>
          <w:b/>
        </w:rPr>
      </w:pPr>
    </w:p>
    <w:p w:rsidR="00CC1A43" w:rsidRPr="00C6751C" w:rsidRDefault="00A26989" w:rsidP="001C4369">
      <w:pPr>
        <w:pStyle w:val="SemEspaamento1"/>
        <w:spacing w:after="200" w:line="360" w:lineRule="auto"/>
        <w:jc w:val="center"/>
        <w:rPr>
          <w:rFonts w:ascii="Arial" w:hAnsi="Arial" w:cs="Arial"/>
          <w:b/>
        </w:rPr>
      </w:pPr>
      <w:r>
        <w:rPr>
          <w:rFonts w:ascii="Arial" w:hAnsi="Arial" w:cs="Arial"/>
          <w:b/>
          <w:noProof/>
          <w:lang w:eastAsia="pt-PT"/>
        </w:rPr>
        <w:lastRenderedPageBreak/>
        <w:drawing>
          <wp:inline distT="0" distB="0" distL="0" distR="0">
            <wp:extent cx="3595917" cy="2655736"/>
            <wp:effectExtent l="19050" t="19050" r="23583" b="11264"/>
            <wp:docPr id="1" name="Imagem 1" descr="DSC013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SC01308"/>
                    <pic:cNvPicPr>
                      <a:picLocks noChangeAspect="1" noChangeArrowheads="1"/>
                    </pic:cNvPicPr>
                  </pic:nvPicPr>
                  <pic:blipFill>
                    <a:blip r:embed="rId23" cstate="print"/>
                    <a:srcRect/>
                    <a:stretch>
                      <a:fillRect/>
                    </a:stretch>
                  </pic:blipFill>
                  <pic:spPr bwMode="auto">
                    <a:xfrm>
                      <a:off x="0" y="0"/>
                      <a:ext cx="3600432" cy="2659071"/>
                    </a:xfrm>
                    <a:prstGeom prst="rect">
                      <a:avLst/>
                    </a:prstGeom>
                    <a:noFill/>
                    <a:ln w="12700">
                      <a:solidFill>
                        <a:schemeClr val="tx1"/>
                      </a:solidFill>
                      <a:miter lim="800000"/>
                      <a:headEnd/>
                      <a:tailEnd/>
                    </a:ln>
                  </pic:spPr>
                </pic:pic>
              </a:graphicData>
            </a:graphic>
          </wp:inline>
        </w:drawing>
      </w:r>
    </w:p>
    <w:p w:rsidR="001C4369" w:rsidRDefault="008724C9" w:rsidP="009E08F0">
      <w:pPr>
        <w:pStyle w:val="Legenda"/>
        <w:jc w:val="center"/>
        <w:rPr>
          <w:sz w:val="20"/>
        </w:rPr>
      </w:pPr>
      <w:bookmarkStart w:id="43" w:name="_Toc264890321"/>
      <w:r>
        <w:t xml:space="preserve">Figura </w:t>
      </w:r>
      <w:fldSimple w:instr=" STYLEREF 1 \s ">
        <w:r w:rsidR="00E2640D">
          <w:rPr>
            <w:noProof/>
          </w:rPr>
          <w:t>3</w:t>
        </w:r>
      </w:fldSimple>
      <w:r w:rsidR="00C37A87">
        <w:t>.</w:t>
      </w:r>
      <w:fldSimple w:instr=" SEQ Figura \* ARABIC \s 1 ">
        <w:r w:rsidR="00E2640D">
          <w:rPr>
            <w:noProof/>
          </w:rPr>
          <w:t>1</w:t>
        </w:r>
      </w:fldSimple>
      <w:r>
        <w:t>. Armadilha de esporos colo</w:t>
      </w:r>
      <w:r w:rsidRPr="001C4369">
        <w:t>cada na videira ao nível dos cortes de poda.</w:t>
      </w:r>
      <w:bookmarkEnd w:id="43"/>
    </w:p>
    <w:p w:rsidR="001C4369" w:rsidRDefault="001C4369" w:rsidP="001C4369">
      <w:pPr>
        <w:pStyle w:val="SemEspaamento1"/>
        <w:tabs>
          <w:tab w:val="left" w:pos="7920"/>
        </w:tabs>
        <w:spacing w:after="200" w:line="360" w:lineRule="auto"/>
        <w:jc w:val="center"/>
        <w:rPr>
          <w:rFonts w:ascii="Arial" w:hAnsi="Arial" w:cs="Arial"/>
          <w:sz w:val="20"/>
          <w:szCs w:val="20"/>
        </w:rPr>
      </w:pPr>
    </w:p>
    <w:p w:rsidR="002449BA" w:rsidRPr="002449BA" w:rsidRDefault="002449BA" w:rsidP="006A765F">
      <w:pPr>
        <w:pStyle w:val="Estilo1"/>
      </w:pPr>
      <w:r w:rsidRPr="002449BA">
        <w:t>Os valores da temperatura e precipitação foram obtidos através de uma estação meteorológica, modelo CIMEL 400, instala</w:t>
      </w:r>
      <w:r w:rsidR="004044F7">
        <w:t>da na Quinta do Carmo (Figura 3.2</w:t>
      </w:r>
      <w:r w:rsidRPr="002449BA">
        <w:t>). A referida estação permite a aquisição automática de dados hor</w:t>
      </w:r>
      <w:r w:rsidR="00151E70">
        <w:t>ários, referentes à precipitação</w:t>
      </w:r>
      <w:r w:rsidRPr="002449BA">
        <w:t>, temperatura e humidade relativa atmosférica. Encontra-se ligada à rede do INRA de Bordéus, sendo os dados tratados por aquela instituição.</w:t>
      </w:r>
    </w:p>
    <w:p w:rsidR="002449BA" w:rsidRPr="00293B70" w:rsidRDefault="00A26989" w:rsidP="008724C9">
      <w:pPr>
        <w:pStyle w:val="NormalWeb"/>
        <w:spacing w:before="0" w:beforeAutospacing="0" w:after="0" w:afterAutospacing="0"/>
        <w:ind w:firstLine="709"/>
        <w:jc w:val="center"/>
        <w:rPr>
          <w:rFonts w:ascii="Arial Narrow" w:hAnsi="Arial Narrow"/>
          <w:highlight w:val="lightGray"/>
        </w:rPr>
      </w:pPr>
      <w:r>
        <w:rPr>
          <w:rFonts w:ascii="Arial" w:hAnsi="Arial"/>
          <w:noProof/>
          <w:sz w:val="22"/>
          <w:szCs w:val="22"/>
        </w:rPr>
        <w:drawing>
          <wp:inline distT="0" distB="0" distL="0" distR="0">
            <wp:extent cx="3490252" cy="2886323"/>
            <wp:effectExtent l="19050" t="19050" r="14948" b="28327"/>
            <wp:docPr id="2" name="Imagem 2" descr="Carmo 2002-2203 0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armo 2002-2203 001"/>
                    <pic:cNvPicPr>
                      <a:picLocks noChangeAspect="1" noChangeArrowheads="1"/>
                    </pic:cNvPicPr>
                  </pic:nvPicPr>
                  <pic:blipFill>
                    <a:blip r:embed="rId24" cstate="print"/>
                    <a:srcRect l="7550" t="26999" r="32928" b="25653"/>
                    <a:stretch>
                      <a:fillRect/>
                    </a:stretch>
                  </pic:blipFill>
                  <pic:spPr bwMode="auto">
                    <a:xfrm>
                      <a:off x="0" y="0"/>
                      <a:ext cx="3506244" cy="2899548"/>
                    </a:xfrm>
                    <a:prstGeom prst="rect">
                      <a:avLst/>
                    </a:prstGeom>
                    <a:noFill/>
                    <a:ln w="12700">
                      <a:solidFill>
                        <a:schemeClr val="tx1"/>
                      </a:solidFill>
                      <a:miter lim="800000"/>
                      <a:headEnd/>
                      <a:tailEnd/>
                    </a:ln>
                  </pic:spPr>
                </pic:pic>
              </a:graphicData>
            </a:graphic>
          </wp:inline>
        </w:drawing>
      </w:r>
    </w:p>
    <w:p w:rsidR="00DD783D" w:rsidRPr="009E08F0" w:rsidRDefault="008724C9" w:rsidP="009E08F0">
      <w:pPr>
        <w:pStyle w:val="Legenda"/>
        <w:jc w:val="center"/>
      </w:pPr>
      <w:bookmarkStart w:id="44" w:name="_Toc264890322"/>
      <w:r w:rsidRPr="008724C9">
        <w:t xml:space="preserve">Figura </w:t>
      </w:r>
      <w:fldSimple w:instr=" STYLEREF 1 \s ">
        <w:r w:rsidR="00E2640D">
          <w:rPr>
            <w:noProof/>
          </w:rPr>
          <w:t>3</w:t>
        </w:r>
      </w:fldSimple>
      <w:r w:rsidR="00C37A87">
        <w:t>.</w:t>
      </w:r>
      <w:fldSimple w:instr=" SEQ Figura \* ARABIC \s 1 ">
        <w:r w:rsidR="00E2640D">
          <w:rPr>
            <w:noProof/>
          </w:rPr>
          <w:t>2</w:t>
        </w:r>
      </w:fldSimple>
      <w:r w:rsidRPr="008724C9">
        <w:t>. Estação Meteorológica CIMEL 400, localizada na S. Agr. Quinta do Carmo</w:t>
      </w:r>
      <w:bookmarkEnd w:id="44"/>
    </w:p>
    <w:p w:rsidR="008A50BE" w:rsidRPr="00B73BBD" w:rsidRDefault="00F218F8" w:rsidP="00B73BBD">
      <w:pPr>
        <w:pStyle w:val="Ttulo2"/>
      </w:pPr>
      <w:bookmarkStart w:id="45" w:name="_Toc264890301"/>
      <w:r w:rsidRPr="00B73BBD">
        <w:lastRenderedPageBreak/>
        <w:t>Ensaio de campo contra o</w:t>
      </w:r>
      <w:r w:rsidR="008A50BE" w:rsidRPr="00B73BBD">
        <w:t xml:space="preserve"> </w:t>
      </w:r>
      <w:r w:rsidRPr="00B73BBD">
        <w:t>“black dead arm”</w:t>
      </w:r>
      <w:r w:rsidR="00E3471F">
        <w:t xml:space="preserve"> e </w:t>
      </w:r>
      <w:r w:rsidR="00A178C1" w:rsidRPr="00B73BBD">
        <w:t>escoriose da videira</w:t>
      </w:r>
      <w:bookmarkEnd w:id="45"/>
    </w:p>
    <w:p w:rsidR="004C2364" w:rsidRPr="00A67CD5" w:rsidRDefault="004C2364" w:rsidP="00B73BBD">
      <w:pPr>
        <w:pStyle w:val="Ttulo3"/>
        <w:rPr>
          <w:lang w:val="pt-PT"/>
        </w:rPr>
      </w:pPr>
      <w:r w:rsidRPr="00A67CD5">
        <w:rPr>
          <w:lang w:val="pt-PT"/>
        </w:rPr>
        <w:t xml:space="preserve"> </w:t>
      </w:r>
      <w:bookmarkStart w:id="46" w:name="_Toc264890302"/>
      <w:r w:rsidRPr="00A67CD5">
        <w:rPr>
          <w:lang w:val="pt-PT"/>
        </w:rPr>
        <w:t>Colheita de videiras doente</w:t>
      </w:r>
      <w:r w:rsidR="00F218F8" w:rsidRPr="00A67CD5">
        <w:rPr>
          <w:lang w:val="pt-PT"/>
        </w:rPr>
        <w:t>s</w:t>
      </w:r>
      <w:r w:rsidRPr="00A67CD5">
        <w:rPr>
          <w:lang w:val="pt-PT"/>
        </w:rPr>
        <w:t xml:space="preserve">, isolamentos microbiológicos e identificação </w:t>
      </w:r>
      <w:r w:rsidR="00F218F8" w:rsidRPr="00A67CD5">
        <w:rPr>
          <w:lang w:val="pt-PT"/>
        </w:rPr>
        <w:t xml:space="preserve">de </w:t>
      </w:r>
      <w:r w:rsidRPr="00A67CD5">
        <w:rPr>
          <w:lang w:val="pt-PT"/>
        </w:rPr>
        <w:t>fungos</w:t>
      </w:r>
      <w:bookmarkEnd w:id="46"/>
    </w:p>
    <w:p w:rsidR="002449BA" w:rsidRDefault="00315B95" w:rsidP="006A765F">
      <w:pPr>
        <w:pStyle w:val="Estilo1"/>
      </w:pPr>
      <w:r w:rsidRPr="00C043D5">
        <w:t>O ensaio de campo co</w:t>
      </w:r>
      <w:r w:rsidR="000A039C">
        <w:t xml:space="preserve">ntra </w:t>
      </w:r>
      <w:r w:rsidR="00E3471F">
        <w:t>“</w:t>
      </w:r>
      <w:r w:rsidR="000A039C">
        <w:t>black dead arm</w:t>
      </w:r>
      <w:r w:rsidR="00E3471F">
        <w:t>”</w:t>
      </w:r>
      <w:r w:rsidR="000A039C">
        <w:t xml:space="preserve"> e </w:t>
      </w:r>
      <w:r w:rsidRPr="00C043D5">
        <w:t xml:space="preserve">escoriose da videira foi instalado na parcela </w:t>
      </w:r>
      <w:r w:rsidR="002449BA">
        <w:t xml:space="preserve">onde decorreram os estudos </w:t>
      </w:r>
      <w:r w:rsidR="00151E70">
        <w:t>epidemiológicos</w:t>
      </w:r>
      <w:r w:rsidR="00E3471F">
        <w:t>,</w:t>
      </w:r>
      <w:r w:rsidR="002449BA">
        <w:t xml:space="preserve"> cara</w:t>
      </w:r>
      <w:r w:rsidR="001443D1">
        <w:t>cterizada anteriormente em 3.1.</w:t>
      </w:r>
    </w:p>
    <w:p w:rsidR="005042B9" w:rsidRDefault="00A5202E" w:rsidP="006A765F">
      <w:pPr>
        <w:pStyle w:val="Estilo1"/>
      </w:pPr>
      <w:r w:rsidRPr="00C043D5">
        <w:t>O critério principal que levou à selecção desta parcela</w:t>
      </w:r>
      <w:r w:rsidR="0068200B" w:rsidRPr="00C043D5">
        <w:t xml:space="preserve"> f</w:t>
      </w:r>
      <w:r w:rsidR="00E3471F">
        <w:t>oi a sua história,</w:t>
      </w:r>
      <w:r w:rsidRPr="00C043D5">
        <w:t xml:space="preserve"> relacionada com antecedentes de ataques de</w:t>
      </w:r>
      <w:r w:rsidR="00E3471F">
        <w:t xml:space="preserve"> doenças do lenho</w:t>
      </w:r>
      <w:r w:rsidR="008C6760">
        <w:t xml:space="preserve"> desde a sua plantação</w:t>
      </w:r>
      <w:r w:rsidR="00E3471F">
        <w:t>,</w:t>
      </w:r>
      <w:r w:rsidRPr="00C043D5">
        <w:t xml:space="preserve"> bem como </w:t>
      </w:r>
      <w:r w:rsidR="007A2A0E">
        <w:t>a sensibilidade da casta</w:t>
      </w:r>
      <w:r w:rsidRPr="00C043D5">
        <w:t xml:space="preserve"> à doença.</w:t>
      </w:r>
    </w:p>
    <w:p w:rsidR="00A46CAE" w:rsidRDefault="00D56420" w:rsidP="006A765F">
      <w:pPr>
        <w:pStyle w:val="Estilo1"/>
      </w:pPr>
      <w:r>
        <w:rPr>
          <w:noProof/>
          <w:shd w:val="clear" w:color="auto" w:fill="auto"/>
          <w:lang w:eastAsia="pt-PT"/>
        </w:rPr>
        <w:drawing>
          <wp:anchor distT="0" distB="0" distL="114300" distR="114300" simplePos="0" relativeHeight="251643904" behindDoc="1" locked="0" layoutInCell="1" allowOverlap="1">
            <wp:simplePos x="0" y="0"/>
            <wp:positionH relativeFrom="margin">
              <wp:posOffset>13970</wp:posOffset>
            </wp:positionH>
            <wp:positionV relativeFrom="paragraph">
              <wp:posOffset>1356360</wp:posOffset>
            </wp:positionV>
            <wp:extent cx="2880360" cy="2160270"/>
            <wp:effectExtent l="19050" t="19050" r="15240" b="11430"/>
            <wp:wrapTight wrapText="bothSides">
              <wp:wrapPolygon edited="0">
                <wp:start x="-143" y="-190"/>
                <wp:lineTo x="-143" y="21714"/>
                <wp:lineTo x="21714" y="21714"/>
                <wp:lineTo x="21714" y="-190"/>
                <wp:lineTo x="-143" y="-190"/>
              </wp:wrapPolygon>
            </wp:wrapTight>
            <wp:docPr id="34" name="Imagem 34" descr="DSC010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descr="DSC01020"/>
                    <pic:cNvPicPr>
                      <a:picLocks noChangeAspect="1" noChangeArrowheads="1"/>
                    </pic:cNvPicPr>
                  </pic:nvPicPr>
                  <pic:blipFill>
                    <a:blip r:embed="rId25" cstate="print"/>
                    <a:srcRect/>
                    <a:stretch>
                      <a:fillRect/>
                    </a:stretch>
                  </pic:blipFill>
                  <pic:spPr bwMode="auto">
                    <a:xfrm>
                      <a:off x="0" y="0"/>
                      <a:ext cx="2880360" cy="2160270"/>
                    </a:xfrm>
                    <a:prstGeom prst="rect">
                      <a:avLst/>
                    </a:prstGeom>
                    <a:noFill/>
                    <a:ln w="12700">
                      <a:solidFill>
                        <a:srgbClr val="000000"/>
                      </a:solidFill>
                      <a:miter lim="800000"/>
                      <a:headEnd/>
                      <a:tailEnd/>
                    </a:ln>
                  </pic:spPr>
                </pic:pic>
              </a:graphicData>
            </a:graphic>
          </wp:anchor>
        </w:drawing>
      </w:r>
      <w:r w:rsidR="00A5202E" w:rsidRPr="00C043D5">
        <w:t xml:space="preserve">A primeira visita </w:t>
      </w:r>
      <w:r w:rsidR="008C6760">
        <w:t xml:space="preserve">realizou-se </w:t>
      </w:r>
      <w:r w:rsidR="00A5202E" w:rsidRPr="00C043D5">
        <w:t>no dia 23/10/2007</w:t>
      </w:r>
      <w:r w:rsidR="00C570D9" w:rsidRPr="00C043D5">
        <w:t xml:space="preserve">, tendo-se feito uma análise visual e recolha de </w:t>
      </w:r>
      <w:r w:rsidR="008C6760">
        <w:t>ramos (braços)</w:t>
      </w:r>
      <w:r w:rsidR="00C570D9" w:rsidRPr="00C043D5">
        <w:t xml:space="preserve"> de videiras </w:t>
      </w:r>
      <w:r w:rsidR="008C6760">
        <w:t xml:space="preserve">que exibiam sintomas foliares que se enquadravam no quadro sintomatológico atribuível </w:t>
      </w:r>
      <w:r w:rsidR="00151E70">
        <w:t>às</w:t>
      </w:r>
      <w:r w:rsidR="00C570D9" w:rsidRPr="00C043D5">
        <w:t xml:space="preserve"> doenças do lenho. Foram efectuados </w:t>
      </w:r>
      <w:r w:rsidR="00F218F8">
        <w:t xml:space="preserve">diversos </w:t>
      </w:r>
      <w:r w:rsidR="00C570D9" w:rsidRPr="00C043D5">
        <w:t xml:space="preserve">cortes </w:t>
      </w:r>
      <w:r w:rsidR="0052632D">
        <w:t xml:space="preserve">transversais no lenho </w:t>
      </w:r>
      <w:r w:rsidR="007A2A0E">
        <w:t>(F</w:t>
      </w:r>
      <w:r w:rsidR="005E57EE">
        <w:t>ig</w:t>
      </w:r>
      <w:r w:rsidR="004044F7">
        <w:t>ura 3.3</w:t>
      </w:r>
      <w:r w:rsidR="007A2A0E">
        <w:t>)</w:t>
      </w:r>
      <w:r w:rsidR="00C570D9" w:rsidRPr="00C043D5">
        <w:t>, ficando visíveis os sintomas da doença</w:t>
      </w:r>
      <w:r w:rsidR="00CE319A" w:rsidRPr="00C043D5">
        <w:t xml:space="preserve"> (</w:t>
      </w:r>
      <w:r w:rsidR="000324E4">
        <w:t>necrose sectorial no lenho</w:t>
      </w:r>
      <w:r w:rsidR="00CE319A" w:rsidRPr="00C043D5">
        <w:t>)</w:t>
      </w:r>
      <w:r w:rsidR="005042B9">
        <w:t xml:space="preserve"> (</w:t>
      </w:r>
      <w:r w:rsidR="004044F7">
        <w:t>Figura 3.4</w:t>
      </w:r>
      <w:r w:rsidR="005042B9">
        <w:t>)</w:t>
      </w:r>
      <w:r w:rsidR="006A765F">
        <w:t>.</w:t>
      </w:r>
    </w:p>
    <w:p w:rsidR="00A46CAE" w:rsidRDefault="00EB3060" w:rsidP="001A146F">
      <w:r w:rsidRPr="00EB3060">
        <w:rPr>
          <w:noProof/>
        </w:rPr>
        <w:pict>
          <v:shape id="_x0000_s1061" type="#_x0000_t202" style="position:absolute;left:0;text-align:left;margin-left:-239.2pt;margin-top:168.9pt;width:244.5pt;height:51.6pt;z-index:251644928" wrapcoords="-61 0 -61 21000 21600 21000 21600 0 -61 0" stroked="f">
            <v:textbox style="mso-next-textbox:#_x0000_s1061;mso-fit-shape-to-text:t" inset="0,0,0,0">
              <w:txbxContent>
                <w:p w:rsidR="003E4AC6" w:rsidRPr="008724C9" w:rsidRDefault="003E4AC6" w:rsidP="008724C9">
                  <w:pPr>
                    <w:pStyle w:val="Legenda"/>
                  </w:pPr>
                  <w:r w:rsidRPr="008724C9">
                    <w:t xml:space="preserve">Figura </w:t>
                  </w:r>
                  <w:fldSimple w:instr=" STYLEREF 1 \s ">
                    <w:r w:rsidR="00E2640D">
                      <w:rPr>
                        <w:noProof/>
                      </w:rPr>
                      <w:t>3</w:t>
                    </w:r>
                  </w:fldSimple>
                  <w:r>
                    <w:t>.3</w:t>
                  </w:r>
                  <w:r w:rsidRPr="008724C9">
                    <w:t>. Avaliação de estado sanitário de algumas cepas através da realização de cortes transversais no lenho</w:t>
                  </w:r>
                </w:p>
              </w:txbxContent>
            </v:textbox>
            <w10:wrap type="tight"/>
          </v:shape>
        </w:pict>
      </w:r>
      <w:r w:rsidR="00D56420">
        <w:rPr>
          <w:noProof/>
          <w:shd w:val="clear" w:color="auto" w:fill="auto"/>
          <w:lang w:eastAsia="pt-PT"/>
        </w:rPr>
        <w:drawing>
          <wp:anchor distT="0" distB="0" distL="114300" distR="114300" simplePos="0" relativeHeight="251689984" behindDoc="1" locked="0" layoutInCell="1" allowOverlap="1">
            <wp:simplePos x="0" y="0"/>
            <wp:positionH relativeFrom="column">
              <wp:posOffset>-1018540</wp:posOffset>
            </wp:positionH>
            <wp:positionV relativeFrom="paragraph">
              <wp:posOffset>1101725</wp:posOffset>
            </wp:positionV>
            <wp:extent cx="793115" cy="1057910"/>
            <wp:effectExtent l="19050" t="19050" r="26035" b="27940"/>
            <wp:wrapTight wrapText="bothSides">
              <wp:wrapPolygon edited="0">
                <wp:start x="-519" y="-389"/>
                <wp:lineTo x="-519" y="22170"/>
                <wp:lineTo x="22309" y="22170"/>
                <wp:lineTo x="22309" y="-389"/>
                <wp:lineTo x="-519" y="-389"/>
              </wp:wrapPolygon>
            </wp:wrapTight>
            <wp:docPr id="10" name="Imagem 2" descr="H:\Nova pasta (5)\DSC0103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Nova pasta (5)\DSC01033.JPG"/>
                    <pic:cNvPicPr>
                      <a:picLocks noChangeAspect="1" noChangeArrowheads="1"/>
                    </pic:cNvPicPr>
                  </pic:nvPicPr>
                  <pic:blipFill>
                    <a:blip r:embed="rId26" cstate="print"/>
                    <a:srcRect/>
                    <a:stretch>
                      <a:fillRect/>
                    </a:stretch>
                  </pic:blipFill>
                  <pic:spPr bwMode="auto">
                    <a:xfrm>
                      <a:off x="0" y="0"/>
                      <a:ext cx="793115" cy="1057910"/>
                    </a:xfrm>
                    <a:prstGeom prst="rect">
                      <a:avLst/>
                    </a:prstGeom>
                    <a:noFill/>
                    <a:ln w="12700">
                      <a:solidFill>
                        <a:schemeClr val="tx1"/>
                      </a:solidFill>
                      <a:miter lim="800000"/>
                      <a:headEnd/>
                      <a:tailEnd/>
                    </a:ln>
                  </pic:spPr>
                </pic:pic>
              </a:graphicData>
            </a:graphic>
          </wp:anchor>
        </w:drawing>
      </w:r>
      <w:r w:rsidR="00D56420">
        <w:rPr>
          <w:noProof/>
          <w:shd w:val="clear" w:color="auto" w:fill="auto"/>
          <w:lang w:eastAsia="pt-PT"/>
        </w:rPr>
        <w:drawing>
          <wp:inline distT="0" distB="0" distL="0" distR="0">
            <wp:extent cx="2352675" cy="1814305"/>
            <wp:effectExtent l="19050" t="0" r="9525" b="0"/>
            <wp:docPr id="3" name="Imagem 1" descr="C:\Users\Cecilia Rego\Fotos\P714006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Cecilia Rego\Fotos\P7140065.jpg"/>
                    <pic:cNvPicPr>
                      <a:picLocks noChangeAspect="1" noChangeArrowheads="1"/>
                    </pic:cNvPicPr>
                  </pic:nvPicPr>
                  <pic:blipFill>
                    <a:blip r:embed="rId27" cstate="print"/>
                    <a:srcRect l="5950" t="5066" r="21818" b="20705"/>
                    <a:stretch>
                      <a:fillRect/>
                    </a:stretch>
                  </pic:blipFill>
                  <pic:spPr bwMode="auto">
                    <a:xfrm>
                      <a:off x="0" y="0"/>
                      <a:ext cx="2352675" cy="1814305"/>
                    </a:xfrm>
                    <a:prstGeom prst="rect">
                      <a:avLst/>
                    </a:prstGeom>
                    <a:noFill/>
                    <a:ln w="9525">
                      <a:noFill/>
                      <a:miter lim="800000"/>
                      <a:headEnd/>
                      <a:tailEnd/>
                    </a:ln>
                  </pic:spPr>
                </pic:pic>
              </a:graphicData>
            </a:graphic>
          </wp:inline>
        </w:drawing>
      </w:r>
    </w:p>
    <w:p w:rsidR="00D56420" w:rsidRDefault="00EB3060" w:rsidP="001A146F">
      <w:r w:rsidRPr="00EB3060">
        <w:rPr>
          <w:noProof/>
        </w:rPr>
        <w:pict>
          <v:shape id="_x0000_s1062" type="#_x0000_t202" style="position:absolute;left:0;text-align:left;margin-left:9.15pt;margin-top:9.7pt;width:226.8pt;height:37.8pt;z-index:251645952" wrapcoords="-109 0 -109 21000 21600 21000 21600 0 -109 0" stroked="f">
            <v:textbox style="mso-next-textbox:#_x0000_s1062;mso-fit-shape-to-text:t" inset="0,0,0,0">
              <w:txbxContent>
                <w:p w:rsidR="003E4AC6" w:rsidRPr="008724C9" w:rsidRDefault="003E4AC6" w:rsidP="008724C9">
                  <w:pPr>
                    <w:pStyle w:val="Legenda"/>
                  </w:pPr>
                  <w:r w:rsidRPr="008724C9">
                    <w:t xml:space="preserve">Figura </w:t>
                  </w:r>
                  <w:fldSimple w:instr=" STYLEREF 1 \s ">
                    <w:r w:rsidR="00E2640D">
                      <w:rPr>
                        <w:noProof/>
                      </w:rPr>
                      <w:t>3</w:t>
                    </w:r>
                  </w:fldSimple>
                  <w:r>
                    <w:t>.4. Necrose sectorial</w:t>
                  </w:r>
                  <w:r w:rsidRPr="008724C9">
                    <w:t xml:space="preserve"> no lenho.</w:t>
                  </w:r>
                </w:p>
              </w:txbxContent>
            </v:textbox>
            <w10:wrap type="tight"/>
          </v:shape>
        </w:pict>
      </w:r>
    </w:p>
    <w:p w:rsidR="00A46CAE" w:rsidRDefault="00A46CAE" w:rsidP="001A146F"/>
    <w:p w:rsidR="008E3F36" w:rsidRDefault="00CE319A" w:rsidP="006A765F">
      <w:pPr>
        <w:pStyle w:val="Estilo1"/>
      </w:pPr>
      <w:r w:rsidRPr="00C043D5">
        <w:t>O material (madeira do ano ant</w:t>
      </w:r>
      <w:r w:rsidR="00D811B3" w:rsidRPr="00C043D5">
        <w:t>e</w:t>
      </w:r>
      <w:r w:rsidRPr="00C043D5">
        <w:t>rior), foi transportado para o ISA e colocado numa câmara frigorífica na sala de recepção de material vegetal, para posterior análise laboratorial</w:t>
      </w:r>
      <w:r w:rsidR="00D811B3" w:rsidRPr="00C043D5">
        <w:t xml:space="preserve">, com o objectivo de </w:t>
      </w:r>
      <w:r w:rsidR="0036576E">
        <w:t>identificar o</w:t>
      </w:r>
      <w:r w:rsidR="00BF5FB0">
        <w:t>(s) agente(s) causal(is) dominante</w:t>
      </w:r>
      <w:r w:rsidR="00D811B3" w:rsidRPr="00C043D5">
        <w:t xml:space="preserve">(s) </w:t>
      </w:r>
      <w:r w:rsidR="00F218F8">
        <w:t>no lenho das videiras.</w:t>
      </w:r>
    </w:p>
    <w:p w:rsidR="002F2B3B" w:rsidRDefault="00EF5549" w:rsidP="006A765F">
      <w:pPr>
        <w:pStyle w:val="Estilo1"/>
      </w:pPr>
      <w:r>
        <w:lastRenderedPageBreak/>
        <w:t>Cada uma das videiras foi lavada</w:t>
      </w:r>
      <w:r w:rsidRPr="00F46FCE">
        <w:t xml:space="preserve"> abundantemente em água corrente, tendo-se de seguida procedido à remoção do ritidoma presente nas extremidades </w:t>
      </w:r>
      <w:r>
        <w:t xml:space="preserve">de cada um dos segmentos. </w:t>
      </w:r>
      <w:r w:rsidRPr="00F46FCE">
        <w:t xml:space="preserve">Para </w:t>
      </w:r>
      <w:r w:rsidR="00F218F8">
        <w:t xml:space="preserve">o </w:t>
      </w:r>
      <w:r>
        <w:t xml:space="preserve">isolamento, </w:t>
      </w:r>
      <w:r w:rsidRPr="00F46FCE">
        <w:t xml:space="preserve">realizaram-se </w:t>
      </w:r>
      <w:r>
        <w:t xml:space="preserve">cortes transversais no material, com o auxílio de uma serra eléctrica, de forma a serem observados, por planta, </w:t>
      </w:r>
      <w:r w:rsidRPr="00F46FCE">
        <w:t xml:space="preserve">seis diferentes </w:t>
      </w:r>
      <w:r>
        <w:t>regiões</w:t>
      </w:r>
      <w:r w:rsidR="00F218F8">
        <w:t>.</w:t>
      </w:r>
      <w:r>
        <w:t xml:space="preserve"> </w:t>
      </w:r>
      <w:r w:rsidRPr="00F46FCE">
        <w:t xml:space="preserve">Retiraram-se seis fragmentos de tecido lenhoso, com cerca de 4 x 2 x </w:t>
      </w:r>
      <w:smartTag w:uri="urn:schemas-microsoft-com:office:smarttags" w:element="metricconverter">
        <w:smartTagPr>
          <w:attr w:name="ProductID" w:val="2 mm"/>
        </w:smartTagPr>
        <w:r w:rsidRPr="00F46FCE">
          <w:t>2</w:t>
        </w:r>
        <w:r>
          <w:t xml:space="preserve"> </w:t>
        </w:r>
        <w:r w:rsidRPr="00F46FCE">
          <w:t>mm</w:t>
        </w:r>
      </w:smartTag>
      <w:r w:rsidRPr="00F46FCE">
        <w:t>, da região de transição das diferentes</w:t>
      </w:r>
      <w:r>
        <w:t xml:space="preserve"> zonas necrosadas.</w:t>
      </w:r>
      <w:r w:rsidRPr="00F46FCE">
        <w:t xml:space="preserve"> Tais pedaços foram desinfectados em hipoclorito de sódio (NaOCl) a 7% durante dois minutos, </w:t>
      </w:r>
      <w:r>
        <w:t>lavados em água destilada esterilizada e secos em papel de filtro</w:t>
      </w:r>
      <w:r w:rsidRPr="00F46FCE">
        <w:t xml:space="preserve">. Uma vez secos, foram transferidos para placas de Petri contento 15 mL de </w:t>
      </w:r>
      <w:r>
        <w:t>meio gelosado</w:t>
      </w:r>
      <w:r w:rsidRPr="00F46FCE">
        <w:t xml:space="preserve"> de batata dextrosada (PDA, Difco Laboratories, Detroit, MI, EUA), suplementado com 250 mg de cloranfenicol por cada litro de meio, após autoc</w:t>
      </w:r>
      <w:r>
        <w:t>lavagem e arrefecimento a 45ºC</w:t>
      </w:r>
      <w:r w:rsidRPr="00F46FCE">
        <w:t>.</w:t>
      </w:r>
      <w:r>
        <w:t xml:space="preserve"> </w:t>
      </w:r>
      <w:r w:rsidRPr="00F46FCE">
        <w:t xml:space="preserve">As placas foram a incubar à temperatura de </w:t>
      </w:r>
      <w:r w:rsidR="002F2B3B">
        <w:t>24ºC, na obscuridade, durante 5 - 8</w:t>
      </w:r>
      <w:r w:rsidRPr="00F46FCE">
        <w:t xml:space="preserve"> dias</w:t>
      </w:r>
      <w:r w:rsidR="002F2B3B">
        <w:t>.</w:t>
      </w:r>
    </w:p>
    <w:p w:rsidR="002449BA" w:rsidRPr="00F218F8" w:rsidRDefault="00EF5549" w:rsidP="006A765F">
      <w:pPr>
        <w:pStyle w:val="Estilo1"/>
      </w:pPr>
      <w:r w:rsidRPr="00F218F8">
        <w:t xml:space="preserve">Decorrido o período de incubação, necessário ao desenvolvimento das culturas e à esporulação, procedeu-se à repicagem das colónias dos fungos isolados, para meio de PDA. Seguidamente, procedeu-se à identificação dos isolados, </w:t>
      </w:r>
      <w:r w:rsidRPr="00F218F8">
        <w:rPr>
          <w:snapToGrid w:val="0"/>
          <w:color w:val="000000"/>
        </w:rPr>
        <w:t xml:space="preserve">com base nas suas </w:t>
      </w:r>
      <w:r w:rsidRPr="00FE70E1">
        <w:rPr>
          <w:snapToGrid w:val="0"/>
          <w:color w:val="000000"/>
        </w:rPr>
        <w:t>características culturais e morfológicas</w:t>
      </w:r>
      <w:r w:rsidR="0085756D" w:rsidRPr="00FE70E1">
        <w:rPr>
          <w:snapToGrid w:val="0"/>
          <w:color w:val="000000"/>
        </w:rPr>
        <w:t xml:space="preserve"> (</w:t>
      </w:r>
      <w:r w:rsidR="002F2B3B" w:rsidRPr="00FE70E1">
        <w:t>Phillips</w:t>
      </w:r>
      <w:r w:rsidR="002F2B3B" w:rsidRPr="00F218F8">
        <w:t xml:space="preserve">, 2002; Crous </w:t>
      </w:r>
      <w:r w:rsidR="006F2254" w:rsidRPr="006F2254">
        <w:rPr>
          <w:i/>
        </w:rPr>
        <w:t>et al.</w:t>
      </w:r>
      <w:r w:rsidR="002F2B3B" w:rsidRPr="00F218F8">
        <w:t xml:space="preserve">, 2006; Úrbez-Torres </w:t>
      </w:r>
      <w:r w:rsidR="006F2254" w:rsidRPr="006F2254">
        <w:rPr>
          <w:i/>
        </w:rPr>
        <w:t>et al.</w:t>
      </w:r>
      <w:r w:rsidR="0085756D">
        <w:t>, 2006)</w:t>
      </w:r>
      <w:r w:rsidR="006A765F">
        <w:rPr>
          <w:snapToGrid w:val="0"/>
        </w:rPr>
        <w:t>.</w:t>
      </w:r>
    </w:p>
    <w:p w:rsidR="008E3F36" w:rsidRPr="001A146F" w:rsidRDefault="00F218F8" w:rsidP="00B73BBD">
      <w:pPr>
        <w:pStyle w:val="Ttulo3"/>
      </w:pPr>
      <w:bookmarkStart w:id="47" w:name="_Toc264890303"/>
      <w:r>
        <w:t>Delineamento e</w:t>
      </w:r>
      <w:r w:rsidR="008E3F36" w:rsidRPr="001A146F">
        <w:t>xperimental</w:t>
      </w:r>
      <w:r>
        <w:t xml:space="preserve"> do ensaio</w:t>
      </w:r>
      <w:bookmarkEnd w:id="47"/>
    </w:p>
    <w:p w:rsidR="002B4EF5" w:rsidRPr="00E36673" w:rsidRDefault="002B4EF5" w:rsidP="0036576E">
      <w:r w:rsidRPr="0036576E">
        <w:t>O delineamento experimental usado foi o descrito na norma OEPP Standard</w:t>
      </w:r>
      <w:r w:rsidR="009003B6" w:rsidRPr="0036576E">
        <w:t xml:space="preserve"> PP 1/55</w:t>
      </w:r>
      <w:r w:rsidR="00C60391">
        <w:t xml:space="preserve"> </w:t>
      </w:r>
      <w:r w:rsidR="009003B6" w:rsidRPr="0036576E">
        <w:t xml:space="preserve">(2), </w:t>
      </w:r>
      <w:r w:rsidR="0036576E" w:rsidRPr="0036576E">
        <w:t xml:space="preserve">tendo-se </w:t>
      </w:r>
      <w:r w:rsidR="0036576E" w:rsidRPr="00E36673">
        <w:t xml:space="preserve">procedido à casualização </w:t>
      </w:r>
      <w:r w:rsidR="00E36673">
        <w:t xml:space="preserve">total </w:t>
      </w:r>
      <w:r w:rsidR="0036576E" w:rsidRPr="00E36673">
        <w:t>das 1</w:t>
      </w:r>
      <w:r w:rsidR="00D22E4B" w:rsidRPr="00E36673">
        <w:t>0</w:t>
      </w:r>
      <w:r w:rsidR="0036576E" w:rsidRPr="00E36673">
        <w:t xml:space="preserve"> repetições de cada </w:t>
      </w:r>
      <w:r w:rsidR="00D22E4B" w:rsidRPr="00E36673">
        <w:t xml:space="preserve">uma das 18 </w:t>
      </w:r>
      <w:r w:rsidR="0036576E" w:rsidRPr="00E36673">
        <w:t>modalidade</w:t>
      </w:r>
      <w:r w:rsidR="00D22E4B" w:rsidRPr="00E36673">
        <w:t>s</w:t>
      </w:r>
      <w:r w:rsidR="0036576E" w:rsidRPr="00E36673">
        <w:t xml:space="preserve">. </w:t>
      </w:r>
      <w:r w:rsidR="00D22E4B" w:rsidRPr="00E36673">
        <w:t xml:space="preserve">Cada repetição </w:t>
      </w:r>
      <w:r w:rsidR="00E36673">
        <w:t xml:space="preserve">era </w:t>
      </w:r>
      <w:r w:rsidR="00D22E4B" w:rsidRPr="00E36673">
        <w:t xml:space="preserve">composta por três videiras </w:t>
      </w:r>
      <w:r w:rsidR="00E36673">
        <w:t>(unidade experimental)</w:t>
      </w:r>
      <w:r w:rsidR="007305F0">
        <w:t xml:space="preserve">. Em cada bardo onde se encontravam as três videiras foi colocada </w:t>
      </w:r>
      <w:r w:rsidR="00F73631" w:rsidRPr="00FE70E1">
        <w:t>uma placa</w:t>
      </w:r>
      <w:r w:rsidR="007305F0" w:rsidRPr="00FE70E1">
        <w:t>,</w:t>
      </w:r>
      <w:r w:rsidR="00F73631" w:rsidRPr="00FE70E1">
        <w:t xml:space="preserve"> </w:t>
      </w:r>
      <w:r w:rsidR="00C378C4" w:rsidRPr="00FE70E1">
        <w:t xml:space="preserve">no esteio </w:t>
      </w:r>
      <w:r w:rsidR="008C08B9" w:rsidRPr="00FE70E1">
        <w:t>(</w:t>
      </w:r>
      <w:r w:rsidR="008C08B9">
        <w:t>Figura 3.5</w:t>
      </w:r>
      <w:r w:rsidR="00E36673" w:rsidRPr="00E36673">
        <w:t xml:space="preserve">). </w:t>
      </w:r>
      <w:r w:rsidR="0036576E" w:rsidRPr="00E36673">
        <w:t>O ensaio constou assim de uma população total de 540 videiras (18 modalidades x 10 repetições x 3 videiras). I</w:t>
      </w:r>
      <w:r w:rsidRPr="00E36673">
        <w:t>ntroduzi</w:t>
      </w:r>
      <w:r w:rsidR="0036576E" w:rsidRPr="00E36673">
        <w:t>ram-se</w:t>
      </w:r>
      <w:r w:rsidRPr="00E36673">
        <w:t xml:space="preserve"> algumas alterações</w:t>
      </w:r>
      <w:r w:rsidR="0036576E" w:rsidRPr="00E36673">
        <w:t xml:space="preserve"> à norma OEPP</w:t>
      </w:r>
      <w:r w:rsidRPr="00E36673">
        <w:t>, tais como:</w:t>
      </w:r>
    </w:p>
    <w:p w:rsidR="009003B6" w:rsidRDefault="009003B6" w:rsidP="006A765F">
      <w:pPr>
        <w:pStyle w:val="Estilo1"/>
      </w:pPr>
      <w:r>
        <w:t xml:space="preserve">1 - </w:t>
      </w:r>
      <w:r w:rsidR="002B4EF5" w:rsidRPr="00C043D5">
        <w:t>A</w:t>
      </w:r>
      <w:r w:rsidR="006661B7" w:rsidRPr="00C043D5">
        <w:t xml:space="preserve"> unidade experimental pa</w:t>
      </w:r>
      <w:r w:rsidR="00F218F8">
        <w:t>ssa</w:t>
      </w:r>
      <w:r w:rsidR="002B4EF5" w:rsidRPr="00C043D5">
        <w:t xml:space="preserve"> de uma videira para </w:t>
      </w:r>
      <w:r w:rsidR="00A220D6">
        <w:t>três</w:t>
      </w:r>
      <w:r w:rsidR="002B4EF5" w:rsidRPr="00C043D5">
        <w:t xml:space="preserve"> videiras o</w:t>
      </w:r>
      <w:r w:rsidR="006661B7" w:rsidRPr="00C043D5">
        <w:t xml:space="preserve"> </w:t>
      </w:r>
      <w:r w:rsidR="002B4EF5" w:rsidRPr="00C043D5">
        <w:t>que confere maior robustez aos r</w:t>
      </w:r>
      <w:r w:rsidR="006661B7" w:rsidRPr="00C043D5">
        <w:t>e</w:t>
      </w:r>
      <w:r w:rsidR="002B4EF5" w:rsidRPr="00C043D5">
        <w:t>sultados apurados;</w:t>
      </w:r>
      <w:r w:rsidRPr="009003B6">
        <w:t xml:space="preserve"> </w:t>
      </w:r>
    </w:p>
    <w:p w:rsidR="009003B6" w:rsidRPr="00C043D5" w:rsidRDefault="009003B6" w:rsidP="006A765F">
      <w:pPr>
        <w:pStyle w:val="Estilo1"/>
      </w:pPr>
      <w:r>
        <w:t xml:space="preserve">2 - </w:t>
      </w:r>
      <w:r w:rsidRPr="00C043D5">
        <w:t>Avaliou-se a percentagem total de sarmentos infectados por videira, o que traduz a incidência da doença e</w:t>
      </w:r>
      <w:r w:rsidR="00D22E4B">
        <w:t>,</w:t>
      </w:r>
      <w:r w:rsidRPr="00C043D5">
        <w:t xml:space="preserve"> par</w:t>
      </w:r>
      <w:r w:rsidR="00D22E4B">
        <w:t>a</w:t>
      </w:r>
      <w:r w:rsidRPr="00C043D5">
        <w:t xml:space="preserve"> além disso, determinou-se a percentagem de infecção dos sarmentos (área necrosada nos entrenós infectados), o que traduz a severidade da doença.</w:t>
      </w:r>
    </w:p>
    <w:p w:rsidR="00250223" w:rsidRDefault="00AA1484" w:rsidP="006A765F">
      <w:pPr>
        <w:pStyle w:val="Estilo1"/>
      </w:pPr>
      <w:r>
        <w:t>A marcação do ensaio realizou-se em Novembro de 2007 (</w:t>
      </w:r>
      <w:r w:rsidR="009003B6" w:rsidRPr="00C043D5">
        <w:t>28/11/2007</w:t>
      </w:r>
      <w:r>
        <w:t xml:space="preserve">). </w:t>
      </w:r>
      <w:r w:rsidR="00FC58C7">
        <w:t>O ensaio teve a duração de 2 anos</w:t>
      </w:r>
      <w:r w:rsidR="00D022F9">
        <w:t xml:space="preserve"> (2008 e 2009)</w:t>
      </w:r>
      <w:r w:rsidR="00FC58C7">
        <w:t>.</w:t>
      </w:r>
      <w:r w:rsidR="00E36673">
        <w:t xml:space="preserve"> </w:t>
      </w:r>
      <w:r w:rsidR="00512B11">
        <w:t xml:space="preserve">O </w:t>
      </w:r>
      <w:r w:rsidR="00512B11" w:rsidRPr="00C043D5">
        <w:t xml:space="preserve">primeiro tratamento foi feito </w:t>
      </w:r>
      <w:r w:rsidR="00512B11">
        <w:t xml:space="preserve">imediatamente a seguir </w:t>
      </w:r>
      <w:r w:rsidR="00512B11" w:rsidRPr="00C043D5">
        <w:t xml:space="preserve">à </w:t>
      </w:r>
      <w:r w:rsidR="00512B11" w:rsidRPr="00C043D5">
        <w:lastRenderedPageBreak/>
        <w:t>poda</w:t>
      </w:r>
      <w:r w:rsidR="00512B11">
        <w:t>, durante o repouso vegetativo</w:t>
      </w:r>
      <w:r w:rsidR="00512B11" w:rsidRPr="00C043D5">
        <w:t xml:space="preserve"> e o segundo foi feito no estado fenológico</w:t>
      </w:r>
      <w:r w:rsidR="00512B11">
        <w:t xml:space="preserve"> D/E</w:t>
      </w:r>
      <w:r w:rsidR="00512B11" w:rsidRPr="00C043D5">
        <w:t xml:space="preserve"> (saída das folhas</w:t>
      </w:r>
      <w:r w:rsidR="00512B11">
        <w:t xml:space="preserve"> </w:t>
      </w:r>
      <w:r w:rsidR="00512B11" w:rsidRPr="00C043D5">
        <w:t>/</w:t>
      </w:r>
      <w:r w:rsidR="00512B11">
        <w:t xml:space="preserve"> folhas livres</w:t>
      </w:r>
      <w:r w:rsidR="00512B11" w:rsidRPr="00C043D5">
        <w:t>) da escala de Baggiolini.</w:t>
      </w:r>
      <w:r w:rsidR="00DC09A7">
        <w:t xml:space="preserve"> </w:t>
      </w:r>
      <w:r w:rsidR="00512B11" w:rsidRPr="00C043D5">
        <w:t xml:space="preserve">As modalidades ensaiadas no ensaio de campo contra “black dead arm” e escoriose americana são descritos no Quadro </w:t>
      </w:r>
      <w:r w:rsidR="004044F7">
        <w:t>3.1</w:t>
      </w:r>
      <w:r w:rsidR="00512B11" w:rsidRPr="00BE6E6E">
        <w:t>.</w:t>
      </w:r>
      <w:r w:rsidR="00512B11" w:rsidRPr="00C043D5">
        <w:t xml:space="preserve"> </w:t>
      </w:r>
      <w:r w:rsidR="00512B11">
        <w:t xml:space="preserve">No Quadro </w:t>
      </w:r>
      <w:r w:rsidR="004044F7">
        <w:t>3.2</w:t>
      </w:r>
      <w:r w:rsidR="00512B11">
        <w:t xml:space="preserve"> apresentam-se as principais características dos fungicidas utilizados no ensaio.</w:t>
      </w:r>
    </w:p>
    <w:p w:rsidR="009003B6" w:rsidRDefault="00250223" w:rsidP="00405D11">
      <w:pPr>
        <w:jc w:val="center"/>
      </w:pPr>
      <w:r>
        <w:rPr>
          <w:noProof/>
          <w:shd w:val="clear" w:color="auto" w:fill="auto"/>
          <w:lang w:eastAsia="pt-PT"/>
        </w:rPr>
        <w:drawing>
          <wp:anchor distT="0" distB="0" distL="114300" distR="114300" simplePos="0" relativeHeight="251691008" behindDoc="1" locked="0" layoutInCell="1" allowOverlap="1">
            <wp:simplePos x="0" y="0"/>
            <wp:positionH relativeFrom="column">
              <wp:posOffset>1211580</wp:posOffset>
            </wp:positionH>
            <wp:positionV relativeFrom="paragraph">
              <wp:posOffset>22013</wp:posOffset>
            </wp:positionV>
            <wp:extent cx="3257973" cy="2445174"/>
            <wp:effectExtent l="19050" t="19050" r="18627" b="12276"/>
            <wp:wrapSquare wrapText="bothSides"/>
            <wp:docPr id="11" name="Imagem 3" descr="H:\Nova pasta (5)\DSC0124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Nova pasta (5)\DSC01241.JPG"/>
                    <pic:cNvPicPr>
                      <a:picLocks noChangeAspect="1" noChangeArrowheads="1"/>
                    </pic:cNvPicPr>
                  </pic:nvPicPr>
                  <pic:blipFill>
                    <a:blip r:embed="rId28" cstate="print"/>
                    <a:srcRect/>
                    <a:stretch>
                      <a:fillRect/>
                    </a:stretch>
                  </pic:blipFill>
                  <pic:spPr bwMode="auto">
                    <a:xfrm>
                      <a:off x="0" y="0"/>
                      <a:ext cx="3257973" cy="2445174"/>
                    </a:xfrm>
                    <a:prstGeom prst="rect">
                      <a:avLst/>
                    </a:prstGeom>
                    <a:noFill/>
                    <a:ln w="12700">
                      <a:solidFill>
                        <a:schemeClr val="tx1"/>
                      </a:solidFill>
                      <a:miter lim="800000"/>
                      <a:headEnd/>
                      <a:tailEnd/>
                    </a:ln>
                  </pic:spPr>
                </pic:pic>
              </a:graphicData>
            </a:graphic>
          </wp:anchor>
        </w:drawing>
      </w:r>
      <w:r w:rsidR="00EB3060" w:rsidRPr="00EB3060">
        <w:rPr>
          <w:noProof/>
        </w:rPr>
        <w:pict>
          <v:shape id="_x0000_s1138" type="#_x0000_t202" style="position:absolute;left:0;text-align:left;margin-left:37.4pt;margin-top:206.05pt;width:383.2pt;height:51.6pt;z-index:251666432;mso-position-horizontal-relative:text;mso-position-vertical-relative:text" wrapcoords="-53 0 -53 21000 21600 21000 21600 0 -53 0" stroked="f">
            <v:textbox style="mso-next-textbox:#_x0000_s1138;mso-fit-shape-to-text:t" inset="0,0,0,0">
              <w:txbxContent>
                <w:p w:rsidR="003E4AC6" w:rsidRPr="008724C9" w:rsidRDefault="003E4AC6" w:rsidP="00F02BF9">
                  <w:pPr>
                    <w:pStyle w:val="Legenda"/>
                    <w:ind w:left="851" w:hanging="851"/>
                  </w:pPr>
                  <w:bookmarkStart w:id="48" w:name="_Toc264890323"/>
                  <w:r w:rsidRPr="008724C9">
                    <w:t xml:space="preserve">Figura </w:t>
                  </w:r>
                  <w:fldSimple w:instr=" STYLEREF 1 \s ">
                    <w:r w:rsidR="00E2640D">
                      <w:rPr>
                        <w:noProof/>
                      </w:rPr>
                      <w:t>3</w:t>
                    </w:r>
                  </w:fldSimple>
                  <w:r>
                    <w:t>.5</w:t>
                  </w:r>
                  <w:r w:rsidRPr="008724C9">
                    <w:t xml:space="preserve">. Aspecto geral do ensaio de campo contra o “black dead arm” e escoriose </w:t>
                  </w:r>
                  <w:r>
                    <w:t>na Quinta do Carmo, em Estremoz</w:t>
                  </w:r>
                  <w:bookmarkEnd w:id="48"/>
                </w:p>
              </w:txbxContent>
            </v:textbox>
            <w10:wrap type="tight"/>
          </v:shape>
        </w:pict>
      </w:r>
    </w:p>
    <w:p w:rsidR="009003B6" w:rsidRDefault="009003B6" w:rsidP="009003B6"/>
    <w:p w:rsidR="004C2364" w:rsidRDefault="004C2364" w:rsidP="00405D11">
      <w:bookmarkStart w:id="49" w:name="_Toc91432268"/>
      <w:bookmarkStart w:id="50" w:name="_Toc92883133"/>
    </w:p>
    <w:p w:rsidR="00250223" w:rsidRDefault="00250223" w:rsidP="00405D11"/>
    <w:p w:rsidR="00250223" w:rsidRDefault="00250223" w:rsidP="00405D11"/>
    <w:p w:rsidR="00250223" w:rsidRDefault="00250223" w:rsidP="00405D11"/>
    <w:p w:rsidR="00250223" w:rsidRDefault="00250223" w:rsidP="00405D11"/>
    <w:p w:rsidR="00250223" w:rsidRDefault="00250223" w:rsidP="00405D11"/>
    <w:p w:rsidR="00250223" w:rsidRDefault="00250223" w:rsidP="00405D11"/>
    <w:p w:rsidR="00250223" w:rsidRDefault="00250223" w:rsidP="00405D11"/>
    <w:p w:rsidR="00405D11" w:rsidRPr="00C043D5" w:rsidRDefault="008724C9" w:rsidP="00F02BF9">
      <w:pPr>
        <w:pStyle w:val="Legenda"/>
        <w:jc w:val="center"/>
      </w:pPr>
      <w:bookmarkStart w:id="51" w:name="_Toc264890331"/>
      <w:r>
        <w:t xml:space="preserve">Quadro </w:t>
      </w:r>
      <w:fldSimple w:instr=" STYLEREF 1 \s ">
        <w:r w:rsidR="00E2640D">
          <w:rPr>
            <w:noProof/>
          </w:rPr>
          <w:t>3</w:t>
        </w:r>
      </w:fldSimple>
      <w:r w:rsidR="00C37A87">
        <w:t>.</w:t>
      </w:r>
      <w:fldSimple w:instr=" SEQ Quadro \* ARABIC \s 1 ">
        <w:r w:rsidR="00E2640D">
          <w:rPr>
            <w:noProof/>
          </w:rPr>
          <w:t>1</w:t>
        </w:r>
      </w:fldSimple>
      <w:r>
        <w:t xml:space="preserve">. </w:t>
      </w:r>
      <w:r w:rsidRPr="00C043D5">
        <w:t>Modalidades ensaiadas: é</w:t>
      </w:r>
      <w:r w:rsidR="000D5093">
        <w:t>pocas de aplicação e fungicidas</w:t>
      </w:r>
      <w:r w:rsidRPr="00C043D5">
        <w:t xml:space="preserve"> utilizados</w:t>
      </w:r>
      <w:bookmarkEnd w:id="51"/>
    </w:p>
    <w:tbl>
      <w:tblPr>
        <w:tblW w:w="3816" w:type="pct"/>
        <w:tblInd w:w="8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260"/>
        <w:gridCol w:w="3827"/>
      </w:tblGrid>
      <w:tr w:rsidR="00405D11" w:rsidRPr="00DC09A7" w:rsidTr="00512B11">
        <w:tc>
          <w:tcPr>
            <w:tcW w:w="2300" w:type="pct"/>
            <w:tcBorders>
              <w:left w:val="nil"/>
              <w:bottom w:val="single" w:sz="4" w:space="0" w:color="auto"/>
              <w:right w:val="nil"/>
            </w:tcBorders>
            <w:shd w:val="clear" w:color="auto" w:fill="auto"/>
            <w:vAlign w:val="center"/>
          </w:tcPr>
          <w:p w:rsidR="00405D11" w:rsidRPr="00F02BF9" w:rsidRDefault="00405D11" w:rsidP="00F02BF9">
            <w:pPr>
              <w:spacing w:after="40" w:line="240" w:lineRule="auto"/>
              <w:jc w:val="left"/>
              <w:rPr>
                <w:b/>
                <w:sz w:val="20"/>
                <w:szCs w:val="20"/>
              </w:rPr>
            </w:pPr>
            <w:r w:rsidRPr="00F02BF9">
              <w:rPr>
                <w:b/>
                <w:sz w:val="20"/>
                <w:szCs w:val="20"/>
              </w:rPr>
              <w:t>Época de Tratamentos</w:t>
            </w:r>
          </w:p>
        </w:tc>
        <w:tc>
          <w:tcPr>
            <w:tcW w:w="2700" w:type="pct"/>
            <w:tcBorders>
              <w:left w:val="nil"/>
              <w:bottom w:val="single" w:sz="4" w:space="0" w:color="auto"/>
              <w:right w:val="nil"/>
            </w:tcBorders>
            <w:shd w:val="clear" w:color="auto" w:fill="auto"/>
            <w:vAlign w:val="center"/>
          </w:tcPr>
          <w:p w:rsidR="00405D11" w:rsidRPr="00F02BF9" w:rsidRDefault="000D5093" w:rsidP="00F02BF9">
            <w:pPr>
              <w:spacing w:after="40" w:line="240" w:lineRule="auto"/>
              <w:jc w:val="left"/>
              <w:rPr>
                <w:b/>
                <w:sz w:val="20"/>
                <w:szCs w:val="20"/>
              </w:rPr>
            </w:pPr>
            <w:r>
              <w:rPr>
                <w:b/>
                <w:sz w:val="20"/>
                <w:szCs w:val="20"/>
              </w:rPr>
              <w:t>Fungicidas</w:t>
            </w:r>
          </w:p>
          <w:p w:rsidR="00405D11" w:rsidRPr="00F02BF9" w:rsidRDefault="000D5093" w:rsidP="00F02BF9">
            <w:pPr>
              <w:spacing w:after="40" w:line="240" w:lineRule="auto"/>
              <w:jc w:val="left"/>
              <w:rPr>
                <w:b/>
                <w:sz w:val="20"/>
                <w:szCs w:val="20"/>
              </w:rPr>
            </w:pPr>
            <w:r>
              <w:rPr>
                <w:b/>
                <w:sz w:val="20"/>
                <w:szCs w:val="20"/>
              </w:rPr>
              <w:t>Nome da s</w:t>
            </w:r>
            <w:r w:rsidR="00405D11" w:rsidRPr="00F02BF9">
              <w:rPr>
                <w:b/>
                <w:sz w:val="20"/>
                <w:szCs w:val="20"/>
              </w:rPr>
              <w:t>ubstancia</w:t>
            </w:r>
            <w:r w:rsidR="002951FB" w:rsidRPr="00F02BF9">
              <w:rPr>
                <w:b/>
                <w:sz w:val="20"/>
                <w:szCs w:val="20"/>
              </w:rPr>
              <w:t>(s)</w:t>
            </w:r>
            <w:r w:rsidR="00405D11" w:rsidRPr="00F02BF9">
              <w:rPr>
                <w:b/>
                <w:sz w:val="20"/>
                <w:szCs w:val="20"/>
              </w:rPr>
              <w:t xml:space="preserve"> activa</w:t>
            </w:r>
            <w:r w:rsidR="002951FB" w:rsidRPr="00F02BF9">
              <w:rPr>
                <w:b/>
                <w:sz w:val="20"/>
                <w:szCs w:val="20"/>
              </w:rPr>
              <w:t xml:space="preserve"> (s)</w:t>
            </w:r>
          </w:p>
        </w:tc>
      </w:tr>
      <w:tr w:rsidR="00405D11" w:rsidRPr="00DC09A7" w:rsidTr="00512B11">
        <w:tc>
          <w:tcPr>
            <w:tcW w:w="2300" w:type="pct"/>
            <w:tcBorders>
              <w:left w:val="nil"/>
              <w:bottom w:val="nil"/>
              <w:right w:val="nil"/>
            </w:tcBorders>
            <w:vAlign w:val="center"/>
          </w:tcPr>
          <w:p w:rsidR="00405D11" w:rsidRPr="00DC09A7" w:rsidRDefault="00405D11" w:rsidP="00F02BF9">
            <w:pPr>
              <w:spacing w:after="60" w:line="240" w:lineRule="auto"/>
              <w:jc w:val="left"/>
              <w:rPr>
                <w:sz w:val="20"/>
                <w:szCs w:val="20"/>
              </w:rPr>
            </w:pPr>
          </w:p>
        </w:tc>
        <w:tc>
          <w:tcPr>
            <w:tcW w:w="2700" w:type="pct"/>
            <w:tcBorders>
              <w:left w:val="nil"/>
              <w:bottom w:val="nil"/>
              <w:right w:val="nil"/>
            </w:tcBorders>
            <w:vAlign w:val="center"/>
          </w:tcPr>
          <w:p w:rsidR="00405D11" w:rsidRPr="00DC09A7" w:rsidRDefault="00405D11" w:rsidP="00F02BF9">
            <w:pPr>
              <w:spacing w:after="60" w:line="240" w:lineRule="auto"/>
              <w:jc w:val="left"/>
              <w:rPr>
                <w:sz w:val="20"/>
                <w:szCs w:val="20"/>
              </w:rPr>
            </w:pPr>
            <w:r w:rsidRPr="00DC09A7">
              <w:rPr>
                <w:sz w:val="20"/>
                <w:szCs w:val="20"/>
              </w:rPr>
              <w:t>ciprodinil + flu</w:t>
            </w:r>
            <w:r w:rsidR="00FD0CCA" w:rsidRPr="00DC09A7">
              <w:rPr>
                <w:sz w:val="20"/>
                <w:szCs w:val="20"/>
              </w:rPr>
              <w:t>dioxo</w:t>
            </w:r>
            <w:r w:rsidRPr="00DC09A7">
              <w:rPr>
                <w:sz w:val="20"/>
                <w:szCs w:val="20"/>
              </w:rPr>
              <w:t>nil</w:t>
            </w:r>
          </w:p>
        </w:tc>
      </w:tr>
      <w:tr w:rsidR="00405D11" w:rsidRPr="00DC09A7" w:rsidTr="00512B11">
        <w:tc>
          <w:tcPr>
            <w:tcW w:w="2300" w:type="pct"/>
            <w:tcBorders>
              <w:top w:val="nil"/>
              <w:left w:val="nil"/>
              <w:bottom w:val="nil"/>
              <w:right w:val="nil"/>
            </w:tcBorders>
            <w:vAlign w:val="center"/>
          </w:tcPr>
          <w:p w:rsidR="00405D11" w:rsidRPr="00DC09A7" w:rsidRDefault="00405D11" w:rsidP="00F02BF9">
            <w:pPr>
              <w:spacing w:after="60" w:line="240" w:lineRule="auto"/>
              <w:jc w:val="left"/>
              <w:rPr>
                <w:sz w:val="20"/>
                <w:szCs w:val="20"/>
              </w:rPr>
            </w:pPr>
            <w:r w:rsidRPr="00DC09A7">
              <w:rPr>
                <w:sz w:val="20"/>
                <w:szCs w:val="20"/>
              </w:rPr>
              <w:t>Poda</w:t>
            </w:r>
          </w:p>
        </w:tc>
        <w:tc>
          <w:tcPr>
            <w:tcW w:w="2700" w:type="pct"/>
            <w:tcBorders>
              <w:top w:val="nil"/>
              <w:left w:val="nil"/>
              <w:bottom w:val="nil"/>
              <w:right w:val="nil"/>
            </w:tcBorders>
            <w:vAlign w:val="center"/>
          </w:tcPr>
          <w:p w:rsidR="00405D11" w:rsidRPr="00DC09A7" w:rsidRDefault="00405D11" w:rsidP="00F02BF9">
            <w:pPr>
              <w:spacing w:after="60" w:line="240" w:lineRule="auto"/>
              <w:jc w:val="left"/>
              <w:rPr>
                <w:sz w:val="20"/>
                <w:szCs w:val="20"/>
              </w:rPr>
            </w:pPr>
            <w:r w:rsidRPr="00DC09A7">
              <w:rPr>
                <w:bCs/>
                <w:sz w:val="20"/>
                <w:szCs w:val="20"/>
                <w:lang w:val="en-US"/>
              </w:rPr>
              <w:t>azoxistrobina</w:t>
            </w:r>
          </w:p>
        </w:tc>
      </w:tr>
      <w:tr w:rsidR="00405D11" w:rsidRPr="00DC09A7" w:rsidTr="00512B11">
        <w:tc>
          <w:tcPr>
            <w:tcW w:w="2300" w:type="pct"/>
            <w:tcBorders>
              <w:top w:val="nil"/>
              <w:left w:val="nil"/>
              <w:bottom w:val="nil"/>
              <w:right w:val="nil"/>
            </w:tcBorders>
            <w:vAlign w:val="center"/>
          </w:tcPr>
          <w:p w:rsidR="00405D11" w:rsidRPr="00DC09A7" w:rsidRDefault="00405D11" w:rsidP="00F02BF9">
            <w:pPr>
              <w:spacing w:after="60" w:line="240" w:lineRule="auto"/>
              <w:jc w:val="left"/>
              <w:rPr>
                <w:sz w:val="20"/>
                <w:szCs w:val="20"/>
              </w:rPr>
            </w:pPr>
          </w:p>
        </w:tc>
        <w:tc>
          <w:tcPr>
            <w:tcW w:w="2700" w:type="pct"/>
            <w:tcBorders>
              <w:top w:val="nil"/>
              <w:left w:val="nil"/>
              <w:bottom w:val="nil"/>
              <w:right w:val="nil"/>
            </w:tcBorders>
            <w:vAlign w:val="center"/>
          </w:tcPr>
          <w:p w:rsidR="00405D11" w:rsidRPr="00DC09A7" w:rsidRDefault="00405D11" w:rsidP="00F02BF9">
            <w:pPr>
              <w:spacing w:after="60" w:line="240" w:lineRule="auto"/>
              <w:jc w:val="left"/>
              <w:rPr>
                <w:sz w:val="20"/>
                <w:szCs w:val="20"/>
              </w:rPr>
            </w:pPr>
            <w:r w:rsidRPr="00DC09A7">
              <w:rPr>
                <w:bCs/>
                <w:sz w:val="20"/>
                <w:szCs w:val="20"/>
                <w:lang w:val="en-US"/>
              </w:rPr>
              <w:t>oxicloreto de cobre</w:t>
            </w:r>
          </w:p>
        </w:tc>
      </w:tr>
      <w:tr w:rsidR="00405D11" w:rsidRPr="00DC09A7" w:rsidTr="00512B11">
        <w:tc>
          <w:tcPr>
            <w:tcW w:w="2300" w:type="pct"/>
            <w:tcBorders>
              <w:top w:val="nil"/>
              <w:left w:val="nil"/>
              <w:bottom w:val="nil"/>
              <w:right w:val="nil"/>
            </w:tcBorders>
            <w:vAlign w:val="center"/>
          </w:tcPr>
          <w:p w:rsidR="00405D11" w:rsidRPr="00DC09A7" w:rsidRDefault="00405D11" w:rsidP="00F02BF9">
            <w:pPr>
              <w:spacing w:after="60" w:line="240" w:lineRule="auto"/>
              <w:jc w:val="left"/>
              <w:rPr>
                <w:sz w:val="20"/>
                <w:szCs w:val="20"/>
              </w:rPr>
            </w:pPr>
          </w:p>
        </w:tc>
        <w:tc>
          <w:tcPr>
            <w:tcW w:w="2700" w:type="pct"/>
            <w:tcBorders>
              <w:top w:val="nil"/>
              <w:left w:val="nil"/>
              <w:bottom w:val="nil"/>
              <w:right w:val="nil"/>
            </w:tcBorders>
            <w:vAlign w:val="center"/>
          </w:tcPr>
          <w:p w:rsidR="00405D11" w:rsidRPr="00DC09A7" w:rsidRDefault="007E366E" w:rsidP="00F02BF9">
            <w:pPr>
              <w:spacing w:after="60" w:line="240" w:lineRule="auto"/>
              <w:jc w:val="left"/>
              <w:rPr>
                <w:sz w:val="20"/>
                <w:szCs w:val="20"/>
              </w:rPr>
            </w:pPr>
            <w:r w:rsidRPr="00DC09A7">
              <w:rPr>
                <w:sz w:val="20"/>
                <w:szCs w:val="20"/>
              </w:rPr>
              <w:t>tebuconazol</w:t>
            </w:r>
          </w:p>
        </w:tc>
      </w:tr>
      <w:tr w:rsidR="00405D11" w:rsidRPr="00DC09A7" w:rsidTr="00512B11">
        <w:tc>
          <w:tcPr>
            <w:tcW w:w="2300" w:type="pct"/>
            <w:tcBorders>
              <w:top w:val="nil"/>
              <w:left w:val="nil"/>
              <w:bottom w:val="nil"/>
              <w:right w:val="nil"/>
            </w:tcBorders>
            <w:vAlign w:val="center"/>
          </w:tcPr>
          <w:p w:rsidR="00405D11" w:rsidRPr="00DC09A7" w:rsidRDefault="00405D11" w:rsidP="00F02BF9">
            <w:pPr>
              <w:spacing w:after="60" w:line="240" w:lineRule="auto"/>
              <w:jc w:val="left"/>
              <w:rPr>
                <w:sz w:val="20"/>
                <w:szCs w:val="20"/>
              </w:rPr>
            </w:pPr>
          </w:p>
        </w:tc>
        <w:tc>
          <w:tcPr>
            <w:tcW w:w="2700" w:type="pct"/>
            <w:tcBorders>
              <w:top w:val="nil"/>
              <w:left w:val="nil"/>
              <w:bottom w:val="nil"/>
              <w:right w:val="nil"/>
            </w:tcBorders>
            <w:vAlign w:val="center"/>
          </w:tcPr>
          <w:p w:rsidR="00405D11" w:rsidRPr="00DC09A7" w:rsidRDefault="007E366E" w:rsidP="00F02BF9">
            <w:pPr>
              <w:spacing w:after="60" w:line="240" w:lineRule="auto"/>
              <w:jc w:val="left"/>
              <w:rPr>
                <w:sz w:val="20"/>
                <w:szCs w:val="20"/>
              </w:rPr>
            </w:pPr>
            <w:r w:rsidRPr="00DC09A7">
              <w:rPr>
                <w:bCs/>
                <w:sz w:val="20"/>
                <w:szCs w:val="20"/>
                <w:lang w:val="en-US"/>
              </w:rPr>
              <w:t>d</w:t>
            </w:r>
            <w:r w:rsidR="00405D11" w:rsidRPr="00DC09A7">
              <w:rPr>
                <w:bCs/>
                <w:sz w:val="20"/>
                <w:szCs w:val="20"/>
                <w:lang w:val="en-US"/>
              </w:rPr>
              <w:t>ifenoconazol</w:t>
            </w:r>
          </w:p>
        </w:tc>
      </w:tr>
      <w:tr w:rsidR="00405D11" w:rsidRPr="00DC09A7" w:rsidTr="00512B11">
        <w:tc>
          <w:tcPr>
            <w:tcW w:w="2300" w:type="pct"/>
            <w:tcBorders>
              <w:top w:val="nil"/>
              <w:left w:val="nil"/>
              <w:bottom w:val="single" w:sz="4" w:space="0" w:color="auto"/>
              <w:right w:val="nil"/>
            </w:tcBorders>
            <w:vAlign w:val="center"/>
          </w:tcPr>
          <w:p w:rsidR="00405D11" w:rsidRPr="00DC09A7" w:rsidRDefault="00405D11" w:rsidP="00F02BF9">
            <w:pPr>
              <w:spacing w:after="60" w:line="240" w:lineRule="auto"/>
              <w:jc w:val="left"/>
              <w:rPr>
                <w:sz w:val="20"/>
                <w:szCs w:val="20"/>
              </w:rPr>
            </w:pPr>
          </w:p>
        </w:tc>
        <w:tc>
          <w:tcPr>
            <w:tcW w:w="2700" w:type="pct"/>
            <w:tcBorders>
              <w:top w:val="nil"/>
              <w:left w:val="nil"/>
              <w:bottom w:val="single" w:sz="4" w:space="0" w:color="auto"/>
              <w:right w:val="nil"/>
            </w:tcBorders>
            <w:vAlign w:val="center"/>
          </w:tcPr>
          <w:p w:rsidR="00405D11" w:rsidRPr="00DC09A7" w:rsidRDefault="007E366E" w:rsidP="00F02BF9">
            <w:pPr>
              <w:spacing w:after="60" w:line="240" w:lineRule="auto"/>
              <w:jc w:val="left"/>
              <w:rPr>
                <w:sz w:val="20"/>
                <w:szCs w:val="20"/>
              </w:rPr>
            </w:pPr>
            <w:r w:rsidRPr="00DC09A7">
              <w:rPr>
                <w:sz w:val="20"/>
                <w:szCs w:val="20"/>
              </w:rPr>
              <w:t>á</w:t>
            </w:r>
            <w:r w:rsidR="00405D11" w:rsidRPr="00DC09A7">
              <w:rPr>
                <w:sz w:val="20"/>
                <w:szCs w:val="20"/>
              </w:rPr>
              <w:t>gua (Testemunha)</w:t>
            </w:r>
          </w:p>
        </w:tc>
      </w:tr>
      <w:tr w:rsidR="007E366E" w:rsidRPr="00DC09A7" w:rsidTr="00512B11">
        <w:tc>
          <w:tcPr>
            <w:tcW w:w="2300" w:type="pct"/>
            <w:tcBorders>
              <w:top w:val="single" w:sz="4" w:space="0" w:color="auto"/>
              <w:left w:val="nil"/>
              <w:bottom w:val="nil"/>
              <w:right w:val="nil"/>
            </w:tcBorders>
            <w:vAlign w:val="center"/>
          </w:tcPr>
          <w:p w:rsidR="007E366E" w:rsidRPr="00DC09A7" w:rsidRDefault="007E366E" w:rsidP="00F02BF9">
            <w:pPr>
              <w:spacing w:after="60" w:line="240" w:lineRule="auto"/>
              <w:jc w:val="left"/>
              <w:rPr>
                <w:sz w:val="20"/>
                <w:szCs w:val="20"/>
              </w:rPr>
            </w:pPr>
          </w:p>
        </w:tc>
        <w:tc>
          <w:tcPr>
            <w:tcW w:w="2700" w:type="pct"/>
            <w:tcBorders>
              <w:top w:val="single" w:sz="4" w:space="0" w:color="auto"/>
              <w:left w:val="nil"/>
              <w:bottom w:val="nil"/>
              <w:right w:val="nil"/>
            </w:tcBorders>
            <w:vAlign w:val="center"/>
          </w:tcPr>
          <w:p w:rsidR="007E366E" w:rsidRPr="00DC09A7" w:rsidRDefault="007E366E" w:rsidP="00F02BF9">
            <w:pPr>
              <w:spacing w:after="60" w:line="240" w:lineRule="auto"/>
              <w:jc w:val="left"/>
              <w:rPr>
                <w:sz w:val="20"/>
                <w:szCs w:val="20"/>
              </w:rPr>
            </w:pPr>
            <w:r w:rsidRPr="00DC09A7">
              <w:rPr>
                <w:sz w:val="20"/>
                <w:szCs w:val="20"/>
              </w:rPr>
              <w:t>ciprodinil + fludioxonil</w:t>
            </w:r>
          </w:p>
        </w:tc>
      </w:tr>
      <w:tr w:rsidR="007E366E" w:rsidRPr="00DC09A7" w:rsidTr="00512B11">
        <w:tc>
          <w:tcPr>
            <w:tcW w:w="2300" w:type="pct"/>
            <w:tcBorders>
              <w:top w:val="nil"/>
              <w:left w:val="nil"/>
              <w:bottom w:val="nil"/>
              <w:right w:val="nil"/>
            </w:tcBorders>
            <w:vAlign w:val="center"/>
          </w:tcPr>
          <w:p w:rsidR="007E366E" w:rsidRPr="00DC09A7" w:rsidRDefault="00512B11" w:rsidP="00F02BF9">
            <w:pPr>
              <w:spacing w:after="60" w:line="240" w:lineRule="auto"/>
              <w:jc w:val="left"/>
              <w:rPr>
                <w:sz w:val="20"/>
                <w:szCs w:val="20"/>
              </w:rPr>
            </w:pPr>
            <w:r w:rsidRPr="00DC09A7">
              <w:rPr>
                <w:sz w:val="20"/>
                <w:szCs w:val="20"/>
              </w:rPr>
              <w:t>Estado fenológico D/E</w:t>
            </w:r>
          </w:p>
        </w:tc>
        <w:tc>
          <w:tcPr>
            <w:tcW w:w="2700" w:type="pct"/>
            <w:tcBorders>
              <w:top w:val="nil"/>
              <w:left w:val="nil"/>
              <w:bottom w:val="nil"/>
              <w:right w:val="nil"/>
            </w:tcBorders>
            <w:vAlign w:val="center"/>
          </w:tcPr>
          <w:p w:rsidR="007E366E" w:rsidRPr="00DC09A7" w:rsidRDefault="007E366E" w:rsidP="00F02BF9">
            <w:pPr>
              <w:spacing w:after="60" w:line="240" w:lineRule="auto"/>
              <w:jc w:val="left"/>
              <w:rPr>
                <w:sz w:val="20"/>
                <w:szCs w:val="20"/>
              </w:rPr>
            </w:pPr>
            <w:r w:rsidRPr="00DC09A7">
              <w:rPr>
                <w:bCs/>
                <w:sz w:val="20"/>
                <w:szCs w:val="20"/>
                <w:lang w:val="en-US"/>
              </w:rPr>
              <w:t>azoxistrobina</w:t>
            </w:r>
          </w:p>
        </w:tc>
      </w:tr>
      <w:tr w:rsidR="007E366E" w:rsidRPr="00DC09A7" w:rsidTr="00512B11">
        <w:tc>
          <w:tcPr>
            <w:tcW w:w="2300" w:type="pct"/>
            <w:tcBorders>
              <w:top w:val="nil"/>
              <w:left w:val="nil"/>
              <w:bottom w:val="nil"/>
              <w:right w:val="nil"/>
            </w:tcBorders>
            <w:vAlign w:val="center"/>
          </w:tcPr>
          <w:p w:rsidR="007E366E" w:rsidRPr="00DC09A7" w:rsidRDefault="007E366E" w:rsidP="00F02BF9">
            <w:pPr>
              <w:spacing w:after="60" w:line="240" w:lineRule="auto"/>
              <w:jc w:val="left"/>
              <w:rPr>
                <w:sz w:val="20"/>
                <w:szCs w:val="20"/>
              </w:rPr>
            </w:pPr>
          </w:p>
        </w:tc>
        <w:tc>
          <w:tcPr>
            <w:tcW w:w="2700" w:type="pct"/>
            <w:tcBorders>
              <w:top w:val="nil"/>
              <w:left w:val="nil"/>
              <w:bottom w:val="nil"/>
              <w:right w:val="nil"/>
            </w:tcBorders>
            <w:vAlign w:val="center"/>
          </w:tcPr>
          <w:p w:rsidR="007E366E" w:rsidRPr="00DC09A7" w:rsidRDefault="007E366E" w:rsidP="00F02BF9">
            <w:pPr>
              <w:spacing w:after="60" w:line="240" w:lineRule="auto"/>
              <w:jc w:val="left"/>
              <w:rPr>
                <w:sz w:val="20"/>
                <w:szCs w:val="20"/>
              </w:rPr>
            </w:pPr>
            <w:r w:rsidRPr="00DC09A7">
              <w:rPr>
                <w:bCs/>
                <w:sz w:val="20"/>
                <w:szCs w:val="20"/>
                <w:lang w:val="en-US"/>
              </w:rPr>
              <w:t>oxicloreto de cobre</w:t>
            </w:r>
          </w:p>
        </w:tc>
      </w:tr>
      <w:tr w:rsidR="007E366E" w:rsidRPr="00DC09A7" w:rsidTr="00512B11">
        <w:tc>
          <w:tcPr>
            <w:tcW w:w="2300" w:type="pct"/>
            <w:tcBorders>
              <w:top w:val="nil"/>
              <w:left w:val="nil"/>
              <w:bottom w:val="nil"/>
              <w:right w:val="nil"/>
            </w:tcBorders>
            <w:vAlign w:val="center"/>
          </w:tcPr>
          <w:p w:rsidR="007E366E" w:rsidRPr="00DC09A7" w:rsidRDefault="007E366E" w:rsidP="00F02BF9">
            <w:pPr>
              <w:spacing w:after="60" w:line="240" w:lineRule="auto"/>
              <w:jc w:val="left"/>
              <w:rPr>
                <w:sz w:val="20"/>
                <w:szCs w:val="20"/>
              </w:rPr>
            </w:pPr>
          </w:p>
        </w:tc>
        <w:tc>
          <w:tcPr>
            <w:tcW w:w="2700" w:type="pct"/>
            <w:tcBorders>
              <w:top w:val="nil"/>
              <w:left w:val="nil"/>
              <w:bottom w:val="nil"/>
              <w:right w:val="nil"/>
            </w:tcBorders>
            <w:vAlign w:val="center"/>
          </w:tcPr>
          <w:p w:rsidR="007E366E" w:rsidRPr="00DC09A7" w:rsidRDefault="007E366E" w:rsidP="00F02BF9">
            <w:pPr>
              <w:spacing w:after="60" w:line="240" w:lineRule="auto"/>
              <w:jc w:val="left"/>
              <w:rPr>
                <w:sz w:val="20"/>
                <w:szCs w:val="20"/>
              </w:rPr>
            </w:pPr>
            <w:r w:rsidRPr="00DC09A7">
              <w:rPr>
                <w:sz w:val="20"/>
                <w:szCs w:val="20"/>
              </w:rPr>
              <w:t>tebuconazol</w:t>
            </w:r>
          </w:p>
        </w:tc>
      </w:tr>
      <w:tr w:rsidR="007E366E" w:rsidRPr="00DC09A7" w:rsidTr="00512B11">
        <w:tc>
          <w:tcPr>
            <w:tcW w:w="2300" w:type="pct"/>
            <w:tcBorders>
              <w:top w:val="nil"/>
              <w:left w:val="nil"/>
              <w:bottom w:val="nil"/>
              <w:right w:val="nil"/>
            </w:tcBorders>
            <w:vAlign w:val="center"/>
          </w:tcPr>
          <w:p w:rsidR="007E366E" w:rsidRPr="00DC09A7" w:rsidRDefault="007E366E" w:rsidP="00F02BF9">
            <w:pPr>
              <w:spacing w:after="60" w:line="240" w:lineRule="auto"/>
              <w:jc w:val="left"/>
              <w:rPr>
                <w:sz w:val="20"/>
                <w:szCs w:val="20"/>
              </w:rPr>
            </w:pPr>
          </w:p>
        </w:tc>
        <w:tc>
          <w:tcPr>
            <w:tcW w:w="2700" w:type="pct"/>
            <w:tcBorders>
              <w:top w:val="nil"/>
              <w:left w:val="nil"/>
              <w:bottom w:val="nil"/>
              <w:right w:val="nil"/>
            </w:tcBorders>
            <w:vAlign w:val="center"/>
          </w:tcPr>
          <w:p w:rsidR="007E366E" w:rsidRPr="00DC09A7" w:rsidRDefault="007E366E" w:rsidP="00F02BF9">
            <w:pPr>
              <w:spacing w:after="60" w:line="240" w:lineRule="auto"/>
              <w:jc w:val="left"/>
              <w:rPr>
                <w:sz w:val="20"/>
                <w:szCs w:val="20"/>
              </w:rPr>
            </w:pPr>
            <w:r w:rsidRPr="00DC09A7">
              <w:rPr>
                <w:bCs/>
                <w:sz w:val="20"/>
                <w:szCs w:val="20"/>
                <w:lang w:val="en-US"/>
              </w:rPr>
              <w:t>difenoconazol</w:t>
            </w:r>
          </w:p>
        </w:tc>
      </w:tr>
      <w:tr w:rsidR="007E366E" w:rsidRPr="00DC09A7" w:rsidTr="00512B11">
        <w:tc>
          <w:tcPr>
            <w:tcW w:w="2300" w:type="pct"/>
            <w:tcBorders>
              <w:top w:val="nil"/>
              <w:left w:val="nil"/>
              <w:bottom w:val="single" w:sz="4" w:space="0" w:color="auto"/>
              <w:right w:val="nil"/>
            </w:tcBorders>
            <w:vAlign w:val="center"/>
          </w:tcPr>
          <w:p w:rsidR="007E366E" w:rsidRPr="00DC09A7" w:rsidRDefault="007E366E" w:rsidP="00F02BF9">
            <w:pPr>
              <w:spacing w:after="60" w:line="240" w:lineRule="auto"/>
              <w:jc w:val="left"/>
              <w:rPr>
                <w:sz w:val="20"/>
                <w:szCs w:val="20"/>
              </w:rPr>
            </w:pPr>
          </w:p>
        </w:tc>
        <w:tc>
          <w:tcPr>
            <w:tcW w:w="2700" w:type="pct"/>
            <w:tcBorders>
              <w:top w:val="nil"/>
              <w:left w:val="nil"/>
              <w:bottom w:val="single" w:sz="4" w:space="0" w:color="auto"/>
              <w:right w:val="nil"/>
            </w:tcBorders>
            <w:vAlign w:val="center"/>
          </w:tcPr>
          <w:p w:rsidR="007E366E" w:rsidRPr="00DC09A7" w:rsidRDefault="007E366E" w:rsidP="00F02BF9">
            <w:pPr>
              <w:spacing w:after="60" w:line="240" w:lineRule="auto"/>
              <w:jc w:val="left"/>
              <w:rPr>
                <w:sz w:val="20"/>
                <w:szCs w:val="20"/>
              </w:rPr>
            </w:pPr>
            <w:r w:rsidRPr="00DC09A7">
              <w:rPr>
                <w:sz w:val="20"/>
                <w:szCs w:val="20"/>
              </w:rPr>
              <w:t>água (Testemunha)</w:t>
            </w:r>
          </w:p>
        </w:tc>
      </w:tr>
      <w:tr w:rsidR="007E366E" w:rsidRPr="00DC09A7" w:rsidTr="00512B11">
        <w:tc>
          <w:tcPr>
            <w:tcW w:w="2300" w:type="pct"/>
            <w:tcBorders>
              <w:top w:val="single" w:sz="4" w:space="0" w:color="auto"/>
              <w:left w:val="nil"/>
              <w:bottom w:val="nil"/>
              <w:right w:val="nil"/>
            </w:tcBorders>
            <w:vAlign w:val="center"/>
          </w:tcPr>
          <w:p w:rsidR="007E366E" w:rsidRPr="00DC09A7" w:rsidRDefault="007E366E" w:rsidP="00F02BF9">
            <w:pPr>
              <w:spacing w:after="60" w:line="240" w:lineRule="auto"/>
              <w:jc w:val="left"/>
              <w:rPr>
                <w:sz w:val="20"/>
                <w:szCs w:val="20"/>
              </w:rPr>
            </w:pPr>
          </w:p>
        </w:tc>
        <w:tc>
          <w:tcPr>
            <w:tcW w:w="2700" w:type="pct"/>
            <w:tcBorders>
              <w:top w:val="single" w:sz="4" w:space="0" w:color="auto"/>
              <w:left w:val="nil"/>
              <w:bottom w:val="nil"/>
              <w:right w:val="nil"/>
            </w:tcBorders>
            <w:vAlign w:val="center"/>
          </w:tcPr>
          <w:p w:rsidR="007E366E" w:rsidRPr="00DC09A7" w:rsidRDefault="007E366E" w:rsidP="00F02BF9">
            <w:pPr>
              <w:spacing w:after="60" w:line="240" w:lineRule="auto"/>
              <w:jc w:val="left"/>
              <w:rPr>
                <w:sz w:val="20"/>
                <w:szCs w:val="20"/>
              </w:rPr>
            </w:pPr>
            <w:r w:rsidRPr="00DC09A7">
              <w:rPr>
                <w:sz w:val="20"/>
                <w:szCs w:val="20"/>
              </w:rPr>
              <w:t>ciprodinil + fludioxonil</w:t>
            </w:r>
          </w:p>
        </w:tc>
      </w:tr>
      <w:tr w:rsidR="007E366E" w:rsidRPr="00DC09A7" w:rsidTr="00512B11">
        <w:tc>
          <w:tcPr>
            <w:tcW w:w="2300" w:type="pct"/>
            <w:tcBorders>
              <w:top w:val="nil"/>
              <w:left w:val="nil"/>
              <w:bottom w:val="nil"/>
              <w:right w:val="nil"/>
            </w:tcBorders>
            <w:vAlign w:val="center"/>
          </w:tcPr>
          <w:p w:rsidR="007E366E" w:rsidRPr="00DC09A7" w:rsidRDefault="00512B11" w:rsidP="00F02BF9">
            <w:pPr>
              <w:spacing w:after="60" w:line="240" w:lineRule="auto"/>
              <w:jc w:val="left"/>
              <w:rPr>
                <w:sz w:val="20"/>
                <w:szCs w:val="20"/>
              </w:rPr>
            </w:pPr>
            <w:r w:rsidRPr="00DC09A7">
              <w:rPr>
                <w:sz w:val="20"/>
                <w:szCs w:val="20"/>
              </w:rPr>
              <w:t>Poda + estado fenológico D/E</w:t>
            </w:r>
          </w:p>
        </w:tc>
        <w:tc>
          <w:tcPr>
            <w:tcW w:w="2700" w:type="pct"/>
            <w:tcBorders>
              <w:top w:val="nil"/>
              <w:left w:val="nil"/>
              <w:bottom w:val="nil"/>
              <w:right w:val="nil"/>
            </w:tcBorders>
            <w:vAlign w:val="center"/>
          </w:tcPr>
          <w:p w:rsidR="007E366E" w:rsidRPr="00DC09A7" w:rsidRDefault="007E366E" w:rsidP="00F02BF9">
            <w:pPr>
              <w:spacing w:after="60" w:line="240" w:lineRule="auto"/>
              <w:jc w:val="left"/>
              <w:rPr>
                <w:sz w:val="20"/>
                <w:szCs w:val="20"/>
              </w:rPr>
            </w:pPr>
            <w:r w:rsidRPr="00DC09A7">
              <w:rPr>
                <w:bCs/>
                <w:sz w:val="20"/>
                <w:szCs w:val="20"/>
                <w:lang w:val="en-US"/>
              </w:rPr>
              <w:t>azoxistrobina</w:t>
            </w:r>
          </w:p>
        </w:tc>
      </w:tr>
      <w:tr w:rsidR="007E366E" w:rsidRPr="00DC09A7" w:rsidTr="00512B11">
        <w:tc>
          <w:tcPr>
            <w:tcW w:w="2300" w:type="pct"/>
            <w:tcBorders>
              <w:top w:val="nil"/>
              <w:left w:val="nil"/>
              <w:bottom w:val="nil"/>
              <w:right w:val="nil"/>
            </w:tcBorders>
            <w:vAlign w:val="center"/>
          </w:tcPr>
          <w:p w:rsidR="007E366E" w:rsidRPr="00DC09A7" w:rsidRDefault="007E366E" w:rsidP="00F02BF9">
            <w:pPr>
              <w:spacing w:after="60" w:line="240" w:lineRule="auto"/>
              <w:jc w:val="left"/>
              <w:rPr>
                <w:sz w:val="20"/>
                <w:szCs w:val="20"/>
              </w:rPr>
            </w:pPr>
          </w:p>
        </w:tc>
        <w:tc>
          <w:tcPr>
            <w:tcW w:w="2700" w:type="pct"/>
            <w:tcBorders>
              <w:top w:val="nil"/>
              <w:left w:val="nil"/>
              <w:bottom w:val="nil"/>
              <w:right w:val="nil"/>
            </w:tcBorders>
            <w:vAlign w:val="center"/>
          </w:tcPr>
          <w:p w:rsidR="007E366E" w:rsidRPr="00DC09A7" w:rsidRDefault="007E366E" w:rsidP="00F02BF9">
            <w:pPr>
              <w:spacing w:after="60" w:line="240" w:lineRule="auto"/>
              <w:jc w:val="left"/>
              <w:rPr>
                <w:sz w:val="20"/>
                <w:szCs w:val="20"/>
              </w:rPr>
            </w:pPr>
            <w:r w:rsidRPr="00DC09A7">
              <w:rPr>
                <w:bCs/>
                <w:sz w:val="20"/>
                <w:szCs w:val="20"/>
                <w:lang w:val="en-US"/>
              </w:rPr>
              <w:t>oxicloreto de cobre</w:t>
            </w:r>
          </w:p>
        </w:tc>
      </w:tr>
      <w:tr w:rsidR="007E366E" w:rsidRPr="00DC09A7" w:rsidTr="00512B11">
        <w:tc>
          <w:tcPr>
            <w:tcW w:w="2300" w:type="pct"/>
            <w:tcBorders>
              <w:top w:val="nil"/>
              <w:left w:val="nil"/>
              <w:bottom w:val="nil"/>
              <w:right w:val="nil"/>
            </w:tcBorders>
            <w:vAlign w:val="center"/>
          </w:tcPr>
          <w:p w:rsidR="007E366E" w:rsidRPr="00DC09A7" w:rsidRDefault="007E366E" w:rsidP="00F02BF9">
            <w:pPr>
              <w:spacing w:after="60" w:line="240" w:lineRule="auto"/>
              <w:jc w:val="left"/>
              <w:rPr>
                <w:sz w:val="20"/>
                <w:szCs w:val="20"/>
              </w:rPr>
            </w:pPr>
          </w:p>
        </w:tc>
        <w:tc>
          <w:tcPr>
            <w:tcW w:w="2700" w:type="pct"/>
            <w:tcBorders>
              <w:top w:val="nil"/>
              <w:left w:val="nil"/>
              <w:bottom w:val="nil"/>
              <w:right w:val="nil"/>
            </w:tcBorders>
            <w:vAlign w:val="center"/>
          </w:tcPr>
          <w:p w:rsidR="007E366E" w:rsidRPr="00DC09A7" w:rsidRDefault="007E366E" w:rsidP="00F02BF9">
            <w:pPr>
              <w:spacing w:after="60" w:line="240" w:lineRule="auto"/>
              <w:jc w:val="left"/>
              <w:rPr>
                <w:sz w:val="20"/>
                <w:szCs w:val="20"/>
              </w:rPr>
            </w:pPr>
            <w:r w:rsidRPr="00DC09A7">
              <w:rPr>
                <w:sz w:val="20"/>
                <w:szCs w:val="20"/>
              </w:rPr>
              <w:t>tebuconazol</w:t>
            </w:r>
          </w:p>
        </w:tc>
      </w:tr>
      <w:tr w:rsidR="007E366E" w:rsidRPr="00DC09A7" w:rsidTr="00512B11">
        <w:tc>
          <w:tcPr>
            <w:tcW w:w="2300" w:type="pct"/>
            <w:tcBorders>
              <w:top w:val="nil"/>
              <w:left w:val="nil"/>
              <w:bottom w:val="nil"/>
              <w:right w:val="nil"/>
            </w:tcBorders>
            <w:vAlign w:val="center"/>
          </w:tcPr>
          <w:p w:rsidR="007E366E" w:rsidRPr="00DC09A7" w:rsidRDefault="007E366E" w:rsidP="00F02BF9">
            <w:pPr>
              <w:spacing w:after="60" w:line="240" w:lineRule="auto"/>
              <w:jc w:val="left"/>
              <w:rPr>
                <w:sz w:val="20"/>
                <w:szCs w:val="20"/>
              </w:rPr>
            </w:pPr>
          </w:p>
        </w:tc>
        <w:tc>
          <w:tcPr>
            <w:tcW w:w="2700" w:type="pct"/>
            <w:tcBorders>
              <w:top w:val="nil"/>
              <w:left w:val="nil"/>
              <w:bottom w:val="nil"/>
              <w:right w:val="nil"/>
            </w:tcBorders>
            <w:vAlign w:val="center"/>
          </w:tcPr>
          <w:p w:rsidR="007E366E" w:rsidRPr="00DC09A7" w:rsidRDefault="007E366E" w:rsidP="00F02BF9">
            <w:pPr>
              <w:spacing w:after="60" w:line="240" w:lineRule="auto"/>
              <w:jc w:val="left"/>
              <w:rPr>
                <w:sz w:val="20"/>
                <w:szCs w:val="20"/>
              </w:rPr>
            </w:pPr>
            <w:r w:rsidRPr="00DC09A7">
              <w:rPr>
                <w:bCs/>
                <w:sz w:val="20"/>
                <w:szCs w:val="20"/>
                <w:lang w:val="en-US"/>
              </w:rPr>
              <w:t>difenoconazol</w:t>
            </w:r>
          </w:p>
        </w:tc>
      </w:tr>
      <w:tr w:rsidR="007E366E" w:rsidRPr="00DC09A7" w:rsidTr="00512B11">
        <w:tc>
          <w:tcPr>
            <w:tcW w:w="2300" w:type="pct"/>
            <w:tcBorders>
              <w:top w:val="nil"/>
              <w:left w:val="nil"/>
              <w:right w:val="nil"/>
            </w:tcBorders>
            <w:vAlign w:val="center"/>
          </w:tcPr>
          <w:p w:rsidR="007E366E" w:rsidRPr="00DC09A7" w:rsidRDefault="007E366E" w:rsidP="00F02BF9">
            <w:pPr>
              <w:spacing w:after="60" w:line="240" w:lineRule="auto"/>
              <w:jc w:val="left"/>
              <w:rPr>
                <w:sz w:val="20"/>
                <w:szCs w:val="20"/>
              </w:rPr>
            </w:pPr>
          </w:p>
        </w:tc>
        <w:tc>
          <w:tcPr>
            <w:tcW w:w="2700" w:type="pct"/>
            <w:tcBorders>
              <w:top w:val="nil"/>
              <w:left w:val="nil"/>
              <w:right w:val="nil"/>
            </w:tcBorders>
            <w:vAlign w:val="center"/>
          </w:tcPr>
          <w:p w:rsidR="007E366E" w:rsidRPr="00DC09A7" w:rsidRDefault="007E366E" w:rsidP="00F02BF9">
            <w:pPr>
              <w:spacing w:after="60" w:line="240" w:lineRule="auto"/>
              <w:jc w:val="left"/>
              <w:rPr>
                <w:sz w:val="20"/>
                <w:szCs w:val="20"/>
              </w:rPr>
            </w:pPr>
            <w:r w:rsidRPr="00DC09A7">
              <w:rPr>
                <w:sz w:val="20"/>
                <w:szCs w:val="20"/>
              </w:rPr>
              <w:t>água (Testemunha)</w:t>
            </w:r>
          </w:p>
        </w:tc>
      </w:tr>
    </w:tbl>
    <w:p w:rsidR="00EA206C" w:rsidRPr="00250223" w:rsidRDefault="008724C9" w:rsidP="00250223">
      <w:pPr>
        <w:spacing w:after="0" w:line="240" w:lineRule="auto"/>
        <w:jc w:val="left"/>
        <w:rPr>
          <w:rFonts w:eastAsia="Times New Roman"/>
          <w:b/>
          <w:color w:val="000000"/>
          <w:sz w:val="24"/>
          <w:szCs w:val="24"/>
          <w:shd w:val="clear" w:color="auto" w:fill="auto"/>
          <w:lang w:eastAsia="pt-PT"/>
        </w:rPr>
      </w:pPr>
      <w:bookmarkStart w:id="52" w:name="_Toc264890332"/>
      <w:bookmarkEnd w:id="49"/>
      <w:bookmarkEnd w:id="50"/>
      <w:r>
        <w:lastRenderedPageBreak/>
        <w:t xml:space="preserve">Quadro </w:t>
      </w:r>
      <w:fldSimple w:instr=" STYLEREF 1 \s ">
        <w:r w:rsidR="00E2640D">
          <w:rPr>
            <w:noProof/>
          </w:rPr>
          <w:t>3</w:t>
        </w:r>
      </w:fldSimple>
      <w:r w:rsidR="00C37A87">
        <w:t>.</w:t>
      </w:r>
      <w:fldSimple w:instr=" SEQ Quadro \* ARABIC \s 1 ">
        <w:r w:rsidR="00E2640D">
          <w:rPr>
            <w:noProof/>
          </w:rPr>
          <w:t>2</w:t>
        </w:r>
      </w:fldSimple>
      <w:r>
        <w:t xml:space="preserve">. </w:t>
      </w:r>
      <w:r w:rsidRPr="001070E2">
        <w:t>Principais características dos fungicidas utilizados no ensaio de campo</w:t>
      </w:r>
      <w:bookmarkEnd w:id="52"/>
    </w:p>
    <w:tbl>
      <w:tblPr>
        <w:tblW w:w="0" w:type="auto"/>
        <w:jc w:val="center"/>
        <w:tblBorders>
          <w:top w:val="single" w:sz="6" w:space="0" w:color="000000"/>
          <w:left w:val="single" w:sz="6" w:space="0" w:color="000000"/>
          <w:bottom w:val="single" w:sz="6" w:space="0" w:color="000000"/>
          <w:right w:val="single" w:sz="6" w:space="0" w:color="000000"/>
        </w:tblBorders>
        <w:tblLayout w:type="fixed"/>
        <w:tblLook w:val="0000"/>
      </w:tblPr>
      <w:tblGrid>
        <w:gridCol w:w="1044"/>
        <w:gridCol w:w="804"/>
        <w:gridCol w:w="794"/>
        <w:gridCol w:w="1072"/>
        <w:gridCol w:w="1417"/>
        <w:gridCol w:w="1134"/>
        <w:gridCol w:w="1418"/>
        <w:gridCol w:w="1443"/>
      </w:tblGrid>
      <w:tr w:rsidR="00916F2E" w:rsidRPr="00CF5A77" w:rsidTr="00F02BF9">
        <w:trPr>
          <w:jc w:val="center"/>
        </w:trPr>
        <w:tc>
          <w:tcPr>
            <w:tcW w:w="1044" w:type="dxa"/>
            <w:tcBorders>
              <w:top w:val="single" w:sz="12" w:space="0" w:color="808080"/>
              <w:left w:val="nil"/>
              <w:bottom w:val="single" w:sz="2" w:space="0" w:color="808080"/>
              <w:right w:val="nil"/>
            </w:tcBorders>
            <w:tcMar>
              <w:left w:w="28" w:type="dxa"/>
              <w:right w:w="28" w:type="dxa"/>
            </w:tcMar>
          </w:tcPr>
          <w:p w:rsidR="00EA206C" w:rsidRPr="00916F2E" w:rsidRDefault="00EA206C" w:rsidP="00BE6E6E">
            <w:pPr>
              <w:spacing w:before="120" w:after="120" w:line="240" w:lineRule="auto"/>
              <w:jc w:val="left"/>
              <w:rPr>
                <w:b/>
                <w:sz w:val="16"/>
                <w:szCs w:val="16"/>
              </w:rPr>
            </w:pPr>
            <w:bookmarkStart w:id="53" w:name="_Toc44176467"/>
            <w:r w:rsidRPr="00916F2E">
              <w:rPr>
                <w:b/>
                <w:sz w:val="16"/>
                <w:szCs w:val="16"/>
              </w:rPr>
              <w:t>Substância a</w:t>
            </w:r>
            <w:bookmarkEnd w:id="53"/>
            <w:r w:rsidRPr="00916F2E">
              <w:rPr>
                <w:b/>
                <w:sz w:val="16"/>
                <w:szCs w:val="16"/>
              </w:rPr>
              <w:t>ctiva</w:t>
            </w:r>
          </w:p>
        </w:tc>
        <w:tc>
          <w:tcPr>
            <w:tcW w:w="804" w:type="dxa"/>
            <w:tcBorders>
              <w:top w:val="single" w:sz="12" w:space="0" w:color="808080"/>
              <w:left w:val="nil"/>
              <w:bottom w:val="single" w:sz="2" w:space="0" w:color="808080"/>
              <w:right w:val="nil"/>
            </w:tcBorders>
            <w:tcMar>
              <w:left w:w="28" w:type="dxa"/>
              <w:right w:w="28" w:type="dxa"/>
            </w:tcMar>
          </w:tcPr>
          <w:p w:rsidR="00EA206C" w:rsidRPr="00916F2E" w:rsidRDefault="00EA206C" w:rsidP="00BE6E6E">
            <w:pPr>
              <w:spacing w:before="120" w:after="120" w:line="240" w:lineRule="auto"/>
              <w:jc w:val="left"/>
              <w:rPr>
                <w:b/>
                <w:sz w:val="16"/>
                <w:szCs w:val="16"/>
              </w:rPr>
            </w:pPr>
            <w:bookmarkStart w:id="54" w:name="_Toc44176468"/>
            <w:r w:rsidRPr="00916F2E">
              <w:rPr>
                <w:b/>
                <w:sz w:val="16"/>
                <w:szCs w:val="16"/>
              </w:rPr>
              <w:t>Nome comercial</w:t>
            </w:r>
            <w:bookmarkEnd w:id="54"/>
          </w:p>
        </w:tc>
        <w:tc>
          <w:tcPr>
            <w:tcW w:w="794" w:type="dxa"/>
            <w:tcBorders>
              <w:top w:val="single" w:sz="12" w:space="0" w:color="808080"/>
              <w:left w:val="nil"/>
              <w:bottom w:val="single" w:sz="2" w:space="0" w:color="808080"/>
              <w:right w:val="nil"/>
            </w:tcBorders>
            <w:tcMar>
              <w:left w:w="28" w:type="dxa"/>
              <w:right w:w="28" w:type="dxa"/>
            </w:tcMar>
          </w:tcPr>
          <w:p w:rsidR="00EA206C" w:rsidRPr="00916F2E" w:rsidRDefault="00EA206C" w:rsidP="00BE6E6E">
            <w:pPr>
              <w:spacing w:before="120" w:after="120" w:line="240" w:lineRule="auto"/>
              <w:jc w:val="left"/>
              <w:rPr>
                <w:b/>
                <w:sz w:val="16"/>
                <w:szCs w:val="16"/>
              </w:rPr>
            </w:pPr>
            <w:bookmarkStart w:id="55" w:name="_Toc44176469"/>
            <w:r w:rsidRPr="00916F2E">
              <w:rPr>
                <w:b/>
                <w:sz w:val="16"/>
                <w:szCs w:val="16"/>
              </w:rPr>
              <w:t>Empresa</w:t>
            </w:r>
            <w:bookmarkEnd w:id="55"/>
          </w:p>
        </w:tc>
        <w:tc>
          <w:tcPr>
            <w:tcW w:w="1072" w:type="dxa"/>
            <w:tcBorders>
              <w:top w:val="single" w:sz="12" w:space="0" w:color="808080"/>
              <w:left w:val="nil"/>
              <w:bottom w:val="single" w:sz="2" w:space="0" w:color="808080"/>
              <w:right w:val="nil"/>
            </w:tcBorders>
            <w:tcMar>
              <w:left w:w="28" w:type="dxa"/>
              <w:right w:w="28" w:type="dxa"/>
            </w:tcMar>
          </w:tcPr>
          <w:p w:rsidR="00EA206C" w:rsidRPr="00916F2E" w:rsidRDefault="00EA206C" w:rsidP="00BE6E6E">
            <w:pPr>
              <w:spacing w:before="120" w:after="120" w:line="240" w:lineRule="auto"/>
              <w:jc w:val="left"/>
              <w:rPr>
                <w:b/>
                <w:sz w:val="16"/>
                <w:szCs w:val="16"/>
              </w:rPr>
            </w:pPr>
            <w:bookmarkStart w:id="56" w:name="_Toc44176470"/>
            <w:r w:rsidRPr="00916F2E">
              <w:rPr>
                <w:b/>
                <w:sz w:val="16"/>
                <w:szCs w:val="16"/>
              </w:rPr>
              <w:t>Grupo químico</w:t>
            </w:r>
            <w:bookmarkEnd w:id="56"/>
          </w:p>
        </w:tc>
        <w:tc>
          <w:tcPr>
            <w:tcW w:w="1417" w:type="dxa"/>
            <w:tcBorders>
              <w:top w:val="single" w:sz="12" w:space="0" w:color="808080"/>
              <w:left w:val="nil"/>
              <w:bottom w:val="single" w:sz="2" w:space="0" w:color="808080"/>
              <w:right w:val="nil"/>
            </w:tcBorders>
            <w:tcMar>
              <w:left w:w="28" w:type="dxa"/>
              <w:right w:w="28" w:type="dxa"/>
            </w:tcMar>
          </w:tcPr>
          <w:p w:rsidR="00EA206C" w:rsidRPr="00916F2E" w:rsidRDefault="00EA206C" w:rsidP="00BE6E6E">
            <w:pPr>
              <w:spacing w:before="120" w:after="120" w:line="240" w:lineRule="auto"/>
              <w:jc w:val="left"/>
              <w:rPr>
                <w:b/>
                <w:sz w:val="16"/>
                <w:szCs w:val="16"/>
              </w:rPr>
            </w:pPr>
            <w:bookmarkStart w:id="57" w:name="_Toc44176471"/>
            <w:r w:rsidRPr="00916F2E">
              <w:rPr>
                <w:b/>
                <w:sz w:val="16"/>
                <w:szCs w:val="16"/>
              </w:rPr>
              <w:t>Modo de acção</w:t>
            </w:r>
            <w:bookmarkEnd w:id="57"/>
          </w:p>
        </w:tc>
        <w:tc>
          <w:tcPr>
            <w:tcW w:w="1134" w:type="dxa"/>
            <w:tcBorders>
              <w:top w:val="single" w:sz="12" w:space="0" w:color="808080"/>
              <w:left w:val="nil"/>
              <w:bottom w:val="single" w:sz="2" w:space="0" w:color="808080"/>
              <w:right w:val="nil"/>
            </w:tcBorders>
            <w:tcMar>
              <w:left w:w="28" w:type="dxa"/>
              <w:right w:w="28" w:type="dxa"/>
            </w:tcMar>
          </w:tcPr>
          <w:p w:rsidR="008014D2" w:rsidRDefault="00EA206C" w:rsidP="00BE6E6E">
            <w:pPr>
              <w:spacing w:before="120" w:after="120" w:line="240" w:lineRule="auto"/>
              <w:jc w:val="left"/>
              <w:rPr>
                <w:b/>
                <w:sz w:val="16"/>
                <w:szCs w:val="16"/>
              </w:rPr>
            </w:pPr>
            <w:bookmarkStart w:id="58" w:name="_Toc44176472"/>
            <w:r w:rsidRPr="00916F2E">
              <w:rPr>
                <w:b/>
                <w:sz w:val="16"/>
                <w:szCs w:val="16"/>
              </w:rPr>
              <w:t>Concentração da s.a.</w:t>
            </w:r>
            <w:bookmarkEnd w:id="58"/>
          </w:p>
          <w:p w:rsidR="008014D2" w:rsidRPr="00916F2E" w:rsidRDefault="008014D2" w:rsidP="00BE6E6E">
            <w:pPr>
              <w:spacing w:before="120" w:after="120" w:line="240" w:lineRule="auto"/>
              <w:jc w:val="left"/>
              <w:rPr>
                <w:b/>
                <w:sz w:val="16"/>
                <w:szCs w:val="16"/>
              </w:rPr>
            </w:pPr>
            <w:r>
              <w:rPr>
                <w:b/>
                <w:sz w:val="16"/>
                <w:szCs w:val="16"/>
              </w:rPr>
              <w:t>Concentração utilizada</w:t>
            </w:r>
          </w:p>
        </w:tc>
        <w:tc>
          <w:tcPr>
            <w:tcW w:w="1418" w:type="dxa"/>
            <w:tcBorders>
              <w:top w:val="single" w:sz="12" w:space="0" w:color="808080"/>
              <w:left w:val="nil"/>
              <w:bottom w:val="single" w:sz="2" w:space="0" w:color="808080"/>
              <w:right w:val="nil"/>
            </w:tcBorders>
            <w:tcMar>
              <w:left w:w="28" w:type="dxa"/>
              <w:right w:w="28" w:type="dxa"/>
            </w:tcMar>
          </w:tcPr>
          <w:p w:rsidR="00EA206C" w:rsidRPr="00916F2E" w:rsidRDefault="00EA206C" w:rsidP="00BE6E6E">
            <w:pPr>
              <w:spacing w:before="120" w:after="120" w:line="240" w:lineRule="auto"/>
              <w:jc w:val="left"/>
              <w:rPr>
                <w:b/>
                <w:sz w:val="16"/>
                <w:szCs w:val="16"/>
              </w:rPr>
            </w:pPr>
            <w:bookmarkStart w:id="59" w:name="_Toc44176473"/>
            <w:r w:rsidRPr="00916F2E">
              <w:rPr>
                <w:b/>
                <w:sz w:val="16"/>
                <w:szCs w:val="16"/>
              </w:rPr>
              <w:t>Tipo de formulação</w:t>
            </w:r>
            <w:bookmarkEnd w:id="59"/>
          </w:p>
          <w:p w:rsidR="00EA206C" w:rsidRPr="00916F2E" w:rsidRDefault="00EA206C" w:rsidP="00BE6E6E">
            <w:pPr>
              <w:spacing w:before="120" w:after="120" w:line="240" w:lineRule="auto"/>
              <w:jc w:val="left"/>
              <w:rPr>
                <w:b/>
                <w:sz w:val="16"/>
                <w:szCs w:val="16"/>
              </w:rPr>
            </w:pPr>
            <w:r w:rsidRPr="00916F2E">
              <w:rPr>
                <w:b/>
                <w:sz w:val="16"/>
                <w:szCs w:val="16"/>
              </w:rPr>
              <w:t>(código internacional)</w:t>
            </w:r>
          </w:p>
        </w:tc>
        <w:tc>
          <w:tcPr>
            <w:tcW w:w="1443" w:type="dxa"/>
            <w:tcBorders>
              <w:top w:val="single" w:sz="12" w:space="0" w:color="808080"/>
              <w:left w:val="nil"/>
              <w:bottom w:val="single" w:sz="2" w:space="0" w:color="808080"/>
              <w:right w:val="nil"/>
            </w:tcBorders>
            <w:tcMar>
              <w:left w:w="28" w:type="dxa"/>
              <w:right w:w="28" w:type="dxa"/>
            </w:tcMar>
          </w:tcPr>
          <w:p w:rsidR="00EA206C" w:rsidRPr="00916F2E" w:rsidRDefault="00EA206C" w:rsidP="00BE6E6E">
            <w:pPr>
              <w:spacing w:before="120" w:after="120" w:line="240" w:lineRule="auto"/>
              <w:jc w:val="left"/>
              <w:rPr>
                <w:b/>
                <w:sz w:val="16"/>
                <w:szCs w:val="16"/>
              </w:rPr>
            </w:pPr>
            <w:r w:rsidRPr="00916F2E">
              <w:rPr>
                <w:b/>
                <w:sz w:val="16"/>
                <w:szCs w:val="16"/>
              </w:rPr>
              <w:t>Classificação toxicológica</w:t>
            </w:r>
          </w:p>
        </w:tc>
      </w:tr>
      <w:tr w:rsidR="00916F2E" w:rsidRPr="00CF5A77" w:rsidTr="00F02BF9">
        <w:trPr>
          <w:jc w:val="center"/>
        </w:trPr>
        <w:tc>
          <w:tcPr>
            <w:tcW w:w="1044" w:type="dxa"/>
            <w:tcBorders>
              <w:top w:val="single" w:sz="2" w:space="0" w:color="808080"/>
              <w:left w:val="nil"/>
              <w:bottom w:val="single" w:sz="2" w:space="0" w:color="808080"/>
              <w:right w:val="nil"/>
            </w:tcBorders>
            <w:tcMar>
              <w:left w:w="28" w:type="dxa"/>
              <w:right w:w="28" w:type="dxa"/>
            </w:tcMar>
          </w:tcPr>
          <w:p w:rsidR="00EA206C" w:rsidRPr="00916F2E" w:rsidRDefault="00EA206C" w:rsidP="00BE6E6E">
            <w:pPr>
              <w:spacing w:before="120" w:after="120" w:line="240" w:lineRule="auto"/>
              <w:jc w:val="left"/>
              <w:rPr>
                <w:sz w:val="16"/>
                <w:szCs w:val="16"/>
              </w:rPr>
            </w:pPr>
            <w:r w:rsidRPr="00916F2E">
              <w:rPr>
                <w:sz w:val="16"/>
                <w:szCs w:val="16"/>
              </w:rPr>
              <w:t>azoxistrobina</w:t>
            </w:r>
          </w:p>
        </w:tc>
        <w:tc>
          <w:tcPr>
            <w:tcW w:w="804" w:type="dxa"/>
            <w:tcBorders>
              <w:top w:val="single" w:sz="2" w:space="0" w:color="808080"/>
              <w:left w:val="nil"/>
              <w:bottom w:val="single" w:sz="2" w:space="0" w:color="808080"/>
              <w:right w:val="nil"/>
            </w:tcBorders>
            <w:tcMar>
              <w:left w:w="28" w:type="dxa"/>
              <w:right w:w="28" w:type="dxa"/>
            </w:tcMar>
          </w:tcPr>
          <w:p w:rsidR="00EA206C" w:rsidRPr="00916F2E" w:rsidRDefault="00EA206C" w:rsidP="00BE6E6E">
            <w:pPr>
              <w:spacing w:before="120" w:after="120" w:line="240" w:lineRule="auto"/>
              <w:jc w:val="left"/>
              <w:rPr>
                <w:sz w:val="16"/>
                <w:szCs w:val="16"/>
              </w:rPr>
            </w:pPr>
            <w:r w:rsidRPr="00916F2E">
              <w:rPr>
                <w:sz w:val="16"/>
                <w:szCs w:val="16"/>
              </w:rPr>
              <w:t>Quadris</w:t>
            </w:r>
          </w:p>
        </w:tc>
        <w:tc>
          <w:tcPr>
            <w:tcW w:w="794" w:type="dxa"/>
            <w:tcBorders>
              <w:top w:val="single" w:sz="2" w:space="0" w:color="808080"/>
              <w:left w:val="nil"/>
              <w:bottom w:val="single" w:sz="2" w:space="0" w:color="808080"/>
              <w:right w:val="nil"/>
            </w:tcBorders>
            <w:tcMar>
              <w:left w:w="28" w:type="dxa"/>
              <w:right w:w="28" w:type="dxa"/>
            </w:tcMar>
          </w:tcPr>
          <w:p w:rsidR="00EA206C" w:rsidRPr="00916F2E" w:rsidRDefault="00EA206C" w:rsidP="00BE6E6E">
            <w:pPr>
              <w:spacing w:before="120" w:after="120" w:line="240" w:lineRule="auto"/>
              <w:jc w:val="left"/>
              <w:rPr>
                <w:sz w:val="16"/>
                <w:szCs w:val="16"/>
              </w:rPr>
            </w:pPr>
            <w:r w:rsidRPr="00916F2E">
              <w:rPr>
                <w:sz w:val="16"/>
                <w:szCs w:val="16"/>
              </w:rPr>
              <w:t>Syngenta</w:t>
            </w:r>
          </w:p>
        </w:tc>
        <w:tc>
          <w:tcPr>
            <w:tcW w:w="1072" w:type="dxa"/>
            <w:tcBorders>
              <w:top w:val="single" w:sz="2" w:space="0" w:color="808080"/>
              <w:left w:val="nil"/>
              <w:bottom w:val="single" w:sz="2" w:space="0" w:color="808080"/>
              <w:right w:val="nil"/>
            </w:tcBorders>
            <w:tcMar>
              <w:left w:w="28" w:type="dxa"/>
              <w:right w:w="28" w:type="dxa"/>
            </w:tcMar>
          </w:tcPr>
          <w:p w:rsidR="00EA206C" w:rsidRPr="00916F2E" w:rsidRDefault="00EA206C" w:rsidP="00BE6E6E">
            <w:pPr>
              <w:spacing w:before="120" w:after="120" w:line="240" w:lineRule="auto"/>
              <w:jc w:val="left"/>
              <w:rPr>
                <w:sz w:val="16"/>
                <w:szCs w:val="16"/>
              </w:rPr>
            </w:pPr>
            <w:r w:rsidRPr="00916F2E">
              <w:rPr>
                <w:sz w:val="16"/>
                <w:szCs w:val="16"/>
              </w:rPr>
              <w:t>estrobilurina</w:t>
            </w:r>
          </w:p>
        </w:tc>
        <w:tc>
          <w:tcPr>
            <w:tcW w:w="1417" w:type="dxa"/>
            <w:tcBorders>
              <w:top w:val="single" w:sz="2" w:space="0" w:color="808080"/>
              <w:left w:val="nil"/>
              <w:bottom w:val="single" w:sz="2" w:space="0" w:color="808080"/>
              <w:right w:val="nil"/>
            </w:tcBorders>
            <w:tcMar>
              <w:left w:w="28" w:type="dxa"/>
              <w:right w:w="28" w:type="dxa"/>
            </w:tcMar>
          </w:tcPr>
          <w:p w:rsidR="00EA206C" w:rsidRPr="00916F2E" w:rsidRDefault="00EA206C" w:rsidP="00BE6E6E">
            <w:pPr>
              <w:spacing w:before="120" w:after="120" w:line="240" w:lineRule="auto"/>
              <w:jc w:val="left"/>
              <w:rPr>
                <w:sz w:val="16"/>
                <w:szCs w:val="16"/>
              </w:rPr>
            </w:pPr>
            <w:r w:rsidRPr="00916F2E">
              <w:rPr>
                <w:sz w:val="16"/>
                <w:szCs w:val="16"/>
              </w:rPr>
              <w:t>sistémico com mobilidade translaminar e lateral (acção predominante preventiva, mas também curativa)</w:t>
            </w:r>
          </w:p>
        </w:tc>
        <w:tc>
          <w:tcPr>
            <w:tcW w:w="1134" w:type="dxa"/>
            <w:tcBorders>
              <w:top w:val="single" w:sz="2" w:space="0" w:color="808080"/>
              <w:left w:val="nil"/>
              <w:bottom w:val="single" w:sz="2" w:space="0" w:color="808080"/>
              <w:right w:val="nil"/>
            </w:tcBorders>
            <w:tcMar>
              <w:left w:w="28" w:type="dxa"/>
              <w:right w:w="28" w:type="dxa"/>
            </w:tcMar>
          </w:tcPr>
          <w:p w:rsidR="00EA206C" w:rsidRDefault="00EA206C" w:rsidP="00BE6E6E">
            <w:pPr>
              <w:spacing w:before="120" w:after="120" w:line="240" w:lineRule="auto"/>
              <w:jc w:val="left"/>
              <w:rPr>
                <w:sz w:val="16"/>
                <w:szCs w:val="16"/>
                <w:vertAlign w:val="superscript"/>
              </w:rPr>
            </w:pPr>
            <w:r w:rsidRPr="00916F2E">
              <w:rPr>
                <w:sz w:val="16"/>
                <w:szCs w:val="16"/>
              </w:rPr>
              <w:t>250 g L</w:t>
            </w:r>
            <w:r w:rsidRPr="00916F2E">
              <w:rPr>
                <w:sz w:val="16"/>
                <w:szCs w:val="16"/>
                <w:vertAlign w:val="superscript"/>
              </w:rPr>
              <w:t>-1</w:t>
            </w:r>
          </w:p>
          <w:p w:rsidR="008014D2" w:rsidRPr="008014D2" w:rsidRDefault="008014D2" w:rsidP="00BE6E6E">
            <w:pPr>
              <w:spacing w:before="120" w:after="120" w:line="240" w:lineRule="auto"/>
              <w:jc w:val="left"/>
              <w:rPr>
                <w:sz w:val="16"/>
                <w:szCs w:val="16"/>
              </w:rPr>
            </w:pPr>
          </w:p>
          <w:p w:rsidR="008014D2" w:rsidRPr="008014D2" w:rsidRDefault="008014D2" w:rsidP="00BE6E6E">
            <w:pPr>
              <w:spacing w:before="120" w:after="120" w:line="240" w:lineRule="auto"/>
              <w:jc w:val="left"/>
              <w:rPr>
                <w:sz w:val="16"/>
                <w:szCs w:val="16"/>
              </w:rPr>
            </w:pPr>
            <w:r w:rsidRPr="008014D2">
              <w:rPr>
                <w:sz w:val="16"/>
                <w:szCs w:val="16"/>
              </w:rPr>
              <w:t>75</w:t>
            </w:r>
            <w:r>
              <w:rPr>
                <w:sz w:val="16"/>
                <w:szCs w:val="16"/>
              </w:rPr>
              <w:t xml:space="preserve"> </w:t>
            </w:r>
            <w:r w:rsidRPr="008014D2">
              <w:rPr>
                <w:sz w:val="16"/>
                <w:szCs w:val="16"/>
              </w:rPr>
              <w:t>g/hl</w:t>
            </w:r>
          </w:p>
        </w:tc>
        <w:tc>
          <w:tcPr>
            <w:tcW w:w="1418" w:type="dxa"/>
            <w:tcBorders>
              <w:top w:val="single" w:sz="2" w:space="0" w:color="808080"/>
              <w:left w:val="nil"/>
              <w:bottom w:val="single" w:sz="2" w:space="0" w:color="808080"/>
              <w:right w:val="nil"/>
            </w:tcBorders>
            <w:tcMar>
              <w:left w:w="28" w:type="dxa"/>
              <w:right w:w="28" w:type="dxa"/>
            </w:tcMar>
          </w:tcPr>
          <w:p w:rsidR="00EA206C" w:rsidRPr="00916F2E" w:rsidRDefault="00EA206C" w:rsidP="00BE6E6E">
            <w:pPr>
              <w:spacing w:before="120" w:after="120" w:line="240" w:lineRule="auto"/>
              <w:jc w:val="left"/>
              <w:rPr>
                <w:sz w:val="16"/>
                <w:szCs w:val="16"/>
              </w:rPr>
            </w:pPr>
            <w:r w:rsidRPr="00916F2E">
              <w:rPr>
                <w:sz w:val="16"/>
                <w:szCs w:val="16"/>
              </w:rPr>
              <w:t>suspensão concentrada (SC)</w:t>
            </w:r>
          </w:p>
        </w:tc>
        <w:tc>
          <w:tcPr>
            <w:tcW w:w="1443" w:type="dxa"/>
            <w:tcBorders>
              <w:top w:val="single" w:sz="2" w:space="0" w:color="808080"/>
              <w:left w:val="nil"/>
              <w:bottom w:val="single" w:sz="2" w:space="0" w:color="808080"/>
              <w:right w:val="nil"/>
            </w:tcBorders>
            <w:tcMar>
              <w:left w:w="28" w:type="dxa"/>
              <w:right w:w="28" w:type="dxa"/>
            </w:tcMar>
          </w:tcPr>
          <w:p w:rsidR="00EA206C" w:rsidRPr="00916F2E" w:rsidRDefault="00EA206C" w:rsidP="00BE6E6E">
            <w:pPr>
              <w:spacing w:before="120" w:after="120" w:line="240" w:lineRule="auto"/>
              <w:jc w:val="left"/>
              <w:rPr>
                <w:sz w:val="16"/>
                <w:szCs w:val="16"/>
              </w:rPr>
            </w:pPr>
            <w:r w:rsidRPr="00916F2E">
              <w:rPr>
                <w:sz w:val="16"/>
                <w:szCs w:val="16"/>
              </w:rPr>
              <w:t>isenta; não contaminar as águas; muito perigoso para organismos aquáticos; não aplicar em terrenos adjacentes a cursos de água</w:t>
            </w:r>
          </w:p>
        </w:tc>
      </w:tr>
      <w:tr w:rsidR="00916F2E" w:rsidRPr="00CF5A77" w:rsidTr="00F02BF9">
        <w:trPr>
          <w:jc w:val="center"/>
        </w:trPr>
        <w:tc>
          <w:tcPr>
            <w:tcW w:w="1044" w:type="dxa"/>
            <w:tcBorders>
              <w:top w:val="single" w:sz="2" w:space="0" w:color="808080"/>
              <w:left w:val="nil"/>
              <w:bottom w:val="single" w:sz="2" w:space="0" w:color="808080"/>
              <w:right w:val="nil"/>
            </w:tcBorders>
            <w:tcMar>
              <w:left w:w="28" w:type="dxa"/>
              <w:right w:w="28" w:type="dxa"/>
            </w:tcMar>
          </w:tcPr>
          <w:p w:rsidR="00EA206C" w:rsidRPr="00916F2E" w:rsidRDefault="00EA206C" w:rsidP="00BE6E6E">
            <w:pPr>
              <w:spacing w:before="120" w:after="120" w:line="240" w:lineRule="auto"/>
              <w:jc w:val="left"/>
              <w:rPr>
                <w:sz w:val="16"/>
                <w:szCs w:val="16"/>
              </w:rPr>
            </w:pPr>
            <w:r w:rsidRPr="00916F2E">
              <w:rPr>
                <w:sz w:val="16"/>
                <w:szCs w:val="16"/>
              </w:rPr>
              <w:t xml:space="preserve">tebuconazol </w:t>
            </w:r>
          </w:p>
        </w:tc>
        <w:tc>
          <w:tcPr>
            <w:tcW w:w="804" w:type="dxa"/>
            <w:tcBorders>
              <w:top w:val="single" w:sz="2" w:space="0" w:color="808080"/>
              <w:left w:val="nil"/>
              <w:bottom w:val="single" w:sz="2" w:space="0" w:color="808080"/>
              <w:right w:val="nil"/>
            </w:tcBorders>
            <w:tcMar>
              <w:left w:w="28" w:type="dxa"/>
              <w:right w:w="28" w:type="dxa"/>
            </w:tcMar>
          </w:tcPr>
          <w:p w:rsidR="00EA206C" w:rsidRPr="00916F2E" w:rsidRDefault="007E366E" w:rsidP="00BE6E6E">
            <w:pPr>
              <w:spacing w:before="120" w:after="120" w:line="240" w:lineRule="auto"/>
              <w:jc w:val="left"/>
              <w:rPr>
                <w:sz w:val="16"/>
                <w:szCs w:val="16"/>
              </w:rPr>
            </w:pPr>
            <w:r w:rsidRPr="00916F2E">
              <w:rPr>
                <w:sz w:val="16"/>
                <w:szCs w:val="16"/>
              </w:rPr>
              <w:t>Horizon</w:t>
            </w:r>
          </w:p>
        </w:tc>
        <w:tc>
          <w:tcPr>
            <w:tcW w:w="794" w:type="dxa"/>
            <w:tcBorders>
              <w:top w:val="single" w:sz="2" w:space="0" w:color="808080"/>
              <w:left w:val="nil"/>
              <w:bottom w:val="single" w:sz="2" w:space="0" w:color="808080"/>
              <w:right w:val="nil"/>
            </w:tcBorders>
            <w:tcMar>
              <w:left w:w="28" w:type="dxa"/>
              <w:right w:w="28" w:type="dxa"/>
            </w:tcMar>
          </w:tcPr>
          <w:p w:rsidR="00EA206C" w:rsidRPr="00916F2E" w:rsidRDefault="00EA206C" w:rsidP="00BE6E6E">
            <w:pPr>
              <w:spacing w:before="120" w:after="120" w:line="240" w:lineRule="auto"/>
              <w:jc w:val="left"/>
              <w:rPr>
                <w:sz w:val="16"/>
                <w:szCs w:val="16"/>
              </w:rPr>
            </w:pPr>
            <w:r w:rsidRPr="00916F2E">
              <w:rPr>
                <w:sz w:val="16"/>
                <w:szCs w:val="16"/>
              </w:rPr>
              <w:t>Bayer</w:t>
            </w:r>
          </w:p>
        </w:tc>
        <w:tc>
          <w:tcPr>
            <w:tcW w:w="1072" w:type="dxa"/>
            <w:tcBorders>
              <w:top w:val="single" w:sz="2" w:space="0" w:color="808080"/>
              <w:left w:val="nil"/>
              <w:bottom w:val="single" w:sz="2" w:space="0" w:color="808080"/>
              <w:right w:val="nil"/>
            </w:tcBorders>
            <w:tcMar>
              <w:left w:w="28" w:type="dxa"/>
              <w:right w:w="28" w:type="dxa"/>
            </w:tcMar>
          </w:tcPr>
          <w:p w:rsidR="00EA206C" w:rsidRPr="00916F2E" w:rsidRDefault="00EA206C" w:rsidP="00BE6E6E">
            <w:pPr>
              <w:spacing w:before="120" w:after="120" w:line="240" w:lineRule="auto"/>
              <w:jc w:val="left"/>
              <w:rPr>
                <w:sz w:val="16"/>
                <w:szCs w:val="16"/>
              </w:rPr>
            </w:pPr>
            <w:r w:rsidRPr="00916F2E">
              <w:rPr>
                <w:sz w:val="16"/>
                <w:szCs w:val="16"/>
              </w:rPr>
              <w:t>azol</w:t>
            </w:r>
          </w:p>
        </w:tc>
        <w:tc>
          <w:tcPr>
            <w:tcW w:w="1417" w:type="dxa"/>
            <w:tcBorders>
              <w:top w:val="single" w:sz="2" w:space="0" w:color="808080"/>
              <w:left w:val="nil"/>
              <w:bottom w:val="single" w:sz="2" w:space="0" w:color="808080"/>
              <w:right w:val="nil"/>
            </w:tcBorders>
            <w:tcMar>
              <w:left w:w="28" w:type="dxa"/>
              <w:right w:w="28" w:type="dxa"/>
            </w:tcMar>
          </w:tcPr>
          <w:p w:rsidR="00EA206C" w:rsidRPr="00916F2E" w:rsidRDefault="00EA206C" w:rsidP="00BE6E6E">
            <w:pPr>
              <w:spacing w:before="120" w:after="120" w:line="240" w:lineRule="auto"/>
              <w:jc w:val="left"/>
              <w:rPr>
                <w:sz w:val="16"/>
                <w:szCs w:val="16"/>
              </w:rPr>
            </w:pPr>
            <w:r w:rsidRPr="00916F2E">
              <w:rPr>
                <w:sz w:val="16"/>
                <w:szCs w:val="16"/>
              </w:rPr>
              <w:t>sistémico</w:t>
            </w:r>
          </w:p>
        </w:tc>
        <w:tc>
          <w:tcPr>
            <w:tcW w:w="1134" w:type="dxa"/>
            <w:tcBorders>
              <w:top w:val="single" w:sz="2" w:space="0" w:color="808080"/>
              <w:left w:val="nil"/>
              <w:bottom w:val="single" w:sz="2" w:space="0" w:color="808080"/>
              <w:right w:val="nil"/>
            </w:tcBorders>
            <w:tcMar>
              <w:left w:w="28" w:type="dxa"/>
              <w:right w:w="28" w:type="dxa"/>
            </w:tcMar>
          </w:tcPr>
          <w:p w:rsidR="00EA206C" w:rsidRDefault="007E366E" w:rsidP="00BE6E6E">
            <w:pPr>
              <w:spacing w:before="120" w:after="120" w:line="240" w:lineRule="auto"/>
              <w:jc w:val="left"/>
              <w:rPr>
                <w:sz w:val="16"/>
                <w:szCs w:val="16"/>
                <w:vertAlign w:val="superscript"/>
              </w:rPr>
            </w:pPr>
            <w:r w:rsidRPr="00916F2E">
              <w:rPr>
                <w:sz w:val="16"/>
                <w:szCs w:val="16"/>
              </w:rPr>
              <w:t>250 g L</w:t>
            </w:r>
            <w:r w:rsidRPr="00916F2E">
              <w:rPr>
                <w:sz w:val="16"/>
                <w:szCs w:val="16"/>
                <w:vertAlign w:val="superscript"/>
              </w:rPr>
              <w:t>-1</w:t>
            </w:r>
          </w:p>
          <w:p w:rsidR="008014D2" w:rsidRDefault="008014D2" w:rsidP="00BE6E6E">
            <w:pPr>
              <w:spacing w:before="120" w:after="120" w:line="240" w:lineRule="auto"/>
              <w:jc w:val="left"/>
              <w:rPr>
                <w:sz w:val="16"/>
                <w:szCs w:val="16"/>
              </w:rPr>
            </w:pPr>
          </w:p>
          <w:p w:rsidR="008014D2" w:rsidRPr="008014D2" w:rsidRDefault="008014D2" w:rsidP="00BE6E6E">
            <w:pPr>
              <w:spacing w:before="120" w:after="120" w:line="240" w:lineRule="auto"/>
              <w:jc w:val="left"/>
              <w:rPr>
                <w:sz w:val="16"/>
                <w:szCs w:val="16"/>
              </w:rPr>
            </w:pPr>
            <w:r>
              <w:rPr>
                <w:sz w:val="16"/>
                <w:szCs w:val="16"/>
              </w:rPr>
              <w:t>40ml/hl</w:t>
            </w:r>
          </w:p>
          <w:p w:rsidR="008014D2" w:rsidRPr="00916F2E" w:rsidRDefault="008014D2" w:rsidP="00BE6E6E">
            <w:pPr>
              <w:spacing w:before="120" w:after="120" w:line="240" w:lineRule="auto"/>
              <w:jc w:val="left"/>
              <w:rPr>
                <w:sz w:val="16"/>
                <w:szCs w:val="16"/>
              </w:rPr>
            </w:pPr>
          </w:p>
        </w:tc>
        <w:tc>
          <w:tcPr>
            <w:tcW w:w="1418" w:type="dxa"/>
            <w:tcBorders>
              <w:top w:val="single" w:sz="2" w:space="0" w:color="808080"/>
              <w:left w:val="nil"/>
              <w:bottom w:val="single" w:sz="2" w:space="0" w:color="808080"/>
              <w:right w:val="nil"/>
            </w:tcBorders>
            <w:tcMar>
              <w:left w:w="28" w:type="dxa"/>
              <w:right w:w="28" w:type="dxa"/>
            </w:tcMar>
          </w:tcPr>
          <w:p w:rsidR="00EA206C" w:rsidRPr="00916F2E" w:rsidRDefault="007E366E" w:rsidP="00BE6E6E">
            <w:pPr>
              <w:spacing w:before="120" w:after="120" w:line="240" w:lineRule="auto"/>
              <w:jc w:val="left"/>
              <w:rPr>
                <w:sz w:val="16"/>
                <w:szCs w:val="16"/>
              </w:rPr>
            </w:pPr>
            <w:r w:rsidRPr="00916F2E">
              <w:rPr>
                <w:sz w:val="16"/>
                <w:szCs w:val="16"/>
              </w:rPr>
              <w:t>microemulsão</w:t>
            </w:r>
          </w:p>
          <w:p w:rsidR="007E366E" w:rsidRPr="00916F2E" w:rsidRDefault="007E366E" w:rsidP="00BE6E6E">
            <w:pPr>
              <w:spacing w:before="120" w:after="120" w:line="240" w:lineRule="auto"/>
              <w:jc w:val="left"/>
              <w:rPr>
                <w:sz w:val="16"/>
                <w:szCs w:val="16"/>
              </w:rPr>
            </w:pPr>
            <w:r w:rsidRPr="00916F2E">
              <w:rPr>
                <w:sz w:val="16"/>
                <w:szCs w:val="16"/>
              </w:rPr>
              <w:t>(ME)</w:t>
            </w:r>
          </w:p>
        </w:tc>
        <w:tc>
          <w:tcPr>
            <w:tcW w:w="1443" w:type="dxa"/>
            <w:tcBorders>
              <w:top w:val="single" w:sz="2" w:space="0" w:color="808080"/>
              <w:left w:val="nil"/>
              <w:bottom w:val="single" w:sz="2" w:space="0" w:color="808080"/>
              <w:right w:val="nil"/>
            </w:tcBorders>
            <w:tcMar>
              <w:left w:w="28" w:type="dxa"/>
              <w:right w:w="28" w:type="dxa"/>
            </w:tcMar>
          </w:tcPr>
          <w:p w:rsidR="00EA206C" w:rsidRPr="00916F2E" w:rsidRDefault="00391E64" w:rsidP="00BE6E6E">
            <w:pPr>
              <w:spacing w:before="120" w:after="120" w:line="240" w:lineRule="auto"/>
              <w:jc w:val="left"/>
              <w:rPr>
                <w:sz w:val="16"/>
                <w:szCs w:val="16"/>
              </w:rPr>
            </w:pPr>
            <w:r>
              <w:rPr>
                <w:sz w:val="16"/>
                <w:szCs w:val="16"/>
              </w:rPr>
              <w:t>nociv</w:t>
            </w:r>
            <w:r w:rsidR="00916F2E" w:rsidRPr="00916F2E">
              <w:rPr>
                <w:sz w:val="16"/>
                <w:szCs w:val="16"/>
              </w:rPr>
              <w:t>o; não contaminar as águas. Perigoso para organismos aquáticos. Não aplicar em terrenos agrícolas adjacentes a cursos de água. Não utilizar as sementes tratadas na alimentação humana ou animal</w:t>
            </w:r>
          </w:p>
        </w:tc>
      </w:tr>
      <w:tr w:rsidR="00916F2E" w:rsidRPr="00CF5A77" w:rsidTr="00F02BF9">
        <w:trPr>
          <w:jc w:val="center"/>
        </w:trPr>
        <w:tc>
          <w:tcPr>
            <w:tcW w:w="1044" w:type="dxa"/>
            <w:tcBorders>
              <w:top w:val="single" w:sz="2" w:space="0" w:color="808080"/>
              <w:left w:val="nil"/>
              <w:bottom w:val="single" w:sz="2" w:space="0" w:color="808080"/>
              <w:right w:val="nil"/>
            </w:tcBorders>
            <w:tcMar>
              <w:left w:w="28" w:type="dxa"/>
              <w:right w:w="28" w:type="dxa"/>
            </w:tcMar>
          </w:tcPr>
          <w:p w:rsidR="00EA206C" w:rsidRPr="00916F2E" w:rsidRDefault="00EA206C" w:rsidP="00BE6E6E">
            <w:pPr>
              <w:spacing w:before="120" w:after="120" w:line="240" w:lineRule="auto"/>
              <w:jc w:val="left"/>
              <w:rPr>
                <w:sz w:val="16"/>
                <w:szCs w:val="16"/>
              </w:rPr>
            </w:pPr>
            <w:r w:rsidRPr="00916F2E">
              <w:rPr>
                <w:sz w:val="16"/>
                <w:szCs w:val="16"/>
              </w:rPr>
              <w:t>difenoconazol</w:t>
            </w:r>
          </w:p>
        </w:tc>
        <w:tc>
          <w:tcPr>
            <w:tcW w:w="804" w:type="dxa"/>
            <w:tcBorders>
              <w:top w:val="single" w:sz="2" w:space="0" w:color="808080"/>
              <w:left w:val="nil"/>
              <w:bottom w:val="single" w:sz="2" w:space="0" w:color="808080"/>
              <w:right w:val="nil"/>
            </w:tcBorders>
            <w:tcMar>
              <w:left w:w="28" w:type="dxa"/>
              <w:right w:w="28" w:type="dxa"/>
            </w:tcMar>
          </w:tcPr>
          <w:p w:rsidR="00EA206C" w:rsidRPr="00916F2E" w:rsidRDefault="00EA206C" w:rsidP="00BE6E6E">
            <w:pPr>
              <w:spacing w:before="120" w:after="120" w:line="240" w:lineRule="auto"/>
              <w:jc w:val="left"/>
              <w:rPr>
                <w:sz w:val="16"/>
                <w:szCs w:val="16"/>
              </w:rPr>
            </w:pPr>
            <w:r w:rsidRPr="00916F2E">
              <w:rPr>
                <w:sz w:val="16"/>
                <w:szCs w:val="16"/>
              </w:rPr>
              <w:t>Score 250 EC</w:t>
            </w:r>
          </w:p>
        </w:tc>
        <w:tc>
          <w:tcPr>
            <w:tcW w:w="794" w:type="dxa"/>
            <w:tcBorders>
              <w:top w:val="single" w:sz="2" w:space="0" w:color="808080"/>
              <w:left w:val="nil"/>
              <w:bottom w:val="single" w:sz="2" w:space="0" w:color="808080"/>
              <w:right w:val="nil"/>
            </w:tcBorders>
            <w:tcMar>
              <w:left w:w="28" w:type="dxa"/>
              <w:right w:w="28" w:type="dxa"/>
            </w:tcMar>
          </w:tcPr>
          <w:p w:rsidR="00EA206C" w:rsidRPr="00916F2E" w:rsidRDefault="00EA206C" w:rsidP="00BE6E6E">
            <w:pPr>
              <w:spacing w:before="120" w:after="120" w:line="240" w:lineRule="auto"/>
              <w:jc w:val="left"/>
              <w:rPr>
                <w:sz w:val="16"/>
                <w:szCs w:val="16"/>
              </w:rPr>
            </w:pPr>
            <w:r w:rsidRPr="00916F2E">
              <w:rPr>
                <w:sz w:val="16"/>
                <w:szCs w:val="16"/>
              </w:rPr>
              <w:t>Syngenta</w:t>
            </w:r>
          </w:p>
        </w:tc>
        <w:tc>
          <w:tcPr>
            <w:tcW w:w="1072" w:type="dxa"/>
            <w:tcBorders>
              <w:top w:val="single" w:sz="2" w:space="0" w:color="808080"/>
              <w:left w:val="nil"/>
              <w:bottom w:val="single" w:sz="2" w:space="0" w:color="808080"/>
              <w:right w:val="nil"/>
            </w:tcBorders>
            <w:tcMar>
              <w:left w:w="28" w:type="dxa"/>
              <w:right w:w="28" w:type="dxa"/>
            </w:tcMar>
          </w:tcPr>
          <w:p w:rsidR="00EA206C" w:rsidRPr="00916F2E" w:rsidRDefault="00EA206C" w:rsidP="00BE6E6E">
            <w:pPr>
              <w:spacing w:before="120" w:after="120" w:line="240" w:lineRule="auto"/>
              <w:jc w:val="left"/>
              <w:rPr>
                <w:sz w:val="16"/>
                <w:szCs w:val="16"/>
              </w:rPr>
            </w:pPr>
            <w:r w:rsidRPr="00916F2E">
              <w:rPr>
                <w:sz w:val="16"/>
                <w:szCs w:val="16"/>
              </w:rPr>
              <w:t>triazol</w:t>
            </w:r>
          </w:p>
        </w:tc>
        <w:tc>
          <w:tcPr>
            <w:tcW w:w="1417" w:type="dxa"/>
            <w:tcBorders>
              <w:top w:val="single" w:sz="2" w:space="0" w:color="808080"/>
              <w:left w:val="nil"/>
              <w:bottom w:val="single" w:sz="2" w:space="0" w:color="808080"/>
              <w:right w:val="nil"/>
            </w:tcBorders>
            <w:tcMar>
              <w:left w:w="28" w:type="dxa"/>
              <w:right w:w="28" w:type="dxa"/>
            </w:tcMar>
          </w:tcPr>
          <w:p w:rsidR="00EA206C" w:rsidRPr="00916F2E" w:rsidRDefault="00EA206C" w:rsidP="00BE6E6E">
            <w:pPr>
              <w:spacing w:before="120" w:after="120" w:line="240" w:lineRule="auto"/>
              <w:jc w:val="left"/>
              <w:rPr>
                <w:sz w:val="16"/>
                <w:szCs w:val="16"/>
              </w:rPr>
            </w:pPr>
            <w:r w:rsidRPr="00916F2E">
              <w:rPr>
                <w:sz w:val="16"/>
                <w:szCs w:val="16"/>
              </w:rPr>
              <w:t>sistémico</w:t>
            </w:r>
          </w:p>
          <w:p w:rsidR="00EA206C" w:rsidRPr="00916F2E" w:rsidRDefault="00EA206C" w:rsidP="00BE6E6E">
            <w:pPr>
              <w:spacing w:before="120" w:after="120" w:line="240" w:lineRule="auto"/>
              <w:jc w:val="left"/>
              <w:rPr>
                <w:sz w:val="16"/>
                <w:szCs w:val="16"/>
              </w:rPr>
            </w:pPr>
            <w:r w:rsidRPr="00916F2E">
              <w:rPr>
                <w:sz w:val="16"/>
                <w:szCs w:val="16"/>
              </w:rPr>
              <w:t>(preventivo e curativo)</w:t>
            </w:r>
          </w:p>
        </w:tc>
        <w:tc>
          <w:tcPr>
            <w:tcW w:w="1134" w:type="dxa"/>
            <w:tcBorders>
              <w:top w:val="single" w:sz="2" w:space="0" w:color="808080"/>
              <w:left w:val="nil"/>
              <w:bottom w:val="single" w:sz="2" w:space="0" w:color="808080"/>
              <w:right w:val="nil"/>
            </w:tcBorders>
            <w:tcMar>
              <w:left w:w="28" w:type="dxa"/>
              <w:right w:w="28" w:type="dxa"/>
            </w:tcMar>
          </w:tcPr>
          <w:p w:rsidR="00EA206C" w:rsidRDefault="00EA206C" w:rsidP="00BE6E6E">
            <w:pPr>
              <w:spacing w:before="120" w:after="120" w:line="240" w:lineRule="auto"/>
              <w:jc w:val="left"/>
              <w:rPr>
                <w:sz w:val="16"/>
                <w:szCs w:val="16"/>
              </w:rPr>
            </w:pPr>
            <w:r w:rsidRPr="00916F2E">
              <w:rPr>
                <w:sz w:val="16"/>
                <w:szCs w:val="16"/>
              </w:rPr>
              <w:t>250 g L</w:t>
            </w:r>
            <w:r w:rsidRPr="00916F2E">
              <w:rPr>
                <w:sz w:val="16"/>
                <w:szCs w:val="16"/>
                <w:vertAlign w:val="superscript"/>
              </w:rPr>
              <w:t>-1</w:t>
            </w:r>
            <w:r w:rsidRPr="00916F2E">
              <w:rPr>
                <w:sz w:val="16"/>
                <w:szCs w:val="16"/>
              </w:rPr>
              <w:t xml:space="preserve"> </w:t>
            </w:r>
          </w:p>
          <w:p w:rsidR="008014D2" w:rsidRDefault="008014D2" w:rsidP="00BE6E6E">
            <w:pPr>
              <w:spacing w:before="120" w:after="120" w:line="240" w:lineRule="auto"/>
              <w:jc w:val="left"/>
              <w:rPr>
                <w:sz w:val="16"/>
                <w:szCs w:val="16"/>
              </w:rPr>
            </w:pPr>
          </w:p>
          <w:p w:rsidR="008014D2" w:rsidRPr="00916F2E" w:rsidRDefault="008014D2" w:rsidP="00BE6E6E">
            <w:pPr>
              <w:spacing w:before="120" w:after="120" w:line="240" w:lineRule="auto"/>
              <w:jc w:val="left"/>
              <w:rPr>
                <w:sz w:val="16"/>
                <w:szCs w:val="16"/>
              </w:rPr>
            </w:pPr>
            <w:r>
              <w:rPr>
                <w:sz w:val="16"/>
                <w:szCs w:val="16"/>
              </w:rPr>
              <w:t>50 ml/hl</w:t>
            </w:r>
          </w:p>
        </w:tc>
        <w:tc>
          <w:tcPr>
            <w:tcW w:w="1418" w:type="dxa"/>
            <w:tcBorders>
              <w:top w:val="single" w:sz="2" w:space="0" w:color="808080"/>
              <w:left w:val="nil"/>
              <w:bottom w:val="single" w:sz="2" w:space="0" w:color="808080"/>
              <w:right w:val="nil"/>
            </w:tcBorders>
            <w:tcMar>
              <w:left w:w="28" w:type="dxa"/>
              <w:right w:w="28" w:type="dxa"/>
            </w:tcMar>
          </w:tcPr>
          <w:p w:rsidR="00EA206C" w:rsidRPr="00916F2E" w:rsidRDefault="00EA206C" w:rsidP="00BE6E6E">
            <w:pPr>
              <w:spacing w:before="120" w:after="120" w:line="240" w:lineRule="auto"/>
              <w:jc w:val="left"/>
              <w:rPr>
                <w:sz w:val="16"/>
                <w:szCs w:val="16"/>
              </w:rPr>
            </w:pPr>
            <w:r w:rsidRPr="00916F2E">
              <w:rPr>
                <w:sz w:val="16"/>
                <w:szCs w:val="16"/>
              </w:rPr>
              <w:t xml:space="preserve">concentrado para emulsão </w:t>
            </w:r>
          </w:p>
          <w:p w:rsidR="00EA206C" w:rsidRPr="00916F2E" w:rsidRDefault="00EA206C" w:rsidP="00BE6E6E">
            <w:pPr>
              <w:spacing w:before="120" w:after="120" w:line="240" w:lineRule="auto"/>
              <w:jc w:val="left"/>
              <w:rPr>
                <w:sz w:val="16"/>
                <w:szCs w:val="16"/>
              </w:rPr>
            </w:pPr>
            <w:r w:rsidRPr="00916F2E">
              <w:rPr>
                <w:sz w:val="16"/>
                <w:szCs w:val="16"/>
              </w:rPr>
              <w:t>(EC)</w:t>
            </w:r>
          </w:p>
        </w:tc>
        <w:tc>
          <w:tcPr>
            <w:tcW w:w="1443" w:type="dxa"/>
            <w:tcBorders>
              <w:top w:val="single" w:sz="2" w:space="0" w:color="808080"/>
              <w:left w:val="nil"/>
              <w:bottom w:val="single" w:sz="2" w:space="0" w:color="808080"/>
              <w:right w:val="nil"/>
            </w:tcBorders>
            <w:tcMar>
              <w:left w:w="28" w:type="dxa"/>
              <w:right w:w="28" w:type="dxa"/>
            </w:tcMar>
          </w:tcPr>
          <w:p w:rsidR="00EA206C" w:rsidRPr="00916F2E" w:rsidRDefault="00EA206C" w:rsidP="00BE6E6E">
            <w:pPr>
              <w:spacing w:before="120" w:after="120" w:line="240" w:lineRule="auto"/>
              <w:jc w:val="left"/>
              <w:rPr>
                <w:sz w:val="16"/>
                <w:szCs w:val="16"/>
              </w:rPr>
            </w:pPr>
            <w:r w:rsidRPr="00916F2E">
              <w:rPr>
                <w:sz w:val="16"/>
                <w:szCs w:val="16"/>
              </w:rPr>
              <w:t xml:space="preserve">isenta; não contaminar as águas; muito perigoso para organismos aquáticos; não aplicar em terrenos adjacentes a cursos de água isenta </w:t>
            </w:r>
          </w:p>
        </w:tc>
      </w:tr>
      <w:tr w:rsidR="00916F2E" w:rsidRPr="00CF5A77" w:rsidTr="00F02BF9">
        <w:trPr>
          <w:jc w:val="center"/>
        </w:trPr>
        <w:tc>
          <w:tcPr>
            <w:tcW w:w="1044" w:type="dxa"/>
            <w:tcBorders>
              <w:top w:val="single" w:sz="2" w:space="0" w:color="808080"/>
              <w:left w:val="nil"/>
              <w:bottom w:val="single" w:sz="2" w:space="0" w:color="808080"/>
              <w:right w:val="nil"/>
            </w:tcBorders>
            <w:tcMar>
              <w:left w:w="28" w:type="dxa"/>
              <w:right w:w="28" w:type="dxa"/>
            </w:tcMar>
          </w:tcPr>
          <w:p w:rsidR="00EA206C" w:rsidRPr="00916F2E" w:rsidRDefault="00EA206C" w:rsidP="00BE6E6E">
            <w:pPr>
              <w:spacing w:before="120" w:after="120" w:line="240" w:lineRule="auto"/>
              <w:jc w:val="left"/>
              <w:rPr>
                <w:sz w:val="16"/>
                <w:szCs w:val="16"/>
              </w:rPr>
            </w:pPr>
            <w:r w:rsidRPr="00916F2E">
              <w:rPr>
                <w:sz w:val="16"/>
                <w:szCs w:val="16"/>
              </w:rPr>
              <w:t xml:space="preserve">ciprodinil + fludioxonil </w:t>
            </w:r>
          </w:p>
        </w:tc>
        <w:tc>
          <w:tcPr>
            <w:tcW w:w="804" w:type="dxa"/>
            <w:tcBorders>
              <w:top w:val="single" w:sz="2" w:space="0" w:color="808080"/>
              <w:left w:val="nil"/>
              <w:bottom w:val="single" w:sz="2" w:space="0" w:color="808080"/>
              <w:right w:val="nil"/>
            </w:tcBorders>
            <w:tcMar>
              <w:left w:w="28" w:type="dxa"/>
              <w:right w:w="28" w:type="dxa"/>
            </w:tcMar>
          </w:tcPr>
          <w:p w:rsidR="00EA206C" w:rsidRPr="00916F2E" w:rsidRDefault="00EA206C" w:rsidP="00BE6E6E">
            <w:pPr>
              <w:spacing w:before="120" w:after="120" w:line="240" w:lineRule="auto"/>
              <w:jc w:val="left"/>
              <w:rPr>
                <w:sz w:val="16"/>
                <w:szCs w:val="16"/>
              </w:rPr>
            </w:pPr>
            <w:r w:rsidRPr="00916F2E">
              <w:rPr>
                <w:sz w:val="16"/>
                <w:szCs w:val="16"/>
              </w:rPr>
              <w:t>Switch 62,5 WG</w:t>
            </w:r>
          </w:p>
        </w:tc>
        <w:tc>
          <w:tcPr>
            <w:tcW w:w="794" w:type="dxa"/>
            <w:tcBorders>
              <w:top w:val="single" w:sz="2" w:space="0" w:color="808080"/>
              <w:left w:val="nil"/>
              <w:bottom w:val="single" w:sz="2" w:space="0" w:color="808080"/>
              <w:right w:val="nil"/>
            </w:tcBorders>
            <w:tcMar>
              <w:left w:w="28" w:type="dxa"/>
              <w:right w:w="28" w:type="dxa"/>
            </w:tcMar>
          </w:tcPr>
          <w:p w:rsidR="00EA206C" w:rsidRPr="00916F2E" w:rsidRDefault="001070E2" w:rsidP="00BE6E6E">
            <w:pPr>
              <w:spacing w:before="120" w:after="120" w:line="240" w:lineRule="auto"/>
              <w:jc w:val="left"/>
              <w:rPr>
                <w:sz w:val="16"/>
                <w:szCs w:val="16"/>
              </w:rPr>
            </w:pPr>
            <w:r w:rsidRPr="00916F2E">
              <w:rPr>
                <w:sz w:val="16"/>
                <w:szCs w:val="16"/>
              </w:rPr>
              <w:t>Syngenta</w:t>
            </w:r>
          </w:p>
        </w:tc>
        <w:tc>
          <w:tcPr>
            <w:tcW w:w="1072" w:type="dxa"/>
            <w:tcBorders>
              <w:top w:val="single" w:sz="2" w:space="0" w:color="808080"/>
              <w:left w:val="nil"/>
              <w:bottom w:val="single" w:sz="2" w:space="0" w:color="808080"/>
              <w:right w:val="nil"/>
            </w:tcBorders>
            <w:tcMar>
              <w:left w:w="28" w:type="dxa"/>
              <w:right w:w="28" w:type="dxa"/>
            </w:tcMar>
          </w:tcPr>
          <w:p w:rsidR="00EA206C" w:rsidRPr="00916F2E" w:rsidRDefault="00EA206C" w:rsidP="00BE6E6E">
            <w:pPr>
              <w:spacing w:before="120" w:after="120" w:line="240" w:lineRule="auto"/>
              <w:jc w:val="left"/>
              <w:rPr>
                <w:sz w:val="16"/>
                <w:szCs w:val="16"/>
              </w:rPr>
            </w:pPr>
            <w:r w:rsidRPr="00916F2E">
              <w:rPr>
                <w:sz w:val="16"/>
                <w:szCs w:val="16"/>
              </w:rPr>
              <w:t>anilinopirimidina+ cianopirrole</w:t>
            </w:r>
          </w:p>
        </w:tc>
        <w:tc>
          <w:tcPr>
            <w:tcW w:w="1417" w:type="dxa"/>
            <w:tcBorders>
              <w:top w:val="single" w:sz="2" w:space="0" w:color="808080"/>
              <w:left w:val="nil"/>
              <w:bottom w:val="single" w:sz="2" w:space="0" w:color="808080"/>
              <w:right w:val="nil"/>
            </w:tcBorders>
            <w:tcMar>
              <w:left w:w="28" w:type="dxa"/>
              <w:right w:w="28" w:type="dxa"/>
            </w:tcMar>
          </w:tcPr>
          <w:p w:rsidR="00EA206C" w:rsidRPr="00916F2E" w:rsidRDefault="00EA206C" w:rsidP="00BE6E6E">
            <w:pPr>
              <w:spacing w:before="120" w:after="120" w:line="240" w:lineRule="auto"/>
              <w:jc w:val="left"/>
              <w:rPr>
                <w:sz w:val="16"/>
                <w:szCs w:val="16"/>
              </w:rPr>
            </w:pPr>
            <w:r w:rsidRPr="00916F2E">
              <w:rPr>
                <w:sz w:val="16"/>
                <w:szCs w:val="16"/>
              </w:rPr>
              <w:t xml:space="preserve">sistémico e de superfície </w:t>
            </w:r>
          </w:p>
        </w:tc>
        <w:tc>
          <w:tcPr>
            <w:tcW w:w="1134" w:type="dxa"/>
            <w:tcBorders>
              <w:top w:val="single" w:sz="2" w:space="0" w:color="808080"/>
              <w:left w:val="nil"/>
              <w:bottom w:val="single" w:sz="2" w:space="0" w:color="808080"/>
              <w:right w:val="nil"/>
            </w:tcBorders>
            <w:tcMar>
              <w:left w:w="28" w:type="dxa"/>
              <w:right w:w="28" w:type="dxa"/>
            </w:tcMar>
          </w:tcPr>
          <w:p w:rsidR="00EA206C" w:rsidRDefault="00EA206C" w:rsidP="00BE6E6E">
            <w:pPr>
              <w:spacing w:before="120" w:after="120" w:line="240" w:lineRule="auto"/>
              <w:jc w:val="left"/>
              <w:rPr>
                <w:sz w:val="16"/>
                <w:szCs w:val="16"/>
                <w:lang w:val="en-GB"/>
              </w:rPr>
            </w:pPr>
            <w:r w:rsidRPr="00916F2E">
              <w:rPr>
                <w:sz w:val="16"/>
                <w:szCs w:val="16"/>
                <w:lang w:val="en-GB"/>
              </w:rPr>
              <w:t>37,5% ciprodinil + 25% fludioxonil</w:t>
            </w:r>
          </w:p>
          <w:p w:rsidR="00CE75FD" w:rsidRDefault="00CE75FD" w:rsidP="00BE6E6E">
            <w:pPr>
              <w:spacing w:before="120" w:after="120" w:line="240" w:lineRule="auto"/>
              <w:jc w:val="left"/>
              <w:rPr>
                <w:sz w:val="16"/>
                <w:szCs w:val="16"/>
                <w:lang w:val="en-GB"/>
              </w:rPr>
            </w:pPr>
          </w:p>
          <w:p w:rsidR="008014D2" w:rsidRPr="00916F2E" w:rsidRDefault="008014D2" w:rsidP="00BE6E6E">
            <w:pPr>
              <w:spacing w:before="120" w:after="120" w:line="240" w:lineRule="auto"/>
              <w:jc w:val="left"/>
              <w:rPr>
                <w:sz w:val="16"/>
                <w:szCs w:val="16"/>
                <w:lang w:val="en-GB"/>
              </w:rPr>
            </w:pPr>
            <w:r>
              <w:rPr>
                <w:sz w:val="16"/>
                <w:szCs w:val="16"/>
                <w:lang w:val="en-GB"/>
              </w:rPr>
              <w:t>100 g/hl</w:t>
            </w:r>
          </w:p>
        </w:tc>
        <w:tc>
          <w:tcPr>
            <w:tcW w:w="1418" w:type="dxa"/>
            <w:tcBorders>
              <w:top w:val="single" w:sz="2" w:space="0" w:color="808080"/>
              <w:left w:val="nil"/>
              <w:bottom w:val="single" w:sz="2" w:space="0" w:color="808080"/>
              <w:right w:val="nil"/>
            </w:tcBorders>
            <w:tcMar>
              <w:left w:w="28" w:type="dxa"/>
              <w:right w:w="28" w:type="dxa"/>
            </w:tcMar>
          </w:tcPr>
          <w:p w:rsidR="00EA206C" w:rsidRPr="00916F2E" w:rsidRDefault="00EA206C" w:rsidP="00BE6E6E">
            <w:pPr>
              <w:spacing w:before="120" w:after="120" w:line="240" w:lineRule="auto"/>
              <w:jc w:val="left"/>
              <w:rPr>
                <w:sz w:val="16"/>
                <w:szCs w:val="16"/>
              </w:rPr>
            </w:pPr>
            <w:r w:rsidRPr="00916F2E">
              <w:rPr>
                <w:sz w:val="16"/>
                <w:szCs w:val="16"/>
              </w:rPr>
              <w:t xml:space="preserve">grânulos dispersíveis em água </w:t>
            </w:r>
          </w:p>
          <w:p w:rsidR="00EA206C" w:rsidRPr="00916F2E" w:rsidRDefault="00EA206C" w:rsidP="00BE6E6E">
            <w:pPr>
              <w:spacing w:before="120" w:after="120" w:line="240" w:lineRule="auto"/>
              <w:jc w:val="left"/>
              <w:rPr>
                <w:sz w:val="16"/>
                <w:szCs w:val="16"/>
              </w:rPr>
            </w:pPr>
            <w:r w:rsidRPr="00916F2E">
              <w:rPr>
                <w:sz w:val="16"/>
                <w:szCs w:val="16"/>
              </w:rPr>
              <w:t>(WG)</w:t>
            </w:r>
          </w:p>
        </w:tc>
        <w:tc>
          <w:tcPr>
            <w:tcW w:w="1443" w:type="dxa"/>
            <w:tcBorders>
              <w:top w:val="single" w:sz="2" w:space="0" w:color="808080"/>
              <w:left w:val="nil"/>
              <w:bottom w:val="single" w:sz="2" w:space="0" w:color="808080"/>
              <w:right w:val="nil"/>
            </w:tcBorders>
            <w:tcMar>
              <w:left w:w="28" w:type="dxa"/>
              <w:right w:w="28" w:type="dxa"/>
            </w:tcMar>
          </w:tcPr>
          <w:p w:rsidR="00EA206C" w:rsidRPr="00916F2E" w:rsidRDefault="00EA206C" w:rsidP="00BE6E6E">
            <w:pPr>
              <w:spacing w:before="120" w:after="120" w:line="240" w:lineRule="auto"/>
              <w:jc w:val="left"/>
              <w:rPr>
                <w:sz w:val="16"/>
                <w:szCs w:val="16"/>
              </w:rPr>
            </w:pPr>
            <w:r w:rsidRPr="00916F2E">
              <w:rPr>
                <w:sz w:val="16"/>
                <w:szCs w:val="16"/>
              </w:rPr>
              <w:t>isenta; não contaminar as águas; muito perigoso para organismos aquáticos; não aplicar em terrenos adjacentes a cursos de água isenta</w:t>
            </w:r>
          </w:p>
        </w:tc>
      </w:tr>
      <w:tr w:rsidR="00916F2E" w:rsidRPr="00CF5A77" w:rsidTr="00F02BF9">
        <w:trPr>
          <w:jc w:val="center"/>
        </w:trPr>
        <w:tc>
          <w:tcPr>
            <w:tcW w:w="1044" w:type="dxa"/>
            <w:tcBorders>
              <w:top w:val="single" w:sz="2" w:space="0" w:color="808080"/>
              <w:left w:val="nil"/>
              <w:bottom w:val="single" w:sz="12" w:space="0" w:color="808080"/>
              <w:right w:val="nil"/>
            </w:tcBorders>
            <w:tcMar>
              <w:left w:w="28" w:type="dxa"/>
              <w:right w:w="28" w:type="dxa"/>
            </w:tcMar>
          </w:tcPr>
          <w:p w:rsidR="00EA206C" w:rsidRPr="00916F2E" w:rsidRDefault="001070E2" w:rsidP="00BE6E6E">
            <w:pPr>
              <w:spacing w:before="120" w:after="120" w:line="240" w:lineRule="auto"/>
              <w:jc w:val="left"/>
              <w:rPr>
                <w:sz w:val="16"/>
                <w:szCs w:val="16"/>
              </w:rPr>
            </w:pPr>
            <w:r w:rsidRPr="00916F2E">
              <w:rPr>
                <w:sz w:val="16"/>
                <w:szCs w:val="16"/>
              </w:rPr>
              <w:t>oxicloreto de cobre</w:t>
            </w:r>
          </w:p>
        </w:tc>
        <w:tc>
          <w:tcPr>
            <w:tcW w:w="804" w:type="dxa"/>
            <w:tcBorders>
              <w:top w:val="single" w:sz="2" w:space="0" w:color="808080"/>
              <w:left w:val="nil"/>
              <w:bottom w:val="single" w:sz="12" w:space="0" w:color="808080"/>
              <w:right w:val="nil"/>
            </w:tcBorders>
            <w:tcMar>
              <w:left w:w="28" w:type="dxa"/>
              <w:right w:w="28" w:type="dxa"/>
            </w:tcMar>
          </w:tcPr>
          <w:p w:rsidR="00EA206C" w:rsidRPr="00916F2E" w:rsidRDefault="001070E2" w:rsidP="00BE6E6E">
            <w:pPr>
              <w:spacing w:before="120" w:after="120" w:line="240" w:lineRule="auto"/>
              <w:jc w:val="left"/>
              <w:rPr>
                <w:sz w:val="16"/>
                <w:szCs w:val="16"/>
              </w:rPr>
            </w:pPr>
            <w:r w:rsidRPr="00916F2E">
              <w:rPr>
                <w:sz w:val="16"/>
                <w:szCs w:val="16"/>
              </w:rPr>
              <w:t>Cuprocol</w:t>
            </w:r>
          </w:p>
        </w:tc>
        <w:tc>
          <w:tcPr>
            <w:tcW w:w="794" w:type="dxa"/>
            <w:tcBorders>
              <w:top w:val="single" w:sz="2" w:space="0" w:color="808080"/>
              <w:left w:val="nil"/>
              <w:bottom w:val="single" w:sz="12" w:space="0" w:color="808080"/>
              <w:right w:val="nil"/>
            </w:tcBorders>
            <w:tcMar>
              <w:left w:w="28" w:type="dxa"/>
              <w:right w:w="28" w:type="dxa"/>
            </w:tcMar>
          </w:tcPr>
          <w:p w:rsidR="00EA206C" w:rsidRPr="00916F2E" w:rsidRDefault="001070E2" w:rsidP="00BE6E6E">
            <w:pPr>
              <w:spacing w:before="120" w:after="120" w:line="240" w:lineRule="auto"/>
              <w:jc w:val="left"/>
              <w:rPr>
                <w:sz w:val="16"/>
                <w:szCs w:val="16"/>
              </w:rPr>
            </w:pPr>
            <w:r w:rsidRPr="00916F2E">
              <w:rPr>
                <w:sz w:val="16"/>
                <w:szCs w:val="16"/>
              </w:rPr>
              <w:t>Syngenta</w:t>
            </w:r>
          </w:p>
        </w:tc>
        <w:tc>
          <w:tcPr>
            <w:tcW w:w="1072" w:type="dxa"/>
            <w:tcBorders>
              <w:top w:val="single" w:sz="2" w:space="0" w:color="808080"/>
              <w:left w:val="nil"/>
              <w:bottom w:val="single" w:sz="12" w:space="0" w:color="808080"/>
              <w:right w:val="nil"/>
            </w:tcBorders>
            <w:tcMar>
              <w:left w:w="28" w:type="dxa"/>
              <w:right w:w="28" w:type="dxa"/>
            </w:tcMar>
          </w:tcPr>
          <w:p w:rsidR="00EA206C" w:rsidRPr="00477FF9" w:rsidRDefault="00477FF9" w:rsidP="00BE6E6E">
            <w:pPr>
              <w:spacing w:before="120" w:after="120" w:line="240" w:lineRule="auto"/>
              <w:jc w:val="left"/>
              <w:rPr>
                <w:sz w:val="16"/>
                <w:szCs w:val="16"/>
              </w:rPr>
            </w:pPr>
            <w:r w:rsidRPr="00477FF9">
              <w:rPr>
                <w:sz w:val="16"/>
                <w:szCs w:val="16"/>
              </w:rPr>
              <w:t>Inorgânico com cobre</w:t>
            </w:r>
          </w:p>
        </w:tc>
        <w:tc>
          <w:tcPr>
            <w:tcW w:w="1417" w:type="dxa"/>
            <w:tcBorders>
              <w:top w:val="single" w:sz="2" w:space="0" w:color="808080"/>
              <w:left w:val="nil"/>
              <w:bottom w:val="single" w:sz="12" w:space="0" w:color="808080"/>
              <w:right w:val="nil"/>
            </w:tcBorders>
            <w:tcMar>
              <w:left w:w="28" w:type="dxa"/>
              <w:right w:w="28" w:type="dxa"/>
            </w:tcMar>
          </w:tcPr>
          <w:p w:rsidR="00EA206C" w:rsidRPr="00916F2E" w:rsidRDefault="00477FF9" w:rsidP="00BE6E6E">
            <w:pPr>
              <w:spacing w:before="120" w:after="120" w:line="240" w:lineRule="auto"/>
              <w:jc w:val="left"/>
              <w:rPr>
                <w:sz w:val="16"/>
                <w:szCs w:val="16"/>
              </w:rPr>
            </w:pPr>
            <w:r>
              <w:rPr>
                <w:sz w:val="16"/>
                <w:szCs w:val="16"/>
              </w:rPr>
              <w:t>preventivo</w:t>
            </w:r>
          </w:p>
        </w:tc>
        <w:tc>
          <w:tcPr>
            <w:tcW w:w="1134" w:type="dxa"/>
            <w:tcBorders>
              <w:top w:val="single" w:sz="2" w:space="0" w:color="808080"/>
              <w:left w:val="nil"/>
              <w:bottom w:val="single" w:sz="12" w:space="0" w:color="808080"/>
              <w:right w:val="nil"/>
            </w:tcBorders>
            <w:tcMar>
              <w:left w:w="28" w:type="dxa"/>
              <w:right w:w="28" w:type="dxa"/>
            </w:tcMar>
          </w:tcPr>
          <w:p w:rsidR="00EA206C" w:rsidRDefault="00391E64" w:rsidP="00BE6E6E">
            <w:pPr>
              <w:spacing w:before="120" w:after="120" w:line="240" w:lineRule="auto"/>
              <w:jc w:val="left"/>
              <w:rPr>
                <w:sz w:val="16"/>
                <w:szCs w:val="16"/>
                <w:vertAlign w:val="superscript"/>
              </w:rPr>
            </w:pPr>
            <w:r>
              <w:rPr>
                <w:sz w:val="16"/>
                <w:szCs w:val="16"/>
              </w:rPr>
              <w:t>700</w:t>
            </w:r>
            <w:r w:rsidRPr="00916F2E">
              <w:rPr>
                <w:sz w:val="16"/>
                <w:szCs w:val="16"/>
              </w:rPr>
              <w:t xml:space="preserve"> g L</w:t>
            </w:r>
            <w:r w:rsidRPr="00916F2E">
              <w:rPr>
                <w:sz w:val="16"/>
                <w:szCs w:val="16"/>
                <w:vertAlign w:val="superscript"/>
              </w:rPr>
              <w:t>-1</w:t>
            </w:r>
          </w:p>
          <w:p w:rsidR="008014D2" w:rsidRDefault="008014D2" w:rsidP="00BE6E6E">
            <w:pPr>
              <w:spacing w:before="120" w:after="120" w:line="240" w:lineRule="auto"/>
              <w:jc w:val="left"/>
              <w:rPr>
                <w:sz w:val="16"/>
                <w:szCs w:val="16"/>
              </w:rPr>
            </w:pPr>
          </w:p>
          <w:p w:rsidR="008014D2" w:rsidRPr="008014D2" w:rsidRDefault="008014D2" w:rsidP="00BE6E6E">
            <w:pPr>
              <w:spacing w:before="120" w:after="120" w:line="240" w:lineRule="auto"/>
              <w:jc w:val="left"/>
              <w:rPr>
                <w:sz w:val="16"/>
                <w:szCs w:val="16"/>
              </w:rPr>
            </w:pPr>
            <w:r>
              <w:rPr>
                <w:sz w:val="16"/>
                <w:szCs w:val="16"/>
              </w:rPr>
              <w:t>300 ml/hl</w:t>
            </w:r>
          </w:p>
          <w:p w:rsidR="008014D2" w:rsidRPr="00916F2E" w:rsidRDefault="008014D2" w:rsidP="00BE6E6E">
            <w:pPr>
              <w:spacing w:before="120" w:after="120" w:line="240" w:lineRule="auto"/>
              <w:jc w:val="left"/>
              <w:rPr>
                <w:sz w:val="16"/>
                <w:szCs w:val="16"/>
                <w:lang w:val="it-IT"/>
              </w:rPr>
            </w:pPr>
          </w:p>
        </w:tc>
        <w:tc>
          <w:tcPr>
            <w:tcW w:w="1418" w:type="dxa"/>
            <w:tcBorders>
              <w:top w:val="single" w:sz="2" w:space="0" w:color="808080"/>
              <w:left w:val="nil"/>
              <w:bottom w:val="single" w:sz="12" w:space="0" w:color="808080"/>
              <w:right w:val="nil"/>
            </w:tcBorders>
            <w:tcMar>
              <w:left w:w="28" w:type="dxa"/>
              <w:right w:w="28" w:type="dxa"/>
            </w:tcMar>
          </w:tcPr>
          <w:p w:rsidR="00EA206C" w:rsidRPr="00916F2E" w:rsidRDefault="00391E64" w:rsidP="00BE6E6E">
            <w:pPr>
              <w:spacing w:before="120" w:after="120" w:line="240" w:lineRule="auto"/>
              <w:jc w:val="left"/>
              <w:rPr>
                <w:sz w:val="16"/>
                <w:szCs w:val="16"/>
              </w:rPr>
            </w:pPr>
            <w:r w:rsidRPr="00916F2E">
              <w:rPr>
                <w:sz w:val="16"/>
                <w:szCs w:val="16"/>
              </w:rPr>
              <w:t>suspensão concentrada (SC)</w:t>
            </w:r>
          </w:p>
        </w:tc>
        <w:tc>
          <w:tcPr>
            <w:tcW w:w="1443" w:type="dxa"/>
            <w:tcBorders>
              <w:top w:val="single" w:sz="2" w:space="0" w:color="808080"/>
              <w:left w:val="nil"/>
              <w:bottom w:val="single" w:sz="12" w:space="0" w:color="808080"/>
              <w:right w:val="nil"/>
            </w:tcBorders>
            <w:tcMar>
              <w:left w:w="28" w:type="dxa"/>
              <w:right w:w="28" w:type="dxa"/>
            </w:tcMar>
          </w:tcPr>
          <w:p w:rsidR="00EA206C" w:rsidRPr="00916F2E" w:rsidRDefault="00391E64" w:rsidP="00BE6E6E">
            <w:pPr>
              <w:spacing w:before="120" w:after="120" w:line="240" w:lineRule="auto"/>
              <w:jc w:val="left"/>
              <w:rPr>
                <w:sz w:val="16"/>
                <w:szCs w:val="16"/>
              </w:rPr>
            </w:pPr>
            <w:r>
              <w:rPr>
                <w:sz w:val="16"/>
                <w:szCs w:val="16"/>
              </w:rPr>
              <w:t>nociv</w:t>
            </w:r>
            <w:r w:rsidRPr="00916F2E">
              <w:rPr>
                <w:sz w:val="16"/>
                <w:szCs w:val="16"/>
              </w:rPr>
              <w:t>o; não contaminar as águas. Perigoso para organismos aquáticos. Não aplicar em terrenos agrícolas adjacentes a cursos de água. Não utilizar as sementes tratadas na alimentação humana ou animal</w:t>
            </w:r>
          </w:p>
        </w:tc>
      </w:tr>
    </w:tbl>
    <w:p w:rsidR="00D67F4F" w:rsidRDefault="00D67F4F" w:rsidP="001A146F"/>
    <w:p w:rsidR="00983896" w:rsidRPr="007516FB" w:rsidRDefault="00983896" w:rsidP="00983896">
      <w:r w:rsidRPr="007516FB">
        <w:lastRenderedPageBreak/>
        <w:t xml:space="preserve">A selecção dos fungicidas em ensaio teve </w:t>
      </w:r>
      <w:r w:rsidR="00F02BF9">
        <w:t>p</w:t>
      </w:r>
      <w:r w:rsidRPr="007516FB">
        <w:t>o</w:t>
      </w:r>
      <w:r w:rsidR="00F02BF9">
        <w:t>r</w:t>
      </w:r>
      <w:r w:rsidRPr="007516FB">
        <w:t xml:space="preserve"> base as diferenças entre substâncias activas, modos de acção e épocas de aplicação bem como a eficácia biológica já demonstrada (Rego </w:t>
      </w:r>
      <w:r w:rsidR="006F2254" w:rsidRPr="006F2254">
        <w:rPr>
          <w:i/>
        </w:rPr>
        <w:t>et al.</w:t>
      </w:r>
      <w:r w:rsidRPr="007516FB">
        <w:t xml:space="preserve">, 2007; Nascimento </w:t>
      </w:r>
      <w:r w:rsidR="006F2254" w:rsidRPr="006F2254">
        <w:rPr>
          <w:i/>
        </w:rPr>
        <w:t>et al.</w:t>
      </w:r>
      <w:r w:rsidR="000D5093">
        <w:rPr>
          <w:i/>
        </w:rPr>
        <w:t>,</w:t>
      </w:r>
      <w:r w:rsidR="00C378C4">
        <w:t xml:space="preserve"> 2007</w:t>
      </w:r>
      <w:r w:rsidRPr="007516FB">
        <w:t xml:space="preserve">). </w:t>
      </w:r>
    </w:p>
    <w:p w:rsidR="00CD2679" w:rsidRDefault="00CD2679" w:rsidP="006A765F">
      <w:pPr>
        <w:pStyle w:val="Estilo1"/>
      </w:pPr>
      <w:r>
        <w:rPr>
          <w:noProof/>
          <w:shd w:val="clear" w:color="auto" w:fill="auto"/>
          <w:lang w:eastAsia="pt-PT"/>
        </w:rPr>
        <w:drawing>
          <wp:anchor distT="0" distB="0" distL="114300" distR="114300" simplePos="0" relativeHeight="251692032" behindDoc="1" locked="0" layoutInCell="1" allowOverlap="1">
            <wp:simplePos x="0" y="0"/>
            <wp:positionH relativeFrom="column">
              <wp:posOffset>566420</wp:posOffset>
            </wp:positionH>
            <wp:positionV relativeFrom="paragraph">
              <wp:posOffset>1136015</wp:posOffset>
            </wp:positionV>
            <wp:extent cx="2329815" cy="1851660"/>
            <wp:effectExtent l="19050" t="19050" r="13335" b="15240"/>
            <wp:wrapTight wrapText="bothSides">
              <wp:wrapPolygon edited="0">
                <wp:start x="-177" y="-222"/>
                <wp:lineTo x="-177" y="21778"/>
                <wp:lineTo x="21724" y="21778"/>
                <wp:lineTo x="21724" y="-222"/>
                <wp:lineTo x="-177" y="-222"/>
              </wp:wrapPolygon>
            </wp:wrapTight>
            <wp:docPr id="19" name="Imagem 4" descr="H:\Nova pasta (5)\DSC0128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Nova pasta (5)\DSC01280.JPG"/>
                    <pic:cNvPicPr>
                      <a:picLocks noChangeAspect="1" noChangeArrowheads="1"/>
                    </pic:cNvPicPr>
                  </pic:nvPicPr>
                  <pic:blipFill>
                    <a:blip r:embed="rId29" cstate="print"/>
                    <a:srcRect t="24987" b="15827"/>
                    <a:stretch>
                      <a:fillRect/>
                    </a:stretch>
                  </pic:blipFill>
                  <pic:spPr bwMode="auto">
                    <a:xfrm>
                      <a:off x="0" y="0"/>
                      <a:ext cx="2329815" cy="1851660"/>
                    </a:xfrm>
                    <a:prstGeom prst="rect">
                      <a:avLst/>
                    </a:prstGeom>
                    <a:noFill/>
                    <a:ln w="12700">
                      <a:solidFill>
                        <a:schemeClr val="tx1"/>
                      </a:solidFill>
                      <a:miter lim="800000"/>
                      <a:headEnd/>
                      <a:tailEnd/>
                    </a:ln>
                  </pic:spPr>
                </pic:pic>
              </a:graphicData>
            </a:graphic>
          </wp:anchor>
        </w:drawing>
      </w:r>
      <w:r>
        <w:rPr>
          <w:noProof/>
          <w:shd w:val="clear" w:color="auto" w:fill="auto"/>
          <w:lang w:eastAsia="pt-PT"/>
        </w:rPr>
        <w:drawing>
          <wp:anchor distT="0" distB="0" distL="114300" distR="114300" simplePos="0" relativeHeight="251693056" behindDoc="1" locked="0" layoutInCell="1" allowOverlap="1">
            <wp:simplePos x="0" y="0"/>
            <wp:positionH relativeFrom="column">
              <wp:posOffset>3071495</wp:posOffset>
            </wp:positionH>
            <wp:positionV relativeFrom="paragraph">
              <wp:posOffset>1136015</wp:posOffset>
            </wp:positionV>
            <wp:extent cx="2363470" cy="1851660"/>
            <wp:effectExtent l="19050" t="19050" r="17780" b="15240"/>
            <wp:wrapTopAndBottom/>
            <wp:docPr id="15" name="Imagem 5" descr="H:\Nova pasta (5)\DSC0128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Nova pasta (5)\DSC01283.JPG"/>
                    <pic:cNvPicPr>
                      <a:picLocks noChangeAspect="1" noChangeArrowheads="1"/>
                    </pic:cNvPicPr>
                  </pic:nvPicPr>
                  <pic:blipFill>
                    <a:blip r:embed="rId30" cstate="print"/>
                    <a:srcRect l="4281"/>
                    <a:stretch>
                      <a:fillRect/>
                    </a:stretch>
                  </pic:blipFill>
                  <pic:spPr bwMode="auto">
                    <a:xfrm>
                      <a:off x="0" y="0"/>
                      <a:ext cx="2363470" cy="1851660"/>
                    </a:xfrm>
                    <a:prstGeom prst="rect">
                      <a:avLst/>
                    </a:prstGeom>
                    <a:noFill/>
                    <a:ln w="12700">
                      <a:solidFill>
                        <a:schemeClr val="tx1"/>
                      </a:solidFill>
                      <a:miter lim="800000"/>
                      <a:headEnd/>
                      <a:tailEnd/>
                    </a:ln>
                  </pic:spPr>
                </pic:pic>
              </a:graphicData>
            </a:graphic>
          </wp:anchor>
        </w:drawing>
      </w:r>
      <w:r w:rsidR="00C672B7" w:rsidRPr="00C043D5">
        <w:t xml:space="preserve">Os tratamentos foram realizados com um pulverizador manual de dorso </w:t>
      </w:r>
      <w:r w:rsidR="008057D0">
        <w:t xml:space="preserve">Matabi Super Green </w:t>
      </w:r>
      <w:r w:rsidR="00C672B7" w:rsidRPr="00C043D5">
        <w:t>(alto volume)</w:t>
      </w:r>
      <w:r w:rsidR="000D5093">
        <w:t>.</w:t>
      </w:r>
      <w:r w:rsidR="00E36673">
        <w:t xml:space="preserve"> Em cada um dos tratamento</w:t>
      </w:r>
      <w:r w:rsidR="000D5093">
        <w:t>s,</w:t>
      </w:r>
      <w:r w:rsidR="00E36673">
        <w:t xml:space="preserve"> o </w:t>
      </w:r>
      <w:r w:rsidR="000D5093">
        <w:t>volume de calda utilizado</w:t>
      </w:r>
      <w:r w:rsidR="00E36673">
        <w:t xml:space="preserve"> foi de 150 L/</w:t>
      </w:r>
      <w:r w:rsidR="000D5093">
        <w:t>ha</w:t>
      </w:r>
      <w:r w:rsidR="00E36673">
        <w:t xml:space="preserve"> (tratamento de Inverno) e 200</w:t>
      </w:r>
      <w:r w:rsidR="000D5093">
        <w:t xml:space="preserve"> </w:t>
      </w:r>
      <w:r w:rsidR="00E36673">
        <w:t>L /ha (tratamento de Primavera)</w:t>
      </w:r>
      <w:r w:rsidR="000D5093">
        <w:t>, respectivamente.</w:t>
      </w:r>
      <w:r w:rsidR="00E36673">
        <w:t xml:space="preserve"> </w:t>
      </w:r>
      <w:r w:rsidR="008C08B9">
        <w:t>Na Figura 3.6</w:t>
      </w:r>
      <w:r w:rsidR="003F2C11">
        <w:t xml:space="preserve"> exemplifica-se o m</w:t>
      </w:r>
      <w:r w:rsidR="00DC09A7">
        <w:t xml:space="preserve">étodo de tratamento </w:t>
      </w:r>
      <w:r w:rsidR="003F2C11">
        <w:t>das videiras em ensaio.</w:t>
      </w:r>
    </w:p>
    <w:p w:rsidR="008057D0" w:rsidRDefault="00EB3060" w:rsidP="00CD2679">
      <w:r>
        <w:rPr>
          <w:noProof/>
          <w:shd w:val="clear" w:color="auto" w:fill="auto"/>
          <w:lang w:eastAsia="pt-PT"/>
        </w:rPr>
        <w:pict>
          <v:shape id="_x0000_s1139" type="#_x0000_t202" style="position:absolute;left:0;text-align:left;margin-left:64.55pt;margin-top:160.2pt;width:318.5pt;height:51.6pt;z-index:251667456" wrapcoords="-53 0 -53 21000 21600 21000 21600 0 -53 0" stroked="f">
            <v:textbox style="mso-next-textbox:#_x0000_s1139;mso-fit-shape-to-text:t" inset="0,0,0,0">
              <w:txbxContent>
                <w:p w:rsidR="003E4AC6" w:rsidRPr="008724C9" w:rsidRDefault="003E4AC6" w:rsidP="00F02BF9">
                  <w:pPr>
                    <w:pStyle w:val="Legenda"/>
                    <w:ind w:left="851" w:hanging="851"/>
                  </w:pPr>
                  <w:bookmarkStart w:id="60" w:name="_Toc264890324"/>
                  <w:r w:rsidRPr="008724C9">
                    <w:t xml:space="preserve">Figura </w:t>
                  </w:r>
                  <w:fldSimple w:instr=" STYLEREF 1 \s ">
                    <w:r w:rsidR="00E2640D">
                      <w:rPr>
                        <w:noProof/>
                      </w:rPr>
                      <w:t>3</w:t>
                    </w:r>
                  </w:fldSimple>
                  <w:r>
                    <w:t>.6</w:t>
                  </w:r>
                  <w:r w:rsidRPr="008724C9">
                    <w:t>. Pulverização manual do ensaio contra o “black</w:t>
                  </w:r>
                  <w:r>
                    <w:t xml:space="preserve"> dead arm” e escoriose na casta </w:t>
                  </w:r>
                  <w:r w:rsidRPr="008724C9">
                    <w:t>Aragonês</w:t>
                  </w:r>
                  <w:bookmarkEnd w:id="60"/>
                  <w:r>
                    <w:t xml:space="preserve"> e pormenor do estado fenológico de uma videira.</w:t>
                  </w:r>
                </w:p>
              </w:txbxContent>
            </v:textbox>
            <w10:wrap type="tight"/>
          </v:shape>
        </w:pict>
      </w:r>
    </w:p>
    <w:p w:rsidR="00CD2679" w:rsidRDefault="00CD2679" w:rsidP="006A765F">
      <w:pPr>
        <w:pStyle w:val="Estilo1"/>
      </w:pPr>
    </w:p>
    <w:p w:rsidR="00CD2679" w:rsidRDefault="00CD2679" w:rsidP="006A765F">
      <w:pPr>
        <w:pStyle w:val="Estilo1"/>
      </w:pPr>
    </w:p>
    <w:p w:rsidR="008057D0" w:rsidRPr="00FE70E1" w:rsidRDefault="003F2C11" w:rsidP="006A765F">
      <w:pPr>
        <w:pStyle w:val="Estilo1"/>
      </w:pPr>
      <w:r w:rsidRPr="00FE70E1">
        <w:t xml:space="preserve">Os restantes </w:t>
      </w:r>
      <w:r w:rsidR="008057D0" w:rsidRPr="00FE70E1">
        <w:t xml:space="preserve">tratamentos efectuados à parcela em ensaio foram realizados de acordo com as condições meteorológicas </w:t>
      </w:r>
      <w:r w:rsidR="000D5093" w:rsidRPr="00FE70E1">
        <w:t xml:space="preserve">que ocorreram </w:t>
      </w:r>
      <w:r w:rsidR="008057D0" w:rsidRPr="00FE70E1">
        <w:t>na Quinta, a fenologia das videiras e a pres</w:t>
      </w:r>
      <w:r w:rsidR="00D4799F" w:rsidRPr="00FE70E1">
        <w:t>são de inó</w:t>
      </w:r>
      <w:r w:rsidR="008057D0" w:rsidRPr="00FE70E1">
        <w:t>culo em anos anteriores.</w:t>
      </w:r>
      <w:r w:rsidRPr="00FE70E1">
        <w:t xml:space="preserve"> As videiras em ensaio não foram alvo de poda em verde.</w:t>
      </w:r>
    </w:p>
    <w:p w:rsidR="008337DB" w:rsidRPr="00FE70E1" w:rsidRDefault="008337DB" w:rsidP="00B73BBD">
      <w:pPr>
        <w:pStyle w:val="Ttulo3"/>
      </w:pPr>
      <w:bookmarkStart w:id="61" w:name="_Toc264890304"/>
      <w:r w:rsidRPr="00FE70E1">
        <w:t>Parâmetros avaliados</w:t>
      </w:r>
      <w:bookmarkEnd w:id="61"/>
    </w:p>
    <w:p w:rsidR="00C672B7" w:rsidRDefault="00DC09A7" w:rsidP="006A765F">
      <w:pPr>
        <w:pStyle w:val="Estilo1"/>
      </w:pPr>
      <w:r w:rsidRPr="00FE70E1">
        <w:t>Em cada ano de ensaio, a</w:t>
      </w:r>
      <w:r w:rsidR="00C672B7" w:rsidRPr="00FE70E1">
        <w:t xml:space="preserve"> percentagem de sarmentos infectados </w:t>
      </w:r>
      <w:r w:rsidR="000A4653" w:rsidRPr="00FE70E1">
        <w:t>(incidência da doença)</w:t>
      </w:r>
      <w:r w:rsidR="000A4653" w:rsidRPr="00FE70E1">
        <w:rPr>
          <w:b/>
        </w:rPr>
        <w:t xml:space="preserve"> </w:t>
      </w:r>
      <w:r w:rsidR="00222688" w:rsidRPr="00FE70E1">
        <w:t>e</w:t>
      </w:r>
      <w:r w:rsidR="000A4653" w:rsidRPr="00FE70E1">
        <w:t xml:space="preserve"> a percentagem de superfície necrosada nos sarmentos infectados (severidade da doença) foi avaliada numa população total de 540 videiras (18 modalidades x 10 repetições x 3 videiras = 540 videiras) e </w:t>
      </w:r>
      <w:r w:rsidR="00222688" w:rsidRPr="00FE70E1">
        <w:t xml:space="preserve">em </w:t>
      </w:r>
      <w:r w:rsidRPr="00FE70E1">
        <w:t xml:space="preserve">cerca de </w:t>
      </w:r>
      <w:r w:rsidR="000A4653" w:rsidRPr="00FE70E1">
        <w:t>3780 sarm</w:t>
      </w:r>
      <w:r w:rsidRPr="00FE70E1">
        <w:t>entos</w:t>
      </w:r>
      <w:r w:rsidR="00222688" w:rsidRPr="00FE70E1">
        <w:t>,</w:t>
      </w:r>
      <w:r w:rsidRPr="00FE70E1">
        <w:t xml:space="preserve"> </w:t>
      </w:r>
      <w:r w:rsidR="00222688" w:rsidRPr="00FE70E1">
        <w:t>atendendo ao facto de que,</w:t>
      </w:r>
      <w:r w:rsidRPr="00FE70E1">
        <w:t xml:space="preserve"> cada videira tinha</w:t>
      </w:r>
      <w:r w:rsidR="000A4653" w:rsidRPr="00FE70E1">
        <w:t xml:space="preserve"> em média sete sarmentos</w:t>
      </w:r>
      <w:r w:rsidR="00C672B7" w:rsidRPr="00FE70E1">
        <w:t>. Para efeitos de análise, consider</w:t>
      </w:r>
      <w:r w:rsidR="00637FDE" w:rsidRPr="00FE70E1">
        <w:t>a-se o va</w:t>
      </w:r>
      <w:r w:rsidR="00C672B7" w:rsidRPr="00FE70E1">
        <w:t xml:space="preserve">lor médio do </w:t>
      </w:r>
      <w:r w:rsidR="00637FDE" w:rsidRPr="00FE70E1">
        <w:t>número</w:t>
      </w:r>
      <w:r w:rsidR="00C672B7" w:rsidRPr="00FE70E1">
        <w:t xml:space="preserve"> de sarmentos infectados, face ao to</w:t>
      </w:r>
      <w:r w:rsidR="00637FDE" w:rsidRPr="00FE70E1">
        <w:t>t</w:t>
      </w:r>
      <w:r w:rsidR="00C672B7" w:rsidRPr="00FE70E1">
        <w:t>al de sarmentos</w:t>
      </w:r>
      <w:r w:rsidR="00637FDE" w:rsidRPr="00FE70E1">
        <w:t xml:space="preserve"> </w:t>
      </w:r>
      <w:r w:rsidR="00C672B7" w:rsidRPr="00FE70E1">
        <w:t>(</w:t>
      </w:r>
      <w:r w:rsidR="000A4653" w:rsidRPr="00FE70E1">
        <w:t xml:space="preserve">incidência - </w:t>
      </w:r>
      <w:r w:rsidR="00C672B7" w:rsidRPr="00FE70E1">
        <w:t>%) e o valor médio da percentagem de infecção nos sarmentos exibido por cada unidade experimental</w:t>
      </w:r>
      <w:r w:rsidR="000A4653" w:rsidRPr="00FE70E1">
        <w:t xml:space="preserve"> (severidade - %)</w:t>
      </w:r>
      <w:r w:rsidR="00C672B7" w:rsidRPr="00FE70E1">
        <w:t>.</w:t>
      </w:r>
    </w:p>
    <w:p w:rsidR="008337DB" w:rsidRPr="001A146F" w:rsidRDefault="008337DB" w:rsidP="00B73BBD">
      <w:pPr>
        <w:pStyle w:val="Ttulo3"/>
      </w:pPr>
      <w:bookmarkStart w:id="62" w:name="_Toc264890305"/>
      <w:r w:rsidRPr="001A146F">
        <w:lastRenderedPageBreak/>
        <w:t>Análise estatística dos dados</w:t>
      </w:r>
      <w:bookmarkEnd w:id="62"/>
    </w:p>
    <w:p w:rsidR="006661B7" w:rsidRDefault="000A4653" w:rsidP="006A765F">
      <w:pPr>
        <w:pStyle w:val="Estilo1"/>
      </w:pPr>
      <w:r w:rsidRPr="00C043D5">
        <w:t xml:space="preserve">Os resultados foram submetidos a análise da variância (ANOVA) com efeitos fixos e distribuição normal, utilizando um delineamento a dois factores (época de tratamento; fungicida), totalmente casualizados </w:t>
      </w:r>
      <w:r w:rsidRPr="00FE70E1">
        <w:t>e um nível de significância de 0,05,</w:t>
      </w:r>
      <w:r w:rsidRPr="00C043D5">
        <w:t xml:space="preserve"> com recurso ao programa STATISTICA 6.0. Os valores expressos em percentagens sofreram transformação angular (arcsen</w:t>
      </w:r>
      <w:r w:rsidRPr="00C043D5">
        <w:sym w:font="Symbol" w:char="F0D6"/>
      </w:r>
      <w:r w:rsidRPr="00C043D5">
        <w:t>x), antes de se proceder à ANOVA. A comparação dos valores médios dos resultados obtidos foi realizada através dos testes de Tukey HSD (com nível de significância de 0,05).</w:t>
      </w:r>
    </w:p>
    <w:p w:rsidR="00F661DF" w:rsidRDefault="00F661DF">
      <w:pPr>
        <w:spacing w:after="0" w:line="240" w:lineRule="auto"/>
        <w:jc w:val="left"/>
      </w:pPr>
      <w:r>
        <w:br w:type="page"/>
      </w:r>
    </w:p>
    <w:p w:rsidR="002A2611" w:rsidRPr="00277AB0" w:rsidRDefault="00095C5B" w:rsidP="00277AB0">
      <w:pPr>
        <w:pStyle w:val="Ttulo1"/>
      </w:pPr>
      <w:bookmarkStart w:id="63" w:name="_Toc264890306"/>
      <w:r w:rsidRPr="00277AB0">
        <w:lastRenderedPageBreak/>
        <w:t>Resultados</w:t>
      </w:r>
      <w:r w:rsidR="000339FC">
        <w:t xml:space="preserve"> e Discussão</w:t>
      </w:r>
      <w:bookmarkEnd w:id="63"/>
    </w:p>
    <w:p w:rsidR="00A7344A" w:rsidRPr="00277AB0" w:rsidRDefault="00A7344A" w:rsidP="00277AB0">
      <w:pPr>
        <w:pStyle w:val="Ttulo2"/>
      </w:pPr>
      <w:bookmarkStart w:id="64" w:name="_Toc264890307"/>
      <w:r w:rsidRPr="00277AB0">
        <w:t xml:space="preserve">Epidemiologia de </w:t>
      </w:r>
      <w:r w:rsidR="00016F11" w:rsidRPr="00016F11">
        <w:rPr>
          <w:i/>
        </w:rPr>
        <w:t>Botryosphaeria</w:t>
      </w:r>
      <w:r w:rsidRPr="00277AB0">
        <w:t>ceae na parcela em estudo</w:t>
      </w:r>
      <w:bookmarkEnd w:id="64"/>
    </w:p>
    <w:p w:rsidR="005054ED" w:rsidRPr="00403F50" w:rsidRDefault="005054ED" w:rsidP="006A765F">
      <w:pPr>
        <w:pStyle w:val="Estilo1"/>
      </w:pPr>
      <w:r w:rsidRPr="00403F50">
        <w:t xml:space="preserve">A análise dos dados meteorológicos obtidos no decurso </w:t>
      </w:r>
      <w:r w:rsidR="00DC09A7">
        <w:t>do primeiro ano de ensaio</w:t>
      </w:r>
      <w:r w:rsidR="00403F50">
        <w:t xml:space="preserve">, período de Novembro de 2007 a Outubro de 2008, </w:t>
      </w:r>
      <w:r w:rsidRPr="00403F50">
        <w:t xml:space="preserve">permite constatar que </w:t>
      </w:r>
      <w:r w:rsidR="00403F50">
        <w:t>apenas ocorreu precipitação nos meses de Novembro, Fevereiro, Abril e Maio. P</w:t>
      </w:r>
      <w:r w:rsidRPr="00403F50">
        <w:t xml:space="preserve">ara o ensaio, relativo à black dead arm e escoriose, poderá ter sido fundamental </w:t>
      </w:r>
      <w:r w:rsidR="00403F50">
        <w:t xml:space="preserve">para </w:t>
      </w:r>
      <w:r w:rsidRPr="00403F50">
        <w:t>o início da infecção</w:t>
      </w:r>
      <w:r w:rsidR="00403F50">
        <w:t>,</w:t>
      </w:r>
      <w:r w:rsidRPr="00403F50">
        <w:t xml:space="preserve"> as quedas pluviométricas registadas no mês de Fevereiro, a par de uma temperatura média mensal de 11,2ºC</w:t>
      </w:r>
      <w:r w:rsidR="004044F7">
        <w:t xml:space="preserve"> (Figura 4.1)</w:t>
      </w:r>
      <w:r w:rsidRPr="00403F50">
        <w:t xml:space="preserve">. </w:t>
      </w:r>
    </w:p>
    <w:p w:rsidR="007064E8" w:rsidRPr="00C262C2" w:rsidRDefault="007064E8" w:rsidP="006A765F">
      <w:pPr>
        <w:pStyle w:val="Estilo1"/>
      </w:pPr>
      <w:r w:rsidRPr="004773B5">
        <w:t>Quanto ao período decorrido entre Novembro de 2008 e Junho de 2009</w:t>
      </w:r>
      <w:r w:rsidR="00DC09A7">
        <w:t>, correspondente ao segundo ano de ensaio,</w:t>
      </w:r>
      <w:r w:rsidRPr="004773B5">
        <w:t xml:space="preserve"> verificou-se que ocorreu precipitação nos meses de Dezembro, Janeiro e Fevereiro. As temperaturas médias estiveram sempre acima dos 9ºC, excepto em Janeiro </w:t>
      </w:r>
      <w:r w:rsidR="00DC09A7">
        <w:t xml:space="preserve">de 2009 </w:t>
      </w:r>
      <w:r w:rsidRPr="004773B5">
        <w:t>em que foi 7,5ºC</w:t>
      </w:r>
      <w:r>
        <w:t xml:space="preserve">. </w:t>
      </w:r>
      <w:r w:rsidRPr="004773B5">
        <w:t>No mês de Fevereiro, as condições meteorológicas foram favoráveis à doença, quer em termos de pluviosidade (37,5 mm) quer de temperatura</w:t>
      </w:r>
      <w:r w:rsidR="00DC09A7">
        <w:t xml:space="preserve"> </w:t>
      </w:r>
      <w:r w:rsidRPr="004773B5">
        <w:t xml:space="preserve">10ºC. As elevadas temperaturas que se fizeram sentir posteriormente, associadas </w:t>
      </w:r>
      <w:r>
        <w:t>à aus</w:t>
      </w:r>
      <w:r w:rsidRPr="004773B5">
        <w:t>ência de quedas pluviométricas terão sido desfavoráveis à evolução da doença em 2009</w:t>
      </w:r>
      <w:r w:rsidR="005B011D">
        <w:t xml:space="preserve"> (Figura 4.1)</w:t>
      </w:r>
      <w:r>
        <w:t>.</w:t>
      </w:r>
    </w:p>
    <w:p w:rsidR="00EF5549" w:rsidRPr="00C262C2" w:rsidRDefault="00EB3060" w:rsidP="00294ADB">
      <w:pPr>
        <w:rPr>
          <w:rFonts w:ascii="Arial Narrow" w:hAnsi="Arial Narrow"/>
        </w:rPr>
      </w:pPr>
      <w:r>
        <w:rPr>
          <w:rFonts w:ascii="Arial Narrow" w:hAnsi="Arial Narrow"/>
          <w:noProof/>
          <w:shd w:val="clear" w:color="auto" w:fill="auto"/>
          <w:lang w:eastAsia="pt-PT"/>
        </w:rPr>
        <w:pict>
          <v:shape id="_x0000_s1147" type="#_x0000_t202" style="position:absolute;left:0;text-align:left;margin-left:1.85pt;margin-top:254.5pt;width:457.05pt;height:37.8pt;z-index:251672576" wrapcoords="-53 0 -53 21000 21600 21000 21600 0 -53 0" stroked="f">
            <v:textbox style="mso-next-textbox:#_x0000_s1147;mso-fit-shape-to-text:t" inset="0,0,0,0">
              <w:txbxContent>
                <w:p w:rsidR="003E4AC6" w:rsidRPr="00C37A87" w:rsidRDefault="003E4AC6" w:rsidP="00C37A87">
                  <w:pPr>
                    <w:pStyle w:val="Legenda"/>
                  </w:pPr>
                  <w:bookmarkStart w:id="65" w:name="_Toc264890325"/>
                  <w:r w:rsidRPr="00C37A87">
                    <w:t xml:space="preserve">Figura </w:t>
                  </w:r>
                  <w:fldSimple w:instr=" STYLEREF 1 \s ">
                    <w:r w:rsidR="00E2640D">
                      <w:rPr>
                        <w:noProof/>
                      </w:rPr>
                      <w:t>4</w:t>
                    </w:r>
                  </w:fldSimple>
                  <w:r>
                    <w:t>.</w:t>
                  </w:r>
                  <w:fldSimple w:instr=" SEQ Figura \* ARABIC \s 1 ">
                    <w:r w:rsidR="00E2640D">
                      <w:rPr>
                        <w:noProof/>
                      </w:rPr>
                      <w:t>1</w:t>
                    </w:r>
                  </w:fldSimple>
                  <w:r w:rsidRPr="00C37A87">
                    <w:t>. Evolução meteorológica de Novembro de 2007 a Junho de 2009: precipitação (mm) e temperatura média (ºC)</w:t>
                  </w:r>
                  <w:bookmarkEnd w:id="65"/>
                </w:p>
              </w:txbxContent>
            </v:textbox>
            <w10:wrap type="tight"/>
          </v:shape>
        </w:pict>
      </w:r>
      <w:r w:rsidR="00A26989">
        <w:rPr>
          <w:noProof/>
          <w:lang w:eastAsia="pt-PT"/>
        </w:rPr>
        <w:drawing>
          <wp:inline distT="0" distB="0" distL="0" distR="0">
            <wp:extent cx="5756910" cy="3196590"/>
            <wp:effectExtent l="19050" t="0" r="0" b="0"/>
            <wp:docPr id="5" name="Imagem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1" cstate="print"/>
                    <a:srcRect/>
                    <a:stretch>
                      <a:fillRect/>
                    </a:stretch>
                  </pic:blipFill>
                  <pic:spPr bwMode="auto">
                    <a:xfrm>
                      <a:off x="0" y="0"/>
                      <a:ext cx="5756910" cy="3196590"/>
                    </a:xfrm>
                    <a:prstGeom prst="rect">
                      <a:avLst/>
                    </a:prstGeom>
                    <a:noFill/>
                    <a:ln w="9525">
                      <a:noFill/>
                      <a:miter lim="800000"/>
                      <a:headEnd/>
                      <a:tailEnd/>
                    </a:ln>
                  </pic:spPr>
                </pic:pic>
              </a:graphicData>
            </a:graphic>
          </wp:inline>
        </w:drawing>
      </w:r>
    </w:p>
    <w:p w:rsidR="00C37A87" w:rsidRDefault="00C37A87" w:rsidP="006A765F">
      <w:pPr>
        <w:pStyle w:val="Estilo1"/>
      </w:pPr>
    </w:p>
    <w:p w:rsidR="00E92A8F" w:rsidRDefault="00E92A8F" w:rsidP="006A765F">
      <w:pPr>
        <w:pStyle w:val="Estilo1"/>
      </w:pPr>
      <w:r>
        <w:lastRenderedPageBreak/>
        <w:t>No período em estudo</w:t>
      </w:r>
      <w:r w:rsidR="004773B5">
        <w:t xml:space="preserve"> (Novembro de 2007 a Junho de 2009)</w:t>
      </w:r>
      <w:r w:rsidR="00970682">
        <w:t xml:space="preserve">, das 36 recolhas de lâminas efectuadas </w:t>
      </w:r>
      <w:r w:rsidR="0089541D">
        <w:t xml:space="preserve">e </w:t>
      </w:r>
      <w:r w:rsidR="00970682">
        <w:t xml:space="preserve">após isolamento, só se obtiveram isolados de </w:t>
      </w:r>
      <w:r w:rsidR="00016F11" w:rsidRPr="00016F11">
        <w:rPr>
          <w:i/>
        </w:rPr>
        <w:t>Botryosphaeria</w:t>
      </w:r>
      <w:r w:rsidR="00970682">
        <w:t>ceae em 11 colheitas. Todas estas capturas ocorreram durante ou na sequência de períodos com alguma pluviosidade (Figura</w:t>
      </w:r>
      <w:r w:rsidR="004044F7">
        <w:t xml:space="preserve"> 4.1 e 4.2</w:t>
      </w:r>
      <w:r w:rsidR="00A178C1">
        <w:t>). A partir destas</w:t>
      </w:r>
      <w:r w:rsidRPr="004C19E0">
        <w:t xml:space="preserve"> lâminas-armadilha colocadas </w:t>
      </w:r>
      <w:r>
        <w:t>nas videiras</w:t>
      </w:r>
      <w:r w:rsidRPr="004C19E0">
        <w:t xml:space="preserve"> dispersas pela </w:t>
      </w:r>
      <w:r w:rsidR="00FC2DE7">
        <w:t>parcela em ensaio</w:t>
      </w:r>
      <w:r w:rsidR="00FC2DE7" w:rsidRPr="00FE70E1">
        <w:t>, foram identificadas</w:t>
      </w:r>
      <w:r w:rsidRPr="004C19E0">
        <w:t xml:space="preserve"> colónias</w:t>
      </w:r>
      <w:r w:rsidR="00A178C1">
        <w:t>/esporos</w:t>
      </w:r>
      <w:r w:rsidRPr="004C19E0">
        <w:t xml:space="preserve"> de </w:t>
      </w:r>
      <w:r w:rsidR="00016F11" w:rsidRPr="00016F11">
        <w:rPr>
          <w:i/>
        </w:rPr>
        <w:t>Botryosphaeria</w:t>
      </w:r>
      <w:r>
        <w:t>ceae.</w:t>
      </w:r>
    </w:p>
    <w:p w:rsidR="00E92A8F" w:rsidRDefault="00EB3060" w:rsidP="00294ADB">
      <w:pPr>
        <w:pStyle w:val="SemEspaamento"/>
        <w:spacing w:after="200" w:line="360" w:lineRule="auto"/>
        <w:jc w:val="both"/>
        <w:rPr>
          <w:rFonts w:ascii="Arial" w:hAnsi="Arial" w:cs="Arial"/>
        </w:rPr>
      </w:pPr>
      <w:r>
        <w:rPr>
          <w:rFonts w:ascii="Arial" w:hAnsi="Arial" w:cs="Arial"/>
          <w:noProof/>
          <w:lang w:eastAsia="pt-PT"/>
        </w:rPr>
        <w:pict>
          <v:shape id="_x0000_s1148" type="#_x0000_t202" style="position:absolute;left:0;text-align:left;margin-left:5.75pt;margin-top:179.55pt;width:450.8pt;height:37.8pt;z-index:251673600" wrapcoords="-53 0 -53 21000 21600 21000 21600 0 -53 0" stroked="f">
            <v:textbox style="mso-next-textbox:#_x0000_s1148;mso-fit-shape-to-text:t" inset="0,0,0,0">
              <w:txbxContent>
                <w:p w:rsidR="003E4AC6" w:rsidRPr="00C37A87" w:rsidRDefault="003E4AC6" w:rsidP="00C37A87">
                  <w:pPr>
                    <w:pStyle w:val="Legenda"/>
                  </w:pPr>
                  <w:bookmarkStart w:id="66" w:name="_Toc264890326"/>
                  <w:r w:rsidRPr="00C37A87">
                    <w:t xml:space="preserve">Figura </w:t>
                  </w:r>
                  <w:fldSimple w:instr=" STYLEREF 1 \s ">
                    <w:r w:rsidR="00E2640D">
                      <w:rPr>
                        <w:noProof/>
                      </w:rPr>
                      <w:t>4</w:t>
                    </w:r>
                  </w:fldSimple>
                  <w:r>
                    <w:t>.</w:t>
                  </w:r>
                  <w:fldSimple w:instr=" SEQ Figura \* ARABIC \s 1 ">
                    <w:r w:rsidR="00E2640D">
                      <w:rPr>
                        <w:noProof/>
                      </w:rPr>
                      <w:t>2</w:t>
                    </w:r>
                  </w:fldSimple>
                  <w:r w:rsidRPr="00C37A87">
                    <w:t xml:space="preserve">. Número de esporos de Botryosphaeriaceae capturados </w:t>
                  </w:r>
                  <w:r>
                    <w:t xml:space="preserve">nas vinte </w:t>
                  </w:r>
                  <w:r w:rsidRPr="004C19E0">
                    <w:t>lâminas-armadilha</w:t>
                  </w:r>
                  <w:r>
                    <w:t xml:space="preserve"> </w:t>
                  </w:r>
                  <w:r w:rsidRPr="00C37A87">
                    <w:t xml:space="preserve">e </w:t>
                  </w:r>
                  <w:r>
                    <w:t>respectiva data de captura</w:t>
                  </w:r>
                  <w:bookmarkEnd w:id="66"/>
                  <w:r>
                    <w:t>, entre 1 de Janeiro de 2008 e 15 de Junho de 2009</w:t>
                  </w:r>
                </w:p>
              </w:txbxContent>
            </v:textbox>
            <w10:wrap type="tight"/>
          </v:shape>
        </w:pict>
      </w:r>
      <w:r w:rsidR="00A26989">
        <w:rPr>
          <w:noProof/>
          <w:lang w:eastAsia="pt-PT"/>
        </w:rPr>
        <w:drawing>
          <wp:inline distT="0" distB="0" distL="0" distR="0">
            <wp:extent cx="5753596" cy="2274073"/>
            <wp:effectExtent l="19050" t="0" r="0" b="0"/>
            <wp:docPr id="6" name="Imagem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32" cstate="print"/>
                    <a:srcRect/>
                    <a:stretch>
                      <a:fillRect/>
                    </a:stretch>
                  </pic:blipFill>
                  <pic:spPr bwMode="auto">
                    <a:xfrm>
                      <a:off x="0" y="0"/>
                      <a:ext cx="5753596" cy="2274073"/>
                    </a:xfrm>
                    <a:prstGeom prst="rect">
                      <a:avLst/>
                    </a:prstGeom>
                    <a:noFill/>
                    <a:ln w="9525">
                      <a:noFill/>
                      <a:miter lim="800000"/>
                      <a:headEnd/>
                      <a:tailEnd/>
                    </a:ln>
                  </pic:spPr>
                </pic:pic>
              </a:graphicData>
            </a:graphic>
          </wp:inline>
        </w:drawing>
      </w:r>
    </w:p>
    <w:p w:rsidR="006B490F" w:rsidRDefault="006B490F" w:rsidP="00C37A87">
      <w:pPr>
        <w:pStyle w:val="Estilo1"/>
      </w:pPr>
    </w:p>
    <w:p w:rsidR="00294ADB" w:rsidRDefault="00A178C1" w:rsidP="00C37A87">
      <w:pPr>
        <w:pStyle w:val="Estilo1"/>
      </w:pPr>
      <w:r>
        <w:t>Tal como já se referiu, d</w:t>
      </w:r>
      <w:r w:rsidR="00294ADB">
        <w:t>a a</w:t>
      </w:r>
      <w:r w:rsidR="00834176">
        <w:t>nálise comparativa das Figura 4.1 e 4.2</w:t>
      </w:r>
      <w:r w:rsidR="00294ADB">
        <w:t xml:space="preserve"> </w:t>
      </w:r>
      <w:r>
        <w:t>conclui-se</w:t>
      </w:r>
      <w:r w:rsidR="00294ADB">
        <w:t xml:space="preserve"> que todas as capturas ocorreram durante ou na sequência de períodos de alguma pluviosidade. As temperaturas médias nestes períodos de recolha de esporos variaram entre os 7,5</w:t>
      </w:r>
      <w:r w:rsidR="00294ADB" w:rsidRPr="004773B5">
        <w:t>ºC</w:t>
      </w:r>
      <w:r w:rsidR="00294ADB">
        <w:t xml:space="preserve"> e os 14,5</w:t>
      </w:r>
      <w:r w:rsidR="00294ADB" w:rsidRPr="004773B5">
        <w:t>ºC</w:t>
      </w:r>
      <w:r w:rsidR="00294ADB">
        <w:t xml:space="preserve">. O valor máximo de recolha de esporos ocorreu em Abril e Maio de 2008, período em que para além da precipitação ocorreram igualmente temperaturas mais elevadas. </w:t>
      </w:r>
    </w:p>
    <w:p w:rsidR="001536E2" w:rsidRPr="00277AB0" w:rsidRDefault="00722E7B" w:rsidP="001536E2">
      <w:pPr>
        <w:pStyle w:val="Estilo1"/>
      </w:pPr>
      <w:r>
        <w:t>O número reduzido de capturas durante o período de Inverno pode ser justificado</w:t>
      </w:r>
      <w:r w:rsidR="00294ADB">
        <w:t xml:space="preserve"> pelos dois anos reconhecidamente secos em que decorreu o ensaio. Estas condições afectaram o vigor vegetativo das videiras e limitaram o desenvolvimento de outras doenças </w:t>
      </w:r>
      <w:r w:rsidR="00EF5549">
        <w:t xml:space="preserve">de ocorrência habitual, podendo as mesmas condições terem limitado a libertação de esporos de </w:t>
      </w:r>
      <w:r w:rsidR="00016F11" w:rsidRPr="00016F11">
        <w:rPr>
          <w:i/>
        </w:rPr>
        <w:t>Botryosphaeria</w:t>
      </w:r>
      <w:r w:rsidR="00EF5549">
        <w:t>ceae.</w:t>
      </w:r>
    </w:p>
    <w:p w:rsidR="000339FC" w:rsidRDefault="000339FC" w:rsidP="000339FC">
      <w:r>
        <w:t xml:space="preserve">Os resultados obtidos nos estudos de epidemiologia evidenciaram uma relação clara entre os períodos de precipitação e a libertação de esporos de </w:t>
      </w:r>
      <w:r w:rsidR="00016F11" w:rsidRPr="00016F11">
        <w:rPr>
          <w:i/>
        </w:rPr>
        <w:t>Botryosphaeria</w:t>
      </w:r>
      <w:r>
        <w:t>ceae. Os esporos foram capturados no final do Inverno e início da Primavera em épocas em que ocorreu precipitação. O número máximo de captura de esporos ocorreu em Abril e Maio de 2008</w:t>
      </w:r>
      <w:r w:rsidRPr="002D063C">
        <w:t xml:space="preserve"> </w:t>
      </w:r>
      <w:r>
        <w:t xml:space="preserve">e Fevereiro de 2009, correspondendo à </w:t>
      </w:r>
      <w:r w:rsidR="006B490F">
        <w:t>ocorrência</w:t>
      </w:r>
      <w:r>
        <w:t xml:space="preserve"> de temperaturas mais amenas. O período </w:t>
      </w:r>
      <w:r>
        <w:lastRenderedPageBreak/>
        <w:t xml:space="preserve">de precipitação mais elevada em 2008, o mês de Abril, conduziu à captura de um número elevado de esporos (95 esporos) mas no ano seguinte provavelmente tal não ocorreu em Janeiro dado que se registaram temperaturas mais baixas. Um estudo semelhante de captura de esporos de </w:t>
      </w:r>
      <w:r w:rsidR="00016F11" w:rsidRPr="00016F11">
        <w:rPr>
          <w:i/>
        </w:rPr>
        <w:t>Botryosphaeria</w:t>
      </w:r>
      <w:r>
        <w:t xml:space="preserve">ceae foi recentemente conduzido na região da Alsácia em França (Kuntzmann </w:t>
      </w:r>
      <w:r w:rsidR="006F2254" w:rsidRPr="006F2254">
        <w:rPr>
          <w:i/>
        </w:rPr>
        <w:t>et al.</w:t>
      </w:r>
      <w:r>
        <w:t xml:space="preserve"> 2009). Tal como se registou nesse estudo, um número elevado de esporos de </w:t>
      </w:r>
      <w:r w:rsidR="00016F11" w:rsidRPr="00016F11">
        <w:rPr>
          <w:i/>
        </w:rPr>
        <w:t>Botryosphaeria</w:t>
      </w:r>
      <w:r>
        <w:t>ceae foi capturado nos períodos em que ocorreu precipitação. Igualmente as capturas mais elevadas ocorreram antes ou após o abrolhamento no inicio do ciclo vegetativo. No entanto, as condições meteorológicas que ocorreram na Alsácia (precipitação elevada e ao longo de todo o ano) foram bastante diferentes das que ocorreram nos anos em que decorreu o ensaio no Alentejo que, se caracterizaram por ser particularmente secos. Assim a frequência com que foram capturados esporos ao longo de todo o ano na Alsácia não é comparável à frequência menor de capturas no Alentejo.</w:t>
      </w:r>
    </w:p>
    <w:p w:rsidR="000339FC" w:rsidRPr="00FE70E1" w:rsidRDefault="00FC043F" w:rsidP="000339FC">
      <w:r>
        <w:t xml:space="preserve">A prática de rega </w:t>
      </w:r>
      <w:r w:rsidRPr="00FE70E1">
        <w:t>por asper</w:t>
      </w:r>
      <w:r w:rsidR="000339FC" w:rsidRPr="00FE70E1">
        <w:t xml:space="preserve">são pode igualmente influenciar a dispersão de esporos de </w:t>
      </w:r>
      <w:r w:rsidR="00016F11" w:rsidRPr="00FE70E1">
        <w:rPr>
          <w:i/>
        </w:rPr>
        <w:t>Botryosphaeria</w:t>
      </w:r>
      <w:r w:rsidR="000339FC" w:rsidRPr="00FE70E1">
        <w:t xml:space="preserve">ceae (Michaildes </w:t>
      </w:r>
      <w:r w:rsidR="006F2254" w:rsidRPr="00FE70E1">
        <w:rPr>
          <w:i/>
        </w:rPr>
        <w:t>et al.</w:t>
      </w:r>
      <w:r w:rsidR="000339FC" w:rsidRPr="00FE70E1">
        <w:rPr>
          <w:i/>
        </w:rPr>
        <w:t xml:space="preserve"> </w:t>
      </w:r>
      <w:r w:rsidR="000339FC" w:rsidRPr="00FE70E1">
        <w:t xml:space="preserve">1993), contudo na parcela de ensaio não se realizou este tipo de rega. </w:t>
      </w:r>
    </w:p>
    <w:p w:rsidR="000339FC" w:rsidRDefault="000339FC" w:rsidP="000339FC">
      <w:r w:rsidRPr="00FE70E1">
        <w:t>Nesta vinha a poda é normalmente efectuada durante o período de repouso vegetativo entre Dezembro e Janeiro o que muitas vezes coincide com a época em que ocorre precipitação e consequentemente a época em que há libertação de esporos. As feridas da poda tornam-se</w:t>
      </w:r>
      <w:r w:rsidR="00C378C4" w:rsidRPr="00FE70E1">
        <w:t>,</w:t>
      </w:r>
      <w:r w:rsidRPr="00FE70E1">
        <w:t xml:space="preserve"> neste cont</w:t>
      </w:r>
      <w:r w:rsidR="00C378C4" w:rsidRPr="00FE70E1">
        <w:t>exto, particularmente susceptíveis</w:t>
      </w:r>
      <w:r w:rsidRPr="00FE70E1">
        <w:t xml:space="preserve"> à ocorrência de infecções. Têm sido implementadas com êxito medidas culturais para</w:t>
      </w:r>
      <w:r>
        <w:t xml:space="preserve"> a eutipiose que incluem tratamento de feridas da poda (Rolshausen e Gubler, 2005, Sosnowski </w:t>
      </w:r>
      <w:r w:rsidR="006F2254" w:rsidRPr="006F2254">
        <w:rPr>
          <w:i/>
        </w:rPr>
        <w:t>et al.</w:t>
      </w:r>
      <w:r>
        <w:t xml:space="preserve"> 2008) e a poda tardia, o mais próximo possível do abrolhamento. Estas medidas preventivas podem igualmente ser úteis na redução das infecções de </w:t>
      </w:r>
      <w:r w:rsidR="00016F11" w:rsidRPr="00016F11">
        <w:rPr>
          <w:i/>
        </w:rPr>
        <w:t>Botryosphaeria</w:t>
      </w:r>
      <w:r>
        <w:t xml:space="preserve">ceae. Como nem sempre é viável a realização de poda tardia, particularmente em áreas extensas de vinha a aplicação de um tratamento de protecção de feridas da poda pode ser </w:t>
      </w:r>
      <w:r w:rsidR="00FC043F">
        <w:t xml:space="preserve">da maior </w:t>
      </w:r>
      <w:r w:rsidR="00FC043F" w:rsidRPr="00FE70E1">
        <w:t>importância no control</w:t>
      </w:r>
      <w:r w:rsidR="00C378C4" w:rsidRPr="00FE70E1">
        <w:t>o</w:t>
      </w:r>
      <w:r w:rsidRPr="00FE70E1">
        <w:t xml:space="preserve"> da doença</w:t>
      </w:r>
      <w:r>
        <w:t>.</w:t>
      </w:r>
    </w:p>
    <w:p w:rsidR="00D67F4F" w:rsidRDefault="00D67F4F">
      <w:pPr>
        <w:spacing w:after="0" w:line="240" w:lineRule="auto"/>
        <w:jc w:val="left"/>
        <w:rPr>
          <w:shd w:val="clear" w:color="auto" w:fill="auto"/>
        </w:rPr>
      </w:pPr>
      <w:r>
        <w:br w:type="page"/>
      </w:r>
    </w:p>
    <w:p w:rsidR="00A178C1" w:rsidRPr="00512B11" w:rsidRDefault="00A178C1" w:rsidP="00B73BBD">
      <w:pPr>
        <w:pStyle w:val="Ttulo2"/>
      </w:pPr>
      <w:bookmarkStart w:id="67" w:name="_Toc264890308"/>
      <w:r>
        <w:lastRenderedPageBreak/>
        <w:t xml:space="preserve">Ensaio de campo contra </w:t>
      </w:r>
      <w:r w:rsidRPr="00512B11">
        <w:t xml:space="preserve">o “black dead arm” e de </w:t>
      </w:r>
      <w:r>
        <w:t>escoriose da videira</w:t>
      </w:r>
      <w:bookmarkEnd w:id="67"/>
    </w:p>
    <w:p w:rsidR="00A178C1" w:rsidRPr="00A67CD5" w:rsidRDefault="00A178C1" w:rsidP="00B73BBD">
      <w:pPr>
        <w:pStyle w:val="Ttulo3"/>
        <w:rPr>
          <w:lang w:val="pt-PT"/>
        </w:rPr>
      </w:pPr>
      <w:bookmarkStart w:id="68" w:name="_Toc264890309"/>
      <w:bookmarkStart w:id="69" w:name="_Toc125186922"/>
      <w:r w:rsidRPr="00A67CD5">
        <w:rPr>
          <w:lang w:val="pt-PT"/>
        </w:rPr>
        <w:t>Colheita de videiras doentes, isolamentos microbiológicos e identificação de fungos</w:t>
      </w:r>
      <w:bookmarkEnd w:id="68"/>
    </w:p>
    <w:bookmarkEnd w:id="69"/>
    <w:p w:rsidR="002F2B3B" w:rsidRPr="00FE70E1" w:rsidRDefault="002F2B3B" w:rsidP="00D547C3">
      <w:pPr>
        <w:pStyle w:val="Estilo1"/>
      </w:pPr>
      <w:r w:rsidRPr="002F2B3B">
        <w:t>Dos is</w:t>
      </w:r>
      <w:r>
        <w:t>olamentos efectuados a partir das</w:t>
      </w:r>
      <w:r w:rsidRPr="002F2B3B">
        <w:t xml:space="preserve"> videiras da casta </w:t>
      </w:r>
      <w:r>
        <w:t>Aragonês</w:t>
      </w:r>
      <w:r w:rsidRPr="002F2B3B">
        <w:t xml:space="preserve">, colhidas para amostragem na </w:t>
      </w:r>
      <w:r>
        <w:t xml:space="preserve">parcela de ensaio </w:t>
      </w:r>
      <w:r w:rsidRPr="002F2B3B">
        <w:t xml:space="preserve">e que apresentavam sintomatologia </w:t>
      </w:r>
      <w:r w:rsidR="00E83B9E" w:rsidRPr="00FE70E1">
        <w:t xml:space="preserve">comparável </w:t>
      </w:r>
      <w:r w:rsidR="00FC043F" w:rsidRPr="00FE70E1">
        <w:t>à</w:t>
      </w:r>
      <w:r w:rsidR="00E83B9E" w:rsidRPr="00FE70E1">
        <w:t xml:space="preserve"> que ocorre nas</w:t>
      </w:r>
      <w:r w:rsidRPr="00FE70E1">
        <w:t xml:space="preserve"> doenças do lenho obtiveram-se como principais fungos fitopatogénicos isolados de </w:t>
      </w:r>
      <w:r w:rsidR="00016F11" w:rsidRPr="00FE70E1">
        <w:rPr>
          <w:i/>
        </w:rPr>
        <w:t>Botryosphaeria</w:t>
      </w:r>
      <w:r w:rsidRPr="00FE70E1">
        <w:t xml:space="preserve">ceae e de </w:t>
      </w:r>
      <w:r w:rsidRPr="00FE70E1">
        <w:rPr>
          <w:i/>
        </w:rPr>
        <w:t>Phomopsis viticola</w:t>
      </w:r>
      <w:r w:rsidRPr="00FE70E1">
        <w:t xml:space="preserve">. Os critérios que permitiram a identificação </w:t>
      </w:r>
      <w:r w:rsidRPr="007D027C">
        <w:t xml:space="preserve">dos géneros ou espécies referidas são sucintamente resumidos no Quadro </w:t>
      </w:r>
      <w:r w:rsidR="004044F7" w:rsidRPr="007D027C">
        <w:t>4.1</w:t>
      </w:r>
      <w:r w:rsidR="008A7465" w:rsidRPr="007D027C">
        <w:t>.</w:t>
      </w:r>
    </w:p>
    <w:p w:rsidR="002F2B3B" w:rsidRPr="008A7465" w:rsidRDefault="00C37A87" w:rsidP="00C37A87">
      <w:pPr>
        <w:pStyle w:val="Legenda"/>
      </w:pPr>
      <w:bookmarkStart w:id="70" w:name="_Toc264890333"/>
      <w:r w:rsidRPr="00FE70E1">
        <w:t xml:space="preserve">Quadro </w:t>
      </w:r>
      <w:fldSimple w:instr=" STYLEREF 1 \s ">
        <w:r w:rsidR="00E2640D">
          <w:rPr>
            <w:noProof/>
          </w:rPr>
          <w:t>4</w:t>
        </w:r>
      </w:fldSimple>
      <w:r w:rsidRPr="00FE70E1">
        <w:t>.</w:t>
      </w:r>
      <w:fldSimple w:instr=" SEQ Quadro \* ARABIC \s 1 ">
        <w:r w:rsidR="00E2640D">
          <w:rPr>
            <w:noProof/>
          </w:rPr>
          <w:t>1</w:t>
        </w:r>
      </w:fldSimple>
      <w:r w:rsidRPr="00FE70E1">
        <w:t>. Principais características morfológicas e culturais (em meio de cultura PDA) dos fungos isolados do lenho de videiras da casta Aragonês, colhidas na parcela em ensaio</w:t>
      </w:r>
      <w:bookmarkEnd w:id="70"/>
    </w:p>
    <w:tbl>
      <w:tblPr>
        <w:tblW w:w="5000"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tblPr>
      <w:tblGrid>
        <w:gridCol w:w="2093"/>
        <w:gridCol w:w="1842"/>
        <w:gridCol w:w="1419"/>
        <w:gridCol w:w="1558"/>
        <w:gridCol w:w="2374"/>
      </w:tblGrid>
      <w:tr w:rsidR="001443D1" w:rsidRPr="002F2B3B" w:rsidTr="00C378C4">
        <w:trPr>
          <w:jc w:val="center"/>
        </w:trPr>
        <w:tc>
          <w:tcPr>
            <w:tcW w:w="1127" w:type="pct"/>
            <w:vAlign w:val="center"/>
          </w:tcPr>
          <w:p w:rsidR="002F2B3B" w:rsidRPr="005B011D" w:rsidRDefault="00C378C4" w:rsidP="00C378C4">
            <w:pPr>
              <w:spacing w:after="120" w:line="240" w:lineRule="auto"/>
              <w:jc w:val="center"/>
              <w:rPr>
                <w:b/>
                <w:sz w:val="18"/>
                <w:szCs w:val="18"/>
              </w:rPr>
            </w:pPr>
            <w:r w:rsidRPr="007D027C">
              <w:rPr>
                <w:b/>
                <w:sz w:val="18"/>
                <w:szCs w:val="18"/>
              </w:rPr>
              <w:t>FUNGO</w:t>
            </w:r>
          </w:p>
        </w:tc>
        <w:tc>
          <w:tcPr>
            <w:tcW w:w="992" w:type="pct"/>
            <w:vAlign w:val="center"/>
          </w:tcPr>
          <w:p w:rsidR="002F2B3B" w:rsidRPr="005B011D" w:rsidRDefault="002F2B3B" w:rsidP="00C378C4">
            <w:pPr>
              <w:spacing w:after="120" w:line="240" w:lineRule="auto"/>
              <w:jc w:val="center"/>
              <w:rPr>
                <w:b/>
                <w:sz w:val="18"/>
                <w:szCs w:val="18"/>
              </w:rPr>
            </w:pPr>
            <w:r w:rsidRPr="005B011D">
              <w:rPr>
                <w:b/>
                <w:sz w:val="18"/>
                <w:szCs w:val="18"/>
              </w:rPr>
              <w:t>Colónias em PDA</w:t>
            </w:r>
          </w:p>
        </w:tc>
        <w:tc>
          <w:tcPr>
            <w:tcW w:w="764" w:type="pct"/>
            <w:vAlign w:val="center"/>
          </w:tcPr>
          <w:p w:rsidR="002F2B3B" w:rsidRPr="005B011D" w:rsidRDefault="001443D1" w:rsidP="00C378C4">
            <w:pPr>
              <w:spacing w:after="120" w:line="240" w:lineRule="auto"/>
              <w:jc w:val="center"/>
              <w:rPr>
                <w:b/>
                <w:sz w:val="18"/>
                <w:szCs w:val="18"/>
              </w:rPr>
            </w:pPr>
            <w:r w:rsidRPr="005B011D">
              <w:rPr>
                <w:b/>
                <w:sz w:val="18"/>
                <w:szCs w:val="18"/>
              </w:rPr>
              <w:t xml:space="preserve">Crescimento </w:t>
            </w:r>
            <w:r w:rsidR="002F2B3B" w:rsidRPr="005B011D">
              <w:rPr>
                <w:b/>
                <w:sz w:val="18"/>
                <w:szCs w:val="18"/>
              </w:rPr>
              <w:t>micelial</w:t>
            </w:r>
          </w:p>
        </w:tc>
        <w:tc>
          <w:tcPr>
            <w:tcW w:w="839" w:type="pct"/>
            <w:shd w:val="clear" w:color="auto" w:fill="auto"/>
            <w:vAlign w:val="center"/>
          </w:tcPr>
          <w:p w:rsidR="002F2B3B" w:rsidRPr="005B011D" w:rsidRDefault="002F2B3B" w:rsidP="00C378C4">
            <w:pPr>
              <w:spacing w:after="120" w:line="240" w:lineRule="auto"/>
              <w:jc w:val="center"/>
              <w:rPr>
                <w:b/>
                <w:sz w:val="18"/>
                <w:szCs w:val="18"/>
              </w:rPr>
            </w:pPr>
            <w:r w:rsidRPr="005B011D">
              <w:rPr>
                <w:b/>
                <w:sz w:val="18"/>
                <w:szCs w:val="18"/>
              </w:rPr>
              <w:t>Conidiomata</w:t>
            </w:r>
          </w:p>
        </w:tc>
        <w:tc>
          <w:tcPr>
            <w:tcW w:w="1278" w:type="pct"/>
            <w:shd w:val="clear" w:color="auto" w:fill="auto"/>
            <w:vAlign w:val="center"/>
          </w:tcPr>
          <w:p w:rsidR="002F2B3B" w:rsidRPr="005B011D" w:rsidRDefault="002F2B3B" w:rsidP="00C378C4">
            <w:pPr>
              <w:spacing w:after="120" w:line="240" w:lineRule="auto"/>
              <w:jc w:val="center"/>
              <w:rPr>
                <w:b/>
                <w:sz w:val="18"/>
                <w:szCs w:val="18"/>
              </w:rPr>
            </w:pPr>
            <w:r w:rsidRPr="005B011D">
              <w:rPr>
                <w:b/>
                <w:sz w:val="18"/>
                <w:szCs w:val="18"/>
              </w:rPr>
              <w:t>Tipo de conídios</w:t>
            </w:r>
          </w:p>
        </w:tc>
      </w:tr>
      <w:tr w:rsidR="001443D1" w:rsidRPr="002F2B3B" w:rsidTr="00C378C4">
        <w:trPr>
          <w:jc w:val="center"/>
        </w:trPr>
        <w:tc>
          <w:tcPr>
            <w:tcW w:w="1127" w:type="pct"/>
            <w:vAlign w:val="center"/>
          </w:tcPr>
          <w:p w:rsidR="002F2B3B" w:rsidRPr="005B011D" w:rsidRDefault="00016F11" w:rsidP="00C378C4">
            <w:pPr>
              <w:spacing w:after="120" w:line="240" w:lineRule="auto"/>
              <w:jc w:val="center"/>
              <w:rPr>
                <w:i/>
                <w:sz w:val="18"/>
                <w:szCs w:val="18"/>
              </w:rPr>
            </w:pPr>
            <w:r w:rsidRPr="00016F11">
              <w:rPr>
                <w:i/>
                <w:sz w:val="18"/>
                <w:szCs w:val="18"/>
              </w:rPr>
              <w:t>Botryosphaeria</w:t>
            </w:r>
            <w:r w:rsidR="008A7465" w:rsidRPr="005B011D">
              <w:rPr>
                <w:i/>
                <w:sz w:val="18"/>
                <w:szCs w:val="18"/>
              </w:rPr>
              <w:t>ceae</w:t>
            </w:r>
          </w:p>
        </w:tc>
        <w:tc>
          <w:tcPr>
            <w:tcW w:w="992" w:type="pct"/>
            <w:vAlign w:val="center"/>
          </w:tcPr>
          <w:p w:rsidR="002F2B3B" w:rsidRPr="005B011D" w:rsidRDefault="00C378C4" w:rsidP="00C378C4">
            <w:pPr>
              <w:spacing w:after="120" w:line="240" w:lineRule="auto"/>
              <w:jc w:val="center"/>
              <w:rPr>
                <w:sz w:val="18"/>
                <w:szCs w:val="18"/>
              </w:rPr>
            </w:pPr>
            <w:r w:rsidRPr="005B011D">
              <w:rPr>
                <w:sz w:val="18"/>
                <w:szCs w:val="18"/>
              </w:rPr>
              <w:t>Micélio</w:t>
            </w:r>
            <w:r w:rsidR="002F2B3B" w:rsidRPr="005B011D">
              <w:rPr>
                <w:sz w:val="18"/>
                <w:szCs w:val="18"/>
              </w:rPr>
              <w:t xml:space="preserve"> inicialmente branco, posteriormente cinzento a negro, aéreo e cotonoso, com densidade média.</w:t>
            </w:r>
          </w:p>
        </w:tc>
        <w:tc>
          <w:tcPr>
            <w:tcW w:w="764" w:type="pct"/>
            <w:vAlign w:val="center"/>
          </w:tcPr>
          <w:p w:rsidR="002F2B3B" w:rsidRPr="005B011D" w:rsidRDefault="00C378C4" w:rsidP="00C378C4">
            <w:pPr>
              <w:spacing w:after="120" w:line="240" w:lineRule="auto"/>
              <w:jc w:val="center"/>
              <w:rPr>
                <w:sz w:val="18"/>
                <w:szCs w:val="18"/>
              </w:rPr>
            </w:pPr>
            <w:r w:rsidRPr="005B011D">
              <w:rPr>
                <w:sz w:val="18"/>
                <w:szCs w:val="18"/>
              </w:rPr>
              <w:t>Rápido</w:t>
            </w:r>
          </w:p>
        </w:tc>
        <w:tc>
          <w:tcPr>
            <w:tcW w:w="839" w:type="pct"/>
            <w:shd w:val="clear" w:color="auto" w:fill="auto"/>
            <w:vAlign w:val="center"/>
          </w:tcPr>
          <w:p w:rsidR="002F2B3B" w:rsidRPr="005B011D" w:rsidRDefault="00C378C4" w:rsidP="00C378C4">
            <w:pPr>
              <w:spacing w:after="120" w:line="240" w:lineRule="auto"/>
              <w:jc w:val="center"/>
              <w:rPr>
                <w:sz w:val="18"/>
                <w:szCs w:val="18"/>
              </w:rPr>
            </w:pPr>
            <w:r w:rsidRPr="005B011D">
              <w:rPr>
                <w:sz w:val="18"/>
                <w:szCs w:val="18"/>
              </w:rPr>
              <w:t>Picnídios</w:t>
            </w:r>
            <w:r w:rsidR="002F2B3B" w:rsidRPr="005B011D">
              <w:rPr>
                <w:sz w:val="18"/>
                <w:szCs w:val="18"/>
              </w:rPr>
              <w:t xml:space="preserve"> negros, isolados ou em estroma, uniloculados, globosos, cinzento acastanhados.</w:t>
            </w:r>
          </w:p>
        </w:tc>
        <w:tc>
          <w:tcPr>
            <w:tcW w:w="1278" w:type="pct"/>
            <w:shd w:val="clear" w:color="auto" w:fill="auto"/>
            <w:vAlign w:val="center"/>
          </w:tcPr>
          <w:p w:rsidR="002F2B3B" w:rsidRPr="005B011D" w:rsidRDefault="00C378C4" w:rsidP="00C378C4">
            <w:pPr>
              <w:spacing w:after="120" w:line="240" w:lineRule="auto"/>
              <w:jc w:val="center"/>
              <w:rPr>
                <w:sz w:val="18"/>
                <w:szCs w:val="18"/>
              </w:rPr>
            </w:pPr>
            <w:r w:rsidRPr="005B011D">
              <w:rPr>
                <w:sz w:val="18"/>
                <w:szCs w:val="18"/>
              </w:rPr>
              <w:t>Inicialmente</w:t>
            </w:r>
            <w:r w:rsidR="002F2B3B" w:rsidRPr="005B011D">
              <w:rPr>
                <w:sz w:val="18"/>
                <w:szCs w:val="18"/>
              </w:rPr>
              <w:t xml:space="preserve"> hialinos, posteriormente oliváceos a castanhoclaros, unicelulares, gotulados, fusiformes a elipsóides, desenvolvendo por vezes um septo.</w:t>
            </w:r>
          </w:p>
        </w:tc>
      </w:tr>
      <w:tr w:rsidR="001443D1" w:rsidRPr="002F2B3B" w:rsidTr="00C378C4">
        <w:trPr>
          <w:jc w:val="center"/>
        </w:trPr>
        <w:tc>
          <w:tcPr>
            <w:tcW w:w="1127" w:type="pct"/>
            <w:vAlign w:val="center"/>
          </w:tcPr>
          <w:p w:rsidR="002F2B3B" w:rsidRPr="005B011D" w:rsidRDefault="002F2B3B" w:rsidP="00C378C4">
            <w:pPr>
              <w:spacing w:after="120" w:line="240" w:lineRule="auto"/>
              <w:jc w:val="center"/>
              <w:rPr>
                <w:i/>
                <w:sz w:val="18"/>
                <w:szCs w:val="18"/>
              </w:rPr>
            </w:pPr>
            <w:r w:rsidRPr="005B011D">
              <w:rPr>
                <w:i/>
                <w:sz w:val="18"/>
                <w:szCs w:val="18"/>
              </w:rPr>
              <w:t>Phomopsis</w:t>
            </w:r>
            <w:r w:rsidR="001443D1" w:rsidRPr="005B011D">
              <w:rPr>
                <w:i/>
                <w:sz w:val="18"/>
                <w:szCs w:val="18"/>
              </w:rPr>
              <w:t xml:space="preserve"> viticola</w:t>
            </w:r>
          </w:p>
        </w:tc>
        <w:tc>
          <w:tcPr>
            <w:tcW w:w="992" w:type="pct"/>
            <w:vAlign w:val="center"/>
          </w:tcPr>
          <w:p w:rsidR="002F2B3B" w:rsidRPr="005B011D" w:rsidRDefault="00C378C4" w:rsidP="00C378C4">
            <w:pPr>
              <w:spacing w:after="120" w:line="240" w:lineRule="auto"/>
              <w:jc w:val="center"/>
              <w:rPr>
                <w:sz w:val="18"/>
                <w:szCs w:val="18"/>
              </w:rPr>
            </w:pPr>
            <w:r w:rsidRPr="005B011D">
              <w:rPr>
                <w:sz w:val="18"/>
                <w:szCs w:val="18"/>
              </w:rPr>
              <w:t>Micélio</w:t>
            </w:r>
            <w:r w:rsidR="00E83B9E" w:rsidRPr="005B011D">
              <w:rPr>
                <w:sz w:val="18"/>
                <w:szCs w:val="18"/>
              </w:rPr>
              <w:t xml:space="preserve"> branco, </w:t>
            </w:r>
            <w:r w:rsidR="002F2B3B" w:rsidRPr="005B011D">
              <w:rPr>
                <w:sz w:val="18"/>
                <w:szCs w:val="18"/>
              </w:rPr>
              <w:t>feltroso a cotonoso, aéreo, com densidade média a forte.</w:t>
            </w:r>
          </w:p>
        </w:tc>
        <w:tc>
          <w:tcPr>
            <w:tcW w:w="764" w:type="pct"/>
            <w:vAlign w:val="center"/>
          </w:tcPr>
          <w:p w:rsidR="002F2B3B" w:rsidRPr="005B011D" w:rsidRDefault="00C378C4" w:rsidP="00C378C4">
            <w:pPr>
              <w:spacing w:after="120" w:line="240" w:lineRule="auto"/>
              <w:jc w:val="center"/>
              <w:rPr>
                <w:i/>
                <w:sz w:val="18"/>
                <w:szCs w:val="18"/>
              </w:rPr>
            </w:pPr>
            <w:r w:rsidRPr="005B011D">
              <w:rPr>
                <w:sz w:val="18"/>
                <w:szCs w:val="18"/>
              </w:rPr>
              <w:t>Lento</w:t>
            </w:r>
          </w:p>
        </w:tc>
        <w:tc>
          <w:tcPr>
            <w:tcW w:w="839" w:type="pct"/>
            <w:shd w:val="clear" w:color="auto" w:fill="auto"/>
            <w:vAlign w:val="center"/>
          </w:tcPr>
          <w:p w:rsidR="002F2B3B" w:rsidRPr="005B011D" w:rsidRDefault="00C378C4" w:rsidP="00C378C4">
            <w:pPr>
              <w:spacing w:after="120" w:line="240" w:lineRule="auto"/>
              <w:jc w:val="center"/>
              <w:rPr>
                <w:sz w:val="18"/>
                <w:szCs w:val="18"/>
              </w:rPr>
            </w:pPr>
            <w:r w:rsidRPr="005B011D">
              <w:rPr>
                <w:sz w:val="18"/>
                <w:szCs w:val="18"/>
              </w:rPr>
              <w:t>Picnídios</w:t>
            </w:r>
            <w:r w:rsidR="002F2B3B" w:rsidRPr="005B011D">
              <w:rPr>
                <w:sz w:val="18"/>
                <w:szCs w:val="18"/>
              </w:rPr>
              <w:t xml:space="preserve"> castanho escuros, isolados e em estroma.</w:t>
            </w:r>
          </w:p>
        </w:tc>
        <w:tc>
          <w:tcPr>
            <w:tcW w:w="1278" w:type="pct"/>
            <w:shd w:val="clear" w:color="auto" w:fill="auto"/>
            <w:vAlign w:val="center"/>
          </w:tcPr>
          <w:p w:rsidR="002F2B3B" w:rsidRPr="005B011D" w:rsidRDefault="00C378C4" w:rsidP="00C378C4">
            <w:pPr>
              <w:spacing w:after="120" w:line="240" w:lineRule="auto"/>
              <w:jc w:val="center"/>
              <w:rPr>
                <w:sz w:val="18"/>
                <w:szCs w:val="18"/>
              </w:rPr>
            </w:pPr>
            <w:r w:rsidRPr="005B011D">
              <w:rPr>
                <w:sz w:val="18"/>
                <w:szCs w:val="18"/>
              </w:rPr>
              <w:t>Conídios</w:t>
            </w:r>
            <w:r w:rsidR="002F2B3B" w:rsidRPr="005B011D">
              <w:rPr>
                <w:sz w:val="18"/>
                <w:szCs w:val="18"/>
              </w:rPr>
              <w:t xml:space="preserve"> </w:t>
            </w:r>
            <w:r w:rsidR="002F2B3B" w:rsidRPr="005B011D">
              <w:rPr>
                <w:sz w:val="18"/>
                <w:szCs w:val="18"/>
              </w:rPr>
              <w:sym w:font="Symbol" w:char="F061"/>
            </w:r>
            <w:r w:rsidR="002F2B3B" w:rsidRPr="005B011D">
              <w:rPr>
                <w:sz w:val="18"/>
                <w:szCs w:val="18"/>
              </w:rPr>
              <w:t>: hialinos, lisos, unicelulares, fusiformes, bigotulados.</w:t>
            </w:r>
          </w:p>
          <w:p w:rsidR="002F2B3B" w:rsidRPr="005B011D" w:rsidRDefault="00C378C4" w:rsidP="00C378C4">
            <w:pPr>
              <w:spacing w:after="120" w:line="240" w:lineRule="auto"/>
              <w:jc w:val="center"/>
              <w:rPr>
                <w:i/>
                <w:sz w:val="18"/>
                <w:szCs w:val="18"/>
              </w:rPr>
            </w:pPr>
            <w:r w:rsidRPr="005B011D">
              <w:rPr>
                <w:sz w:val="18"/>
                <w:szCs w:val="18"/>
              </w:rPr>
              <w:t>Conídios</w:t>
            </w:r>
            <w:r w:rsidR="002F2B3B" w:rsidRPr="005B011D">
              <w:rPr>
                <w:sz w:val="18"/>
                <w:szCs w:val="18"/>
              </w:rPr>
              <w:t xml:space="preserve"> </w:t>
            </w:r>
            <w:r w:rsidR="002F2B3B" w:rsidRPr="005B011D">
              <w:rPr>
                <w:sz w:val="18"/>
                <w:szCs w:val="18"/>
              </w:rPr>
              <w:sym w:font="Symbol" w:char="F062"/>
            </w:r>
            <w:r w:rsidR="002F2B3B" w:rsidRPr="005B011D">
              <w:rPr>
                <w:sz w:val="18"/>
                <w:szCs w:val="18"/>
              </w:rPr>
              <w:t>: unicelulares, hialinos, filiformes, curvos.</w:t>
            </w:r>
          </w:p>
        </w:tc>
      </w:tr>
    </w:tbl>
    <w:p w:rsidR="00E83B9E" w:rsidRPr="006269A1" w:rsidRDefault="00D67F4F" w:rsidP="00B73BBD">
      <w:pPr>
        <w:pStyle w:val="Ttulo3"/>
      </w:pPr>
      <w:r w:rsidRPr="006003D1">
        <w:rPr>
          <w:lang w:val="pt-PT"/>
        </w:rPr>
        <w:t xml:space="preserve"> </w:t>
      </w:r>
      <w:bookmarkStart w:id="71" w:name="_Toc264890310"/>
      <w:r w:rsidR="00E83B9E" w:rsidRPr="00DB697E">
        <w:rPr>
          <w:lang w:val="pt-PT"/>
        </w:rPr>
        <w:t>Incidências</w:t>
      </w:r>
      <w:r w:rsidR="00E83B9E" w:rsidRPr="006269A1">
        <w:t xml:space="preserve"> das doenças</w:t>
      </w:r>
      <w:bookmarkEnd w:id="71"/>
    </w:p>
    <w:p w:rsidR="00F87081" w:rsidRPr="006269A1" w:rsidRDefault="004C2364" w:rsidP="00D547C3">
      <w:pPr>
        <w:pStyle w:val="Estilo1"/>
      </w:pPr>
      <w:r w:rsidRPr="006269A1">
        <w:t>Desde o início do ciclo vegetativo, a</w:t>
      </w:r>
      <w:r w:rsidR="00F87081" w:rsidRPr="006269A1">
        <w:t xml:space="preserve">s videiras foram inspeccionadas quinzenalmente para a pesquisa de sintomas. Foram detectados sintomas ao nível das folhas e dos sarmentos. </w:t>
      </w:r>
      <w:r w:rsidR="00354554" w:rsidRPr="006269A1">
        <w:t>A maioria das videiras com sintomas exibia</w:t>
      </w:r>
      <w:r w:rsidR="00F87081" w:rsidRPr="006269A1">
        <w:t xml:space="preserve"> </w:t>
      </w:r>
      <w:r w:rsidR="00F87081" w:rsidRPr="006269A1">
        <w:rPr>
          <w:lang w:eastAsia="pt-PT"/>
        </w:rPr>
        <w:t>folhas</w:t>
      </w:r>
      <w:r w:rsidR="00F87081" w:rsidRPr="006269A1">
        <w:t xml:space="preserve"> com </w:t>
      </w:r>
      <w:r w:rsidR="00F87081" w:rsidRPr="006269A1">
        <w:rPr>
          <w:lang w:eastAsia="pt-PT"/>
        </w:rPr>
        <w:t xml:space="preserve">necroses entre nervuras semelhantes às referidas para </w:t>
      </w:r>
      <w:r w:rsidR="0054016D">
        <w:rPr>
          <w:lang w:eastAsia="pt-PT"/>
        </w:rPr>
        <w:t>b</w:t>
      </w:r>
      <w:r w:rsidR="00475C3D" w:rsidRPr="006269A1">
        <w:rPr>
          <w:lang w:eastAsia="pt-PT"/>
        </w:rPr>
        <w:t>lack dead arm</w:t>
      </w:r>
      <w:r w:rsidR="00F87081" w:rsidRPr="006269A1">
        <w:rPr>
          <w:lang w:eastAsia="pt-PT"/>
        </w:rPr>
        <w:t>;</w:t>
      </w:r>
      <w:r w:rsidR="00F87081" w:rsidRPr="006269A1">
        <w:t xml:space="preserve"> nos sarmentos observavam-se necroses (cancros) castanho</w:t>
      </w:r>
      <w:r w:rsidR="00475C3D" w:rsidRPr="006269A1">
        <w:t xml:space="preserve">s </w:t>
      </w:r>
      <w:r w:rsidR="00F87081" w:rsidRPr="006269A1">
        <w:t>e alongados que se desenvolvia longitudinalmente ao longo do sarmento</w:t>
      </w:r>
      <w:r w:rsidR="004044F7">
        <w:t xml:space="preserve"> (Figura 4.3</w:t>
      </w:r>
      <w:r w:rsidR="00354554" w:rsidRPr="006269A1">
        <w:t>a)</w:t>
      </w:r>
      <w:r w:rsidR="00D547C3">
        <w:t>.</w:t>
      </w:r>
    </w:p>
    <w:p w:rsidR="00475C3D" w:rsidRPr="00501994" w:rsidRDefault="00EB3060" w:rsidP="00475C3D">
      <w:pPr>
        <w:ind w:left="1"/>
        <w:jc w:val="center"/>
        <w:rPr>
          <w:sz w:val="24"/>
          <w:szCs w:val="24"/>
        </w:rPr>
      </w:pPr>
      <w:r w:rsidRPr="00EB3060">
        <w:rPr>
          <w:noProof/>
          <w:shd w:val="clear" w:color="auto" w:fill="auto"/>
          <w:lang w:eastAsia="pt-PT"/>
        </w:rPr>
        <w:lastRenderedPageBreak/>
        <w:pict>
          <v:shape id="_x0000_s1140" type="#_x0000_t202" style="position:absolute;left:0;text-align:left;margin-left:45.35pt;margin-top:217.05pt;width:390.25pt;height:39.6pt;z-index:251668480" wrapcoords="-53 0 -53 21000 21600 21000 21600 0 -53 0" stroked="f">
            <v:textbox style="mso-next-textbox:#_x0000_s1140" inset="0,0,0,0">
              <w:txbxContent>
                <w:p w:rsidR="003E4AC6" w:rsidRPr="00C37A87" w:rsidRDefault="003E4AC6" w:rsidP="00C37A87">
                  <w:pPr>
                    <w:pStyle w:val="Legenda"/>
                  </w:pPr>
                  <w:bookmarkStart w:id="72" w:name="_Toc264890327"/>
                  <w:r w:rsidRPr="00C37A87">
                    <w:t xml:space="preserve">Figura </w:t>
                  </w:r>
                  <w:fldSimple w:instr=" STYLEREF 1 \s ">
                    <w:r w:rsidR="00E2640D">
                      <w:rPr>
                        <w:noProof/>
                      </w:rPr>
                      <w:t>4</w:t>
                    </w:r>
                  </w:fldSimple>
                  <w:r w:rsidRPr="00C37A87">
                    <w:t>.</w:t>
                  </w:r>
                  <w:fldSimple w:instr=" SEQ Figura \* ARABIC \s 1 ">
                    <w:r w:rsidR="00E2640D">
                      <w:rPr>
                        <w:noProof/>
                      </w:rPr>
                      <w:t>3</w:t>
                    </w:r>
                  </w:fldSimple>
                  <w:r w:rsidRPr="00C37A87">
                    <w:t>. Sintomas de black dead arm (a) e escoriose (b) em sarmentos d</w:t>
                  </w:r>
                  <w:r>
                    <w:t>a casta Aragonês</w:t>
                  </w:r>
                  <w:bookmarkEnd w:id="72"/>
                </w:p>
                <w:p w:rsidR="003E4AC6" w:rsidRPr="008A7465" w:rsidRDefault="003E4AC6" w:rsidP="00C37A87">
                  <w:pPr>
                    <w:pStyle w:val="Legenda"/>
                    <w:rPr>
                      <w:b w:val="0"/>
                      <w:noProof/>
                      <w:sz w:val="22"/>
                      <w:szCs w:val="22"/>
                    </w:rPr>
                  </w:pPr>
                </w:p>
              </w:txbxContent>
            </v:textbox>
            <w10:wrap type="tight"/>
          </v:shape>
        </w:pict>
      </w:r>
      <w:r>
        <w:rPr>
          <w:noProof/>
          <w:sz w:val="24"/>
          <w:szCs w:val="24"/>
          <w:shd w:val="clear" w:color="auto" w:fill="auto"/>
          <w:lang w:eastAsia="pt-PT"/>
        </w:rPr>
        <w:pict>
          <v:shape id="_x0000_s1143" type="#_x0000_t202" style="position:absolute;left:0;text-align:left;margin-left:353.65pt;margin-top:187.35pt;width:29.95pt;height:22.75pt;z-index:251670528;mso-width-relative:margin;mso-height-relative:margin" filled="f" stroked="f">
            <v:textbox style="mso-next-textbox:#_x0000_s1143">
              <w:txbxContent>
                <w:p w:rsidR="003E4AC6" w:rsidRDefault="003E4AC6">
                  <w:r>
                    <w:t>b</w:t>
                  </w:r>
                </w:p>
              </w:txbxContent>
            </v:textbox>
          </v:shape>
        </w:pict>
      </w:r>
      <w:r w:rsidRPr="00EB3060">
        <w:rPr>
          <w:noProof/>
          <w:sz w:val="24"/>
          <w:szCs w:val="24"/>
        </w:rPr>
        <w:pict>
          <v:shape id="_x0000_s1142" type="#_x0000_t202" style="position:absolute;left:0;text-align:left;margin-left:194.75pt;margin-top:187.35pt;width:29.95pt;height:22.75pt;z-index:251669504;mso-width-relative:margin;mso-height-relative:margin" filled="f" stroked="f">
            <v:textbox style="mso-next-textbox:#_x0000_s1142">
              <w:txbxContent>
                <w:p w:rsidR="003E4AC6" w:rsidRDefault="003E4AC6">
                  <w:r>
                    <w:t>a</w:t>
                  </w:r>
                </w:p>
              </w:txbxContent>
            </v:textbox>
          </v:shape>
        </w:pict>
      </w:r>
      <w:r w:rsidR="00A26989">
        <w:rPr>
          <w:noProof/>
          <w:sz w:val="24"/>
          <w:szCs w:val="24"/>
          <w:lang w:eastAsia="pt-PT"/>
        </w:rPr>
        <w:drawing>
          <wp:inline distT="0" distB="0" distL="0" distR="0">
            <wp:extent cx="1995740" cy="2651483"/>
            <wp:effectExtent l="57150" t="19050" r="118810" b="72667"/>
            <wp:docPr id="7" name="Imagem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56344" name="Picture 581"/>
                    <pic:cNvPicPr>
                      <a:picLocks noChangeAspect="1" noChangeArrowheads="1"/>
                    </pic:cNvPicPr>
                  </pic:nvPicPr>
                  <pic:blipFill>
                    <a:blip r:embed="rId33" cstate="print">
                      <a:lum bright="6000" contrast="6000"/>
                    </a:blip>
                    <a:srcRect/>
                    <a:stretch>
                      <a:fillRect/>
                    </a:stretch>
                  </pic:blipFill>
                  <pic:spPr bwMode="auto">
                    <a:xfrm>
                      <a:off x="0" y="0"/>
                      <a:ext cx="1995740" cy="2651483"/>
                    </a:xfrm>
                    <a:prstGeom prst="rect">
                      <a:avLst/>
                    </a:prstGeom>
                    <a:ln w="19050" cap="sq">
                      <a:solidFill>
                        <a:srgbClr val="92D050"/>
                      </a:solidFill>
                      <a:prstDash val="solid"/>
                      <a:miter lim="800000"/>
                    </a:ln>
                    <a:effectLst>
                      <a:outerShdw blurRad="50800" dist="38100" dir="2700000" algn="tl" rotWithShape="0">
                        <a:srgbClr val="000000">
                          <a:alpha val="43000"/>
                        </a:srgbClr>
                      </a:outerShdw>
                    </a:effectLst>
                  </pic:spPr>
                </pic:pic>
              </a:graphicData>
            </a:graphic>
          </wp:inline>
        </w:drawing>
      </w:r>
      <w:r w:rsidR="00A26989">
        <w:rPr>
          <w:noProof/>
          <w:sz w:val="24"/>
          <w:szCs w:val="24"/>
          <w:lang w:eastAsia="pt-PT"/>
        </w:rPr>
        <w:drawing>
          <wp:inline distT="0" distB="0" distL="0" distR="0">
            <wp:extent cx="1941795" cy="2651483"/>
            <wp:effectExtent l="57150" t="19050" r="115605" b="72667"/>
            <wp:docPr id="8" name="Imagem 2" descr="LimaMayer e quinta Carmo 00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6" name="Picture 7" descr="LimaMayer e quinta Carmo 008"/>
                    <pic:cNvPicPr>
                      <a:picLocks noChangeAspect="1" noChangeArrowheads="1"/>
                    </pic:cNvPicPr>
                  </pic:nvPicPr>
                  <pic:blipFill>
                    <a:blip r:embed="rId34" cstate="print"/>
                    <a:srcRect/>
                    <a:stretch>
                      <a:fillRect/>
                    </a:stretch>
                  </pic:blipFill>
                  <pic:spPr>
                    <a:xfrm>
                      <a:off x="0" y="0"/>
                      <a:ext cx="1941795" cy="2651483"/>
                    </a:xfrm>
                    <a:prstGeom prst="rect">
                      <a:avLst/>
                    </a:prstGeom>
                    <a:ln w="19050" cap="sq">
                      <a:solidFill>
                        <a:srgbClr val="92D050"/>
                      </a:solidFill>
                      <a:prstDash val="solid"/>
                      <a:miter lim="800000"/>
                    </a:ln>
                    <a:effectLst>
                      <a:outerShdw blurRad="50800" dist="38100" dir="2700000" algn="tl" rotWithShape="0">
                        <a:srgbClr val="000000">
                          <a:alpha val="43000"/>
                        </a:srgbClr>
                      </a:outerShdw>
                    </a:effectLst>
                  </pic:spPr>
                </pic:pic>
              </a:graphicData>
            </a:graphic>
          </wp:inline>
        </w:drawing>
      </w:r>
    </w:p>
    <w:p w:rsidR="00F87081" w:rsidRPr="00F87081" w:rsidRDefault="00F87081" w:rsidP="001A146F"/>
    <w:p w:rsidR="00475C3D" w:rsidRPr="006269A1" w:rsidRDefault="00475C3D" w:rsidP="00D547C3">
      <w:pPr>
        <w:pStyle w:val="Estilo1"/>
      </w:pPr>
      <w:r w:rsidRPr="006269A1">
        <w:t xml:space="preserve">Outras videiras apresentavam fendilhamento </w:t>
      </w:r>
      <w:r w:rsidR="00354554" w:rsidRPr="006269A1">
        <w:t xml:space="preserve">nos entrenós basais </w:t>
      </w:r>
      <w:r w:rsidRPr="006269A1">
        <w:t xml:space="preserve">dos sarmentos com bordadura violácea, sintomatologia que se enquadra </w:t>
      </w:r>
      <w:r w:rsidR="00354554" w:rsidRPr="006269A1">
        <w:t>na des</w:t>
      </w:r>
      <w:r w:rsidR="008A7465">
        <w:t>c</w:t>
      </w:r>
      <w:r w:rsidR="004044F7">
        <w:t>rita para a escoriose (Figura 4.3</w:t>
      </w:r>
      <w:r w:rsidR="00354554" w:rsidRPr="006269A1">
        <w:t>b)</w:t>
      </w:r>
      <w:r w:rsidRPr="006269A1">
        <w:t xml:space="preserve">. </w:t>
      </w:r>
    </w:p>
    <w:p w:rsidR="00B46DCB" w:rsidRDefault="004044F7" w:rsidP="00D547C3">
      <w:pPr>
        <w:pStyle w:val="Estilo1"/>
      </w:pPr>
      <w:r>
        <w:t>No Quadro 4.2</w:t>
      </w:r>
      <w:r w:rsidR="00FC58C7">
        <w:t xml:space="preserve"> apresenta-se a</w:t>
      </w:r>
      <w:r w:rsidR="00087B49" w:rsidRPr="00C043D5">
        <w:t xml:space="preserve"> análise dos resultados </w:t>
      </w:r>
      <w:r w:rsidR="00E83B9E">
        <w:t xml:space="preserve">relativos à </w:t>
      </w:r>
      <w:r w:rsidR="00E83B9E" w:rsidRPr="00C043D5">
        <w:t xml:space="preserve">incidência </w:t>
      </w:r>
      <w:r w:rsidR="00087B49" w:rsidRPr="00C043D5">
        <w:t>obtidos no ensaio de eficácia de fungicidas no campo, relativamente a fungos do lenho da videira, “</w:t>
      </w:r>
      <w:r w:rsidR="00016F11" w:rsidRPr="00016F11">
        <w:rPr>
          <w:i/>
        </w:rPr>
        <w:t>Botryosphaeria</w:t>
      </w:r>
      <w:r w:rsidR="00087B49" w:rsidRPr="00C043D5">
        <w:rPr>
          <w:i/>
        </w:rPr>
        <w:t>”</w:t>
      </w:r>
      <w:r w:rsidR="00087B49" w:rsidRPr="00C043D5">
        <w:t xml:space="preserve"> spp. e </w:t>
      </w:r>
      <w:r w:rsidR="00087B49" w:rsidRPr="00C043D5">
        <w:rPr>
          <w:i/>
        </w:rPr>
        <w:t xml:space="preserve">Phomopsis </w:t>
      </w:r>
      <w:r w:rsidR="00087B49" w:rsidRPr="00C043D5">
        <w:t>spp.</w:t>
      </w:r>
      <w:r w:rsidR="00E83B9E">
        <w:t xml:space="preserve"> </w:t>
      </w:r>
      <w:r w:rsidR="00FC58C7">
        <w:t xml:space="preserve">No primeiro ano de ensaio </w:t>
      </w:r>
      <w:r w:rsidR="00D022F9">
        <w:t xml:space="preserve">(2008) </w:t>
      </w:r>
      <w:r w:rsidR="00FC58C7">
        <w:t xml:space="preserve">ocorreram diferenças significativas entre </w:t>
      </w:r>
      <w:r w:rsidR="00D022F9">
        <w:t>o</w:t>
      </w:r>
      <w:r w:rsidR="00D022F9" w:rsidRPr="00C043D5">
        <w:t>s resultados relativos à comparação das médias das incidências</w:t>
      </w:r>
      <w:r w:rsidR="00D022F9">
        <w:t xml:space="preserve"> n</w:t>
      </w:r>
      <w:r w:rsidR="00FC58C7">
        <w:t xml:space="preserve">as épocas de aplicação, tendo o tratamento no estado </w:t>
      </w:r>
      <w:r w:rsidR="00B46DCB">
        <w:t>D/E</w:t>
      </w:r>
      <w:r w:rsidR="00FC58C7">
        <w:t xml:space="preserve"> diferido </w:t>
      </w:r>
      <w:r w:rsidR="00D022F9">
        <w:t>significat</w:t>
      </w:r>
      <w:r w:rsidR="004C2364">
        <w:t xml:space="preserve">ivamente dos restantes (Quadro </w:t>
      </w:r>
      <w:r>
        <w:t>4.2</w:t>
      </w:r>
      <w:r w:rsidR="00087B49" w:rsidRPr="00C043D5">
        <w:t xml:space="preserve">). </w:t>
      </w:r>
      <w:r w:rsidR="00D022F9">
        <w:t>No segundo ano de ensaio (2009)</w:t>
      </w:r>
      <w:r w:rsidR="00E83B9E">
        <w:t>,</w:t>
      </w:r>
      <w:r w:rsidR="00D022F9">
        <w:t xml:space="preserve"> o</w:t>
      </w:r>
      <w:r w:rsidR="00087B49" w:rsidRPr="00C043D5">
        <w:t>s resultados relativos à comparação das médias das incidências foram idênticos</w:t>
      </w:r>
      <w:r w:rsidR="00E83B9E">
        <w:t xml:space="preserve"> (Quadro </w:t>
      </w:r>
      <w:r>
        <w:t>4.2</w:t>
      </w:r>
      <w:r w:rsidR="00E83B9E">
        <w:t>)</w:t>
      </w:r>
      <w:r w:rsidR="00D022F9">
        <w:t xml:space="preserve">. Assim sendo, embora se verifique uma tendência para que o tratamento no estado </w:t>
      </w:r>
      <w:r w:rsidR="00CA5E6D">
        <w:t xml:space="preserve">fenológico </w:t>
      </w:r>
      <w:r w:rsidR="00B46DCB">
        <w:t>D/E</w:t>
      </w:r>
      <w:r w:rsidR="00D022F9">
        <w:t xml:space="preserve"> seja o que maior redução causa nas </w:t>
      </w:r>
      <w:r w:rsidR="00D022F9" w:rsidRPr="00C043D5">
        <w:t>incidências</w:t>
      </w:r>
      <w:r w:rsidR="00D022F9">
        <w:t xml:space="preserve"> das doenças, será necessário confirmar este resultado no </w:t>
      </w:r>
      <w:r w:rsidR="00E83B9E">
        <w:t>terceiro ano de ensaio</w:t>
      </w:r>
      <w:r w:rsidR="0054016D">
        <w:t>.</w:t>
      </w:r>
      <w:r w:rsidR="00E83B9E">
        <w:t xml:space="preserve"> </w:t>
      </w:r>
    </w:p>
    <w:p w:rsidR="005B57A8" w:rsidRDefault="005B57A8" w:rsidP="00D547C3">
      <w:pPr>
        <w:pStyle w:val="Estilo1"/>
      </w:pPr>
      <w:r>
        <w:t>Constatou-se ainda que os valores de incidência no primeiro ano de ensaio foram, em média, superio</w:t>
      </w:r>
      <w:r w:rsidR="00A01569">
        <w:t>res aos do segundo</w:t>
      </w:r>
      <w:r>
        <w:t xml:space="preserve">. Tal ocorrência pode estar </w:t>
      </w:r>
      <w:r w:rsidRPr="007D027C">
        <w:t xml:space="preserve">relacionada </w:t>
      </w:r>
      <w:r w:rsidR="00A01569" w:rsidRPr="007D027C">
        <w:t xml:space="preserve">com </w:t>
      </w:r>
      <w:r w:rsidR="00725F94" w:rsidRPr="007D027C">
        <w:t>a ocorrência</w:t>
      </w:r>
      <w:r w:rsidR="00725F94">
        <w:t xml:space="preserve"> de temperaturas mais amenas e precipitação em Fevereiro, Abril e Maio, períodos </w:t>
      </w:r>
      <w:r w:rsidR="00A01569">
        <w:t xml:space="preserve">a seguir à poda (Fevereiro) e </w:t>
      </w:r>
      <w:r w:rsidR="00725F94">
        <w:t>após o abrolhamento (Abril).</w:t>
      </w:r>
    </w:p>
    <w:p w:rsidR="00D67F4F" w:rsidRDefault="00D67F4F">
      <w:pPr>
        <w:spacing w:after="0" w:line="240" w:lineRule="auto"/>
        <w:jc w:val="left"/>
      </w:pPr>
      <w:r>
        <w:br w:type="page"/>
      </w:r>
    </w:p>
    <w:p w:rsidR="00087B49" w:rsidRPr="008A7465" w:rsidRDefault="00C37A87" w:rsidP="00C37A87">
      <w:pPr>
        <w:pStyle w:val="Legenda"/>
      </w:pPr>
      <w:bookmarkStart w:id="73" w:name="_Toc264890334"/>
      <w:r>
        <w:lastRenderedPageBreak/>
        <w:t xml:space="preserve">Quadro </w:t>
      </w:r>
      <w:fldSimple w:instr=" STYLEREF 1 \s ">
        <w:r w:rsidR="00E2640D">
          <w:rPr>
            <w:noProof/>
          </w:rPr>
          <w:t>4</w:t>
        </w:r>
      </w:fldSimple>
      <w:r>
        <w:t>.</w:t>
      </w:r>
      <w:fldSimple w:instr=" SEQ Quadro \* ARABIC \s 1 ">
        <w:r w:rsidR="00E2640D">
          <w:rPr>
            <w:noProof/>
          </w:rPr>
          <w:t>2</w:t>
        </w:r>
      </w:fldSimple>
      <w:r>
        <w:t xml:space="preserve">. </w:t>
      </w:r>
      <w:r w:rsidRPr="008A7465">
        <w:t>Comparação das médias relativas à incidência de “black dead arm” e escoriose americana obtidas nos dois anos de ensaio (2008 e 2009) e nas três épocas de aplicação, através dos testes de Tuckey</w:t>
      </w:r>
      <w:bookmarkEnd w:id="73"/>
    </w:p>
    <w:tbl>
      <w:tblPr>
        <w:tblW w:w="5000" w:type="pct"/>
        <w:tblBorders>
          <w:top w:val="single" w:sz="4" w:space="0" w:color="auto"/>
          <w:bottom w:val="single" w:sz="4" w:space="0" w:color="auto"/>
          <w:insideH w:val="single" w:sz="4" w:space="0" w:color="auto"/>
        </w:tblBorders>
        <w:tblCellMar>
          <w:left w:w="70" w:type="dxa"/>
          <w:right w:w="70" w:type="dxa"/>
        </w:tblCellMar>
        <w:tblLook w:val="04A0"/>
      </w:tblPr>
      <w:tblGrid>
        <w:gridCol w:w="2581"/>
        <w:gridCol w:w="1711"/>
        <w:gridCol w:w="293"/>
        <w:gridCol w:w="162"/>
        <w:gridCol w:w="2459"/>
        <w:gridCol w:w="1711"/>
        <w:gridCol w:w="293"/>
      </w:tblGrid>
      <w:tr w:rsidR="00EB6CB9" w:rsidRPr="00C043D5" w:rsidTr="00DF0D52">
        <w:trPr>
          <w:trHeight w:val="567"/>
        </w:trPr>
        <w:tc>
          <w:tcPr>
            <w:tcW w:w="1401" w:type="pct"/>
            <w:shd w:val="clear" w:color="auto" w:fill="auto"/>
            <w:noWrap/>
            <w:vAlign w:val="center"/>
          </w:tcPr>
          <w:p w:rsidR="00087B49" w:rsidRPr="00AC7E06" w:rsidRDefault="00087B49" w:rsidP="008A7465">
            <w:pPr>
              <w:spacing w:after="60"/>
              <w:jc w:val="left"/>
              <w:rPr>
                <w:b/>
                <w:sz w:val="20"/>
                <w:szCs w:val="20"/>
              </w:rPr>
            </w:pPr>
            <w:r w:rsidRPr="00AC7E06">
              <w:rPr>
                <w:b/>
                <w:sz w:val="20"/>
                <w:szCs w:val="20"/>
              </w:rPr>
              <w:t>Época de aplicação</w:t>
            </w:r>
          </w:p>
          <w:p w:rsidR="00C747E5" w:rsidRPr="00AC7E06" w:rsidRDefault="00C747E5" w:rsidP="008A7465">
            <w:pPr>
              <w:spacing w:after="60"/>
              <w:jc w:val="left"/>
              <w:rPr>
                <w:b/>
                <w:sz w:val="20"/>
                <w:szCs w:val="20"/>
              </w:rPr>
            </w:pPr>
            <w:r w:rsidRPr="00AC7E06">
              <w:rPr>
                <w:b/>
                <w:sz w:val="20"/>
                <w:szCs w:val="20"/>
              </w:rPr>
              <w:t>(</w:t>
            </w:r>
            <w:r w:rsidR="00BC659E">
              <w:rPr>
                <w:b/>
                <w:sz w:val="20"/>
                <w:szCs w:val="20"/>
              </w:rPr>
              <w:t xml:space="preserve">ano de </w:t>
            </w:r>
            <w:r w:rsidRPr="00AC7E06">
              <w:rPr>
                <w:b/>
                <w:sz w:val="20"/>
                <w:szCs w:val="20"/>
              </w:rPr>
              <w:t>2008)</w:t>
            </w:r>
          </w:p>
        </w:tc>
        <w:tc>
          <w:tcPr>
            <w:tcW w:w="929" w:type="pct"/>
            <w:shd w:val="clear" w:color="auto" w:fill="auto"/>
            <w:noWrap/>
            <w:vAlign w:val="center"/>
          </w:tcPr>
          <w:p w:rsidR="00087B49" w:rsidRPr="00AC7E06" w:rsidRDefault="00087B49" w:rsidP="008A7465">
            <w:pPr>
              <w:spacing w:after="60"/>
              <w:jc w:val="left"/>
              <w:rPr>
                <w:b/>
                <w:sz w:val="20"/>
                <w:szCs w:val="20"/>
              </w:rPr>
            </w:pPr>
            <w:r w:rsidRPr="00AC7E06">
              <w:rPr>
                <w:b/>
                <w:sz w:val="20"/>
                <w:szCs w:val="20"/>
              </w:rPr>
              <w:t>Incidência (%)</w:t>
            </w:r>
          </w:p>
        </w:tc>
        <w:tc>
          <w:tcPr>
            <w:tcW w:w="159" w:type="pct"/>
            <w:tcBorders>
              <w:top w:val="single" w:sz="4" w:space="0" w:color="auto"/>
            </w:tcBorders>
            <w:shd w:val="clear" w:color="auto" w:fill="auto"/>
            <w:noWrap/>
            <w:vAlign w:val="center"/>
          </w:tcPr>
          <w:p w:rsidR="00087B49" w:rsidRPr="00AC7E06" w:rsidRDefault="00087B49" w:rsidP="008A7465">
            <w:pPr>
              <w:spacing w:after="60"/>
              <w:jc w:val="left"/>
              <w:rPr>
                <w:b/>
                <w:sz w:val="20"/>
                <w:szCs w:val="20"/>
              </w:rPr>
            </w:pPr>
            <w:r w:rsidRPr="00AC7E06">
              <w:rPr>
                <w:b/>
                <w:sz w:val="20"/>
                <w:szCs w:val="20"/>
              </w:rPr>
              <w:t> </w:t>
            </w:r>
          </w:p>
        </w:tc>
        <w:tc>
          <w:tcPr>
            <w:tcW w:w="88" w:type="pct"/>
            <w:tcBorders>
              <w:top w:val="nil"/>
              <w:bottom w:val="nil"/>
            </w:tcBorders>
            <w:shd w:val="clear" w:color="auto" w:fill="auto"/>
            <w:vAlign w:val="center"/>
          </w:tcPr>
          <w:p w:rsidR="00087B49" w:rsidRPr="00AC7E06" w:rsidRDefault="00087B49" w:rsidP="008A7465">
            <w:pPr>
              <w:spacing w:after="60"/>
              <w:jc w:val="left"/>
              <w:rPr>
                <w:b/>
                <w:sz w:val="20"/>
                <w:szCs w:val="20"/>
              </w:rPr>
            </w:pPr>
          </w:p>
        </w:tc>
        <w:tc>
          <w:tcPr>
            <w:tcW w:w="1335" w:type="pct"/>
            <w:shd w:val="clear" w:color="auto" w:fill="auto"/>
            <w:vAlign w:val="center"/>
          </w:tcPr>
          <w:p w:rsidR="00087B49" w:rsidRPr="00AC7E06" w:rsidRDefault="00087B49" w:rsidP="008A7465">
            <w:pPr>
              <w:spacing w:after="60"/>
              <w:jc w:val="left"/>
              <w:rPr>
                <w:b/>
                <w:sz w:val="20"/>
                <w:szCs w:val="20"/>
              </w:rPr>
            </w:pPr>
            <w:r w:rsidRPr="00AC7E06">
              <w:rPr>
                <w:b/>
                <w:sz w:val="20"/>
                <w:szCs w:val="20"/>
              </w:rPr>
              <w:t>Época de aplicação</w:t>
            </w:r>
          </w:p>
          <w:p w:rsidR="00C747E5" w:rsidRPr="00AC7E06" w:rsidRDefault="00C747E5" w:rsidP="008A7465">
            <w:pPr>
              <w:spacing w:after="60"/>
              <w:jc w:val="left"/>
              <w:rPr>
                <w:b/>
                <w:sz w:val="20"/>
                <w:szCs w:val="20"/>
              </w:rPr>
            </w:pPr>
            <w:r w:rsidRPr="00AC7E06">
              <w:rPr>
                <w:b/>
                <w:sz w:val="20"/>
                <w:szCs w:val="20"/>
              </w:rPr>
              <w:t>(</w:t>
            </w:r>
            <w:r w:rsidR="00BC659E">
              <w:rPr>
                <w:b/>
                <w:sz w:val="20"/>
                <w:szCs w:val="20"/>
              </w:rPr>
              <w:t xml:space="preserve">ano de </w:t>
            </w:r>
            <w:r w:rsidRPr="00AC7E06">
              <w:rPr>
                <w:b/>
                <w:sz w:val="20"/>
                <w:szCs w:val="20"/>
              </w:rPr>
              <w:t>2009)</w:t>
            </w:r>
          </w:p>
        </w:tc>
        <w:tc>
          <w:tcPr>
            <w:tcW w:w="929" w:type="pct"/>
            <w:shd w:val="clear" w:color="auto" w:fill="auto"/>
            <w:vAlign w:val="center"/>
          </w:tcPr>
          <w:p w:rsidR="00087B49" w:rsidRPr="00AC7E06" w:rsidRDefault="00087B49" w:rsidP="008A7465">
            <w:pPr>
              <w:spacing w:after="60"/>
              <w:jc w:val="left"/>
              <w:rPr>
                <w:b/>
                <w:sz w:val="20"/>
                <w:szCs w:val="20"/>
              </w:rPr>
            </w:pPr>
            <w:r w:rsidRPr="00AC7E06">
              <w:rPr>
                <w:b/>
                <w:sz w:val="20"/>
                <w:szCs w:val="20"/>
              </w:rPr>
              <w:t>Incidência (%)</w:t>
            </w:r>
          </w:p>
        </w:tc>
        <w:tc>
          <w:tcPr>
            <w:tcW w:w="159" w:type="pct"/>
            <w:shd w:val="clear" w:color="auto" w:fill="auto"/>
            <w:vAlign w:val="center"/>
          </w:tcPr>
          <w:p w:rsidR="00087B49" w:rsidRPr="00AC7E06" w:rsidRDefault="00087B49" w:rsidP="008A7465">
            <w:pPr>
              <w:spacing w:after="60"/>
              <w:jc w:val="left"/>
              <w:rPr>
                <w:b/>
                <w:sz w:val="20"/>
                <w:szCs w:val="20"/>
              </w:rPr>
            </w:pPr>
          </w:p>
        </w:tc>
      </w:tr>
      <w:tr w:rsidR="00DF0D52" w:rsidRPr="00C043D5" w:rsidTr="00DF0D52">
        <w:trPr>
          <w:trHeight w:val="300"/>
        </w:trPr>
        <w:tc>
          <w:tcPr>
            <w:tcW w:w="1401" w:type="pct"/>
            <w:shd w:val="clear" w:color="auto" w:fill="auto"/>
            <w:noWrap/>
            <w:vAlign w:val="center"/>
          </w:tcPr>
          <w:p w:rsidR="00DF0D52" w:rsidRPr="004570EB" w:rsidRDefault="00DF0D52" w:rsidP="008A7465">
            <w:pPr>
              <w:spacing w:after="60"/>
              <w:jc w:val="left"/>
              <w:rPr>
                <w:sz w:val="20"/>
                <w:szCs w:val="20"/>
              </w:rPr>
            </w:pPr>
            <w:r w:rsidRPr="004570EB">
              <w:rPr>
                <w:sz w:val="20"/>
                <w:szCs w:val="20"/>
              </w:rPr>
              <w:t xml:space="preserve">Est. fenol. </w:t>
            </w:r>
            <w:r w:rsidR="00B46DCB">
              <w:rPr>
                <w:sz w:val="20"/>
                <w:szCs w:val="20"/>
              </w:rPr>
              <w:t>D/E</w:t>
            </w:r>
          </w:p>
        </w:tc>
        <w:tc>
          <w:tcPr>
            <w:tcW w:w="929" w:type="pct"/>
            <w:shd w:val="clear" w:color="auto" w:fill="auto"/>
            <w:noWrap/>
            <w:vAlign w:val="bottom"/>
          </w:tcPr>
          <w:p w:rsidR="00DF0D52" w:rsidRDefault="00DF0D52" w:rsidP="008A7465">
            <w:pPr>
              <w:spacing w:after="60"/>
              <w:jc w:val="right"/>
              <w:rPr>
                <w:color w:val="000000"/>
                <w:sz w:val="20"/>
                <w:szCs w:val="20"/>
              </w:rPr>
            </w:pPr>
            <w:r>
              <w:rPr>
                <w:color w:val="000000"/>
                <w:sz w:val="20"/>
                <w:szCs w:val="20"/>
              </w:rPr>
              <w:t>40,0</w:t>
            </w:r>
          </w:p>
        </w:tc>
        <w:tc>
          <w:tcPr>
            <w:tcW w:w="159" w:type="pct"/>
            <w:shd w:val="clear" w:color="auto" w:fill="auto"/>
            <w:noWrap/>
            <w:vAlign w:val="center"/>
          </w:tcPr>
          <w:p w:rsidR="00DF0D52" w:rsidRPr="008A7465" w:rsidRDefault="00DF0D52" w:rsidP="008A7465">
            <w:pPr>
              <w:spacing w:after="60"/>
              <w:jc w:val="left"/>
              <w:rPr>
                <w:b/>
                <w:sz w:val="20"/>
                <w:szCs w:val="20"/>
              </w:rPr>
            </w:pPr>
            <w:r w:rsidRPr="008A7465">
              <w:rPr>
                <w:b/>
                <w:sz w:val="20"/>
                <w:szCs w:val="20"/>
              </w:rPr>
              <w:t>a</w:t>
            </w:r>
          </w:p>
        </w:tc>
        <w:tc>
          <w:tcPr>
            <w:tcW w:w="88" w:type="pct"/>
            <w:tcBorders>
              <w:top w:val="nil"/>
              <w:bottom w:val="nil"/>
            </w:tcBorders>
            <w:shd w:val="clear" w:color="auto" w:fill="auto"/>
            <w:vAlign w:val="center"/>
          </w:tcPr>
          <w:p w:rsidR="00DF0D52" w:rsidRPr="004570EB" w:rsidRDefault="00DF0D52" w:rsidP="008A7465">
            <w:pPr>
              <w:spacing w:after="60"/>
              <w:jc w:val="left"/>
              <w:rPr>
                <w:sz w:val="20"/>
                <w:szCs w:val="20"/>
              </w:rPr>
            </w:pPr>
          </w:p>
        </w:tc>
        <w:tc>
          <w:tcPr>
            <w:tcW w:w="1335" w:type="pct"/>
            <w:shd w:val="clear" w:color="auto" w:fill="auto"/>
            <w:vAlign w:val="center"/>
          </w:tcPr>
          <w:p w:rsidR="00DF0D52" w:rsidRPr="004570EB" w:rsidRDefault="00DF0D52" w:rsidP="008A7465">
            <w:pPr>
              <w:spacing w:after="60"/>
              <w:jc w:val="left"/>
              <w:rPr>
                <w:color w:val="000000"/>
                <w:sz w:val="20"/>
                <w:szCs w:val="20"/>
              </w:rPr>
            </w:pPr>
            <w:r w:rsidRPr="004570EB">
              <w:rPr>
                <w:sz w:val="20"/>
                <w:szCs w:val="20"/>
              </w:rPr>
              <w:t xml:space="preserve">Est. fenol. </w:t>
            </w:r>
            <w:r w:rsidR="00B46DCB">
              <w:rPr>
                <w:color w:val="000000"/>
                <w:sz w:val="20"/>
                <w:szCs w:val="20"/>
              </w:rPr>
              <w:t>D/E</w:t>
            </w:r>
          </w:p>
        </w:tc>
        <w:tc>
          <w:tcPr>
            <w:tcW w:w="929" w:type="pct"/>
            <w:shd w:val="clear" w:color="auto" w:fill="auto"/>
            <w:vAlign w:val="center"/>
          </w:tcPr>
          <w:p w:rsidR="00DF0D52" w:rsidRPr="004570EB" w:rsidRDefault="00DF0D52" w:rsidP="008A7465">
            <w:pPr>
              <w:spacing w:after="60"/>
              <w:jc w:val="right"/>
              <w:rPr>
                <w:sz w:val="20"/>
                <w:szCs w:val="20"/>
              </w:rPr>
            </w:pPr>
            <w:r w:rsidRPr="004570EB">
              <w:rPr>
                <w:sz w:val="20"/>
                <w:szCs w:val="20"/>
              </w:rPr>
              <w:t>30,1</w:t>
            </w:r>
          </w:p>
        </w:tc>
        <w:tc>
          <w:tcPr>
            <w:tcW w:w="159" w:type="pct"/>
            <w:shd w:val="clear" w:color="auto" w:fill="auto"/>
            <w:vAlign w:val="center"/>
          </w:tcPr>
          <w:p w:rsidR="00DF0D52" w:rsidRPr="008A7465" w:rsidRDefault="00DF0D52" w:rsidP="008A7465">
            <w:pPr>
              <w:spacing w:after="60"/>
              <w:jc w:val="left"/>
              <w:rPr>
                <w:b/>
                <w:sz w:val="20"/>
                <w:szCs w:val="20"/>
              </w:rPr>
            </w:pPr>
            <w:r w:rsidRPr="008A7465">
              <w:rPr>
                <w:b/>
                <w:sz w:val="20"/>
                <w:szCs w:val="20"/>
              </w:rPr>
              <w:t>a</w:t>
            </w:r>
          </w:p>
        </w:tc>
      </w:tr>
      <w:tr w:rsidR="00DF0D52" w:rsidRPr="00C043D5" w:rsidTr="00DF0D52">
        <w:trPr>
          <w:trHeight w:val="300"/>
        </w:trPr>
        <w:tc>
          <w:tcPr>
            <w:tcW w:w="1401" w:type="pct"/>
            <w:shd w:val="clear" w:color="auto" w:fill="auto"/>
            <w:noWrap/>
            <w:vAlign w:val="center"/>
          </w:tcPr>
          <w:p w:rsidR="00DF0D52" w:rsidRPr="004570EB" w:rsidRDefault="00B46DCB" w:rsidP="008A7465">
            <w:pPr>
              <w:spacing w:after="60"/>
              <w:jc w:val="left"/>
              <w:rPr>
                <w:sz w:val="20"/>
                <w:szCs w:val="20"/>
              </w:rPr>
            </w:pPr>
            <w:r>
              <w:rPr>
                <w:sz w:val="20"/>
                <w:szCs w:val="20"/>
              </w:rPr>
              <w:t>Poda</w:t>
            </w:r>
            <w:r w:rsidR="00DF0D52" w:rsidRPr="004570EB">
              <w:rPr>
                <w:sz w:val="20"/>
                <w:szCs w:val="20"/>
              </w:rPr>
              <w:t xml:space="preserve">+ Est. fenol. </w:t>
            </w:r>
            <w:r>
              <w:rPr>
                <w:sz w:val="20"/>
                <w:szCs w:val="20"/>
              </w:rPr>
              <w:t>D/E</w:t>
            </w:r>
          </w:p>
        </w:tc>
        <w:tc>
          <w:tcPr>
            <w:tcW w:w="929" w:type="pct"/>
            <w:shd w:val="clear" w:color="auto" w:fill="auto"/>
            <w:noWrap/>
            <w:vAlign w:val="bottom"/>
          </w:tcPr>
          <w:p w:rsidR="00DF0D52" w:rsidRDefault="00DF0D52" w:rsidP="008A7465">
            <w:pPr>
              <w:spacing w:after="60"/>
              <w:jc w:val="right"/>
              <w:rPr>
                <w:color w:val="000000"/>
                <w:sz w:val="20"/>
                <w:szCs w:val="20"/>
              </w:rPr>
            </w:pPr>
            <w:r>
              <w:rPr>
                <w:color w:val="000000"/>
                <w:sz w:val="20"/>
                <w:szCs w:val="20"/>
              </w:rPr>
              <w:t>45,1</w:t>
            </w:r>
          </w:p>
        </w:tc>
        <w:tc>
          <w:tcPr>
            <w:tcW w:w="159" w:type="pct"/>
            <w:shd w:val="clear" w:color="auto" w:fill="auto"/>
            <w:noWrap/>
            <w:vAlign w:val="center"/>
          </w:tcPr>
          <w:p w:rsidR="00DF0D52" w:rsidRPr="008A7465" w:rsidRDefault="00DF0D52" w:rsidP="008A7465">
            <w:pPr>
              <w:spacing w:after="60"/>
              <w:jc w:val="left"/>
              <w:rPr>
                <w:b/>
                <w:sz w:val="20"/>
                <w:szCs w:val="20"/>
              </w:rPr>
            </w:pPr>
            <w:r w:rsidRPr="008A7465">
              <w:rPr>
                <w:b/>
                <w:sz w:val="20"/>
                <w:szCs w:val="20"/>
              </w:rPr>
              <w:t>b</w:t>
            </w:r>
          </w:p>
        </w:tc>
        <w:tc>
          <w:tcPr>
            <w:tcW w:w="88" w:type="pct"/>
            <w:tcBorders>
              <w:top w:val="nil"/>
              <w:bottom w:val="nil"/>
            </w:tcBorders>
            <w:shd w:val="clear" w:color="auto" w:fill="auto"/>
            <w:vAlign w:val="center"/>
          </w:tcPr>
          <w:p w:rsidR="00DF0D52" w:rsidRPr="004570EB" w:rsidRDefault="00DF0D52" w:rsidP="008A7465">
            <w:pPr>
              <w:spacing w:after="60"/>
              <w:jc w:val="left"/>
              <w:rPr>
                <w:sz w:val="20"/>
                <w:szCs w:val="20"/>
              </w:rPr>
            </w:pPr>
          </w:p>
        </w:tc>
        <w:tc>
          <w:tcPr>
            <w:tcW w:w="1335" w:type="pct"/>
            <w:shd w:val="clear" w:color="auto" w:fill="auto"/>
            <w:vAlign w:val="center"/>
          </w:tcPr>
          <w:p w:rsidR="00DF0D52" w:rsidRPr="004570EB" w:rsidRDefault="00DF0D52" w:rsidP="008A7465">
            <w:pPr>
              <w:spacing w:after="60"/>
              <w:jc w:val="left"/>
              <w:rPr>
                <w:color w:val="000000"/>
                <w:sz w:val="20"/>
                <w:szCs w:val="20"/>
              </w:rPr>
            </w:pPr>
            <w:r w:rsidRPr="004570EB">
              <w:rPr>
                <w:color w:val="000000"/>
                <w:sz w:val="20"/>
                <w:szCs w:val="20"/>
              </w:rPr>
              <w:t>Poda+</w:t>
            </w:r>
            <w:r w:rsidRPr="004570EB">
              <w:rPr>
                <w:sz w:val="20"/>
                <w:szCs w:val="20"/>
              </w:rPr>
              <w:t xml:space="preserve"> Est. fenol. </w:t>
            </w:r>
            <w:r w:rsidR="00B46DCB">
              <w:rPr>
                <w:color w:val="000000"/>
                <w:sz w:val="20"/>
                <w:szCs w:val="20"/>
              </w:rPr>
              <w:t>D/E</w:t>
            </w:r>
          </w:p>
        </w:tc>
        <w:tc>
          <w:tcPr>
            <w:tcW w:w="929" w:type="pct"/>
            <w:shd w:val="clear" w:color="auto" w:fill="auto"/>
            <w:vAlign w:val="center"/>
          </w:tcPr>
          <w:p w:rsidR="00DF0D52" w:rsidRPr="004570EB" w:rsidRDefault="00DF0D52" w:rsidP="008A7465">
            <w:pPr>
              <w:spacing w:after="60"/>
              <w:jc w:val="right"/>
              <w:rPr>
                <w:sz w:val="20"/>
                <w:szCs w:val="20"/>
              </w:rPr>
            </w:pPr>
            <w:r w:rsidRPr="004570EB">
              <w:rPr>
                <w:sz w:val="20"/>
                <w:szCs w:val="20"/>
              </w:rPr>
              <w:t>30,2</w:t>
            </w:r>
          </w:p>
        </w:tc>
        <w:tc>
          <w:tcPr>
            <w:tcW w:w="159" w:type="pct"/>
            <w:shd w:val="clear" w:color="auto" w:fill="auto"/>
            <w:vAlign w:val="center"/>
          </w:tcPr>
          <w:p w:rsidR="00DF0D52" w:rsidRPr="008A7465" w:rsidRDefault="00DF0D52" w:rsidP="008A7465">
            <w:pPr>
              <w:spacing w:after="60"/>
              <w:jc w:val="left"/>
              <w:rPr>
                <w:b/>
                <w:sz w:val="20"/>
                <w:szCs w:val="20"/>
              </w:rPr>
            </w:pPr>
            <w:r w:rsidRPr="008A7465">
              <w:rPr>
                <w:b/>
                <w:sz w:val="20"/>
                <w:szCs w:val="20"/>
              </w:rPr>
              <w:t>a</w:t>
            </w:r>
          </w:p>
        </w:tc>
      </w:tr>
      <w:tr w:rsidR="00DF0D52" w:rsidRPr="00C043D5" w:rsidTr="00DF0D52">
        <w:trPr>
          <w:trHeight w:val="300"/>
        </w:trPr>
        <w:tc>
          <w:tcPr>
            <w:tcW w:w="1401" w:type="pct"/>
            <w:shd w:val="clear" w:color="auto" w:fill="auto"/>
            <w:noWrap/>
            <w:vAlign w:val="center"/>
          </w:tcPr>
          <w:p w:rsidR="00DF0D52" w:rsidRPr="004570EB" w:rsidRDefault="00DF0D52" w:rsidP="008A7465">
            <w:pPr>
              <w:spacing w:after="60"/>
              <w:jc w:val="left"/>
              <w:rPr>
                <w:sz w:val="20"/>
                <w:szCs w:val="20"/>
              </w:rPr>
            </w:pPr>
            <w:r w:rsidRPr="004570EB">
              <w:rPr>
                <w:sz w:val="20"/>
                <w:szCs w:val="20"/>
              </w:rPr>
              <w:t>P</w:t>
            </w:r>
            <w:r w:rsidR="00B46DCB">
              <w:rPr>
                <w:sz w:val="20"/>
                <w:szCs w:val="20"/>
              </w:rPr>
              <w:t>oda</w:t>
            </w:r>
          </w:p>
        </w:tc>
        <w:tc>
          <w:tcPr>
            <w:tcW w:w="929" w:type="pct"/>
            <w:shd w:val="clear" w:color="auto" w:fill="auto"/>
            <w:noWrap/>
            <w:vAlign w:val="bottom"/>
          </w:tcPr>
          <w:p w:rsidR="00DF0D52" w:rsidRDefault="00DF0D52" w:rsidP="008A7465">
            <w:pPr>
              <w:spacing w:after="60"/>
              <w:jc w:val="right"/>
              <w:rPr>
                <w:color w:val="000000"/>
                <w:sz w:val="20"/>
                <w:szCs w:val="20"/>
              </w:rPr>
            </w:pPr>
            <w:r>
              <w:rPr>
                <w:color w:val="000000"/>
                <w:sz w:val="20"/>
                <w:szCs w:val="20"/>
              </w:rPr>
              <w:t>45,4</w:t>
            </w:r>
          </w:p>
        </w:tc>
        <w:tc>
          <w:tcPr>
            <w:tcW w:w="159" w:type="pct"/>
            <w:shd w:val="clear" w:color="auto" w:fill="auto"/>
            <w:noWrap/>
            <w:vAlign w:val="center"/>
          </w:tcPr>
          <w:p w:rsidR="00DF0D52" w:rsidRPr="008A7465" w:rsidRDefault="00DF0D52" w:rsidP="008A7465">
            <w:pPr>
              <w:spacing w:after="60"/>
              <w:jc w:val="left"/>
              <w:rPr>
                <w:b/>
                <w:sz w:val="20"/>
                <w:szCs w:val="20"/>
              </w:rPr>
            </w:pPr>
            <w:r w:rsidRPr="008A7465">
              <w:rPr>
                <w:b/>
                <w:sz w:val="20"/>
                <w:szCs w:val="20"/>
              </w:rPr>
              <w:t>b</w:t>
            </w:r>
          </w:p>
        </w:tc>
        <w:tc>
          <w:tcPr>
            <w:tcW w:w="88" w:type="pct"/>
            <w:tcBorders>
              <w:top w:val="nil"/>
              <w:bottom w:val="nil"/>
            </w:tcBorders>
            <w:shd w:val="clear" w:color="auto" w:fill="auto"/>
            <w:vAlign w:val="center"/>
          </w:tcPr>
          <w:p w:rsidR="00DF0D52" w:rsidRPr="004570EB" w:rsidRDefault="00DF0D52" w:rsidP="008A7465">
            <w:pPr>
              <w:spacing w:after="60"/>
              <w:jc w:val="left"/>
              <w:rPr>
                <w:sz w:val="20"/>
                <w:szCs w:val="20"/>
              </w:rPr>
            </w:pPr>
          </w:p>
        </w:tc>
        <w:tc>
          <w:tcPr>
            <w:tcW w:w="1335" w:type="pct"/>
            <w:shd w:val="clear" w:color="auto" w:fill="auto"/>
            <w:vAlign w:val="center"/>
          </w:tcPr>
          <w:p w:rsidR="00DF0D52" w:rsidRPr="004570EB" w:rsidRDefault="00B46DCB" w:rsidP="008A7465">
            <w:pPr>
              <w:spacing w:after="60"/>
              <w:jc w:val="left"/>
              <w:rPr>
                <w:color w:val="000000"/>
                <w:sz w:val="20"/>
                <w:szCs w:val="20"/>
              </w:rPr>
            </w:pPr>
            <w:r>
              <w:rPr>
                <w:color w:val="000000"/>
                <w:sz w:val="20"/>
                <w:szCs w:val="20"/>
              </w:rPr>
              <w:t>Poda</w:t>
            </w:r>
          </w:p>
        </w:tc>
        <w:tc>
          <w:tcPr>
            <w:tcW w:w="929" w:type="pct"/>
            <w:shd w:val="clear" w:color="auto" w:fill="auto"/>
            <w:vAlign w:val="center"/>
          </w:tcPr>
          <w:p w:rsidR="00DF0D52" w:rsidRPr="004570EB" w:rsidRDefault="00DF0D52" w:rsidP="008A7465">
            <w:pPr>
              <w:spacing w:after="60"/>
              <w:jc w:val="right"/>
              <w:rPr>
                <w:sz w:val="20"/>
                <w:szCs w:val="20"/>
              </w:rPr>
            </w:pPr>
            <w:r w:rsidRPr="004570EB">
              <w:rPr>
                <w:sz w:val="20"/>
                <w:szCs w:val="20"/>
              </w:rPr>
              <w:t>33,0</w:t>
            </w:r>
          </w:p>
        </w:tc>
        <w:tc>
          <w:tcPr>
            <w:tcW w:w="159" w:type="pct"/>
            <w:shd w:val="clear" w:color="auto" w:fill="auto"/>
            <w:vAlign w:val="center"/>
          </w:tcPr>
          <w:p w:rsidR="00DF0D52" w:rsidRPr="008A7465" w:rsidRDefault="00DF0D52" w:rsidP="008A7465">
            <w:pPr>
              <w:spacing w:after="60"/>
              <w:jc w:val="left"/>
              <w:rPr>
                <w:b/>
                <w:sz w:val="20"/>
                <w:szCs w:val="20"/>
              </w:rPr>
            </w:pPr>
            <w:r w:rsidRPr="008A7465">
              <w:rPr>
                <w:b/>
                <w:sz w:val="20"/>
                <w:szCs w:val="20"/>
              </w:rPr>
              <w:t>a</w:t>
            </w:r>
          </w:p>
        </w:tc>
      </w:tr>
    </w:tbl>
    <w:p w:rsidR="00087B49" w:rsidRPr="00C043D5" w:rsidRDefault="00087B49" w:rsidP="00AC2EEE">
      <w:pPr>
        <w:spacing w:after="120"/>
      </w:pPr>
    </w:p>
    <w:p w:rsidR="00EB6CB9" w:rsidRDefault="00EB6CB9" w:rsidP="00D547C3">
      <w:pPr>
        <w:pStyle w:val="Estilo1"/>
      </w:pPr>
      <w:r>
        <w:t>R</w:t>
      </w:r>
      <w:r w:rsidRPr="00C043D5">
        <w:t>elativamente ao efeito do tratamento</w:t>
      </w:r>
      <w:r w:rsidR="00B46DCB">
        <w:t>,</w:t>
      </w:r>
      <w:r w:rsidRPr="00C043D5">
        <w:t xml:space="preserve"> </w:t>
      </w:r>
      <w:r>
        <w:t xml:space="preserve">no primeiro ano </w:t>
      </w:r>
      <w:r w:rsidR="00EF7B65">
        <w:t>de</w:t>
      </w:r>
      <w:r>
        <w:t xml:space="preserve"> ensaio (2008) </w:t>
      </w:r>
      <w:r w:rsidRPr="00C043D5">
        <w:t xml:space="preserve">verificou-se que </w:t>
      </w:r>
      <w:r w:rsidRPr="00A97C71">
        <w:t>difenoconazol</w:t>
      </w:r>
      <w:r>
        <w:t>,</w:t>
      </w:r>
      <w:r w:rsidRPr="00EB6CB9">
        <w:rPr>
          <w:color w:val="000000"/>
        </w:rPr>
        <w:t xml:space="preserve"> </w:t>
      </w:r>
      <w:r w:rsidRPr="00A97C71">
        <w:rPr>
          <w:color w:val="000000"/>
        </w:rPr>
        <w:t>tebuconazol</w:t>
      </w:r>
      <w:r>
        <w:rPr>
          <w:color w:val="000000"/>
        </w:rPr>
        <w:t>,</w:t>
      </w:r>
      <w:r w:rsidRPr="00EB6CB9">
        <w:rPr>
          <w:color w:val="000000"/>
        </w:rPr>
        <w:t xml:space="preserve"> </w:t>
      </w:r>
      <w:r w:rsidRPr="00A97C71">
        <w:rPr>
          <w:color w:val="000000"/>
        </w:rPr>
        <w:t>azoxistrobina</w:t>
      </w:r>
      <w:r>
        <w:rPr>
          <w:color w:val="000000"/>
        </w:rPr>
        <w:t xml:space="preserve"> e o oxicloreto </w:t>
      </w:r>
      <w:r w:rsidR="00EF7B65">
        <w:rPr>
          <w:color w:val="000000"/>
        </w:rPr>
        <w:t>de</w:t>
      </w:r>
      <w:r>
        <w:rPr>
          <w:color w:val="000000"/>
        </w:rPr>
        <w:t xml:space="preserve"> cobre </w:t>
      </w:r>
      <w:r w:rsidRPr="00C043D5">
        <w:t xml:space="preserve">diferiam significativamente do </w:t>
      </w:r>
      <w:r w:rsidRPr="00A97C71">
        <w:rPr>
          <w:color w:val="000000"/>
        </w:rPr>
        <w:t>ciprodinil+fludioxonil</w:t>
      </w:r>
      <w:r w:rsidR="00B46DCB">
        <w:t xml:space="preserve"> e da água (testemunha)</w:t>
      </w:r>
      <w:r w:rsidRPr="00C043D5">
        <w:t xml:space="preserve">. </w:t>
      </w:r>
      <w:r w:rsidR="00EF7B65">
        <w:t>De</w:t>
      </w:r>
      <w:r w:rsidR="004570EB">
        <w:t>ste modo</w:t>
      </w:r>
      <w:r w:rsidRPr="00C043D5">
        <w:t>, os quatro fu</w:t>
      </w:r>
      <w:r>
        <w:t>ngicidas inicialmente referidos</w:t>
      </w:r>
      <w:r w:rsidRPr="00C043D5">
        <w:t xml:space="preserve"> têm um efeito positivo significativo na red</w:t>
      </w:r>
      <w:r>
        <w:t>ução da incidência das doenças (Quadro</w:t>
      </w:r>
      <w:r w:rsidR="004044F7">
        <w:t xml:space="preserve"> 4.3</w:t>
      </w:r>
      <w:r w:rsidRPr="00C043D5">
        <w:t>).</w:t>
      </w:r>
      <w:r>
        <w:t xml:space="preserve"> </w:t>
      </w:r>
      <w:r w:rsidR="00B46DCB">
        <w:t>N</w:t>
      </w:r>
      <w:r>
        <w:t xml:space="preserve">o segundo ano </w:t>
      </w:r>
      <w:r w:rsidR="00EF7B65">
        <w:t>de</w:t>
      </w:r>
      <w:r>
        <w:t xml:space="preserve"> ensaio (2009)</w:t>
      </w:r>
      <w:r w:rsidR="00B46DCB">
        <w:t>,</w:t>
      </w:r>
      <w:r>
        <w:t xml:space="preserve"> </w:t>
      </w:r>
      <w:r w:rsidR="00B46DCB">
        <w:t>constatou-se</w:t>
      </w:r>
      <w:r w:rsidR="00087B49" w:rsidRPr="00C043D5">
        <w:t xml:space="preserve"> que o </w:t>
      </w:r>
      <w:r w:rsidRPr="00A97C71">
        <w:rPr>
          <w:color w:val="000000"/>
        </w:rPr>
        <w:t>ciprodinil+fludioxonil</w:t>
      </w:r>
      <w:r w:rsidR="00087B49" w:rsidRPr="00C043D5">
        <w:t xml:space="preserve">, o </w:t>
      </w:r>
      <w:r>
        <w:rPr>
          <w:color w:val="000000"/>
        </w:rPr>
        <w:t xml:space="preserve">oxicloreto </w:t>
      </w:r>
      <w:r w:rsidR="00EF7B65">
        <w:rPr>
          <w:color w:val="000000"/>
        </w:rPr>
        <w:t>de</w:t>
      </w:r>
      <w:r>
        <w:rPr>
          <w:color w:val="000000"/>
        </w:rPr>
        <w:t xml:space="preserve"> cobre</w:t>
      </w:r>
      <w:r w:rsidR="00087B49" w:rsidRPr="00C043D5">
        <w:t xml:space="preserve">, o </w:t>
      </w:r>
      <w:r w:rsidRPr="00A97C71">
        <w:t>difenoconazol</w:t>
      </w:r>
      <w:r w:rsidR="00087B49" w:rsidRPr="00C043D5">
        <w:t xml:space="preserve"> e o </w:t>
      </w:r>
      <w:r w:rsidRPr="00A97C71">
        <w:rPr>
          <w:color w:val="000000"/>
        </w:rPr>
        <w:t>tebuconazol</w:t>
      </w:r>
      <w:r>
        <w:t xml:space="preserve"> diferiam significativamente da azoxistrobina</w:t>
      </w:r>
      <w:r w:rsidR="00B46DCB">
        <w:t xml:space="preserve"> e da água (testemunha)</w:t>
      </w:r>
      <w:r w:rsidR="00087B49" w:rsidRPr="00C043D5">
        <w:t xml:space="preserve"> </w:t>
      </w:r>
      <w:r w:rsidR="004C2364">
        <w:t xml:space="preserve">(Quadro </w:t>
      </w:r>
      <w:r w:rsidR="004044F7">
        <w:t>4.3</w:t>
      </w:r>
      <w:r w:rsidRPr="00C043D5">
        <w:t>)</w:t>
      </w:r>
      <w:r w:rsidR="00087B49" w:rsidRPr="00C043D5">
        <w:t>. Po</w:t>
      </w:r>
      <w:r w:rsidR="00EF7B65">
        <w:t>de</w:t>
      </w:r>
      <w:r w:rsidR="00087B49" w:rsidRPr="00C043D5">
        <w:t xml:space="preserve"> assim concluir</w:t>
      </w:r>
      <w:r w:rsidR="00A01569">
        <w:t xml:space="preserve"> -se que, </w:t>
      </w:r>
      <w:r>
        <w:t>três</w:t>
      </w:r>
      <w:r w:rsidR="00087B49" w:rsidRPr="00C043D5">
        <w:t xml:space="preserve"> fungicidas</w:t>
      </w:r>
      <w:r>
        <w:t>,</w:t>
      </w:r>
      <w:r w:rsidR="00087B49" w:rsidRPr="00C043D5">
        <w:t xml:space="preserve"> </w:t>
      </w:r>
      <w:r w:rsidRPr="00A97C71">
        <w:t>difenoconazol</w:t>
      </w:r>
      <w:r>
        <w:t>,</w:t>
      </w:r>
      <w:r w:rsidRPr="00EB6CB9">
        <w:rPr>
          <w:color w:val="000000"/>
        </w:rPr>
        <w:t xml:space="preserve"> </w:t>
      </w:r>
      <w:r w:rsidRPr="00A97C71">
        <w:rPr>
          <w:color w:val="000000"/>
        </w:rPr>
        <w:t>tebuconazol</w:t>
      </w:r>
      <w:r>
        <w:rPr>
          <w:color w:val="000000"/>
        </w:rPr>
        <w:t>,</w:t>
      </w:r>
      <w:r w:rsidRPr="00EB6CB9">
        <w:rPr>
          <w:color w:val="000000"/>
        </w:rPr>
        <w:t xml:space="preserve"> </w:t>
      </w:r>
      <w:r w:rsidR="00A01569">
        <w:rPr>
          <w:color w:val="000000"/>
        </w:rPr>
        <w:t xml:space="preserve">e </w:t>
      </w:r>
      <w:r>
        <w:rPr>
          <w:color w:val="000000"/>
        </w:rPr>
        <w:t xml:space="preserve">oxicloreto </w:t>
      </w:r>
      <w:r w:rsidR="00EF7B65">
        <w:rPr>
          <w:color w:val="000000"/>
        </w:rPr>
        <w:t>de</w:t>
      </w:r>
      <w:r>
        <w:rPr>
          <w:color w:val="000000"/>
        </w:rPr>
        <w:t xml:space="preserve"> cobre </w:t>
      </w:r>
      <w:r>
        <w:t xml:space="preserve">tiveram nos dois anos </w:t>
      </w:r>
      <w:r w:rsidR="00EF7B65">
        <w:t>de</w:t>
      </w:r>
      <w:r>
        <w:t xml:space="preserve"> ensaio</w:t>
      </w:r>
      <w:r w:rsidR="00087B49" w:rsidRPr="00C043D5">
        <w:t xml:space="preserve"> um efeito positivo significativo na redução da incidência das doenças</w:t>
      </w:r>
      <w:r w:rsidR="00B46DCB">
        <w:t>,</w:t>
      </w:r>
      <w:r w:rsidR="004C2364">
        <w:t xml:space="preserve"> </w:t>
      </w:r>
      <w:r w:rsidR="00B46DCB">
        <w:t xml:space="preserve">sendo necessário confirmar este resultado no terceiro ano </w:t>
      </w:r>
      <w:r w:rsidR="00EF7B65">
        <w:t>de</w:t>
      </w:r>
      <w:r w:rsidR="004044F7">
        <w:t xml:space="preserve"> ensaio</w:t>
      </w:r>
      <w:r w:rsidR="00D547C3">
        <w:t>.</w:t>
      </w:r>
    </w:p>
    <w:p w:rsidR="00087B49" w:rsidRPr="008A7465" w:rsidRDefault="00C37A87" w:rsidP="00C37A87">
      <w:pPr>
        <w:pStyle w:val="Legenda"/>
      </w:pPr>
      <w:bookmarkStart w:id="74" w:name="_Toc264890335"/>
      <w:r>
        <w:t xml:space="preserve">Quadro </w:t>
      </w:r>
      <w:fldSimple w:instr=" STYLEREF 1 \s ">
        <w:r w:rsidR="00E2640D">
          <w:rPr>
            <w:noProof/>
          </w:rPr>
          <w:t>4</w:t>
        </w:r>
      </w:fldSimple>
      <w:r>
        <w:t>.</w:t>
      </w:r>
      <w:fldSimple w:instr=" SEQ Quadro \* ARABIC \s 1 ">
        <w:r w:rsidR="00E2640D">
          <w:rPr>
            <w:noProof/>
          </w:rPr>
          <w:t>3</w:t>
        </w:r>
      </w:fldSimple>
      <w:r>
        <w:t xml:space="preserve">. </w:t>
      </w:r>
      <w:r w:rsidRPr="008A7465">
        <w:t>Comparação das médias relativas à incidência de “black dead arm” e escoriose americana obtidas nos dois anos de ensaio e para os seis tratamentos em estudo, através dos testes de Tuckey</w:t>
      </w:r>
      <w:bookmarkEnd w:id="74"/>
    </w:p>
    <w:tbl>
      <w:tblPr>
        <w:tblW w:w="5000" w:type="pct"/>
        <w:tblCellMar>
          <w:left w:w="70" w:type="dxa"/>
          <w:right w:w="70" w:type="dxa"/>
        </w:tblCellMar>
        <w:tblLook w:val="04A0"/>
      </w:tblPr>
      <w:tblGrid>
        <w:gridCol w:w="2231"/>
        <w:gridCol w:w="1623"/>
        <w:gridCol w:w="379"/>
        <w:gridCol w:w="291"/>
        <w:gridCol w:w="168"/>
        <w:gridCol w:w="2229"/>
        <w:gridCol w:w="1621"/>
        <w:gridCol w:w="379"/>
        <w:gridCol w:w="289"/>
      </w:tblGrid>
      <w:tr w:rsidR="004570EB" w:rsidRPr="00C043D5" w:rsidTr="00DF0D52">
        <w:trPr>
          <w:trHeight w:val="567"/>
        </w:trPr>
        <w:tc>
          <w:tcPr>
            <w:tcW w:w="1211" w:type="pct"/>
            <w:tcBorders>
              <w:top w:val="single" w:sz="4" w:space="0" w:color="auto"/>
              <w:bottom w:val="single" w:sz="4" w:space="0" w:color="auto"/>
            </w:tcBorders>
            <w:shd w:val="clear" w:color="auto" w:fill="auto"/>
            <w:noWrap/>
            <w:vAlign w:val="center"/>
          </w:tcPr>
          <w:p w:rsidR="00C747E5" w:rsidRPr="00B46DCB" w:rsidRDefault="00C747E5" w:rsidP="008A7465">
            <w:pPr>
              <w:spacing w:after="60"/>
              <w:rPr>
                <w:b/>
                <w:sz w:val="20"/>
                <w:szCs w:val="20"/>
              </w:rPr>
            </w:pPr>
            <w:r w:rsidRPr="00B46DCB">
              <w:rPr>
                <w:b/>
                <w:sz w:val="20"/>
                <w:szCs w:val="20"/>
              </w:rPr>
              <w:t>Efeito Tratamento</w:t>
            </w:r>
          </w:p>
          <w:p w:rsidR="00AC7E06" w:rsidRPr="00B46DCB" w:rsidRDefault="00AC7E06" w:rsidP="008A7465">
            <w:pPr>
              <w:spacing w:after="60"/>
              <w:rPr>
                <w:b/>
                <w:sz w:val="20"/>
                <w:szCs w:val="20"/>
              </w:rPr>
            </w:pPr>
            <w:r w:rsidRPr="00B46DCB">
              <w:rPr>
                <w:b/>
                <w:sz w:val="20"/>
                <w:szCs w:val="20"/>
              </w:rPr>
              <w:t>(</w:t>
            </w:r>
            <w:r w:rsidR="00BC659E" w:rsidRPr="00B46DCB">
              <w:rPr>
                <w:b/>
                <w:sz w:val="20"/>
                <w:szCs w:val="20"/>
              </w:rPr>
              <w:t xml:space="preserve">ano de </w:t>
            </w:r>
            <w:r w:rsidRPr="00B46DCB">
              <w:rPr>
                <w:b/>
                <w:sz w:val="20"/>
                <w:szCs w:val="20"/>
              </w:rPr>
              <w:t>2008)</w:t>
            </w:r>
          </w:p>
        </w:tc>
        <w:tc>
          <w:tcPr>
            <w:tcW w:w="881" w:type="pct"/>
            <w:tcBorders>
              <w:top w:val="single" w:sz="4" w:space="0" w:color="auto"/>
              <w:bottom w:val="single" w:sz="4" w:space="0" w:color="auto"/>
            </w:tcBorders>
            <w:shd w:val="clear" w:color="auto" w:fill="auto"/>
            <w:noWrap/>
            <w:vAlign w:val="center"/>
          </w:tcPr>
          <w:p w:rsidR="00C747E5" w:rsidRPr="00B46DCB" w:rsidRDefault="00C747E5" w:rsidP="008A7465">
            <w:pPr>
              <w:spacing w:after="60"/>
              <w:rPr>
                <w:b/>
                <w:sz w:val="20"/>
                <w:szCs w:val="20"/>
              </w:rPr>
            </w:pPr>
            <w:r w:rsidRPr="00B46DCB">
              <w:rPr>
                <w:b/>
                <w:sz w:val="20"/>
                <w:szCs w:val="20"/>
              </w:rPr>
              <w:t>Incidência (%)</w:t>
            </w:r>
          </w:p>
        </w:tc>
        <w:tc>
          <w:tcPr>
            <w:tcW w:w="206" w:type="pct"/>
            <w:tcBorders>
              <w:top w:val="single" w:sz="4" w:space="0" w:color="auto"/>
              <w:bottom w:val="single" w:sz="4" w:space="0" w:color="auto"/>
            </w:tcBorders>
            <w:shd w:val="clear" w:color="auto" w:fill="auto"/>
            <w:noWrap/>
            <w:vAlign w:val="center"/>
          </w:tcPr>
          <w:p w:rsidR="00C747E5" w:rsidRPr="00B46DCB" w:rsidRDefault="00C747E5" w:rsidP="008A7465">
            <w:pPr>
              <w:spacing w:after="60"/>
              <w:rPr>
                <w:b/>
                <w:sz w:val="20"/>
                <w:szCs w:val="20"/>
              </w:rPr>
            </w:pPr>
          </w:p>
        </w:tc>
        <w:tc>
          <w:tcPr>
            <w:tcW w:w="158" w:type="pct"/>
            <w:tcBorders>
              <w:top w:val="single" w:sz="4" w:space="0" w:color="auto"/>
              <w:bottom w:val="single" w:sz="4" w:space="0" w:color="auto"/>
            </w:tcBorders>
            <w:shd w:val="clear" w:color="auto" w:fill="auto"/>
            <w:noWrap/>
            <w:vAlign w:val="center"/>
          </w:tcPr>
          <w:p w:rsidR="00C747E5" w:rsidRPr="00B46DCB" w:rsidRDefault="00C747E5" w:rsidP="008A7465">
            <w:pPr>
              <w:spacing w:after="60"/>
              <w:rPr>
                <w:b/>
                <w:sz w:val="20"/>
                <w:szCs w:val="20"/>
              </w:rPr>
            </w:pPr>
          </w:p>
        </w:tc>
        <w:tc>
          <w:tcPr>
            <w:tcW w:w="91" w:type="pct"/>
            <w:shd w:val="clear" w:color="auto" w:fill="auto"/>
            <w:vAlign w:val="center"/>
          </w:tcPr>
          <w:p w:rsidR="00C747E5" w:rsidRPr="00B46DCB" w:rsidRDefault="00C747E5" w:rsidP="008A7465">
            <w:pPr>
              <w:spacing w:after="60"/>
              <w:rPr>
                <w:b/>
                <w:sz w:val="20"/>
                <w:szCs w:val="20"/>
              </w:rPr>
            </w:pPr>
          </w:p>
        </w:tc>
        <w:tc>
          <w:tcPr>
            <w:tcW w:w="1210" w:type="pct"/>
            <w:tcBorders>
              <w:top w:val="single" w:sz="4" w:space="0" w:color="auto"/>
              <w:bottom w:val="single" w:sz="4" w:space="0" w:color="auto"/>
            </w:tcBorders>
            <w:shd w:val="clear" w:color="auto" w:fill="auto"/>
            <w:vAlign w:val="center"/>
          </w:tcPr>
          <w:p w:rsidR="00C747E5" w:rsidRPr="00B46DCB" w:rsidRDefault="00C747E5" w:rsidP="008A7465">
            <w:pPr>
              <w:spacing w:after="60"/>
              <w:rPr>
                <w:b/>
                <w:sz w:val="20"/>
                <w:szCs w:val="20"/>
              </w:rPr>
            </w:pPr>
            <w:r w:rsidRPr="00B46DCB">
              <w:rPr>
                <w:b/>
                <w:sz w:val="20"/>
                <w:szCs w:val="20"/>
              </w:rPr>
              <w:t>Efeito Tratamento</w:t>
            </w:r>
          </w:p>
          <w:p w:rsidR="00AC7E06" w:rsidRPr="00B46DCB" w:rsidRDefault="00AC7E06" w:rsidP="008A7465">
            <w:pPr>
              <w:spacing w:after="60"/>
              <w:rPr>
                <w:b/>
                <w:sz w:val="20"/>
                <w:szCs w:val="20"/>
              </w:rPr>
            </w:pPr>
            <w:r w:rsidRPr="00B46DCB">
              <w:rPr>
                <w:b/>
                <w:sz w:val="20"/>
                <w:szCs w:val="20"/>
              </w:rPr>
              <w:t>(</w:t>
            </w:r>
            <w:r w:rsidR="00BC659E" w:rsidRPr="00B46DCB">
              <w:rPr>
                <w:b/>
                <w:sz w:val="20"/>
                <w:szCs w:val="20"/>
              </w:rPr>
              <w:t xml:space="preserve">ano de </w:t>
            </w:r>
            <w:r w:rsidRPr="00B46DCB">
              <w:rPr>
                <w:b/>
                <w:sz w:val="20"/>
                <w:szCs w:val="20"/>
              </w:rPr>
              <w:t>2009)</w:t>
            </w:r>
          </w:p>
        </w:tc>
        <w:tc>
          <w:tcPr>
            <w:tcW w:w="880" w:type="pct"/>
            <w:tcBorders>
              <w:top w:val="single" w:sz="4" w:space="0" w:color="auto"/>
              <w:bottom w:val="single" w:sz="4" w:space="0" w:color="auto"/>
            </w:tcBorders>
            <w:shd w:val="clear" w:color="auto" w:fill="auto"/>
            <w:vAlign w:val="center"/>
          </w:tcPr>
          <w:p w:rsidR="00C747E5" w:rsidRPr="00B46DCB" w:rsidRDefault="00C747E5" w:rsidP="008A7465">
            <w:pPr>
              <w:spacing w:after="60"/>
              <w:rPr>
                <w:b/>
                <w:sz w:val="20"/>
                <w:szCs w:val="20"/>
              </w:rPr>
            </w:pPr>
            <w:r w:rsidRPr="00B46DCB">
              <w:rPr>
                <w:b/>
                <w:sz w:val="20"/>
                <w:szCs w:val="20"/>
              </w:rPr>
              <w:t>Incidência (%)</w:t>
            </w:r>
          </w:p>
        </w:tc>
        <w:tc>
          <w:tcPr>
            <w:tcW w:w="206" w:type="pct"/>
            <w:tcBorders>
              <w:top w:val="single" w:sz="4" w:space="0" w:color="auto"/>
              <w:bottom w:val="single" w:sz="4" w:space="0" w:color="auto"/>
            </w:tcBorders>
            <w:shd w:val="clear" w:color="auto" w:fill="auto"/>
            <w:vAlign w:val="center"/>
          </w:tcPr>
          <w:p w:rsidR="00C747E5" w:rsidRPr="00B46DCB" w:rsidRDefault="00C747E5" w:rsidP="008A7465">
            <w:pPr>
              <w:spacing w:after="60"/>
              <w:rPr>
                <w:b/>
                <w:sz w:val="20"/>
                <w:szCs w:val="20"/>
              </w:rPr>
            </w:pPr>
          </w:p>
        </w:tc>
        <w:tc>
          <w:tcPr>
            <w:tcW w:w="158" w:type="pct"/>
            <w:tcBorders>
              <w:top w:val="single" w:sz="4" w:space="0" w:color="auto"/>
              <w:bottom w:val="single" w:sz="4" w:space="0" w:color="auto"/>
            </w:tcBorders>
            <w:shd w:val="clear" w:color="auto" w:fill="auto"/>
            <w:vAlign w:val="center"/>
          </w:tcPr>
          <w:p w:rsidR="00C747E5" w:rsidRPr="00B46DCB" w:rsidRDefault="00C747E5" w:rsidP="008A7465">
            <w:pPr>
              <w:spacing w:after="60"/>
              <w:rPr>
                <w:b/>
                <w:sz w:val="20"/>
                <w:szCs w:val="20"/>
              </w:rPr>
            </w:pPr>
          </w:p>
        </w:tc>
      </w:tr>
      <w:tr w:rsidR="00DF0D52" w:rsidRPr="00DF0D52" w:rsidTr="00DF0D52">
        <w:trPr>
          <w:trHeight w:val="300"/>
        </w:trPr>
        <w:tc>
          <w:tcPr>
            <w:tcW w:w="1211" w:type="pct"/>
            <w:tcBorders>
              <w:top w:val="single" w:sz="4" w:space="0" w:color="auto"/>
            </w:tcBorders>
            <w:shd w:val="clear" w:color="auto" w:fill="auto"/>
            <w:noWrap/>
            <w:vAlign w:val="center"/>
          </w:tcPr>
          <w:p w:rsidR="00DF0D52" w:rsidRPr="00B46DCB" w:rsidRDefault="00DF0D52" w:rsidP="008A7465">
            <w:pPr>
              <w:spacing w:after="60"/>
              <w:rPr>
                <w:color w:val="000000"/>
                <w:sz w:val="20"/>
                <w:szCs w:val="20"/>
              </w:rPr>
            </w:pPr>
            <w:r w:rsidRPr="00B46DCB">
              <w:rPr>
                <w:sz w:val="20"/>
                <w:szCs w:val="20"/>
              </w:rPr>
              <w:t>difenoconazol</w:t>
            </w:r>
          </w:p>
        </w:tc>
        <w:tc>
          <w:tcPr>
            <w:tcW w:w="881" w:type="pct"/>
            <w:tcBorders>
              <w:top w:val="single" w:sz="4" w:space="0" w:color="auto"/>
            </w:tcBorders>
            <w:shd w:val="clear" w:color="auto" w:fill="auto"/>
            <w:noWrap/>
            <w:vAlign w:val="center"/>
          </w:tcPr>
          <w:p w:rsidR="00DF0D52" w:rsidRPr="00B46DCB" w:rsidRDefault="00DF0D52" w:rsidP="008A7465">
            <w:pPr>
              <w:spacing w:after="60"/>
              <w:jc w:val="right"/>
              <w:rPr>
                <w:color w:val="000000"/>
                <w:sz w:val="20"/>
                <w:szCs w:val="20"/>
              </w:rPr>
            </w:pPr>
            <w:r w:rsidRPr="00B46DCB">
              <w:rPr>
                <w:color w:val="000000"/>
                <w:sz w:val="20"/>
                <w:szCs w:val="20"/>
              </w:rPr>
              <w:t>38,8</w:t>
            </w:r>
          </w:p>
        </w:tc>
        <w:tc>
          <w:tcPr>
            <w:tcW w:w="206" w:type="pct"/>
            <w:tcBorders>
              <w:top w:val="single" w:sz="4" w:space="0" w:color="auto"/>
            </w:tcBorders>
            <w:shd w:val="clear" w:color="auto" w:fill="auto"/>
            <w:noWrap/>
            <w:vAlign w:val="center"/>
          </w:tcPr>
          <w:p w:rsidR="00DF0D52" w:rsidRPr="00B46DCB" w:rsidRDefault="00DF0D52" w:rsidP="008A7465">
            <w:pPr>
              <w:spacing w:after="60"/>
              <w:jc w:val="left"/>
              <w:rPr>
                <w:b/>
                <w:sz w:val="20"/>
                <w:szCs w:val="20"/>
              </w:rPr>
            </w:pPr>
            <w:r w:rsidRPr="00B46DCB">
              <w:rPr>
                <w:b/>
                <w:sz w:val="20"/>
                <w:szCs w:val="20"/>
              </w:rPr>
              <w:t>a</w:t>
            </w:r>
          </w:p>
        </w:tc>
        <w:tc>
          <w:tcPr>
            <w:tcW w:w="158" w:type="pct"/>
            <w:tcBorders>
              <w:top w:val="single" w:sz="4" w:space="0" w:color="auto"/>
            </w:tcBorders>
            <w:shd w:val="clear" w:color="auto" w:fill="auto"/>
            <w:noWrap/>
            <w:vAlign w:val="center"/>
          </w:tcPr>
          <w:p w:rsidR="00DF0D52" w:rsidRPr="00B46DCB" w:rsidRDefault="00DF0D52" w:rsidP="008A7465">
            <w:pPr>
              <w:spacing w:after="60"/>
              <w:jc w:val="left"/>
              <w:rPr>
                <w:b/>
                <w:color w:val="000000"/>
                <w:sz w:val="20"/>
                <w:szCs w:val="20"/>
              </w:rPr>
            </w:pPr>
          </w:p>
        </w:tc>
        <w:tc>
          <w:tcPr>
            <w:tcW w:w="91" w:type="pct"/>
            <w:shd w:val="clear" w:color="auto" w:fill="auto"/>
            <w:vAlign w:val="center"/>
          </w:tcPr>
          <w:p w:rsidR="00DF0D52" w:rsidRPr="00B46DCB" w:rsidRDefault="00DF0D52" w:rsidP="008A7465">
            <w:pPr>
              <w:spacing w:after="60"/>
              <w:rPr>
                <w:color w:val="000000"/>
                <w:sz w:val="20"/>
                <w:szCs w:val="20"/>
              </w:rPr>
            </w:pPr>
          </w:p>
        </w:tc>
        <w:tc>
          <w:tcPr>
            <w:tcW w:w="1210" w:type="pct"/>
            <w:tcBorders>
              <w:top w:val="single" w:sz="4" w:space="0" w:color="auto"/>
            </w:tcBorders>
            <w:shd w:val="clear" w:color="auto" w:fill="auto"/>
            <w:vAlign w:val="center"/>
          </w:tcPr>
          <w:p w:rsidR="00DF0D52" w:rsidRPr="00B46DCB" w:rsidRDefault="00DF0D52" w:rsidP="008A7465">
            <w:pPr>
              <w:spacing w:after="60"/>
              <w:rPr>
                <w:color w:val="000000"/>
                <w:sz w:val="20"/>
                <w:szCs w:val="20"/>
              </w:rPr>
            </w:pPr>
            <w:r w:rsidRPr="00B46DCB">
              <w:rPr>
                <w:color w:val="000000"/>
                <w:sz w:val="20"/>
                <w:szCs w:val="20"/>
              </w:rPr>
              <w:t>ciprodinil+fludioxonil</w:t>
            </w:r>
          </w:p>
        </w:tc>
        <w:tc>
          <w:tcPr>
            <w:tcW w:w="880" w:type="pct"/>
            <w:tcBorders>
              <w:top w:val="single" w:sz="4" w:space="0" w:color="auto"/>
            </w:tcBorders>
            <w:shd w:val="clear" w:color="auto" w:fill="auto"/>
            <w:vAlign w:val="center"/>
          </w:tcPr>
          <w:p w:rsidR="00DF0D52" w:rsidRPr="00B46DCB" w:rsidRDefault="00DF0D52" w:rsidP="008A7465">
            <w:pPr>
              <w:spacing w:after="60"/>
              <w:jc w:val="right"/>
              <w:rPr>
                <w:sz w:val="20"/>
                <w:szCs w:val="20"/>
              </w:rPr>
            </w:pPr>
            <w:r w:rsidRPr="00B46DCB">
              <w:rPr>
                <w:sz w:val="20"/>
                <w:szCs w:val="20"/>
              </w:rPr>
              <w:t>23,1</w:t>
            </w:r>
          </w:p>
        </w:tc>
        <w:tc>
          <w:tcPr>
            <w:tcW w:w="206" w:type="pct"/>
            <w:tcBorders>
              <w:top w:val="single" w:sz="4" w:space="0" w:color="auto"/>
            </w:tcBorders>
            <w:shd w:val="clear" w:color="auto" w:fill="auto"/>
            <w:vAlign w:val="center"/>
          </w:tcPr>
          <w:p w:rsidR="00DF0D52" w:rsidRPr="00B46DCB" w:rsidRDefault="00DF0D52" w:rsidP="008A7465">
            <w:pPr>
              <w:spacing w:after="60"/>
              <w:rPr>
                <w:b/>
                <w:sz w:val="20"/>
                <w:szCs w:val="20"/>
              </w:rPr>
            </w:pPr>
            <w:r w:rsidRPr="00B46DCB">
              <w:rPr>
                <w:b/>
                <w:sz w:val="20"/>
                <w:szCs w:val="20"/>
              </w:rPr>
              <w:t>a</w:t>
            </w:r>
          </w:p>
        </w:tc>
        <w:tc>
          <w:tcPr>
            <w:tcW w:w="158" w:type="pct"/>
            <w:tcBorders>
              <w:top w:val="single" w:sz="4" w:space="0" w:color="auto"/>
            </w:tcBorders>
            <w:shd w:val="clear" w:color="auto" w:fill="auto"/>
            <w:vAlign w:val="center"/>
          </w:tcPr>
          <w:p w:rsidR="00DF0D52" w:rsidRPr="00B46DCB" w:rsidRDefault="00DF0D52" w:rsidP="008A7465">
            <w:pPr>
              <w:spacing w:after="60"/>
              <w:rPr>
                <w:b/>
                <w:sz w:val="20"/>
                <w:szCs w:val="20"/>
              </w:rPr>
            </w:pPr>
          </w:p>
        </w:tc>
      </w:tr>
      <w:tr w:rsidR="00DF0D52" w:rsidRPr="00DF0D52" w:rsidTr="00DF0D52">
        <w:trPr>
          <w:trHeight w:val="300"/>
        </w:trPr>
        <w:tc>
          <w:tcPr>
            <w:tcW w:w="1211" w:type="pct"/>
            <w:shd w:val="clear" w:color="auto" w:fill="auto"/>
            <w:noWrap/>
            <w:vAlign w:val="center"/>
          </w:tcPr>
          <w:p w:rsidR="00DF0D52" w:rsidRPr="00B46DCB" w:rsidRDefault="00DF0D52" w:rsidP="008A7465">
            <w:pPr>
              <w:spacing w:after="60"/>
              <w:rPr>
                <w:color w:val="000000"/>
                <w:sz w:val="20"/>
                <w:szCs w:val="20"/>
              </w:rPr>
            </w:pPr>
            <w:r w:rsidRPr="00B46DCB">
              <w:rPr>
                <w:color w:val="000000"/>
                <w:sz w:val="20"/>
                <w:szCs w:val="20"/>
              </w:rPr>
              <w:t>tebuconazol</w:t>
            </w:r>
          </w:p>
        </w:tc>
        <w:tc>
          <w:tcPr>
            <w:tcW w:w="881" w:type="pct"/>
            <w:shd w:val="clear" w:color="auto" w:fill="auto"/>
            <w:noWrap/>
            <w:vAlign w:val="center"/>
          </w:tcPr>
          <w:p w:rsidR="00DF0D52" w:rsidRPr="00B46DCB" w:rsidRDefault="00DF0D52" w:rsidP="008A7465">
            <w:pPr>
              <w:spacing w:after="60"/>
              <w:jc w:val="right"/>
              <w:rPr>
                <w:color w:val="000000"/>
                <w:sz w:val="20"/>
                <w:szCs w:val="20"/>
              </w:rPr>
            </w:pPr>
            <w:r w:rsidRPr="00B46DCB">
              <w:rPr>
                <w:color w:val="000000"/>
                <w:sz w:val="20"/>
                <w:szCs w:val="20"/>
              </w:rPr>
              <w:t>39,8</w:t>
            </w:r>
          </w:p>
        </w:tc>
        <w:tc>
          <w:tcPr>
            <w:tcW w:w="206" w:type="pct"/>
            <w:shd w:val="clear" w:color="auto" w:fill="auto"/>
            <w:noWrap/>
            <w:vAlign w:val="center"/>
          </w:tcPr>
          <w:p w:rsidR="00DF0D52" w:rsidRPr="00B46DCB" w:rsidRDefault="00DF0D52" w:rsidP="008A7465">
            <w:pPr>
              <w:spacing w:after="60"/>
              <w:jc w:val="left"/>
              <w:rPr>
                <w:b/>
                <w:sz w:val="20"/>
                <w:szCs w:val="20"/>
              </w:rPr>
            </w:pPr>
            <w:r w:rsidRPr="00B46DCB">
              <w:rPr>
                <w:b/>
                <w:sz w:val="20"/>
                <w:szCs w:val="20"/>
              </w:rPr>
              <w:t>a</w:t>
            </w:r>
          </w:p>
        </w:tc>
        <w:tc>
          <w:tcPr>
            <w:tcW w:w="158" w:type="pct"/>
            <w:shd w:val="clear" w:color="auto" w:fill="auto"/>
            <w:noWrap/>
            <w:vAlign w:val="center"/>
          </w:tcPr>
          <w:p w:rsidR="00DF0D52" w:rsidRPr="00B46DCB" w:rsidRDefault="00DF0D52" w:rsidP="008A7465">
            <w:pPr>
              <w:spacing w:after="60"/>
              <w:jc w:val="left"/>
              <w:rPr>
                <w:b/>
                <w:color w:val="000000"/>
                <w:sz w:val="20"/>
                <w:szCs w:val="20"/>
              </w:rPr>
            </w:pPr>
          </w:p>
        </w:tc>
        <w:tc>
          <w:tcPr>
            <w:tcW w:w="91" w:type="pct"/>
            <w:shd w:val="clear" w:color="auto" w:fill="auto"/>
            <w:vAlign w:val="center"/>
          </w:tcPr>
          <w:p w:rsidR="00DF0D52" w:rsidRPr="00B46DCB" w:rsidRDefault="00DF0D52" w:rsidP="008A7465">
            <w:pPr>
              <w:spacing w:after="60"/>
              <w:rPr>
                <w:color w:val="000000"/>
                <w:sz w:val="20"/>
                <w:szCs w:val="20"/>
              </w:rPr>
            </w:pPr>
          </w:p>
        </w:tc>
        <w:tc>
          <w:tcPr>
            <w:tcW w:w="1210" w:type="pct"/>
            <w:shd w:val="clear" w:color="auto" w:fill="auto"/>
            <w:vAlign w:val="center"/>
          </w:tcPr>
          <w:p w:rsidR="00DF0D52" w:rsidRPr="00B46DCB" w:rsidRDefault="00DF0D52" w:rsidP="008A7465">
            <w:pPr>
              <w:spacing w:after="60"/>
              <w:rPr>
                <w:sz w:val="20"/>
                <w:szCs w:val="20"/>
              </w:rPr>
            </w:pPr>
            <w:r w:rsidRPr="00B46DCB">
              <w:rPr>
                <w:color w:val="000000"/>
                <w:sz w:val="20"/>
                <w:szCs w:val="20"/>
              </w:rPr>
              <w:t>oxicloreto de cobre</w:t>
            </w:r>
          </w:p>
        </w:tc>
        <w:tc>
          <w:tcPr>
            <w:tcW w:w="880" w:type="pct"/>
            <w:shd w:val="clear" w:color="auto" w:fill="auto"/>
            <w:vAlign w:val="center"/>
          </w:tcPr>
          <w:p w:rsidR="00DF0D52" w:rsidRPr="00B46DCB" w:rsidRDefault="00DF0D52" w:rsidP="008A7465">
            <w:pPr>
              <w:spacing w:after="60"/>
              <w:jc w:val="right"/>
              <w:rPr>
                <w:sz w:val="20"/>
                <w:szCs w:val="20"/>
              </w:rPr>
            </w:pPr>
            <w:r w:rsidRPr="00B46DCB">
              <w:rPr>
                <w:sz w:val="20"/>
                <w:szCs w:val="20"/>
              </w:rPr>
              <w:t>25,7</w:t>
            </w:r>
          </w:p>
        </w:tc>
        <w:tc>
          <w:tcPr>
            <w:tcW w:w="206" w:type="pct"/>
            <w:shd w:val="clear" w:color="auto" w:fill="auto"/>
            <w:vAlign w:val="center"/>
          </w:tcPr>
          <w:p w:rsidR="00DF0D52" w:rsidRPr="00B46DCB" w:rsidRDefault="00DF0D52" w:rsidP="008A7465">
            <w:pPr>
              <w:spacing w:after="60"/>
              <w:rPr>
                <w:b/>
                <w:sz w:val="20"/>
                <w:szCs w:val="20"/>
              </w:rPr>
            </w:pPr>
            <w:r w:rsidRPr="00B46DCB">
              <w:rPr>
                <w:b/>
                <w:sz w:val="20"/>
                <w:szCs w:val="20"/>
              </w:rPr>
              <w:t>a</w:t>
            </w:r>
          </w:p>
        </w:tc>
        <w:tc>
          <w:tcPr>
            <w:tcW w:w="158" w:type="pct"/>
            <w:shd w:val="clear" w:color="auto" w:fill="auto"/>
            <w:vAlign w:val="center"/>
          </w:tcPr>
          <w:p w:rsidR="00DF0D52" w:rsidRPr="00B46DCB" w:rsidRDefault="00DF0D52" w:rsidP="008A7465">
            <w:pPr>
              <w:spacing w:after="60"/>
              <w:rPr>
                <w:b/>
                <w:sz w:val="20"/>
                <w:szCs w:val="20"/>
              </w:rPr>
            </w:pPr>
          </w:p>
        </w:tc>
      </w:tr>
      <w:tr w:rsidR="00DF0D52" w:rsidRPr="00DF0D52" w:rsidTr="00DF0D52">
        <w:trPr>
          <w:trHeight w:val="300"/>
        </w:trPr>
        <w:tc>
          <w:tcPr>
            <w:tcW w:w="1211" w:type="pct"/>
            <w:shd w:val="clear" w:color="auto" w:fill="auto"/>
            <w:noWrap/>
            <w:vAlign w:val="center"/>
          </w:tcPr>
          <w:p w:rsidR="00DF0D52" w:rsidRPr="00B46DCB" w:rsidRDefault="00DF0D52" w:rsidP="008A7465">
            <w:pPr>
              <w:spacing w:after="60"/>
              <w:rPr>
                <w:color w:val="000000"/>
                <w:sz w:val="20"/>
                <w:szCs w:val="20"/>
              </w:rPr>
            </w:pPr>
            <w:r w:rsidRPr="00B46DCB">
              <w:rPr>
                <w:color w:val="000000"/>
                <w:sz w:val="20"/>
                <w:szCs w:val="20"/>
              </w:rPr>
              <w:t>azoxistrobina</w:t>
            </w:r>
          </w:p>
        </w:tc>
        <w:tc>
          <w:tcPr>
            <w:tcW w:w="881" w:type="pct"/>
            <w:shd w:val="clear" w:color="auto" w:fill="auto"/>
            <w:noWrap/>
            <w:vAlign w:val="center"/>
          </w:tcPr>
          <w:p w:rsidR="00DF0D52" w:rsidRPr="00B46DCB" w:rsidRDefault="00DF0D52" w:rsidP="008A7465">
            <w:pPr>
              <w:spacing w:after="60"/>
              <w:jc w:val="right"/>
              <w:rPr>
                <w:color w:val="000000"/>
                <w:sz w:val="20"/>
                <w:szCs w:val="20"/>
              </w:rPr>
            </w:pPr>
            <w:r w:rsidRPr="00B46DCB">
              <w:rPr>
                <w:color w:val="000000"/>
                <w:sz w:val="20"/>
                <w:szCs w:val="20"/>
              </w:rPr>
              <w:t>43,4</w:t>
            </w:r>
          </w:p>
        </w:tc>
        <w:tc>
          <w:tcPr>
            <w:tcW w:w="206" w:type="pct"/>
            <w:shd w:val="clear" w:color="auto" w:fill="auto"/>
            <w:noWrap/>
            <w:vAlign w:val="center"/>
          </w:tcPr>
          <w:p w:rsidR="00DF0D52" w:rsidRPr="00B46DCB" w:rsidRDefault="00DF0D52" w:rsidP="008A7465">
            <w:pPr>
              <w:spacing w:after="60"/>
              <w:jc w:val="left"/>
              <w:rPr>
                <w:b/>
                <w:sz w:val="20"/>
                <w:szCs w:val="20"/>
              </w:rPr>
            </w:pPr>
            <w:r w:rsidRPr="00B46DCB">
              <w:rPr>
                <w:b/>
                <w:sz w:val="20"/>
                <w:szCs w:val="20"/>
              </w:rPr>
              <w:t>a</w:t>
            </w:r>
          </w:p>
        </w:tc>
        <w:tc>
          <w:tcPr>
            <w:tcW w:w="158" w:type="pct"/>
            <w:shd w:val="clear" w:color="auto" w:fill="auto"/>
            <w:noWrap/>
            <w:vAlign w:val="center"/>
          </w:tcPr>
          <w:p w:rsidR="00DF0D52" w:rsidRPr="00B46DCB" w:rsidRDefault="00DF0D52" w:rsidP="008A7465">
            <w:pPr>
              <w:spacing w:after="60"/>
              <w:jc w:val="left"/>
              <w:rPr>
                <w:b/>
                <w:color w:val="000000"/>
                <w:sz w:val="20"/>
                <w:szCs w:val="20"/>
              </w:rPr>
            </w:pPr>
          </w:p>
        </w:tc>
        <w:tc>
          <w:tcPr>
            <w:tcW w:w="91" w:type="pct"/>
            <w:shd w:val="clear" w:color="auto" w:fill="auto"/>
            <w:vAlign w:val="center"/>
          </w:tcPr>
          <w:p w:rsidR="00DF0D52" w:rsidRPr="00B46DCB" w:rsidRDefault="00DF0D52" w:rsidP="008A7465">
            <w:pPr>
              <w:spacing w:after="60"/>
              <w:rPr>
                <w:color w:val="000000"/>
                <w:sz w:val="20"/>
                <w:szCs w:val="20"/>
              </w:rPr>
            </w:pPr>
          </w:p>
        </w:tc>
        <w:tc>
          <w:tcPr>
            <w:tcW w:w="1210" w:type="pct"/>
            <w:shd w:val="clear" w:color="auto" w:fill="auto"/>
            <w:vAlign w:val="center"/>
          </w:tcPr>
          <w:p w:rsidR="00DF0D52" w:rsidRPr="00B46DCB" w:rsidRDefault="00DF0D52" w:rsidP="008A7465">
            <w:pPr>
              <w:spacing w:after="60"/>
              <w:rPr>
                <w:sz w:val="20"/>
                <w:szCs w:val="20"/>
              </w:rPr>
            </w:pPr>
            <w:r w:rsidRPr="00B46DCB">
              <w:rPr>
                <w:sz w:val="20"/>
                <w:szCs w:val="20"/>
              </w:rPr>
              <w:t>difenoconazol</w:t>
            </w:r>
          </w:p>
        </w:tc>
        <w:tc>
          <w:tcPr>
            <w:tcW w:w="880" w:type="pct"/>
            <w:shd w:val="clear" w:color="auto" w:fill="auto"/>
            <w:vAlign w:val="center"/>
          </w:tcPr>
          <w:p w:rsidR="00DF0D52" w:rsidRPr="00B46DCB" w:rsidRDefault="00DF0D52" w:rsidP="008A7465">
            <w:pPr>
              <w:spacing w:after="60"/>
              <w:jc w:val="right"/>
              <w:rPr>
                <w:sz w:val="20"/>
                <w:szCs w:val="20"/>
              </w:rPr>
            </w:pPr>
            <w:r w:rsidRPr="00B46DCB">
              <w:rPr>
                <w:sz w:val="20"/>
                <w:szCs w:val="20"/>
              </w:rPr>
              <w:t>27,2</w:t>
            </w:r>
          </w:p>
        </w:tc>
        <w:tc>
          <w:tcPr>
            <w:tcW w:w="206" w:type="pct"/>
            <w:shd w:val="clear" w:color="auto" w:fill="auto"/>
            <w:vAlign w:val="center"/>
          </w:tcPr>
          <w:p w:rsidR="00DF0D52" w:rsidRPr="00B46DCB" w:rsidRDefault="00DF0D52" w:rsidP="008A7465">
            <w:pPr>
              <w:spacing w:after="60"/>
              <w:rPr>
                <w:b/>
                <w:sz w:val="20"/>
                <w:szCs w:val="20"/>
              </w:rPr>
            </w:pPr>
            <w:r w:rsidRPr="00B46DCB">
              <w:rPr>
                <w:b/>
                <w:sz w:val="20"/>
                <w:szCs w:val="20"/>
              </w:rPr>
              <w:t>a</w:t>
            </w:r>
          </w:p>
        </w:tc>
        <w:tc>
          <w:tcPr>
            <w:tcW w:w="158" w:type="pct"/>
            <w:shd w:val="clear" w:color="auto" w:fill="auto"/>
            <w:vAlign w:val="center"/>
          </w:tcPr>
          <w:p w:rsidR="00DF0D52" w:rsidRPr="00B46DCB" w:rsidRDefault="00DF0D52" w:rsidP="008A7465">
            <w:pPr>
              <w:spacing w:after="60"/>
              <w:rPr>
                <w:b/>
                <w:sz w:val="20"/>
                <w:szCs w:val="20"/>
              </w:rPr>
            </w:pPr>
          </w:p>
        </w:tc>
      </w:tr>
      <w:tr w:rsidR="00DF0D52" w:rsidRPr="00DF0D52" w:rsidTr="00DF0D52">
        <w:trPr>
          <w:trHeight w:val="300"/>
        </w:trPr>
        <w:tc>
          <w:tcPr>
            <w:tcW w:w="1211" w:type="pct"/>
            <w:shd w:val="clear" w:color="auto" w:fill="auto"/>
            <w:noWrap/>
            <w:vAlign w:val="center"/>
          </w:tcPr>
          <w:p w:rsidR="00DF0D52" w:rsidRPr="00B46DCB" w:rsidRDefault="00DF0D52" w:rsidP="008A7465">
            <w:pPr>
              <w:spacing w:after="60"/>
              <w:rPr>
                <w:color w:val="000000"/>
                <w:sz w:val="20"/>
                <w:szCs w:val="20"/>
              </w:rPr>
            </w:pPr>
            <w:r w:rsidRPr="00B46DCB">
              <w:rPr>
                <w:color w:val="000000"/>
                <w:sz w:val="20"/>
                <w:szCs w:val="20"/>
              </w:rPr>
              <w:t>oxicloreto de cobre</w:t>
            </w:r>
          </w:p>
        </w:tc>
        <w:tc>
          <w:tcPr>
            <w:tcW w:w="881" w:type="pct"/>
            <w:shd w:val="clear" w:color="auto" w:fill="auto"/>
            <w:noWrap/>
            <w:vAlign w:val="center"/>
          </w:tcPr>
          <w:p w:rsidR="00DF0D52" w:rsidRPr="00B46DCB" w:rsidRDefault="00DF0D52" w:rsidP="008A7465">
            <w:pPr>
              <w:spacing w:after="60"/>
              <w:jc w:val="right"/>
              <w:rPr>
                <w:color w:val="000000"/>
                <w:sz w:val="20"/>
                <w:szCs w:val="20"/>
              </w:rPr>
            </w:pPr>
            <w:r w:rsidRPr="00B46DCB">
              <w:rPr>
                <w:color w:val="000000"/>
                <w:sz w:val="20"/>
                <w:szCs w:val="20"/>
              </w:rPr>
              <w:t>43,9</w:t>
            </w:r>
          </w:p>
        </w:tc>
        <w:tc>
          <w:tcPr>
            <w:tcW w:w="206" w:type="pct"/>
            <w:shd w:val="clear" w:color="auto" w:fill="auto"/>
            <w:noWrap/>
            <w:vAlign w:val="center"/>
          </w:tcPr>
          <w:p w:rsidR="00DF0D52" w:rsidRPr="00B46DCB" w:rsidRDefault="00DF0D52" w:rsidP="008A7465">
            <w:pPr>
              <w:spacing w:after="60"/>
              <w:jc w:val="left"/>
              <w:rPr>
                <w:b/>
                <w:sz w:val="20"/>
                <w:szCs w:val="20"/>
              </w:rPr>
            </w:pPr>
            <w:r w:rsidRPr="00B46DCB">
              <w:rPr>
                <w:b/>
                <w:sz w:val="20"/>
                <w:szCs w:val="20"/>
              </w:rPr>
              <w:t>a</w:t>
            </w:r>
          </w:p>
        </w:tc>
        <w:tc>
          <w:tcPr>
            <w:tcW w:w="158" w:type="pct"/>
            <w:shd w:val="clear" w:color="auto" w:fill="auto"/>
            <w:noWrap/>
            <w:vAlign w:val="center"/>
          </w:tcPr>
          <w:p w:rsidR="00DF0D52" w:rsidRPr="00B46DCB" w:rsidRDefault="00DF0D52" w:rsidP="008A7465">
            <w:pPr>
              <w:spacing w:after="60"/>
              <w:jc w:val="left"/>
              <w:rPr>
                <w:b/>
                <w:sz w:val="20"/>
                <w:szCs w:val="20"/>
              </w:rPr>
            </w:pPr>
          </w:p>
        </w:tc>
        <w:tc>
          <w:tcPr>
            <w:tcW w:w="91" w:type="pct"/>
            <w:shd w:val="clear" w:color="auto" w:fill="auto"/>
            <w:vAlign w:val="center"/>
          </w:tcPr>
          <w:p w:rsidR="00DF0D52" w:rsidRPr="00B46DCB" w:rsidRDefault="00DF0D52" w:rsidP="008A7465">
            <w:pPr>
              <w:spacing w:after="60"/>
              <w:rPr>
                <w:color w:val="000000"/>
                <w:sz w:val="20"/>
                <w:szCs w:val="20"/>
              </w:rPr>
            </w:pPr>
          </w:p>
        </w:tc>
        <w:tc>
          <w:tcPr>
            <w:tcW w:w="1210" w:type="pct"/>
            <w:shd w:val="clear" w:color="auto" w:fill="auto"/>
            <w:vAlign w:val="center"/>
          </w:tcPr>
          <w:p w:rsidR="00DF0D52" w:rsidRPr="00B46DCB" w:rsidRDefault="00DF0D52" w:rsidP="008A7465">
            <w:pPr>
              <w:spacing w:after="60"/>
              <w:rPr>
                <w:color w:val="000000"/>
                <w:sz w:val="20"/>
                <w:szCs w:val="20"/>
              </w:rPr>
            </w:pPr>
            <w:r w:rsidRPr="00B46DCB">
              <w:rPr>
                <w:color w:val="000000"/>
                <w:sz w:val="20"/>
                <w:szCs w:val="20"/>
              </w:rPr>
              <w:t>tebuconazol</w:t>
            </w:r>
          </w:p>
        </w:tc>
        <w:tc>
          <w:tcPr>
            <w:tcW w:w="880" w:type="pct"/>
            <w:shd w:val="clear" w:color="auto" w:fill="auto"/>
            <w:vAlign w:val="center"/>
          </w:tcPr>
          <w:p w:rsidR="00DF0D52" w:rsidRPr="00B46DCB" w:rsidRDefault="00DF0D52" w:rsidP="008A7465">
            <w:pPr>
              <w:spacing w:after="60"/>
              <w:jc w:val="right"/>
              <w:rPr>
                <w:sz w:val="20"/>
                <w:szCs w:val="20"/>
              </w:rPr>
            </w:pPr>
            <w:r w:rsidRPr="00B46DCB">
              <w:rPr>
                <w:sz w:val="20"/>
                <w:szCs w:val="20"/>
              </w:rPr>
              <w:t>28,4</w:t>
            </w:r>
          </w:p>
        </w:tc>
        <w:tc>
          <w:tcPr>
            <w:tcW w:w="206" w:type="pct"/>
            <w:shd w:val="clear" w:color="auto" w:fill="auto"/>
            <w:vAlign w:val="center"/>
          </w:tcPr>
          <w:p w:rsidR="00DF0D52" w:rsidRPr="00B46DCB" w:rsidRDefault="00DF0D52" w:rsidP="008A7465">
            <w:pPr>
              <w:spacing w:after="60"/>
              <w:rPr>
                <w:b/>
                <w:sz w:val="20"/>
                <w:szCs w:val="20"/>
              </w:rPr>
            </w:pPr>
            <w:r w:rsidRPr="00B46DCB">
              <w:rPr>
                <w:b/>
                <w:sz w:val="20"/>
                <w:szCs w:val="20"/>
              </w:rPr>
              <w:t>a</w:t>
            </w:r>
          </w:p>
        </w:tc>
        <w:tc>
          <w:tcPr>
            <w:tcW w:w="158" w:type="pct"/>
            <w:shd w:val="clear" w:color="auto" w:fill="auto"/>
            <w:vAlign w:val="center"/>
          </w:tcPr>
          <w:p w:rsidR="00DF0D52" w:rsidRPr="00B46DCB" w:rsidRDefault="00DF0D52" w:rsidP="008A7465">
            <w:pPr>
              <w:spacing w:after="60"/>
              <w:rPr>
                <w:b/>
                <w:sz w:val="20"/>
                <w:szCs w:val="20"/>
              </w:rPr>
            </w:pPr>
          </w:p>
        </w:tc>
      </w:tr>
      <w:tr w:rsidR="00DF0D52" w:rsidRPr="00DF0D52" w:rsidTr="00DF0D52">
        <w:trPr>
          <w:trHeight w:val="300"/>
        </w:trPr>
        <w:tc>
          <w:tcPr>
            <w:tcW w:w="1211" w:type="pct"/>
            <w:shd w:val="clear" w:color="auto" w:fill="auto"/>
            <w:noWrap/>
            <w:vAlign w:val="center"/>
          </w:tcPr>
          <w:p w:rsidR="00DF0D52" w:rsidRPr="00B46DCB" w:rsidRDefault="00DF0D52" w:rsidP="008A7465">
            <w:pPr>
              <w:spacing w:after="60"/>
              <w:rPr>
                <w:color w:val="000000"/>
                <w:sz w:val="20"/>
                <w:szCs w:val="20"/>
              </w:rPr>
            </w:pPr>
            <w:r w:rsidRPr="00B46DCB">
              <w:rPr>
                <w:color w:val="000000"/>
                <w:sz w:val="20"/>
                <w:szCs w:val="20"/>
              </w:rPr>
              <w:t>ciprodinil+fludioxonil</w:t>
            </w:r>
          </w:p>
        </w:tc>
        <w:tc>
          <w:tcPr>
            <w:tcW w:w="881" w:type="pct"/>
            <w:shd w:val="clear" w:color="auto" w:fill="auto"/>
            <w:noWrap/>
            <w:vAlign w:val="center"/>
          </w:tcPr>
          <w:p w:rsidR="00DF0D52" w:rsidRPr="00B46DCB" w:rsidRDefault="00DF0D52" w:rsidP="008A7465">
            <w:pPr>
              <w:spacing w:after="60"/>
              <w:jc w:val="right"/>
              <w:rPr>
                <w:color w:val="000000"/>
                <w:sz w:val="20"/>
                <w:szCs w:val="20"/>
              </w:rPr>
            </w:pPr>
            <w:r w:rsidRPr="00B46DCB">
              <w:rPr>
                <w:color w:val="000000"/>
                <w:sz w:val="20"/>
                <w:szCs w:val="20"/>
              </w:rPr>
              <w:t>44,1</w:t>
            </w:r>
          </w:p>
        </w:tc>
        <w:tc>
          <w:tcPr>
            <w:tcW w:w="206" w:type="pct"/>
            <w:shd w:val="clear" w:color="auto" w:fill="auto"/>
            <w:noWrap/>
            <w:vAlign w:val="center"/>
          </w:tcPr>
          <w:p w:rsidR="00DF0D52" w:rsidRPr="00B46DCB" w:rsidRDefault="00B46DCB" w:rsidP="008A7465">
            <w:pPr>
              <w:spacing w:after="60"/>
              <w:jc w:val="left"/>
              <w:rPr>
                <w:b/>
                <w:sz w:val="20"/>
                <w:szCs w:val="20"/>
              </w:rPr>
            </w:pPr>
            <w:r w:rsidRPr="00B46DCB">
              <w:rPr>
                <w:b/>
                <w:sz w:val="20"/>
                <w:szCs w:val="20"/>
              </w:rPr>
              <w:t>a</w:t>
            </w:r>
          </w:p>
        </w:tc>
        <w:tc>
          <w:tcPr>
            <w:tcW w:w="158" w:type="pct"/>
            <w:shd w:val="clear" w:color="auto" w:fill="auto"/>
            <w:noWrap/>
            <w:vAlign w:val="center"/>
          </w:tcPr>
          <w:p w:rsidR="00DF0D52" w:rsidRPr="00B46DCB" w:rsidRDefault="00DF0D52" w:rsidP="008A7465">
            <w:pPr>
              <w:spacing w:after="60"/>
              <w:jc w:val="left"/>
              <w:rPr>
                <w:b/>
                <w:sz w:val="20"/>
                <w:szCs w:val="20"/>
              </w:rPr>
            </w:pPr>
            <w:r w:rsidRPr="00B46DCB">
              <w:rPr>
                <w:b/>
                <w:sz w:val="20"/>
                <w:szCs w:val="20"/>
              </w:rPr>
              <w:t>b</w:t>
            </w:r>
          </w:p>
        </w:tc>
        <w:tc>
          <w:tcPr>
            <w:tcW w:w="91" w:type="pct"/>
            <w:shd w:val="clear" w:color="auto" w:fill="auto"/>
            <w:vAlign w:val="center"/>
          </w:tcPr>
          <w:p w:rsidR="00DF0D52" w:rsidRPr="00B46DCB" w:rsidRDefault="00DF0D52" w:rsidP="008A7465">
            <w:pPr>
              <w:spacing w:after="60"/>
              <w:rPr>
                <w:color w:val="000000"/>
                <w:sz w:val="20"/>
                <w:szCs w:val="20"/>
              </w:rPr>
            </w:pPr>
          </w:p>
        </w:tc>
        <w:tc>
          <w:tcPr>
            <w:tcW w:w="1210" w:type="pct"/>
            <w:shd w:val="clear" w:color="auto" w:fill="auto"/>
            <w:vAlign w:val="center"/>
          </w:tcPr>
          <w:p w:rsidR="00DF0D52" w:rsidRPr="00B46DCB" w:rsidRDefault="00DF0D52" w:rsidP="008A7465">
            <w:pPr>
              <w:spacing w:after="60"/>
              <w:rPr>
                <w:color w:val="000000"/>
                <w:sz w:val="20"/>
                <w:szCs w:val="20"/>
              </w:rPr>
            </w:pPr>
            <w:r w:rsidRPr="00B46DCB">
              <w:rPr>
                <w:color w:val="000000"/>
                <w:sz w:val="20"/>
                <w:szCs w:val="20"/>
              </w:rPr>
              <w:t>azoxistrobina</w:t>
            </w:r>
          </w:p>
        </w:tc>
        <w:tc>
          <w:tcPr>
            <w:tcW w:w="880" w:type="pct"/>
            <w:shd w:val="clear" w:color="auto" w:fill="auto"/>
            <w:vAlign w:val="center"/>
          </w:tcPr>
          <w:p w:rsidR="00DF0D52" w:rsidRPr="00B46DCB" w:rsidRDefault="00DF0D52" w:rsidP="008A7465">
            <w:pPr>
              <w:spacing w:after="60"/>
              <w:jc w:val="right"/>
              <w:rPr>
                <w:sz w:val="20"/>
                <w:szCs w:val="20"/>
              </w:rPr>
            </w:pPr>
            <w:r w:rsidRPr="00B46DCB">
              <w:rPr>
                <w:sz w:val="20"/>
                <w:szCs w:val="20"/>
              </w:rPr>
              <w:t>37,3</w:t>
            </w:r>
          </w:p>
        </w:tc>
        <w:tc>
          <w:tcPr>
            <w:tcW w:w="206" w:type="pct"/>
            <w:shd w:val="clear" w:color="auto" w:fill="auto"/>
            <w:vAlign w:val="center"/>
          </w:tcPr>
          <w:p w:rsidR="00DF0D52" w:rsidRPr="00B46DCB" w:rsidRDefault="00DF0D52" w:rsidP="008A7465">
            <w:pPr>
              <w:spacing w:after="60"/>
              <w:rPr>
                <w:b/>
                <w:sz w:val="20"/>
                <w:szCs w:val="20"/>
              </w:rPr>
            </w:pPr>
          </w:p>
        </w:tc>
        <w:tc>
          <w:tcPr>
            <w:tcW w:w="158" w:type="pct"/>
            <w:shd w:val="clear" w:color="auto" w:fill="auto"/>
            <w:vAlign w:val="center"/>
          </w:tcPr>
          <w:p w:rsidR="00DF0D52" w:rsidRPr="00B46DCB" w:rsidRDefault="00DF0D52" w:rsidP="008A7465">
            <w:pPr>
              <w:spacing w:after="60"/>
              <w:rPr>
                <w:b/>
                <w:sz w:val="20"/>
                <w:szCs w:val="20"/>
              </w:rPr>
            </w:pPr>
            <w:r w:rsidRPr="00B46DCB">
              <w:rPr>
                <w:b/>
                <w:sz w:val="20"/>
                <w:szCs w:val="20"/>
              </w:rPr>
              <w:t>b</w:t>
            </w:r>
          </w:p>
        </w:tc>
      </w:tr>
      <w:tr w:rsidR="00DF0D52" w:rsidRPr="00DF0D52" w:rsidTr="00DF0D52">
        <w:trPr>
          <w:trHeight w:val="300"/>
        </w:trPr>
        <w:tc>
          <w:tcPr>
            <w:tcW w:w="1211" w:type="pct"/>
            <w:tcBorders>
              <w:bottom w:val="single" w:sz="4" w:space="0" w:color="auto"/>
            </w:tcBorders>
            <w:shd w:val="clear" w:color="auto" w:fill="auto"/>
            <w:noWrap/>
            <w:vAlign w:val="center"/>
          </w:tcPr>
          <w:p w:rsidR="00DF0D52" w:rsidRPr="00B46DCB" w:rsidRDefault="00DF0D52" w:rsidP="008A7465">
            <w:pPr>
              <w:spacing w:after="60"/>
              <w:rPr>
                <w:color w:val="000000"/>
                <w:sz w:val="20"/>
                <w:szCs w:val="20"/>
              </w:rPr>
            </w:pPr>
            <w:r w:rsidRPr="00B46DCB">
              <w:rPr>
                <w:color w:val="000000"/>
                <w:sz w:val="20"/>
                <w:szCs w:val="20"/>
              </w:rPr>
              <w:t>água</w:t>
            </w:r>
          </w:p>
        </w:tc>
        <w:tc>
          <w:tcPr>
            <w:tcW w:w="881" w:type="pct"/>
            <w:tcBorders>
              <w:bottom w:val="single" w:sz="4" w:space="0" w:color="auto"/>
            </w:tcBorders>
            <w:shd w:val="clear" w:color="auto" w:fill="auto"/>
            <w:noWrap/>
            <w:vAlign w:val="center"/>
          </w:tcPr>
          <w:p w:rsidR="00DF0D52" w:rsidRPr="00B46DCB" w:rsidRDefault="00DF0D52" w:rsidP="008A7465">
            <w:pPr>
              <w:spacing w:after="60"/>
              <w:jc w:val="right"/>
              <w:rPr>
                <w:color w:val="000000"/>
                <w:sz w:val="20"/>
                <w:szCs w:val="20"/>
              </w:rPr>
            </w:pPr>
            <w:r w:rsidRPr="00B46DCB">
              <w:rPr>
                <w:color w:val="000000"/>
                <w:sz w:val="20"/>
                <w:szCs w:val="20"/>
              </w:rPr>
              <w:t>51,6</w:t>
            </w:r>
          </w:p>
        </w:tc>
        <w:tc>
          <w:tcPr>
            <w:tcW w:w="206" w:type="pct"/>
            <w:tcBorders>
              <w:bottom w:val="single" w:sz="4" w:space="0" w:color="auto"/>
            </w:tcBorders>
            <w:shd w:val="clear" w:color="auto" w:fill="auto"/>
            <w:noWrap/>
            <w:vAlign w:val="center"/>
          </w:tcPr>
          <w:p w:rsidR="00DF0D52" w:rsidRPr="00B46DCB" w:rsidRDefault="00DF0D52" w:rsidP="008A7465">
            <w:pPr>
              <w:spacing w:after="60"/>
              <w:jc w:val="left"/>
              <w:rPr>
                <w:b/>
                <w:color w:val="000000"/>
                <w:sz w:val="20"/>
                <w:szCs w:val="20"/>
              </w:rPr>
            </w:pPr>
            <w:r w:rsidRPr="00B46DCB">
              <w:rPr>
                <w:b/>
                <w:color w:val="000000"/>
                <w:sz w:val="20"/>
                <w:szCs w:val="20"/>
              </w:rPr>
              <w:t> </w:t>
            </w:r>
          </w:p>
        </w:tc>
        <w:tc>
          <w:tcPr>
            <w:tcW w:w="158" w:type="pct"/>
            <w:tcBorders>
              <w:bottom w:val="single" w:sz="4" w:space="0" w:color="auto"/>
            </w:tcBorders>
            <w:shd w:val="clear" w:color="auto" w:fill="auto"/>
            <w:noWrap/>
            <w:vAlign w:val="center"/>
          </w:tcPr>
          <w:p w:rsidR="00DF0D52" w:rsidRPr="00B46DCB" w:rsidRDefault="00DF0D52" w:rsidP="008A7465">
            <w:pPr>
              <w:spacing w:after="60"/>
              <w:jc w:val="left"/>
              <w:rPr>
                <w:b/>
                <w:sz w:val="20"/>
                <w:szCs w:val="20"/>
              </w:rPr>
            </w:pPr>
            <w:r w:rsidRPr="00B46DCB">
              <w:rPr>
                <w:b/>
                <w:sz w:val="20"/>
                <w:szCs w:val="20"/>
              </w:rPr>
              <w:t>b</w:t>
            </w:r>
          </w:p>
        </w:tc>
        <w:tc>
          <w:tcPr>
            <w:tcW w:w="91" w:type="pct"/>
            <w:shd w:val="clear" w:color="auto" w:fill="auto"/>
            <w:vAlign w:val="center"/>
          </w:tcPr>
          <w:p w:rsidR="00DF0D52" w:rsidRPr="00B46DCB" w:rsidRDefault="00DF0D52" w:rsidP="008A7465">
            <w:pPr>
              <w:spacing w:after="60"/>
              <w:rPr>
                <w:color w:val="000000"/>
                <w:sz w:val="20"/>
                <w:szCs w:val="20"/>
              </w:rPr>
            </w:pPr>
          </w:p>
        </w:tc>
        <w:tc>
          <w:tcPr>
            <w:tcW w:w="1210" w:type="pct"/>
            <w:tcBorders>
              <w:bottom w:val="single" w:sz="4" w:space="0" w:color="auto"/>
            </w:tcBorders>
            <w:shd w:val="clear" w:color="auto" w:fill="auto"/>
            <w:vAlign w:val="center"/>
          </w:tcPr>
          <w:p w:rsidR="00DF0D52" w:rsidRPr="00B46DCB" w:rsidRDefault="00DF0D52" w:rsidP="008A7465">
            <w:pPr>
              <w:spacing w:after="60"/>
              <w:rPr>
                <w:sz w:val="20"/>
                <w:szCs w:val="20"/>
              </w:rPr>
            </w:pPr>
            <w:r w:rsidRPr="00B46DCB">
              <w:rPr>
                <w:sz w:val="20"/>
                <w:szCs w:val="20"/>
              </w:rPr>
              <w:t>água</w:t>
            </w:r>
          </w:p>
        </w:tc>
        <w:tc>
          <w:tcPr>
            <w:tcW w:w="880" w:type="pct"/>
            <w:tcBorders>
              <w:bottom w:val="single" w:sz="4" w:space="0" w:color="auto"/>
            </w:tcBorders>
            <w:shd w:val="clear" w:color="auto" w:fill="auto"/>
            <w:vAlign w:val="center"/>
          </w:tcPr>
          <w:p w:rsidR="00DF0D52" w:rsidRPr="00B46DCB" w:rsidRDefault="00DF0D52" w:rsidP="008A7465">
            <w:pPr>
              <w:spacing w:after="60"/>
              <w:jc w:val="right"/>
              <w:rPr>
                <w:sz w:val="20"/>
                <w:szCs w:val="20"/>
              </w:rPr>
            </w:pPr>
            <w:r w:rsidRPr="00B46DCB">
              <w:rPr>
                <w:sz w:val="20"/>
                <w:szCs w:val="20"/>
              </w:rPr>
              <w:t>45,0</w:t>
            </w:r>
          </w:p>
        </w:tc>
        <w:tc>
          <w:tcPr>
            <w:tcW w:w="206" w:type="pct"/>
            <w:tcBorders>
              <w:bottom w:val="single" w:sz="4" w:space="0" w:color="auto"/>
            </w:tcBorders>
            <w:shd w:val="clear" w:color="auto" w:fill="auto"/>
            <w:vAlign w:val="center"/>
          </w:tcPr>
          <w:p w:rsidR="00DF0D52" w:rsidRPr="00B46DCB" w:rsidRDefault="00DF0D52" w:rsidP="008A7465">
            <w:pPr>
              <w:spacing w:after="60"/>
              <w:rPr>
                <w:b/>
                <w:sz w:val="20"/>
                <w:szCs w:val="20"/>
              </w:rPr>
            </w:pPr>
          </w:p>
        </w:tc>
        <w:tc>
          <w:tcPr>
            <w:tcW w:w="158" w:type="pct"/>
            <w:tcBorders>
              <w:bottom w:val="single" w:sz="4" w:space="0" w:color="auto"/>
            </w:tcBorders>
            <w:shd w:val="clear" w:color="auto" w:fill="auto"/>
            <w:vAlign w:val="center"/>
          </w:tcPr>
          <w:p w:rsidR="00DF0D52" w:rsidRPr="00B46DCB" w:rsidRDefault="00DF0D52" w:rsidP="008A7465">
            <w:pPr>
              <w:spacing w:after="60"/>
              <w:rPr>
                <w:b/>
                <w:sz w:val="20"/>
                <w:szCs w:val="20"/>
              </w:rPr>
            </w:pPr>
            <w:r w:rsidRPr="00B46DCB">
              <w:rPr>
                <w:b/>
                <w:sz w:val="20"/>
                <w:szCs w:val="20"/>
              </w:rPr>
              <w:t>b</w:t>
            </w:r>
          </w:p>
        </w:tc>
      </w:tr>
    </w:tbl>
    <w:p w:rsidR="00087B49" w:rsidRDefault="00087B49" w:rsidP="00D547C3">
      <w:pPr>
        <w:pStyle w:val="Estilo1"/>
      </w:pPr>
    </w:p>
    <w:p w:rsidR="004C2364" w:rsidRPr="006269A1" w:rsidRDefault="00971B4D" w:rsidP="00D547C3">
      <w:pPr>
        <w:pStyle w:val="Estilo1"/>
      </w:pPr>
      <w:r>
        <w:t>Quanto</w:t>
      </w:r>
      <w:r w:rsidR="00087B49" w:rsidRPr="00C043D5">
        <w:t xml:space="preserve"> ao efeito conjunto da época de aplicação e do tratamento fungicida</w:t>
      </w:r>
      <w:r w:rsidR="004044F7">
        <w:t xml:space="preserve"> (Quadro 4.4</w:t>
      </w:r>
      <w:r w:rsidR="006269A1">
        <w:t>)</w:t>
      </w:r>
      <w:r w:rsidR="00087B49" w:rsidRPr="00C043D5">
        <w:t>, os resultados obtidos, relativamente à incidência das doenças</w:t>
      </w:r>
      <w:r>
        <w:t xml:space="preserve"> para o ano de 2008</w:t>
      </w:r>
      <w:r w:rsidR="00087B49" w:rsidRPr="00C043D5">
        <w:t xml:space="preserve">, permitem </w:t>
      </w:r>
    </w:p>
    <w:p w:rsidR="00087B49" w:rsidRPr="00C043D5" w:rsidRDefault="00087B49" w:rsidP="00D547C3">
      <w:pPr>
        <w:pStyle w:val="Estilo1"/>
        <w:sectPr w:rsidR="00087B49" w:rsidRPr="00C043D5" w:rsidSect="00277AB0">
          <w:footerReference w:type="default" r:id="rId35"/>
          <w:footerReference w:type="first" r:id="rId36"/>
          <w:pgSz w:w="11906" w:h="16838"/>
          <w:pgMar w:top="1418" w:right="1418" w:bottom="1418" w:left="1418" w:header="709" w:footer="709" w:gutter="0"/>
          <w:pgNumType w:start="1"/>
          <w:cols w:space="708"/>
          <w:docGrid w:linePitch="360"/>
        </w:sectPr>
      </w:pPr>
    </w:p>
    <w:p w:rsidR="00087B49" w:rsidRPr="00AF1871" w:rsidRDefault="00C37A87" w:rsidP="00C37A87">
      <w:pPr>
        <w:pStyle w:val="Legenda"/>
      </w:pPr>
      <w:bookmarkStart w:id="75" w:name="_Toc264890336"/>
      <w:r>
        <w:lastRenderedPageBreak/>
        <w:t xml:space="preserve">Quadro </w:t>
      </w:r>
      <w:fldSimple w:instr=" STYLEREF 1 \s ">
        <w:r w:rsidR="00E2640D">
          <w:rPr>
            <w:noProof/>
          </w:rPr>
          <w:t>4</w:t>
        </w:r>
      </w:fldSimple>
      <w:r>
        <w:t>.</w:t>
      </w:r>
      <w:fldSimple w:instr=" SEQ Quadro \* ARABIC \s 1 ">
        <w:r w:rsidR="00E2640D">
          <w:rPr>
            <w:noProof/>
          </w:rPr>
          <w:t>4</w:t>
        </w:r>
      </w:fldSimple>
      <w:r>
        <w:t xml:space="preserve">. </w:t>
      </w:r>
      <w:r w:rsidRPr="00AF1871">
        <w:t xml:space="preserve">Comparação das médias relativas à incidência de “black dead arm” e escoriose americana obtidas para </w:t>
      </w:r>
      <w:r>
        <w:t xml:space="preserve">os dois anos de ensaio, </w:t>
      </w:r>
      <w:r w:rsidRPr="00AF1871">
        <w:t>as três épocas de aplicação e para os seis tratamentos em estudo, atrav</w:t>
      </w:r>
      <w:r>
        <w:t>és dos testes de Tuckey</w:t>
      </w:r>
      <w:bookmarkEnd w:id="75"/>
    </w:p>
    <w:tbl>
      <w:tblPr>
        <w:tblW w:w="5000" w:type="pct"/>
        <w:tblCellMar>
          <w:left w:w="70" w:type="dxa"/>
          <w:right w:w="70" w:type="dxa"/>
        </w:tblCellMar>
        <w:tblLook w:val="04A0"/>
      </w:tblPr>
      <w:tblGrid>
        <w:gridCol w:w="2207"/>
        <w:gridCol w:w="2122"/>
        <w:gridCol w:w="1627"/>
        <w:gridCol w:w="277"/>
        <w:gridCol w:w="277"/>
        <w:gridCol w:w="263"/>
        <w:gridCol w:w="215"/>
        <w:gridCol w:w="2316"/>
        <w:gridCol w:w="2121"/>
        <w:gridCol w:w="1626"/>
        <w:gridCol w:w="277"/>
        <w:gridCol w:w="277"/>
        <w:gridCol w:w="263"/>
        <w:gridCol w:w="274"/>
      </w:tblGrid>
      <w:tr w:rsidR="00BC659E" w:rsidRPr="00AC7E06" w:rsidTr="00DF0D52">
        <w:tc>
          <w:tcPr>
            <w:tcW w:w="780" w:type="pct"/>
            <w:tcBorders>
              <w:top w:val="single" w:sz="4" w:space="0" w:color="auto"/>
              <w:bottom w:val="single" w:sz="4" w:space="0" w:color="auto"/>
            </w:tcBorders>
            <w:shd w:val="clear" w:color="auto" w:fill="auto"/>
            <w:noWrap/>
            <w:vAlign w:val="center"/>
          </w:tcPr>
          <w:p w:rsidR="00AC7E06" w:rsidRPr="00BC659E" w:rsidRDefault="00AC7E06" w:rsidP="008A7465">
            <w:pPr>
              <w:spacing w:after="0"/>
              <w:rPr>
                <w:b/>
                <w:sz w:val="20"/>
                <w:szCs w:val="20"/>
              </w:rPr>
            </w:pPr>
            <w:r w:rsidRPr="00BC659E">
              <w:rPr>
                <w:b/>
                <w:sz w:val="20"/>
                <w:szCs w:val="20"/>
              </w:rPr>
              <w:t>Efeito Época</w:t>
            </w:r>
          </w:p>
          <w:p w:rsidR="00AC7E06" w:rsidRPr="00BC659E" w:rsidRDefault="00971B4D" w:rsidP="008A7465">
            <w:pPr>
              <w:spacing w:after="0"/>
              <w:rPr>
                <w:b/>
                <w:sz w:val="20"/>
                <w:szCs w:val="20"/>
              </w:rPr>
            </w:pPr>
            <w:r w:rsidRPr="00BC659E">
              <w:rPr>
                <w:b/>
                <w:sz w:val="20"/>
                <w:szCs w:val="20"/>
              </w:rPr>
              <w:t>(</w:t>
            </w:r>
            <w:r w:rsidR="00BC659E" w:rsidRPr="00BC659E">
              <w:rPr>
                <w:b/>
                <w:sz w:val="20"/>
                <w:szCs w:val="20"/>
              </w:rPr>
              <w:t xml:space="preserve">ano de </w:t>
            </w:r>
            <w:r w:rsidR="00AC7E06" w:rsidRPr="00BC659E">
              <w:rPr>
                <w:b/>
                <w:sz w:val="20"/>
                <w:szCs w:val="20"/>
              </w:rPr>
              <w:t>2008</w:t>
            </w:r>
            <w:r w:rsidRPr="00BC659E">
              <w:rPr>
                <w:b/>
                <w:sz w:val="20"/>
                <w:szCs w:val="20"/>
              </w:rPr>
              <w:t>)</w:t>
            </w:r>
          </w:p>
        </w:tc>
        <w:tc>
          <w:tcPr>
            <w:tcW w:w="750" w:type="pct"/>
            <w:tcBorders>
              <w:top w:val="single" w:sz="4" w:space="0" w:color="auto"/>
              <w:bottom w:val="single" w:sz="4" w:space="0" w:color="auto"/>
            </w:tcBorders>
            <w:shd w:val="clear" w:color="auto" w:fill="auto"/>
            <w:noWrap/>
            <w:vAlign w:val="center"/>
          </w:tcPr>
          <w:p w:rsidR="00AC7E06" w:rsidRPr="00BC659E" w:rsidRDefault="00AC7E06" w:rsidP="008A7465">
            <w:pPr>
              <w:spacing w:after="0"/>
              <w:rPr>
                <w:b/>
                <w:sz w:val="20"/>
                <w:szCs w:val="20"/>
              </w:rPr>
            </w:pPr>
            <w:r w:rsidRPr="00BC659E">
              <w:rPr>
                <w:b/>
                <w:sz w:val="20"/>
                <w:szCs w:val="20"/>
              </w:rPr>
              <w:t>Tratamento</w:t>
            </w:r>
          </w:p>
        </w:tc>
        <w:tc>
          <w:tcPr>
            <w:tcW w:w="575" w:type="pct"/>
            <w:tcBorders>
              <w:top w:val="single" w:sz="4" w:space="0" w:color="auto"/>
              <w:bottom w:val="single" w:sz="4" w:space="0" w:color="auto"/>
            </w:tcBorders>
            <w:shd w:val="clear" w:color="auto" w:fill="auto"/>
            <w:noWrap/>
            <w:vAlign w:val="center"/>
          </w:tcPr>
          <w:p w:rsidR="00AC7E06" w:rsidRPr="00BC659E" w:rsidRDefault="00AC7E06" w:rsidP="008A7465">
            <w:pPr>
              <w:spacing w:after="0"/>
              <w:rPr>
                <w:b/>
                <w:sz w:val="20"/>
                <w:szCs w:val="20"/>
              </w:rPr>
            </w:pPr>
            <w:r w:rsidRPr="00BC659E">
              <w:rPr>
                <w:b/>
                <w:sz w:val="20"/>
                <w:szCs w:val="20"/>
              </w:rPr>
              <w:t>Incidência (%)</w:t>
            </w:r>
          </w:p>
        </w:tc>
        <w:tc>
          <w:tcPr>
            <w:tcW w:w="98" w:type="pct"/>
            <w:tcBorders>
              <w:top w:val="single" w:sz="4" w:space="0" w:color="auto"/>
              <w:bottom w:val="single" w:sz="4" w:space="0" w:color="auto"/>
            </w:tcBorders>
            <w:shd w:val="clear" w:color="auto" w:fill="auto"/>
            <w:noWrap/>
            <w:vAlign w:val="center"/>
          </w:tcPr>
          <w:p w:rsidR="00AC7E06" w:rsidRPr="00BC659E" w:rsidRDefault="00AC7E06" w:rsidP="008A7465">
            <w:pPr>
              <w:spacing w:after="0"/>
              <w:rPr>
                <w:b/>
                <w:sz w:val="20"/>
                <w:szCs w:val="20"/>
              </w:rPr>
            </w:pPr>
          </w:p>
        </w:tc>
        <w:tc>
          <w:tcPr>
            <w:tcW w:w="98" w:type="pct"/>
            <w:tcBorders>
              <w:top w:val="single" w:sz="4" w:space="0" w:color="auto"/>
              <w:bottom w:val="single" w:sz="4" w:space="0" w:color="auto"/>
            </w:tcBorders>
            <w:shd w:val="clear" w:color="auto" w:fill="auto"/>
            <w:noWrap/>
            <w:vAlign w:val="center"/>
          </w:tcPr>
          <w:p w:rsidR="00AC7E06" w:rsidRPr="00BC659E" w:rsidRDefault="00AC7E06" w:rsidP="008A7465">
            <w:pPr>
              <w:spacing w:after="0"/>
              <w:rPr>
                <w:b/>
                <w:sz w:val="20"/>
                <w:szCs w:val="20"/>
              </w:rPr>
            </w:pPr>
          </w:p>
        </w:tc>
        <w:tc>
          <w:tcPr>
            <w:tcW w:w="93" w:type="pct"/>
            <w:tcBorders>
              <w:top w:val="single" w:sz="4" w:space="0" w:color="auto"/>
              <w:bottom w:val="single" w:sz="4" w:space="0" w:color="auto"/>
            </w:tcBorders>
            <w:shd w:val="clear" w:color="auto" w:fill="auto"/>
            <w:noWrap/>
            <w:vAlign w:val="center"/>
          </w:tcPr>
          <w:p w:rsidR="00AC7E06" w:rsidRPr="00BC659E" w:rsidRDefault="00AC7E06" w:rsidP="008A7465">
            <w:pPr>
              <w:spacing w:after="0"/>
              <w:rPr>
                <w:b/>
                <w:sz w:val="20"/>
                <w:szCs w:val="20"/>
              </w:rPr>
            </w:pPr>
          </w:p>
        </w:tc>
        <w:tc>
          <w:tcPr>
            <w:tcW w:w="76" w:type="pct"/>
            <w:shd w:val="clear" w:color="auto" w:fill="auto"/>
            <w:vAlign w:val="center"/>
          </w:tcPr>
          <w:p w:rsidR="00AC7E06" w:rsidRPr="00BC659E" w:rsidRDefault="00AC7E06" w:rsidP="008A7465">
            <w:pPr>
              <w:spacing w:after="0"/>
              <w:rPr>
                <w:b/>
                <w:sz w:val="20"/>
                <w:szCs w:val="20"/>
              </w:rPr>
            </w:pPr>
          </w:p>
        </w:tc>
        <w:tc>
          <w:tcPr>
            <w:tcW w:w="819" w:type="pct"/>
            <w:tcBorders>
              <w:top w:val="single" w:sz="4" w:space="0" w:color="auto"/>
              <w:bottom w:val="single" w:sz="4" w:space="0" w:color="auto"/>
            </w:tcBorders>
            <w:shd w:val="clear" w:color="auto" w:fill="auto"/>
            <w:vAlign w:val="center"/>
          </w:tcPr>
          <w:p w:rsidR="00AC7E06" w:rsidRPr="00BC659E" w:rsidRDefault="00AC7E06" w:rsidP="008A7465">
            <w:pPr>
              <w:spacing w:after="0"/>
              <w:rPr>
                <w:b/>
                <w:sz w:val="20"/>
                <w:szCs w:val="20"/>
              </w:rPr>
            </w:pPr>
            <w:r w:rsidRPr="00BC659E">
              <w:rPr>
                <w:b/>
                <w:sz w:val="20"/>
                <w:szCs w:val="20"/>
              </w:rPr>
              <w:t>Efeito Época</w:t>
            </w:r>
          </w:p>
          <w:p w:rsidR="00971B4D" w:rsidRPr="00BC659E" w:rsidRDefault="00971B4D" w:rsidP="008A7465">
            <w:pPr>
              <w:spacing w:after="0"/>
              <w:rPr>
                <w:b/>
                <w:sz w:val="20"/>
                <w:szCs w:val="20"/>
              </w:rPr>
            </w:pPr>
            <w:r w:rsidRPr="00BC659E">
              <w:rPr>
                <w:b/>
                <w:sz w:val="20"/>
                <w:szCs w:val="20"/>
              </w:rPr>
              <w:t>(</w:t>
            </w:r>
            <w:r w:rsidR="00BC659E" w:rsidRPr="00BC659E">
              <w:rPr>
                <w:b/>
                <w:sz w:val="20"/>
                <w:szCs w:val="20"/>
              </w:rPr>
              <w:t xml:space="preserve">ano de </w:t>
            </w:r>
            <w:r w:rsidRPr="00BC659E">
              <w:rPr>
                <w:b/>
                <w:sz w:val="20"/>
                <w:szCs w:val="20"/>
              </w:rPr>
              <w:t>2009)</w:t>
            </w:r>
          </w:p>
        </w:tc>
        <w:tc>
          <w:tcPr>
            <w:tcW w:w="750" w:type="pct"/>
            <w:tcBorders>
              <w:top w:val="single" w:sz="4" w:space="0" w:color="auto"/>
              <w:bottom w:val="single" w:sz="4" w:space="0" w:color="auto"/>
            </w:tcBorders>
            <w:shd w:val="clear" w:color="auto" w:fill="auto"/>
            <w:vAlign w:val="center"/>
          </w:tcPr>
          <w:p w:rsidR="00AC7E06" w:rsidRPr="00BC659E" w:rsidRDefault="00AC7E06" w:rsidP="008A7465">
            <w:pPr>
              <w:spacing w:after="0"/>
              <w:rPr>
                <w:b/>
                <w:sz w:val="20"/>
                <w:szCs w:val="20"/>
              </w:rPr>
            </w:pPr>
            <w:r w:rsidRPr="00BC659E">
              <w:rPr>
                <w:b/>
                <w:sz w:val="20"/>
                <w:szCs w:val="20"/>
              </w:rPr>
              <w:t>Tratamento</w:t>
            </w:r>
          </w:p>
        </w:tc>
        <w:tc>
          <w:tcPr>
            <w:tcW w:w="575" w:type="pct"/>
            <w:tcBorders>
              <w:top w:val="single" w:sz="4" w:space="0" w:color="auto"/>
              <w:bottom w:val="single" w:sz="4" w:space="0" w:color="auto"/>
            </w:tcBorders>
            <w:shd w:val="clear" w:color="auto" w:fill="auto"/>
            <w:vAlign w:val="center"/>
          </w:tcPr>
          <w:p w:rsidR="00AC7E06" w:rsidRPr="00BC659E" w:rsidRDefault="00AC7E06" w:rsidP="008A7465">
            <w:pPr>
              <w:spacing w:after="0"/>
              <w:rPr>
                <w:b/>
                <w:sz w:val="20"/>
                <w:szCs w:val="20"/>
              </w:rPr>
            </w:pPr>
            <w:r w:rsidRPr="00BC659E">
              <w:rPr>
                <w:b/>
                <w:sz w:val="20"/>
                <w:szCs w:val="20"/>
              </w:rPr>
              <w:t>Incidência (%)</w:t>
            </w:r>
          </w:p>
        </w:tc>
        <w:tc>
          <w:tcPr>
            <w:tcW w:w="98" w:type="pct"/>
            <w:tcBorders>
              <w:top w:val="single" w:sz="4" w:space="0" w:color="auto"/>
              <w:bottom w:val="single" w:sz="4" w:space="0" w:color="auto"/>
            </w:tcBorders>
            <w:shd w:val="clear" w:color="auto" w:fill="auto"/>
            <w:vAlign w:val="center"/>
          </w:tcPr>
          <w:p w:rsidR="00AC7E06" w:rsidRPr="00BC659E" w:rsidRDefault="00AC7E06" w:rsidP="008A7465">
            <w:pPr>
              <w:spacing w:after="0"/>
              <w:rPr>
                <w:b/>
                <w:sz w:val="20"/>
                <w:szCs w:val="20"/>
              </w:rPr>
            </w:pPr>
          </w:p>
        </w:tc>
        <w:tc>
          <w:tcPr>
            <w:tcW w:w="98" w:type="pct"/>
            <w:tcBorders>
              <w:top w:val="single" w:sz="4" w:space="0" w:color="auto"/>
              <w:bottom w:val="single" w:sz="4" w:space="0" w:color="auto"/>
            </w:tcBorders>
            <w:shd w:val="clear" w:color="auto" w:fill="auto"/>
            <w:vAlign w:val="center"/>
          </w:tcPr>
          <w:p w:rsidR="00AC7E06" w:rsidRPr="00BC659E" w:rsidRDefault="00AC7E06" w:rsidP="008A7465">
            <w:pPr>
              <w:spacing w:after="0"/>
              <w:rPr>
                <w:b/>
                <w:sz w:val="20"/>
                <w:szCs w:val="20"/>
              </w:rPr>
            </w:pPr>
          </w:p>
        </w:tc>
        <w:tc>
          <w:tcPr>
            <w:tcW w:w="93" w:type="pct"/>
            <w:tcBorders>
              <w:top w:val="single" w:sz="4" w:space="0" w:color="auto"/>
              <w:bottom w:val="single" w:sz="4" w:space="0" w:color="auto"/>
            </w:tcBorders>
            <w:shd w:val="clear" w:color="auto" w:fill="auto"/>
            <w:vAlign w:val="center"/>
          </w:tcPr>
          <w:p w:rsidR="00AC7E06" w:rsidRPr="00BC659E" w:rsidRDefault="00AC7E06" w:rsidP="008A7465">
            <w:pPr>
              <w:spacing w:after="0"/>
              <w:rPr>
                <w:b/>
                <w:sz w:val="20"/>
                <w:szCs w:val="20"/>
              </w:rPr>
            </w:pPr>
          </w:p>
        </w:tc>
        <w:tc>
          <w:tcPr>
            <w:tcW w:w="97" w:type="pct"/>
            <w:tcBorders>
              <w:top w:val="single" w:sz="4" w:space="0" w:color="auto"/>
              <w:bottom w:val="single" w:sz="4" w:space="0" w:color="auto"/>
            </w:tcBorders>
            <w:shd w:val="clear" w:color="auto" w:fill="auto"/>
            <w:vAlign w:val="center"/>
          </w:tcPr>
          <w:p w:rsidR="00AC7E06" w:rsidRPr="00BC659E" w:rsidRDefault="00AC7E06" w:rsidP="008A7465">
            <w:pPr>
              <w:spacing w:after="0"/>
              <w:rPr>
                <w:b/>
                <w:sz w:val="20"/>
                <w:szCs w:val="20"/>
              </w:rPr>
            </w:pPr>
          </w:p>
        </w:tc>
      </w:tr>
      <w:tr w:rsidR="00DF0D52" w:rsidRPr="00AC7E06" w:rsidTr="00DF0D52">
        <w:trPr>
          <w:cantSplit/>
        </w:trPr>
        <w:tc>
          <w:tcPr>
            <w:tcW w:w="780" w:type="pct"/>
            <w:tcBorders>
              <w:top w:val="single" w:sz="4" w:space="0" w:color="auto"/>
            </w:tcBorders>
            <w:shd w:val="clear" w:color="auto" w:fill="auto"/>
            <w:noWrap/>
          </w:tcPr>
          <w:p w:rsidR="00DF0D52" w:rsidRDefault="00DF0D52" w:rsidP="008A7465">
            <w:pPr>
              <w:spacing w:after="0"/>
            </w:pPr>
            <w:r w:rsidRPr="00ED60BD">
              <w:rPr>
                <w:sz w:val="20"/>
                <w:szCs w:val="20"/>
              </w:rPr>
              <w:t xml:space="preserve">Est. fenol. </w:t>
            </w:r>
            <w:r w:rsidR="00B46DCB">
              <w:rPr>
                <w:sz w:val="20"/>
                <w:szCs w:val="20"/>
              </w:rPr>
              <w:t>D</w:t>
            </w:r>
            <w:r w:rsidR="00083ED9">
              <w:rPr>
                <w:sz w:val="20"/>
                <w:szCs w:val="20"/>
              </w:rPr>
              <w:t>/</w:t>
            </w:r>
            <w:r w:rsidR="00B46DCB">
              <w:rPr>
                <w:sz w:val="20"/>
                <w:szCs w:val="20"/>
              </w:rPr>
              <w:t>E</w:t>
            </w:r>
          </w:p>
        </w:tc>
        <w:tc>
          <w:tcPr>
            <w:tcW w:w="750" w:type="pct"/>
            <w:tcBorders>
              <w:top w:val="single" w:sz="4" w:space="0" w:color="auto"/>
            </w:tcBorders>
            <w:shd w:val="clear" w:color="auto" w:fill="auto"/>
            <w:noWrap/>
            <w:vAlign w:val="center"/>
          </w:tcPr>
          <w:p w:rsidR="00DF0D52" w:rsidRPr="00AC7E06" w:rsidRDefault="00DF0D52" w:rsidP="008A7465">
            <w:pPr>
              <w:spacing w:after="0"/>
              <w:jc w:val="right"/>
              <w:rPr>
                <w:color w:val="000000"/>
                <w:sz w:val="20"/>
                <w:szCs w:val="20"/>
              </w:rPr>
            </w:pPr>
            <w:r w:rsidRPr="00AC7E06">
              <w:rPr>
                <w:color w:val="000000"/>
                <w:sz w:val="20"/>
                <w:szCs w:val="20"/>
              </w:rPr>
              <w:t>tebuconazol</w:t>
            </w:r>
          </w:p>
        </w:tc>
        <w:tc>
          <w:tcPr>
            <w:tcW w:w="575" w:type="pct"/>
            <w:tcBorders>
              <w:top w:val="single" w:sz="4" w:space="0" w:color="auto"/>
            </w:tcBorders>
            <w:shd w:val="clear" w:color="auto" w:fill="auto"/>
            <w:noWrap/>
            <w:vAlign w:val="center"/>
          </w:tcPr>
          <w:p w:rsidR="00DF0D52" w:rsidRDefault="00DF0D52" w:rsidP="008A7465">
            <w:pPr>
              <w:spacing w:after="0"/>
              <w:jc w:val="right"/>
              <w:rPr>
                <w:color w:val="000000"/>
                <w:sz w:val="20"/>
                <w:szCs w:val="20"/>
              </w:rPr>
            </w:pPr>
            <w:r>
              <w:rPr>
                <w:color w:val="000000"/>
                <w:sz w:val="20"/>
                <w:szCs w:val="20"/>
              </w:rPr>
              <w:t>31,8</w:t>
            </w:r>
          </w:p>
        </w:tc>
        <w:tc>
          <w:tcPr>
            <w:tcW w:w="98" w:type="pct"/>
            <w:tcBorders>
              <w:top w:val="single" w:sz="4" w:space="0" w:color="auto"/>
            </w:tcBorders>
            <w:shd w:val="clear" w:color="auto" w:fill="auto"/>
            <w:noWrap/>
            <w:vAlign w:val="center"/>
          </w:tcPr>
          <w:p w:rsidR="00DF0D52" w:rsidRPr="00DF0D52" w:rsidRDefault="00DF0D52" w:rsidP="008A7465">
            <w:pPr>
              <w:spacing w:after="0"/>
              <w:rPr>
                <w:b/>
                <w:sz w:val="20"/>
                <w:szCs w:val="20"/>
              </w:rPr>
            </w:pPr>
            <w:r w:rsidRPr="00DF0D52">
              <w:rPr>
                <w:b/>
                <w:sz w:val="20"/>
                <w:szCs w:val="20"/>
              </w:rPr>
              <w:t>a</w:t>
            </w:r>
          </w:p>
        </w:tc>
        <w:tc>
          <w:tcPr>
            <w:tcW w:w="98" w:type="pct"/>
            <w:tcBorders>
              <w:top w:val="single" w:sz="4" w:space="0" w:color="auto"/>
            </w:tcBorders>
            <w:shd w:val="clear" w:color="auto" w:fill="auto"/>
            <w:noWrap/>
            <w:vAlign w:val="center"/>
          </w:tcPr>
          <w:p w:rsidR="00DF0D52" w:rsidRPr="00DF0D52" w:rsidRDefault="00DF0D52" w:rsidP="008A7465">
            <w:pPr>
              <w:spacing w:after="0"/>
              <w:jc w:val="right"/>
              <w:rPr>
                <w:b/>
                <w:color w:val="000000"/>
                <w:sz w:val="20"/>
                <w:szCs w:val="20"/>
              </w:rPr>
            </w:pPr>
            <w:r w:rsidRPr="00DF0D52">
              <w:rPr>
                <w:b/>
                <w:color w:val="000000"/>
                <w:sz w:val="20"/>
                <w:szCs w:val="20"/>
              </w:rPr>
              <w:t> </w:t>
            </w:r>
          </w:p>
        </w:tc>
        <w:tc>
          <w:tcPr>
            <w:tcW w:w="93" w:type="pct"/>
            <w:tcBorders>
              <w:top w:val="single" w:sz="4" w:space="0" w:color="auto"/>
            </w:tcBorders>
            <w:shd w:val="clear" w:color="auto" w:fill="auto"/>
            <w:noWrap/>
            <w:vAlign w:val="center"/>
          </w:tcPr>
          <w:p w:rsidR="00DF0D52" w:rsidRPr="00DF0D52" w:rsidRDefault="00DF0D52" w:rsidP="008A7465">
            <w:pPr>
              <w:spacing w:after="0"/>
              <w:jc w:val="right"/>
              <w:rPr>
                <w:b/>
                <w:color w:val="000000"/>
                <w:sz w:val="20"/>
                <w:szCs w:val="20"/>
              </w:rPr>
            </w:pPr>
            <w:r w:rsidRPr="00DF0D52">
              <w:rPr>
                <w:b/>
                <w:color w:val="000000"/>
                <w:sz w:val="20"/>
                <w:szCs w:val="20"/>
              </w:rPr>
              <w:t> </w:t>
            </w:r>
          </w:p>
        </w:tc>
        <w:tc>
          <w:tcPr>
            <w:tcW w:w="76" w:type="pct"/>
            <w:shd w:val="clear" w:color="auto" w:fill="auto"/>
            <w:noWrap/>
            <w:vAlign w:val="center"/>
          </w:tcPr>
          <w:p w:rsidR="00DF0D52" w:rsidRPr="00AC7E06" w:rsidRDefault="00DF0D52" w:rsidP="008A7465">
            <w:pPr>
              <w:spacing w:after="0"/>
              <w:rPr>
                <w:sz w:val="20"/>
                <w:szCs w:val="20"/>
              </w:rPr>
            </w:pPr>
            <w:r w:rsidRPr="00AC7E06">
              <w:rPr>
                <w:sz w:val="20"/>
                <w:szCs w:val="20"/>
              </w:rPr>
              <w:t> </w:t>
            </w:r>
          </w:p>
        </w:tc>
        <w:tc>
          <w:tcPr>
            <w:tcW w:w="819" w:type="pct"/>
            <w:tcBorders>
              <w:top w:val="single" w:sz="4" w:space="0" w:color="auto"/>
            </w:tcBorders>
            <w:shd w:val="clear" w:color="auto" w:fill="auto"/>
            <w:vAlign w:val="center"/>
          </w:tcPr>
          <w:p w:rsidR="00DF0D52" w:rsidRPr="00AC7E06" w:rsidRDefault="00083ED9" w:rsidP="008A7465">
            <w:pPr>
              <w:spacing w:after="0"/>
              <w:rPr>
                <w:sz w:val="20"/>
                <w:szCs w:val="20"/>
              </w:rPr>
            </w:pPr>
            <w:r w:rsidRPr="00AC7E06">
              <w:rPr>
                <w:color w:val="000000"/>
                <w:sz w:val="20"/>
                <w:szCs w:val="20"/>
              </w:rPr>
              <w:t>Poda</w:t>
            </w:r>
          </w:p>
        </w:tc>
        <w:tc>
          <w:tcPr>
            <w:tcW w:w="750" w:type="pct"/>
            <w:tcBorders>
              <w:top w:val="single" w:sz="4" w:space="0" w:color="auto"/>
            </w:tcBorders>
            <w:shd w:val="clear" w:color="auto" w:fill="auto"/>
            <w:vAlign w:val="center"/>
          </w:tcPr>
          <w:p w:rsidR="00DF0D52" w:rsidRPr="00AC7E06" w:rsidRDefault="00DF0D52" w:rsidP="008A7465">
            <w:pPr>
              <w:spacing w:after="0"/>
              <w:rPr>
                <w:sz w:val="20"/>
                <w:szCs w:val="20"/>
              </w:rPr>
            </w:pPr>
            <w:r w:rsidRPr="00AC7E06">
              <w:rPr>
                <w:color w:val="000000"/>
                <w:sz w:val="20"/>
                <w:szCs w:val="20"/>
              </w:rPr>
              <w:t>oxicloreto de cobre</w:t>
            </w:r>
          </w:p>
        </w:tc>
        <w:tc>
          <w:tcPr>
            <w:tcW w:w="575" w:type="pct"/>
            <w:tcBorders>
              <w:top w:val="single" w:sz="4" w:space="0" w:color="auto"/>
            </w:tcBorders>
            <w:shd w:val="clear" w:color="auto" w:fill="auto"/>
            <w:vAlign w:val="center"/>
          </w:tcPr>
          <w:p w:rsidR="00DF0D52" w:rsidRPr="00AC7E06" w:rsidRDefault="00DF0D52" w:rsidP="008A7465">
            <w:pPr>
              <w:spacing w:after="0"/>
              <w:jc w:val="right"/>
              <w:rPr>
                <w:sz w:val="20"/>
                <w:szCs w:val="20"/>
              </w:rPr>
            </w:pPr>
            <w:r w:rsidRPr="00AC7E06">
              <w:rPr>
                <w:sz w:val="20"/>
                <w:szCs w:val="20"/>
              </w:rPr>
              <w:t>14,9</w:t>
            </w:r>
          </w:p>
        </w:tc>
        <w:tc>
          <w:tcPr>
            <w:tcW w:w="98" w:type="pct"/>
            <w:tcBorders>
              <w:top w:val="single" w:sz="4" w:space="0" w:color="auto"/>
            </w:tcBorders>
            <w:shd w:val="clear" w:color="auto" w:fill="auto"/>
            <w:vAlign w:val="center"/>
          </w:tcPr>
          <w:p w:rsidR="00DF0D52" w:rsidRPr="00DF0D52" w:rsidRDefault="00DF0D52" w:rsidP="008A7465">
            <w:pPr>
              <w:spacing w:after="0"/>
              <w:rPr>
                <w:b/>
                <w:sz w:val="20"/>
                <w:szCs w:val="20"/>
              </w:rPr>
            </w:pPr>
            <w:r w:rsidRPr="00DF0D52">
              <w:rPr>
                <w:b/>
                <w:sz w:val="20"/>
                <w:szCs w:val="20"/>
              </w:rPr>
              <w:t>a</w:t>
            </w:r>
          </w:p>
        </w:tc>
        <w:tc>
          <w:tcPr>
            <w:tcW w:w="98" w:type="pct"/>
            <w:tcBorders>
              <w:top w:val="single" w:sz="4" w:space="0" w:color="auto"/>
            </w:tcBorders>
            <w:shd w:val="clear" w:color="auto" w:fill="auto"/>
            <w:vAlign w:val="center"/>
          </w:tcPr>
          <w:p w:rsidR="00DF0D52" w:rsidRPr="00DF0D52" w:rsidRDefault="00DF0D52" w:rsidP="008A7465">
            <w:pPr>
              <w:spacing w:after="0"/>
              <w:rPr>
                <w:b/>
                <w:sz w:val="20"/>
                <w:szCs w:val="20"/>
              </w:rPr>
            </w:pPr>
            <w:r w:rsidRPr="00DF0D52">
              <w:rPr>
                <w:b/>
                <w:sz w:val="20"/>
                <w:szCs w:val="20"/>
              </w:rPr>
              <w:t> </w:t>
            </w:r>
          </w:p>
        </w:tc>
        <w:tc>
          <w:tcPr>
            <w:tcW w:w="93" w:type="pct"/>
            <w:tcBorders>
              <w:top w:val="single" w:sz="4" w:space="0" w:color="auto"/>
            </w:tcBorders>
            <w:shd w:val="clear" w:color="auto" w:fill="auto"/>
            <w:vAlign w:val="center"/>
          </w:tcPr>
          <w:p w:rsidR="00DF0D52" w:rsidRPr="00DF0D52" w:rsidRDefault="00DF0D52" w:rsidP="008A7465">
            <w:pPr>
              <w:spacing w:after="0"/>
              <w:rPr>
                <w:b/>
                <w:sz w:val="20"/>
                <w:szCs w:val="20"/>
              </w:rPr>
            </w:pPr>
            <w:r w:rsidRPr="00DF0D52">
              <w:rPr>
                <w:b/>
                <w:sz w:val="20"/>
                <w:szCs w:val="20"/>
              </w:rPr>
              <w:t> </w:t>
            </w:r>
          </w:p>
        </w:tc>
        <w:tc>
          <w:tcPr>
            <w:tcW w:w="97" w:type="pct"/>
            <w:tcBorders>
              <w:top w:val="single" w:sz="4" w:space="0" w:color="auto"/>
            </w:tcBorders>
            <w:shd w:val="clear" w:color="auto" w:fill="auto"/>
            <w:vAlign w:val="center"/>
          </w:tcPr>
          <w:p w:rsidR="00DF0D52" w:rsidRPr="00DF0D52" w:rsidRDefault="00DF0D52" w:rsidP="008A7465">
            <w:pPr>
              <w:spacing w:after="0"/>
              <w:rPr>
                <w:b/>
                <w:sz w:val="20"/>
                <w:szCs w:val="20"/>
              </w:rPr>
            </w:pPr>
          </w:p>
        </w:tc>
      </w:tr>
      <w:tr w:rsidR="00DF0D52" w:rsidRPr="00AC7E06" w:rsidTr="00DF0D52">
        <w:trPr>
          <w:cantSplit/>
        </w:trPr>
        <w:tc>
          <w:tcPr>
            <w:tcW w:w="780" w:type="pct"/>
            <w:shd w:val="clear" w:color="auto" w:fill="auto"/>
            <w:noWrap/>
          </w:tcPr>
          <w:p w:rsidR="00DF0D52" w:rsidRDefault="00DF0D52" w:rsidP="008A7465">
            <w:pPr>
              <w:spacing w:after="0"/>
            </w:pPr>
            <w:r w:rsidRPr="00ED60BD">
              <w:rPr>
                <w:sz w:val="20"/>
                <w:szCs w:val="20"/>
              </w:rPr>
              <w:t xml:space="preserve">Est. fenol. </w:t>
            </w:r>
            <w:r w:rsidR="00B46DCB">
              <w:rPr>
                <w:sz w:val="20"/>
                <w:szCs w:val="20"/>
              </w:rPr>
              <w:t>D</w:t>
            </w:r>
            <w:r w:rsidR="00083ED9">
              <w:rPr>
                <w:sz w:val="20"/>
                <w:szCs w:val="20"/>
              </w:rPr>
              <w:t>/</w:t>
            </w:r>
            <w:r w:rsidR="00B46DCB">
              <w:rPr>
                <w:sz w:val="20"/>
                <w:szCs w:val="20"/>
              </w:rPr>
              <w:t>E</w:t>
            </w:r>
          </w:p>
        </w:tc>
        <w:tc>
          <w:tcPr>
            <w:tcW w:w="750" w:type="pct"/>
            <w:shd w:val="clear" w:color="auto" w:fill="auto"/>
            <w:noWrap/>
            <w:vAlign w:val="center"/>
          </w:tcPr>
          <w:p w:rsidR="00DF0D52" w:rsidRPr="00AC7E06" w:rsidRDefault="00DF0D52" w:rsidP="008A7465">
            <w:pPr>
              <w:spacing w:after="0"/>
              <w:jc w:val="right"/>
              <w:rPr>
                <w:color w:val="000000"/>
                <w:sz w:val="20"/>
                <w:szCs w:val="20"/>
              </w:rPr>
            </w:pPr>
            <w:r w:rsidRPr="00AC7E06">
              <w:rPr>
                <w:color w:val="000000"/>
                <w:sz w:val="20"/>
                <w:szCs w:val="20"/>
              </w:rPr>
              <w:t>difenoconazol</w:t>
            </w:r>
          </w:p>
        </w:tc>
        <w:tc>
          <w:tcPr>
            <w:tcW w:w="575" w:type="pct"/>
            <w:shd w:val="clear" w:color="auto" w:fill="auto"/>
            <w:noWrap/>
            <w:vAlign w:val="center"/>
          </w:tcPr>
          <w:p w:rsidR="00DF0D52" w:rsidRDefault="00DF0D52" w:rsidP="008A7465">
            <w:pPr>
              <w:spacing w:after="0"/>
              <w:jc w:val="right"/>
              <w:rPr>
                <w:color w:val="000000"/>
                <w:sz w:val="20"/>
                <w:szCs w:val="20"/>
              </w:rPr>
            </w:pPr>
            <w:r>
              <w:rPr>
                <w:color w:val="000000"/>
                <w:sz w:val="20"/>
                <w:szCs w:val="20"/>
              </w:rPr>
              <w:t>37,9</w:t>
            </w:r>
          </w:p>
        </w:tc>
        <w:tc>
          <w:tcPr>
            <w:tcW w:w="98" w:type="pct"/>
            <w:shd w:val="clear" w:color="auto" w:fill="auto"/>
            <w:noWrap/>
            <w:vAlign w:val="center"/>
          </w:tcPr>
          <w:p w:rsidR="00DF0D52" w:rsidRPr="00DF0D52" w:rsidRDefault="00DF0D52" w:rsidP="008A7465">
            <w:pPr>
              <w:spacing w:after="0"/>
              <w:rPr>
                <w:b/>
                <w:sz w:val="20"/>
                <w:szCs w:val="20"/>
              </w:rPr>
            </w:pPr>
            <w:r w:rsidRPr="00DF0D52">
              <w:rPr>
                <w:b/>
                <w:sz w:val="20"/>
                <w:szCs w:val="20"/>
              </w:rPr>
              <w:t>a</w:t>
            </w:r>
          </w:p>
        </w:tc>
        <w:tc>
          <w:tcPr>
            <w:tcW w:w="98" w:type="pct"/>
            <w:shd w:val="clear" w:color="auto" w:fill="auto"/>
            <w:noWrap/>
            <w:vAlign w:val="center"/>
          </w:tcPr>
          <w:p w:rsidR="00DF0D52" w:rsidRPr="00DF0D52" w:rsidRDefault="00DF0D52" w:rsidP="008A7465">
            <w:pPr>
              <w:spacing w:after="0"/>
              <w:rPr>
                <w:b/>
              </w:rPr>
            </w:pPr>
            <w:r w:rsidRPr="00DF0D52">
              <w:rPr>
                <w:b/>
                <w:sz w:val="20"/>
                <w:szCs w:val="20"/>
              </w:rPr>
              <w:t>b</w:t>
            </w:r>
          </w:p>
        </w:tc>
        <w:tc>
          <w:tcPr>
            <w:tcW w:w="93" w:type="pct"/>
            <w:shd w:val="clear" w:color="auto" w:fill="auto"/>
            <w:noWrap/>
            <w:vAlign w:val="center"/>
          </w:tcPr>
          <w:p w:rsidR="00DF0D52" w:rsidRPr="00DF0D52" w:rsidRDefault="00DF0D52" w:rsidP="008A7465">
            <w:pPr>
              <w:spacing w:after="0"/>
              <w:jc w:val="right"/>
              <w:rPr>
                <w:b/>
                <w:color w:val="000000"/>
                <w:sz w:val="20"/>
                <w:szCs w:val="20"/>
              </w:rPr>
            </w:pPr>
            <w:r w:rsidRPr="00DF0D52">
              <w:rPr>
                <w:b/>
                <w:color w:val="000000"/>
                <w:sz w:val="20"/>
                <w:szCs w:val="20"/>
              </w:rPr>
              <w:t> </w:t>
            </w:r>
          </w:p>
        </w:tc>
        <w:tc>
          <w:tcPr>
            <w:tcW w:w="76" w:type="pct"/>
            <w:shd w:val="clear" w:color="auto" w:fill="auto"/>
            <w:noWrap/>
            <w:vAlign w:val="center"/>
          </w:tcPr>
          <w:p w:rsidR="00DF0D52" w:rsidRPr="00AC7E06" w:rsidRDefault="00DF0D52" w:rsidP="008A7465">
            <w:pPr>
              <w:spacing w:after="0"/>
              <w:rPr>
                <w:sz w:val="20"/>
                <w:szCs w:val="20"/>
              </w:rPr>
            </w:pPr>
            <w:r w:rsidRPr="00AC7E06">
              <w:rPr>
                <w:sz w:val="20"/>
                <w:szCs w:val="20"/>
              </w:rPr>
              <w:t> </w:t>
            </w:r>
          </w:p>
        </w:tc>
        <w:tc>
          <w:tcPr>
            <w:tcW w:w="819" w:type="pct"/>
            <w:shd w:val="clear" w:color="auto" w:fill="auto"/>
            <w:vAlign w:val="center"/>
          </w:tcPr>
          <w:p w:rsidR="00DF0D52" w:rsidRPr="00AC7E06" w:rsidRDefault="00DF0D52" w:rsidP="008A7465">
            <w:pPr>
              <w:spacing w:after="0"/>
              <w:rPr>
                <w:sz w:val="20"/>
                <w:szCs w:val="20"/>
              </w:rPr>
            </w:pPr>
            <w:r w:rsidRPr="004570EB">
              <w:rPr>
                <w:sz w:val="20"/>
                <w:szCs w:val="20"/>
              </w:rPr>
              <w:t xml:space="preserve">Est. fenol. </w:t>
            </w:r>
            <w:r w:rsidR="00B46DCB">
              <w:rPr>
                <w:sz w:val="20"/>
                <w:szCs w:val="20"/>
              </w:rPr>
              <w:t>D</w:t>
            </w:r>
            <w:r w:rsidR="00083ED9">
              <w:rPr>
                <w:sz w:val="20"/>
                <w:szCs w:val="20"/>
              </w:rPr>
              <w:t>/</w:t>
            </w:r>
            <w:r w:rsidR="00B46DCB">
              <w:rPr>
                <w:sz w:val="20"/>
                <w:szCs w:val="20"/>
              </w:rPr>
              <w:t>E</w:t>
            </w:r>
          </w:p>
        </w:tc>
        <w:tc>
          <w:tcPr>
            <w:tcW w:w="750" w:type="pct"/>
            <w:shd w:val="clear" w:color="auto" w:fill="auto"/>
            <w:vAlign w:val="center"/>
          </w:tcPr>
          <w:p w:rsidR="00DF0D52" w:rsidRPr="00AC7E06" w:rsidRDefault="00DF0D52" w:rsidP="008A7465">
            <w:pPr>
              <w:spacing w:after="0"/>
              <w:rPr>
                <w:sz w:val="20"/>
                <w:szCs w:val="20"/>
              </w:rPr>
            </w:pPr>
            <w:r w:rsidRPr="00AC7E06">
              <w:rPr>
                <w:color w:val="000000"/>
                <w:sz w:val="20"/>
                <w:szCs w:val="20"/>
              </w:rPr>
              <w:t>ciprodinil+fludioxonil</w:t>
            </w:r>
          </w:p>
        </w:tc>
        <w:tc>
          <w:tcPr>
            <w:tcW w:w="575" w:type="pct"/>
            <w:shd w:val="clear" w:color="auto" w:fill="auto"/>
            <w:vAlign w:val="center"/>
          </w:tcPr>
          <w:p w:rsidR="00DF0D52" w:rsidRPr="00AC7E06" w:rsidRDefault="00DF0D52" w:rsidP="008A7465">
            <w:pPr>
              <w:spacing w:after="0"/>
              <w:jc w:val="right"/>
              <w:rPr>
                <w:sz w:val="20"/>
                <w:szCs w:val="20"/>
              </w:rPr>
            </w:pPr>
            <w:r w:rsidRPr="00AC7E06">
              <w:rPr>
                <w:sz w:val="20"/>
                <w:szCs w:val="20"/>
              </w:rPr>
              <w:t>15,0</w:t>
            </w:r>
          </w:p>
        </w:tc>
        <w:tc>
          <w:tcPr>
            <w:tcW w:w="98" w:type="pct"/>
            <w:shd w:val="clear" w:color="auto" w:fill="auto"/>
            <w:vAlign w:val="center"/>
          </w:tcPr>
          <w:p w:rsidR="00DF0D52" w:rsidRPr="00DF0D52" w:rsidRDefault="00DF0D52" w:rsidP="008A7465">
            <w:pPr>
              <w:spacing w:after="0"/>
              <w:rPr>
                <w:b/>
                <w:sz w:val="20"/>
                <w:szCs w:val="20"/>
              </w:rPr>
            </w:pPr>
            <w:r w:rsidRPr="00DF0D52">
              <w:rPr>
                <w:b/>
                <w:sz w:val="20"/>
                <w:szCs w:val="20"/>
              </w:rPr>
              <w:t>a</w:t>
            </w:r>
          </w:p>
        </w:tc>
        <w:tc>
          <w:tcPr>
            <w:tcW w:w="98" w:type="pct"/>
            <w:shd w:val="clear" w:color="auto" w:fill="auto"/>
            <w:vAlign w:val="center"/>
          </w:tcPr>
          <w:p w:rsidR="00DF0D52" w:rsidRPr="00DF0D52" w:rsidRDefault="00DF0D52" w:rsidP="008A7465">
            <w:pPr>
              <w:spacing w:after="0"/>
              <w:rPr>
                <w:b/>
                <w:sz w:val="20"/>
                <w:szCs w:val="20"/>
              </w:rPr>
            </w:pPr>
            <w:r w:rsidRPr="00DF0D52">
              <w:rPr>
                <w:b/>
                <w:sz w:val="20"/>
                <w:szCs w:val="20"/>
              </w:rPr>
              <w:t> </w:t>
            </w:r>
          </w:p>
        </w:tc>
        <w:tc>
          <w:tcPr>
            <w:tcW w:w="93" w:type="pct"/>
            <w:shd w:val="clear" w:color="auto" w:fill="auto"/>
            <w:vAlign w:val="center"/>
          </w:tcPr>
          <w:p w:rsidR="00DF0D52" w:rsidRPr="00DF0D52" w:rsidRDefault="00DF0D52" w:rsidP="008A7465">
            <w:pPr>
              <w:spacing w:after="0"/>
              <w:rPr>
                <w:b/>
                <w:sz w:val="20"/>
                <w:szCs w:val="20"/>
              </w:rPr>
            </w:pPr>
            <w:r w:rsidRPr="00DF0D52">
              <w:rPr>
                <w:b/>
                <w:sz w:val="20"/>
                <w:szCs w:val="20"/>
              </w:rPr>
              <w:t> </w:t>
            </w:r>
          </w:p>
        </w:tc>
        <w:tc>
          <w:tcPr>
            <w:tcW w:w="97" w:type="pct"/>
            <w:shd w:val="clear" w:color="auto" w:fill="auto"/>
            <w:vAlign w:val="center"/>
          </w:tcPr>
          <w:p w:rsidR="00DF0D52" w:rsidRPr="00DF0D52" w:rsidRDefault="00DF0D52" w:rsidP="008A7465">
            <w:pPr>
              <w:spacing w:after="0"/>
              <w:rPr>
                <w:b/>
                <w:sz w:val="20"/>
                <w:szCs w:val="20"/>
              </w:rPr>
            </w:pPr>
          </w:p>
        </w:tc>
      </w:tr>
      <w:tr w:rsidR="00DF0D52" w:rsidRPr="00AC7E06" w:rsidTr="00DF0D52">
        <w:trPr>
          <w:cantSplit/>
        </w:trPr>
        <w:tc>
          <w:tcPr>
            <w:tcW w:w="780" w:type="pct"/>
            <w:shd w:val="clear" w:color="auto" w:fill="auto"/>
            <w:noWrap/>
            <w:vAlign w:val="center"/>
          </w:tcPr>
          <w:p w:rsidR="00DF0D52" w:rsidRPr="00AC7E06" w:rsidRDefault="00DF0D52" w:rsidP="008A7465">
            <w:pPr>
              <w:spacing w:after="0"/>
              <w:rPr>
                <w:color w:val="000000"/>
                <w:sz w:val="20"/>
                <w:szCs w:val="20"/>
              </w:rPr>
            </w:pPr>
            <w:r w:rsidRPr="00AC7E06">
              <w:rPr>
                <w:color w:val="000000"/>
                <w:sz w:val="20"/>
                <w:szCs w:val="20"/>
              </w:rPr>
              <w:t>Poda+</w:t>
            </w:r>
            <w:r w:rsidRPr="004570EB">
              <w:rPr>
                <w:sz w:val="20"/>
                <w:szCs w:val="20"/>
              </w:rPr>
              <w:t xml:space="preserve"> </w:t>
            </w:r>
            <w:r>
              <w:rPr>
                <w:sz w:val="20"/>
                <w:szCs w:val="20"/>
              </w:rPr>
              <w:t>e</w:t>
            </w:r>
            <w:r w:rsidRPr="004570EB">
              <w:rPr>
                <w:sz w:val="20"/>
                <w:szCs w:val="20"/>
              </w:rPr>
              <w:t xml:space="preserve">st. fenol. </w:t>
            </w:r>
            <w:r w:rsidR="00B46DCB">
              <w:rPr>
                <w:sz w:val="20"/>
                <w:szCs w:val="20"/>
              </w:rPr>
              <w:t>D</w:t>
            </w:r>
            <w:r w:rsidR="00083ED9">
              <w:rPr>
                <w:sz w:val="20"/>
                <w:szCs w:val="20"/>
              </w:rPr>
              <w:t>/</w:t>
            </w:r>
            <w:r w:rsidR="00B46DCB">
              <w:rPr>
                <w:sz w:val="20"/>
                <w:szCs w:val="20"/>
              </w:rPr>
              <w:t>E</w:t>
            </w:r>
          </w:p>
        </w:tc>
        <w:tc>
          <w:tcPr>
            <w:tcW w:w="750" w:type="pct"/>
            <w:shd w:val="clear" w:color="auto" w:fill="auto"/>
            <w:noWrap/>
            <w:vAlign w:val="center"/>
          </w:tcPr>
          <w:p w:rsidR="00DF0D52" w:rsidRPr="00AC7E06" w:rsidRDefault="00DF0D52" w:rsidP="008A7465">
            <w:pPr>
              <w:spacing w:after="0"/>
              <w:jc w:val="right"/>
              <w:rPr>
                <w:color w:val="000000"/>
                <w:sz w:val="20"/>
                <w:szCs w:val="20"/>
              </w:rPr>
            </w:pPr>
            <w:r w:rsidRPr="00AC7E06">
              <w:rPr>
                <w:color w:val="000000"/>
                <w:sz w:val="20"/>
                <w:szCs w:val="20"/>
              </w:rPr>
              <w:t>difenoconazol</w:t>
            </w:r>
          </w:p>
        </w:tc>
        <w:tc>
          <w:tcPr>
            <w:tcW w:w="575" w:type="pct"/>
            <w:shd w:val="clear" w:color="auto" w:fill="auto"/>
            <w:noWrap/>
            <w:vAlign w:val="center"/>
          </w:tcPr>
          <w:p w:rsidR="00DF0D52" w:rsidRDefault="00DF0D52" w:rsidP="008A7465">
            <w:pPr>
              <w:spacing w:after="0"/>
              <w:jc w:val="right"/>
              <w:rPr>
                <w:color w:val="000000"/>
                <w:sz w:val="20"/>
                <w:szCs w:val="20"/>
              </w:rPr>
            </w:pPr>
            <w:r>
              <w:rPr>
                <w:color w:val="000000"/>
                <w:sz w:val="20"/>
                <w:szCs w:val="20"/>
              </w:rPr>
              <w:t>38,1</w:t>
            </w:r>
          </w:p>
        </w:tc>
        <w:tc>
          <w:tcPr>
            <w:tcW w:w="98" w:type="pct"/>
            <w:shd w:val="clear" w:color="auto" w:fill="auto"/>
            <w:noWrap/>
            <w:vAlign w:val="center"/>
          </w:tcPr>
          <w:p w:rsidR="00DF0D52" w:rsidRPr="00DF0D52" w:rsidRDefault="00DF0D52" w:rsidP="008A7465">
            <w:pPr>
              <w:spacing w:after="0"/>
              <w:rPr>
                <w:b/>
                <w:sz w:val="20"/>
                <w:szCs w:val="20"/>
              </w:rPr>
            </w:pPr>
            <w:r w:rsidRPr="00DF0D52">
              <w:rPr>
                <w:b/>
                <w:sz w:val="20"/>
                <w:szCs w:val="20"/>
              </w:rPr>
              <w:t>a</w:t>
            </w:r>
          </w:p>
        </w:tc>
        <w:tc>
          <w:tcPr>
            <w:tcW w:w="98" w:type="pct"/>
            <w:shd w:val="clear" w:color="auto" w:fill="auto"/>
            <w:noWrap/>
            <w:vAlign w:val="center"/>
          </w:tcPr>
          <w:p w:rsidR="00DF0D52" w:rsidRPr="00DF0D52" w:rsidRDefault="00DF0D52" w:rsidP="008A7465">
            <w:pPr>
              <w:spacing w:after="0"/>
              <w:rPr>
                <w:b/>
              </w:rPr>
            </w:pPr>
            <w:r w:rsidRPr="00DF0D52">
              <w:rPr>
                <w:b/>
                <w:sz w:val="20"/>
                <w:szCs w:val="20"/>
              </w:rPr>
              <w:t>b</w:t>
            </w:r>
          </w:p>
        </w:tc>
        <w:tc>
          <w:tcPr>
            <w:tcW w:w="93" w:type="pct"/>
            <w:shd w:val="clear" w:color="auto" w:fill="auto"/>
            <w:noWrap/>
            <w:vAlign w:val="center"/>
          </w:tcPr>
          <w:p w:rsidR="00DF0D52" w:rsidRPr="00DF0D52" w:rsidRDefault="00DF0D52" w:rsidP="008A7465">
            <w:pPr>
              <w:spacing w:after="0"/>
              <w:jc w:val="right"/>
              <w:rPr>
                <w:b/>
                <w:color w:val="000000"/>
                <w:sz w:val="20"/>
                <w:szCs w:val="20"/>
              </w:rPr>
            </w:pPr>
            <w:r w:rsidRPr="00DF0D52">
              <w:rPr>
                <w:b/>
                <w:color w:val="000000"/>
                <w:sz w:val="20"/>
                <w:szCs w:val="20"/>
              </w:rPr>
              <w:t> </w:t>
            </w:r>
          </w:p>
        </w:tc>
        <w:tc>
          <w:tcPr>
            <w:tcW w:w="76" w:type="pct"/>
            <w:shd w:val="clear" w:color="auto" w:fill="auto"/>
            <w:noWrap/>
            <w:vAlign w:val="center"/>
          </w:tcPr>
          <w:p w:rsidR="00DF0D52" w:rsidRPr="00AC7E06" w:rsidRDefault="00DF0D52" w:rsidP="008A7465">
            <w:pPr>
              <w:spacing w:after="0"/>
              <w:rPr>
                <w:sz w:val="20"/>
                <w:szCs w:val="20"/>
              </w:rPr>
            </w:pPr>
            <w:r w:rsidRPr="00AC7E06">
              <w:rPr>
                <w:sz w:val="20"/>
                <w:szCs w:val="20"/>
              </w:rPr>
              <w:t> </w:t>
            </w:r>
          </w:p>
        </w:tc>
        <w:tc>
          <w:tcPr>
            <w:tcW w:w="819" w:type="pct"/>
            <w:shd w:val="clear" w:color="auto" w:fill="auto"/>
            <w:vAlign w:val="center"/>
          </w:tcPr>
          <w:p w:rsidR="00DF0D52" w:rsidRPr="00AC7E06" w:rsidRDefault="00083ED9" w:rsidP="008A7465">
            <w:pPr>
              <w:spacing w:after="0"/>
              <w:rPr>
                <w:sz w:val="20"/>
                <w:szCs w:val="20"/>
              </w:rPr>
            </w:pPr>
            <w:r w:rsidRPr="00AC7E06">
              <w:rPr>
                <w:color w:val="000000"/>
                <w:sz w:val="20"/>
                <w:szCs w:val="20"/>
              </w:rPr>
              <w:t>Poda</w:t>
            </w:r>
            <w:r w:rsidRPr="00AC7E06">
              <w:rPr>
                <w:sz w:val="20"/>
                <w:szCs w:val="20"/>
              </w:rPr>
              <w:t xml:space="preserve"> </w:t>
            </w:r>
            <w:r w:rsidR="00DF0D52" w:rsidRPr="00AC7E06">
              <w:rPr>
                <w:sz w:val="20"/>
                <w:szCs w:val="20"/>
              </w:rPr>
              <w:t>+</w:t>
            </w:r>
            <w:r w:rsidR="00DF0D52" w:rsidRPr="004570EB">
              <w:rPr>
                <w:sz w:val="20"/>
                <w:szCs w:val="20"/>
              </w:rPr>
              <w:t xml:space="preserve"> </w:t>
            </w:r>
            <w:r w:rsidR="00DF0D52">
              <w:rPr>
                <w:sz w:val="20"/>
                <w:szCs w:val="20"/>
              </w:rPr>
              <w:t>e</w:t>
            </w:r>
            <w:r w:rsidR="00DF0D52" w:rsidRPr="004570EB">
              <w:rPr>
                <w:sz w:val="20"/>
                <w:szCs w:val="20"/>
              </w:rPr>
              <w:t xml:space="preserve">st. fenol. </w:t>
            </w:r>
            <w:r w:rsidR="00B46DCB">
              <w:rPr>
                <w:sz w:val="20"/>
                <w:szCs w:val="20"/>
              </w:rPr>
              <w:t>D</w:t>
            </w:r>
            <w:r>
              <w:rPr>
                <w:sz w:val="20"/>
                <w:szCs w:val="20"/>
              </w:rPr>
              <w:t>/</w:t>
            </w:r>
            <w:r w:rsidR="00B46DCB">
              <w:rPr>
                <w:sz w:val="20"/>
                <w:szCs w:val="20"/>
              </w:rPr>
              <w:t>E</w:t>
            </w:r>
          </w:p>
        </w:tc>
        <w:tc>
          <w:tcPr>
            <w:tcW w:w="750" w:type="pct"/>
            <w:shd w:val="clear" w:color="auto" w:fill="auto"/>
            <w:vAlign w:val="center"/>
          </w:tcPr>
          <w:p w:rsidR="00DF0D52" w:rsidRPr="00AC7E06" w:rsidRDefault="00DF0D52" w:rsidP="008A7465">
            <w:pPr>
              <w:spacing w:after="0"/>
              <w:rPr>
                <w:sz w:val="20"/>
                <w:szCs w:val="20"/>
              </w:rPr>
            </w:pPr>
            <w:r w:rsidRPr="00AC7E06">
              <w:rPr>
                <w:color w:val="000000"/>
                <w:sz w:val="20"/>
                <w:szCs w:val="20"/>
              </w:rPr>
              <w:t>ciprodinil+fludioxonil</w:t>
            </w:r>
          </w:p>
        </w:tc>
        <w:tc>
          <w:tcPr>
            <w:tcW w:w="575" w:type="pct"/>
            <w:shd w:val="clear" w:color="auto" w:fill="auto"/>
            <w:vAlign w:val="center"/>
          </w:tcPr>
          <w:p w:rsidR="00DF0D52" w:rsidRPr="00AC7E06" w:rsidRDefault="00DF0D52" w:rsidP="008A7465">
            <w:pPr>
              <w:spacing w:after="0"/>
              <w:jc w:val="right"/>
              <w:rPr>
                <w:sz w:val="20"/>
                <w:szCs w:val="20"/>
              </w:rPr>
            </w:pPr>
            <w:r w:rsidRPr="00AC7E06">
              <w:rPr>
                <w:sz w:val="20"/>
                <w:szCs w:val="20"/>
              </w:rPr>
              <w:t>20,7</w:t>
            </w:r>
          </w:p>
        </w:tc>
        <w:tc>
          <w:tcPr>
            <w:tcW w:w="98" w:type="pct"/>
            <w:shd w:val="clear" w:color="auto" w:fill="auto"/>
            <w:vAlign w:val="center"/>
          </w:tcPr>
          <w:p w:rsidR="00DF0D52" w:rsidRPr="00DF0D52" w:rsidRDefault="00DF0D52" w:rsidP="008A7465">
            <w:pPr>
              <w:spacing w:after="0"/>
              <w:rPr>
                <w:b/>
                <w:sz w:val="20"/>
                <w:szCs w:val="20"/>
              </w:rPr>
            </w:pPr>
            <w:r w:rsidRPr="00DF0D52">
              <w:rPr>
                <w:b/>
                <w:sz w:val="20"/>
                <w:szCs w:val="20"/>
              </w:rPr>
              <w:t>a</w:t>
            </w:r>
          </w:p>
        </w:tc>
        <w:tc>
          <w:tcPr>
            <w:tcW w:w="98" w:type="pct"/>
            <w:shd w:val="clear" w:color="auto" w:fill="auto"/>
            <w:vAlign w:val="center"/>
          </w:tcPr>
          <w:p w:rsidR="00DF0D52" w:rsidRPr="00DF0D52" w:rsidRDefault="00DF0D52" w:rsidP="008A7465">
            <w:pPr>
              <w:spacing w:after="0"/>
              <w:rPr>
                <w:b/>
                <w:sz w:val="20"/>
                <w:szCs w:val="20"/>
              </w:rPr>
            </w:pPr>
            <w:r w:rsidRPr="00DF0D52">
              <w:rPr>
                <w:b/>
                <w:sz w:val="20"/>
                <w:szCs w:val="20"/>
              </w:rPr>
              <w:t>b</w:t>
            </w:r>
          </w:p>
        </w:tc>
        <w:tc>
          <w:tcPr>
            <w:tcW w:w="93" w:type="pct"/>
            <w:shd w:val="clear" w:color="auto" w:fill="auto"/>
            <w:vAlign w:val="center"/>
          </w:tcPr>
          <w:p w:rsidR="00DF0D52" w:rsidRPr="00DF0D52" w:rsidRDefault="00DF0D52" w:rsidP="008A7465">
            <w:pPr>
              <w:spacing w:after="0"/>
              <w:rPr>
                <w:b/>
                <w:sz w:val="20"/>
                <w:szCs w:val="20"/>
              </w:rPr>
            </w:pPr>
            <w:r w:rsidRPr="00DF0D52">
              <w:rPr>
                <w:b/>
                <w:sz w:val="20"/>
                <w:szCs w:val="20"/>
              </w:rPr>
              <w:t> </w:t>
            </w:r>
          </w:p>
        </w:tc>
        <w:tc>
          <w:tcPr>
            <w:tcW w:w="97" w:type="pct"/>
            <w:shd w:val="clear" w:color="auto" w:fill="auto"/>
            <w:vAlign w:val="center"/>
          </w:tcPr>
          <w:p w:rsidR="00DF0D52" w:rsidRPr="00DF0D52" w:rsidRDefault="00DF0D52" w:rsidP="008A7465">
            <w:pPr>
              <w:spacing w:after="0"/>
              <w:rPr>
                <w:b/>
                <w:sz w:val="20"/>
                <w:szCs w:val="20"/>
              </w:rPr>
            </w:pPr>
          </w:p>
        </w:tc>
      </w:tr>
      <w:tr w:rsidR="00DF0D52" w:rsidRPr="00AC7E06" w:rsidTr="00DF0D52">
        <w:trPr>
          <w:cantSplit/>
        </w:trPr>
        <w:tc>
          <w:tcPr>
            <w:tcW w:w="780" w:type="pct"/>
            <w:shd w:val="clear" w:color="auto" w:fill="auto"/>
            <w:noWrap/>
          </w:tcPr>
          <w:p w:rsidR="00DF0D52" w:rsidRDefault="00DF0D52" w:rsidP="008A7465">
            <w:pPr>
              <w:spacing w:after="0"/>
            </w:pPr>
            <w:r w:rsidRPr="006E508C">
              <w:rPr>
                <w:sz w:val="20"/>
                <w:szCs w:val="20"/>
              </w:rPr>
              <w:t xml:space="preserve">Est. fenol. </w:t>
            </w:r>
            <w:r w:rsidR="00B46DCB">
              <w:rPr>
                <w:sz w:val="20"/>
                <w:szCs w:val="20"/>
              </w:rPr>
              <w:t>D</w:t>
            </w:r>
            <w:r w:rsidR="00083ED9">
              <w:rPr>
                <w:sz w:val="20"/>
                <w:szCs w:val="20"/>
              </w:rPr>
              <w:t>/</w:t>
            </w:r>
            <w:r w:rsidR="00B46DCB">
              <w:rPr>
                <w:sz w:val="20"/>
                <w:szCs w:val="20"/>
              </w:rPr>
              <w:t>E</w:t>
            </w:r>
          </w:p>
        </w:tc>
        <w:tc>
          <w:tcPr>
            <w:tcW w:w="750" w:type="pct"/>
            <w:shd w:val="clear" w:color="auto" w:fill="auto"/>
            <w:noWrap/>
            <w:vAlign w:val="center"/>
          </w:tcPr>
          <w:p w:rsidR="00DF0D52" w:rsidRPr="00AC7E06" w:rsidRDefault="00DF0D52" w:rsidP="008A7465">
            <w:pPr>
              <w:spacing w:after="0"/>
              <w:jc w:val="right"/>
              <w:rPr>
                <w:color w:val="000000"/>
                <w:sz w:val="20"/>
                <w:szCs w:val="20"/>
              </w:rPr>
            </w:pPr>
            <w:r w:rsidRPr="00AC7E06">
              <w:rPr>
                <w:color w:val="000000"/>
                <w:sz w:val="20"/>
                <w:szCs w:val="20"/>
              </w:rPr>
              <w:t>ciprodinil+fludioxonil</w:t>
            </w:r>
          </w:p>
        </w:tc>
        <w:tc>
          <w:tcPr>
            <w:tcW w:w="575" w:type="pct"/>
            <w:shd w:val="clear" w:color="auto" w:fill="auto"/>
            <w:noWrap/>
            <w:vAlign w:val="center"/>
          </w:tcPr>
          <w:p w:rsidR="00DF0D52" w:rsidRDefault="00DF0D52" w:rsidP="008A7465">
            <w:pPr>
              <w:spacing w:after="0"/>
              <w:jc w:val="right"/>
              <w:rPr>
                <w:color w:val="000000"/>
                <w:sz w:val="20"/>
                <w:szCs w:val="20"/>
              </w:rPr>
            </w:pPr>
            <w:r>
              <w:rPr>
                <w:color w:val="000000"/>
                <w:sz w:val="20"/>
                <w:szCs w:val="20"/>
              </w:rPr>
              <w:t>38,9</w:t>
            </w:r>
          </w:p>
        </w:tc>
        <w:tc>
          <w:tcPr>
            <w:tcW w:w="98" w:type="pct"/>
            <w:shd w:val="clear" w:color="auto" w:fill="auto"/>
            <w:noWrap/>
            <w:vAlign w:val="center"/>
          </w:tcPr>
          <w:p w:rsidR="00DF0D52" w:rsidRPr="00DF0D52" w:rsidRDefault="00DF0D52" w:rsidP="008A7465">
            <w:pPr>
              <w:spacing w:after="0"/>
              <w:rPr>
                <w:b/>
                <w:sz w:val="20"/>
                <w:szCs w:val="20"/>
              </w:rPr>
            </w:pPr>
            <w:r w:rsidRPr="00DF0D52">
              <w:rPr>
                <w:b/>
                <w:sz w:val="20"/>
                <w:szCs w:val="20"/>
              </w:rPr>
              <w:t>a</w:t>
            </w:r>
          </w:p>
        </w:tc>
        <w:tc>
          <w:tcPr>
            <w:tcW w:w="98" w:type="pct"/>
            <w:shd w:val="clear" w:color="auto" w:fill="auto"/>
            <w:noWrap/>
            <w:vAlign w:val="center"/>
          </w:tcPr>
          <w:p w:rsidR="00DF0D52" w:rsidRPr="00DF0D52" w:rsidRDefault="00DF0D52" w:rsidP="008A7465">
            <w:pPr>
              <w:spacing w:after="0"/>
              <w:rPr>
                <w:b/>
              </w:rPr>
            </w:pPr>
            <w:r w:rsidRPr="00DF0D52">
              <w:rPr>
                <w:b/>
                <w:sz w:val="20"/>
                <w:szCs w:val="20"/>
              </w:rPr>
              <w:t>b</w:t>
            </w:r>
          </w:p>
        </w:tc>
        <w:tc>
          <w:tcPr>
            <w:tcW w:w="93" w:type="pct"/>
            <w:shd w:val="clear" w:color="auto" w:fill="auto"/>
            <w:noWrap/>
            <w:vAlign w:val="center"/>
          </w:tcPr>
          <w:p w:rsidR="00DF0D52" w:rsidRPr="00DF0D52" w:rsidRDefault="00DF0D52" w:rsidP="008A7465">
            <w:pPr>
              <w:spacing w:after="0"/>
              <w:rPr>
                <w:b/>
              </w:rPr>
            </w:pPr>
            <w:r w:rsidRPr="00DF0D52">
              <w:rPr>
                <w:b/>
                <w:sz w:val="20"/>
                <w:szCs w:val="20"/>
              </w:rPr>
              <w:t>c</w:t>
            </w:r>
          </w:p>
        </w:tc>
        <w:tc>
          <w:tcPr>
            <w:tcW w:w="76" w:type="pct"/>
            <w:shd w:val="clear" w:color="auto" w:fill="auto"/>
            <w:noWrap/>
            <w:vAlign w:val="center"/>
          </w:tcPr>
          <w:p w:rsidR="00DF0D52" w:rsidRPr="00AC7E06" w:rsidRDefault="00DF0D52" w:rsidP="008A7465">
            <w:pPr>
              <w:spacing w:after="0"/>
              <w:rPr>
                <w:sz w:val="20"/>
                <w:szCs w:val="20"/>
              </w:rPr>
            </w:pPr>
            <w:r w:rsidRPr="00AC7E06">
              <w:rPr>
                <w:sz w:val="20"/>
                <w:szCs w:val="20"/>
              </w:rPr>
              <w:t> </w:t>
            </w:r>
          </w:p>
        </w:tc>
        <w:tc>
          <w:tcPr>
            <w:tcW w:w="819" w:type="pct"/>
            <w:shd w:val="clear" w:color="auto" w:fill="auto"/>
            <w:vAlign w:val="center"/>
          </w:tcPr>
          <w:p w:rsidR="00DF0D52" w:rsidRPr="00AC7E06" w:rsidRDefault="00083ED9" w:rsidP="008A7465">
            <w:pPr>
              <w:spacing w:after="0"/>
              <w:rPr>
                <w:sz w:val="20"/>
                <w:szCs w:val="20"/>
              </w:rPr>
            </w:pPr>
            <w:r w:rsidRPr="00AC7E06">
              <w:rPr>
                <w:color w:val="000000"/>
                <w:sz w:val="20"/>
                <w:szCs w:val="20"/>
              </w:rPr>
              <w:t>Poda</w:t>
            </w:r>
            <w:r w:rsidRPr="00AC7E06">
              <w:rPr>
                <w:sz w:val="20"/>
                <w:szCs w:val="20"/>
              </w:rPr>
              <w:t xml:space="preserve"> </w:t>
            </w:r>
            <w:r w:rsidR="00DF0D52" w:rsidRPr="00AC7E06">
              <w:rPr>
                <w:sz w:val="20"/>
                <w:szCs w:val="20"/>
              </w:rPr>
              <w:t>+</w:t>
            </w:r>
            <w:r w:rsidR="00DF0D52" w:rsidRPr="004570EB">
              <w:rPr>
                <w:sz w:val="20"/>
                <w:szCs w:val="20"/>
              </w:rPr>
              <w:t xml:space="preserve"> </w:t>
            </w:r>
            <w:r w:rsidR="00DF0D52">
              <w:rPr>
                <w:sz w:val="20"/>
                <w:szCs w:val="20"/>
              </w:rPr>
              <w:t>e</w:t>
            </w:r>
            <w:r w:rsidR="00DF0D52" w:rsidRPr="004570EB">
              <w:rPr>
                <w:sz w:val="20"/>
                <w:szCs w:val="20"/>
              </w:rPr>
              <w:t xml:space="preserve">st. fenol. </w:t>
            </w:r>
            <w:r w:rsidR="00B46DCB">
              <w:rPr>
                <w:sz w:val="20"/>
                <w:szCs w:val="20"/>
              </w:rPr>
              <w:t>D</w:t>
            </w:r>
            <w:r>
              <w:rPr>
                <w:sz w:val="20"/>
                <w:szCs w:val="20"/>
              </w:rPr>
              <w:t>/</w:t>
            </w:r>
            <w:r w:rsidR="00B46DCB">
              <w:rPr>
                <w:sz w:val="20"/>
                <w:szCs w:val="20"/>
              </w:rPr>
              <w:t>E</w:t>
            </w:r>
          </w:p>
        </w:tc>
        <w:tc>
          <w:tcPr>
            <w:tcW w:w="750" w:type="pct"/>
            <w:shd w:val="clear" w:color="auto" w:fill="auto"/>
            <w:vAlign w:val="center"/>
          </w:tcPr>
          <w:p w:rsidR="00DF0D52" w:rsidRPr="00AC7E06" w:rsidRDefault="00DF0D52" w:rsidP="008A7465">
            <w:pPr>
              <w:spacing w:after="0"/>
              <w:rPr>
                <w:sz w:val="20"/>
                <w:szCs w:val="20"/>
              </w:rPr>
            </w:pPr>
            <w:r w:rsidRPr="00AC7E06">
              <w:rPr>
                <w:color w:val="000000"/>
                <w:sz w:val="20"/>
                <w:szCs w:val="20"/>
              </w:rPr>
              <w:t>difenoconazol</w:t>
            </w:r>
          </w:p>
        </w:tc>
        <w:tc>
          <w:tcPr>
            <w:tcW w:w="575" w:type="pct"/>
            <w:shd w:val="clear" w:color="auto" w:fill="auto"/>
            <w:vAlign w:val="center"/>
          </w:tcPr>
          <w:p w:rsidR="00DF0D52" w:rsidRPr="00AC7E06" w:rsidRDefault="00DF0D52" w:rsidP="008A7465">
            <w:pPr>
              <w:spacing w:after="0"/>
              <w:jc w:val="right"/>
              <w:rPr>
                <w:sz w:val="20"/>
                <w:szCs w:val="20"/>
              </w:rPr>
            </w:pPr>
            <w:r w:rsidRPr="00AC7E06">
              <w:rPr>
                <w:sz w:val="20"/>
                <w:szCs w:val="20"/>
              </w:rPr>
              <w:t>22,3</w:t>
            </w:r>
          </w:p>
        </w:tc>
        <w:tc>
          <w:tcPr>
            <w:tcW w:w="98" w:type="pct"/>
            <w:shd w:val="clear" w:color="auto" w:fill="auto"/>
            <w:vAlign w:val="center"/>
          </w:tcPr>
          <w:p w:rsidR="00DF0D52" w:rsidRPr="00DF0D52" w:rsidRDefault="00DF0D52" w:rsidP="008A7465">
            <w:pPr>
              <w:spacing w:after="0"/>
              <w:rPr>
                <w:b/>
                <w:sz w:val="20"/>
                <w:szCs w:val="20"/>
              </w:rPr>
            </w:pPr>
            <w:r w:rsidRPr="00DF0D52">
              <w:rPr>
                <w:b/>
                <w:sz w:val="20"/>
                <w:szCs w:val="20"/>
              </w:rPr>
              <w:t>a</w:t>
            </w:r>
          </w:p>
        </w:tc>
        <w:tc>
          <w:tcPr>
            <w:tcW w:w="98" w:type="pct"/>
            <w:shd w:val="clear" w:color="auto" w:fill="auto"/>
            <w:vAlign w:val="center"/>
          </w:tcPr>
          <w:p w:rsidR="00DF0D52" w:rsidRPr="00DF0D52" w:rsidRDefault="00DF0D52" w:rsidP="008A7465">
            <w:pPr>
              <w:spacing w:after="0"/>
              <w:rPr>
                <w:b/>
                <w:sz w:val="20"/>
                <w:szCs w:val="20"/>
              </w:rPr>
            </w:pPr>
            <w:r w:rsidRPr="00DF0D52">
              <w:rPr>
                <w:b/>
                <w:sz w:val="20"/>
                <w:szCs w:val="20"/>
              </w:rPr>
              <w:t>b</w:t>
            </w:r>
          </w:p>
        </w:tc>
        <w:tc>
          <w:tcPr>
            <w:tcW w:w="93" w:type="pct"/>
            <w:shd w:val="clear" w:color="auto" w:fill="auto"/>
            <w:vAlign w:val="center"/>
          </w:tcPr>
          <w:p w:rsidR="00DF0D52" w:rsidRPr="00DF0D52" w:rsidRDefault="00DF0D52" w:rsidP="008A7465">
            <w:pPr>
              <w:spacing w:after="0"/>
              <w:rPr>
                <w:b/>
                <w:sz w:val="20"/>
                <w:szCs w:val="20"/>
              </w:rPr>
            </w:pPr>
            <w:r w:rsidRPr="00DF0D52">
              <w:rPr>
                <w:b/>
                <w:sz w:val="20"/>
                <w:szCs w:val="20"/>
              </w:rPr>
              <w:t> </w:t>
            </w:r>
          </w:p>
        </w:tc>
        <w:tc>
          <w:tcPr>
            <w:tcW w:w="97" w:type="pct"/>
            <w:shd w:val="clear" w:color="auto" w:fill="auto"/>
            <w:vAlign w:val="center"/>
          </w:tcPr>
          <w:p w:rsidR="00DF0D52" w:rsidRPr="00DF0D52" w:rsidRDefault="00DF0D52" w:rsidP="008A7465">
            <w:pPr>
              <w:spacing w:after="0"/>
              <w:rPr>
                <w:b/>
                <w:sz w:val="20"/>
                <w:szCs w:val="20"/>
              </w:rPr>
            </w:pPr>
          </w:p>
        </w:tc>
      </w:tr>
      <w:tr w:rsidR="00DF0D52" w:rsidRPr="00AC7E06" w:rsidTr="00DF0D52">
        <w:trPr>
          <w:cantSplit/>
        </w:trPr>
        <w:tc>
          <w:tcPr>
            <w:tcW w:w="780" w:type="pct"/>
            <w:shd w:val="clear" w:color="auto" w:fill="auto"/>
            <w:noWrap/>
          </w:tcPr>
          <w:p w:rsidR="00DF0D52" w:rsidRDefault="00DF0D52" w:rsidP="008A7465">
            <w:pPr>
              <w:spacing w:after="0"/>
            </w:pPr>
            <w:r w:rsidRPr="006E508C">
              <w:rPr>
                <w:sz w:val="20"/>
                <w:szCs w:val="20"/>
              </w:rPr>
              <w:t xml:space="preserve">Est. fenol. </w:t>
            </w:r>
            <w:r w:rsidR="00B46DCB">
              <w:rPr>
                <w:sz w:val="20"/>
                <w:szCs w:val="20"/>
              </w:rPr>
              <w:t>D</w:t>
            </w:r>
            <w:r w:rsidR="00083ED9">
              <w:rPr>
                <w:sz w:val="20"/>
                <w:szCs w:val="20"/>
              </w:rPr>
              <w:t>/</w:t>
            </w:r>
            <w:r w:rsidR="00B46DCB">
              <w:rPr>
                <w:sz w:val="20"/>
                <w:szCs w:val="20"/>
              </w:rPr>
              <w:t>E</w:t>
            </w:r>
          </w:p>
        </w:tc>
        <w:tc>
          <w:tcPr>
            <w:tcW w:w="750" w:type="pct"/>
            <w:shd w:val="clear" w:color="auto" w:fill="auto"/>
            <w:noWrap/>
            <w:vAlign w:val="center"/>
          </w:tcPr>
          <w:p w:rsidR="00DF0D52" w:rsidRPr="00AC7E06" w:rsidRDefault="00DF0D52" w:rsidP="008A7465">
            <w:pPr>
              <w:spacing w:after="0"/>
              <w:jc w:val="right"/>
              <w:rPr>
                <w:color w:val="000000"/>
                <w:sz w:val="20"/>
                <w:szCs w:val="20"/>
              </w:rPr>
            </w:pPr>
            <w:r w:rsidRPr="00AC7E06">
              <w:rPr>
                <w:color w:val="000000"/>
                <w:sz w:val="20"/>
                <w:szCs w:val="20"/>
              </w:rPr>
              <w:t>azoxistrobina</w:t>
            </w:r>
          </w:p>
        </w:tc>
        <w:tc>
          <w:tcPr>
            <w:tcW w:w="575" w:type="pct"/>
            <w:shd w:val="clear" w:color="auto" w:fill="auto"/>
            <w:noWrap/>
            <w:vAlign w:val="center"/>
          </w:tcPr>
          <w:p w:rsidR="00DF0D52" w:rsidRDefault="00DF0D52" w:rsidP="008A7465">
            <w:pPr>
              <w:spacing w:after="0"/>
              <w:jc w:val="right"/>
              <w:rPr>
                <w:color w:val="000000"/>
                <w:sz w:val="20"/>
                <w:szCs w:val="20"/>
              </w:rPr>
            </w:pPr>
            <w:r>
              <w:rPr>
                <w:color w:val="000000"/>
                <w:sz w:val="20"/>
                <w:szCs w:val="20"/>
              </w:rPr>
              <w:t>40,2</w:t>
            </w:r>
          </w:p>
        </w:tc>
        <w:tc>
          <w:tcPr>
            <w:tcW w:w="98" w:type="pct"/>
            <w:shd w:val="clear" w:color="auto" w:fill="auto"/>
            <w:noWrap/>
            <w:vAlign w:val="center"/>
          </w:tcPr>
          <w:p w:rsidR="00DF0D52" w:rsidRPr="00DF0D52" w:rsidRDefault="00DF0D52" w:rsidP="008A7465">
            <w:pPr>
              <w:spacing w:after="0"/>
              <w:rPr>
                <w:b/>
                <w:sz w:val="20"/>
                <w:szCs w:val="20"/>
              </w:rPr>
            </w:pPr>
            <w:r w:rsidRPr="00DF0D52">
              <w:rPr>
                <w:b/>
                <w:sz w:val="20"/>
                <w:szCs w:val="20"/>
              </w:rPr>
              <w:t>a</w:t>
            </w:r>
          </w:p>
        </w:tc>
        <w:tc>
          <w:tcPr>
            <w:tcW w:w="98" w:type="pct"/>
            <w:shd w:val="clear" w:color="auto" w:fill="auto"/>
            <w:noWrap/>
            <w:vAlign w:val="center"/>
          </w:tcPr>
          <w:p w:rsidR="00DF0D52" w:rsidRPr="00DF0D52" w:rsidRDefault="00DF0D52" w:rsidP="008A7465">
            <w:pPr>
              <w:spacing w:after="0"/>
              <w:rPr>
                <w:b/>
              </w:rPr>
            </w:pPr>
            <w:r w:rsidRPr="00DF0D52">
              <w:rPr>
                <w:b/>
                <w:sz w:val="20"/>
                <w:szCs w:val="20"/>
              </w:rPr>
              <w:t>b</w:t>
            </w:r>
          </w:p>
        </w:tc>
        <w:tc>
          <w:tcPr>
            <w:tcW w:w="93" w:type="pct"/>
            <w:shd w:val="clear" w:color="auto" w:fill="auto"/>
            <w:noWrap/>
            <w:vAlign w:val="center"/>
          </w:tcPr>
          <w:p w:rsidR="00DF0D52" w:rsidRPr="00DF0D52" w:rsidRDefault="00DF0D52" w:rsidP="008A7465">
            <w:pPr>
              <w:spacing w:after="0"/>
              <w:rPr>
                <w:b/>
              </w:rPr>
            </w:pPr>
            <w:r w:rsidRPr="00DF0D52">
              <w:rPr>
                <w:b/>
                <w:sz w:val="20"/>
                <w:szCs w:val="20"/>
              </w:rPr>
              <w:t>c</w:t>
            </w:r>
          </w:p>
        </w:tc>
        <w:tc>
          <w:tcPr>
            <w:tcW w:w="76" w:type="pct"/>
            <w:shd w:val="clear" w:color="auto" w:fill="auto"/>
            <w:noWrap/>
            <w:vAlign w:val="center"/>
          </w:tcPr>
          <w:p w:rsidR="00DF0D52" w:rsidRPr="00AC7E06" w:rsidRDefault="00DF0D52" w:rsidP="008A7465">
            <w:pPr>
              <w:spacing w:after="0"/>
              <w:rPr>
                <w:sz w:val="20"/>
                <w:szCs w:val="20"/>
              </w:rPr>
            </w:pPr>
            <w:r w:rsidRPr="00AC7E06">
              <w:rPr>
                <w:sz w:val="20"/>
                <w:szCs w:val="20"/>
              </w:rPr>
              <w:t> </w:t>
            </w:r>
          </w:p>
        </w:tc>
        <w:tc>
          <w:tcPr>
            <w:tcW w:w="819" w:type="pct"/>
            <w:shd w:val="clear" w:color="auto" w:fill="auto"/>
            <w:vAlign w:val="center"/>
          </w:tcPr>
          <w:p w:rsidR="00DF0D52" w:rsidRPr="00AC7E06" w:rsidRDefault="00DF0D52" w:rsidP="008A7465">
            <w:pPr>
              <w:spacing w:after="0"/>
              <w:rPr>
                <w:sz w:val="20"/>
                <w:szCs w:val="20"/>
              </w:rPr>
            </w:pPr>
            <w:r w:rsidRPr="004570EB">
              <w:rPr>
                <w:sz w:val="20"/>
                <w:szCs w:val="20"/>
              </w:rPr>
              <w:t xml:space="preserve">Est. fenol. </w:t>
            </w:r>
            <w:r w:rsidR="00B46DCB">
              <w:rPr>
                <w:sz w:val="20"/>
                <w:szCs w:val="20"/>
              </w:rPr>
              <w:t>D</w:t>
            </w:r>
            <w:r w:rsidR="00083ED9">
              <w:rPr>
                <w:sz w:val="20"/>
                <w:szCs w:val="20"/>
              </w:rPr>
              <w:t>/</w:t>
            </w:r>
            <w:r w:rsidR="00B46DCB">
              <w:rPr>
                <w:sz w:val="20"/>
                <w:szCs w:val="20"/>
              </w:rPr>
              <w:t>E</w:t>
            </w:r>
          </w:p>
        </w:tc>
        <w:tc>
          <w:tcPr>
            <w:tcW w:w="750" w:type="pct"/>
            <w:shd w:val="clear" w:color="auto" w:fill="auto"/>
            <w:vAlign w:val="center"/>
          </w:tcPr>
          <w:p w:rsidR="00DF0D52" w:rsidRPr="00AC7E06" w:rsidRDefault="00DF0D52" w:rsidP="008A7465">
            <w:pPr>
              <w:spacing w:after="0"/>
              <w:rPr>
                <w:sz w:val="20"/>
                <w:szCs w:val="20"/>
              </w:rPr>
            </w:pPr>
            <w:r w:rsidRPr="00AC7E06">
              <w:rPr>
                <w:color w:val="000000"/>
                <w:sz w:val="20"/>
                <w:szCs w:val="20"/>
              </w:rPr>
              <w:t>tebuconazol</w:t>
            </w:r>
          </w:p>
        </w:tc>
        <w:tc>
          <w:tcPr>
            <w:tcW w:w="575" w:type="pct"/>
            <w:shd w:val="clear" w:color="auto" w:fill="auto"/>
            <w:vAlign w:val="center"/>
          </w:tcPr>
          <w:p w:rsidR="00DF0D52" w:rsidRPr="00AC7E06" w:rsidRDefault="00DF0D52" w:rsidP="008A7465">
            <w:pPr>
              <w:spacing w:after="0"/>
              <w:jc w:val="right"/>
              <w:rPr>
                <w:sz w:val="20"/>
                <w:szCs w:val="20"/>
              </w:rPr>
            </w:pPr>
            <w:r w:rsidRPr="00AC7E06">
              <w:rPr>
                <w:sz w:val="20"/>
                <w:szCs w:val="20"/>
              </w:rPr>
              <w:t>23,8</w:t>
            </w:r>
          </w:p>
        </w:tc>
        <w:tc>
          <w:tcPr>
            <w:tcW w:w="98" w:type="pct"/>
            <w:shd w:val="clear" w:color="auto" w:fill="auto"/>
            <w:vAlign w:val="center"/>
          </w:tcPr>
          <w:p w:rsidR="00DF0D52" w:rsidRPr="00DF0D52" w:rsidRDefault="00DF0D52" w:rsidP="008A7465">
            <w:pPr>
              <w:spacing w:after="0"/>
              <w:rPr>
                <w:b/>
                <w:sz w:val="20"/>
                <w:szCs w:val="20"/>
              </w:rPr>
            </w:pPr>
            <w:r w:rsidRPr="00DF0D52">
              <w:rPr>
                <w:b/>
                <w:sz w:val="20"/>
                <w:szCs w:val="20"/>
              </w:rPr>
              <w:t>a</w:t>
            </w:r>
          </w:p>
        </w:tc>
        <w:tc>
          <w:tcPr>
            <w:tcW w:w="98" w:type="pct"/>
            <w:shd w:val="clear" w:color="auto" w:fill="auto"/>
            <w:vAlign w:val="center"/>
          </w:tcPr>
          <w:p w:rsidR="00DF0D52" w:rsidRPr="00DF0D52" w:rsidRDefault="00DF0D52" w:rsidP="008A7465">
            <w:pPr>
              <w:spacing w:after="0"/>
              <w:rPr>
                <w:b/>
                <w:sz w:val="20"/>
                <w:szCs w:val="20"/>
              </w:rPr>
            </w:pPr>
            <w:r w:rsidRPr="00DF0D52">
              <w:rPr>
                <w:b/>
                <w:sz w:val="20"/>
                <w:szCs w:val="20"/>
              </w:rPr>
              <w:t>b</w:t>
            </w:r>
          </w:p>
        </w:tc>
        <w:tc>
          <w:tcPr>
            <w:tcW w:w="93" w:type="pct"/>
            <w:shd w:val="clear" w:color="auto" w:fill="auto"/>
            <w:vAlign w:val="center"/>
          </w:tcPr>
          <w:p w:rsidR="00DF0D52" w:rsidRPr="00DF0D52" w:rsidRDefault="00DF0D52" w:rsidP="008A7465">
            <w:pPr>
              <w:spacing w:after="0"/>
              <w:rPr>
                <w:b/>
                <w:sz w:val="20"/>
                <w:szCs w:val="20"/>
              </w:rPr>
            </w:pPr>
            <w:r w:rsidRPr="00DF0D52">
              <w:rPr>
                <w:b/>
                <w:sz w:val="20"/>
                <w:szCs w:val="20"/>
              </w:rPr>
              <w:t>c</w:t>
            </w:r>
          </w:p>
        </w:tc>
        <w:tc>
          <w:tcPr>
            <w:tcW w:w="97" w:type="pct"/>
            <w:shd w:val="clear" w:color="auto" w:fill="auto"/>
            <w:vAlign w:val="center"/>
          </w:tcPr>
          <w:p w:rsidR="00DF0D52" w:rsidRPr="00DF0D52" w:rsidRDefault="00DF0D52" w:rsidP="008A7465">
            <w:pPr>
              <w:spacing w:after="0"/>
              <w:rPr>
                <w:b/>
                <w:sz w:val="20"/>
                <w:szCs w:val="20"/>
              </w:rPr>
            </w:pPr>
          </w:p>
        </w:tc>
      </w:tr>
      <w:tr w:rsidR="00DF0D52" w:rsidRPr="00AC7E06" w:rsidTr="00DF0D52">
        <w:trPr>
          <w:cantSplit/>
        </w:trPr>
        <w:tc>
          <w:tcPr>
            <w:tcW w:w="780" w:type="pct"/>
            <w:shd w:val="clear" w:color="auto" w:fill="auto"/>
            <w:noWrap/>
            <w:vAlign w:val="center"/>
          </w:tcPr>
          <w:p w:rsidR="00DF0D52" w:rsidRPr="00AC7E06" w:rsidRDefault="00083ED9" w:rsidP="008A7465">
            <w:pPr>
              <w:spacing w:after="0"/>
              <w:rPr>
                <w:color w:val="000000"/>
                <w:sz w:val="20"/>
                <w:szCs w:val="20"/>
              </w:rPr>
            </w:pPr>
            <w:r w:rsidRPr="00AC7E06">
              <w:rPr>
                <w:color w:val="000000"/>
                <w:sz w:val="20"/>
                <w:szCs w:val="20"/>
              </w:rPr>
              <w:t>Poda</w:t>
            </w:r>
          </w:p>
        </w:tc>
        <w:tc>
          <w:tcPr>
            <w:tcW w:w="750" w:type="pct"/>
            <w:shd w:val="clear" w:color="auto" w:fill="auto"/>
            <w:noWrap/>
            <w:vAlign w:val="center"/>
          </w:tcPr>
          <w:p w:rsidR="00DF0D52" w:rsidRPr="00AC7E06" w:rsidRDefault="00DF0D52" w:rsidP="008A7465">
            <w:pPr>
              <w:spacing w:after="0"/>
              <w:jc w:val="right"/>
              <w:rPr>
                <w:color w:val="000000"/>
                <w:sz w:val="20"/>
                <w:szCs w:val="20"/>
              </w:rPr>
            </w:pPr>
            <w:r w:rsidRPr="00AC7E06">
              <w:rPr>
                <w:color w:val="000000"/>
                <w:sz w:val="20"/>
                <w:szCs w:val="20"/>
              </w:rPr>
              <w:t>difenoconazol</w:t>
            </w:r>
          </w:p>
        </w:tc>
        <w:tc>
          <w:tcPr>
            <w:tcW w:w="575" w:type="pct"/>
            <w:shd w:val="clear" w:color="auto" w:fill="auto"/>
            <w:noWrap/>
            <w:vAlign w:val="center"/>
          </w:tcPr>
          <w:p w:rsidR="00DF0D52" w:rsidRDefault="00DF0D52" w:rsidP="008A7465">
            <w:pPr>
              <w:spacing w:after="0"/>
              <w:jc w:val="right"/>
              <w:rPr>
                <w:color w:val="000000"/>
                <w:sz w:val="20"/>
                <w:szCs w:val="20"/>
              </w:rPr>
            </w:pPr>
            <w:r>
              <w:rPr>
                <w:color w:val="000000"/>
                <w:sz w:val="20"/>
                <w:szCs w:val="20"/>
              </w:rPr>
              <w:t>40,6</w:t>
            </w:r>
          </w:p>
        </w:tc>
        <w:tc>
          <w:tcPr>
            <w:tcW w:w="98" w:type="pct"/>
            <w:shd w:val="clear" w:color="auto" w:fill="auto"/>
            <w:noWrap/>
            <w:vAlign w:val="center"/>
          </w:tcPr>
          <w:p w:rsidR="00DF0D52" w:rsidRPr="00DF0D52" w:rsidRDefault="00DF0D52" w:rsidP="008A7465">
            <w:pPr>
              <w:spacing w:after="0"/>
              <w:rPr>
                <w:b/>
                <w:sz w:val="20"/>
                <w:szCs w:val="20"/>
              </w:rPr>
            </w:pPr>
            <w:r w:rsidRPr="00DF0D52">
              <w:rPr>
                <w:b/>
                <w:sz w:val="20"/>
                <w:szCs w:val="20"/>
              </w:rPr>
              <w:t>a</w:t>
            </w:r>
          </w:p>
        </w:tc>
        <w:tc>
          <w:tcPr>
            <w:tcW w:w="98" w:type="pct"/>
            <w:shd w:val="clear" w:color="auto" w:fill="auto"/>
            <w:noWrap/>
            <w:vAlign w:val="center"/>
          </w:tcPr>
          <w:p w:rsidR="00DF0D52" w:rsidRPr="00DF0D52" w:rsidRDefault="00DF0D52" w:rsidP="008A7465">
            <w:pPr>
              <w:spacing w:after="0"/>
              <w:rPr>
                <w:b/>
              </w:rPr>
            </w:pPr>
            <w:r w:rsidRPr="00DF0D52">
              <w:rPr>
                <w:b/>
                <w:sz w:val="20"/>
                <w:szCs w:val="20"/>
              </w:rPr>
              <w:t>b</w:t>
            </w:r>
          </w:p>
        </w:tc>
        <w:tc>
          <w:tcPr>
            <w:tcW w:w="93" w:type="pct"/>
            <w:shd w:val="clear" w:color="auto" w:fill="auto"/>
            <w:noWrap/>
            <w:vAlign w:val="center"/>
          </w:tcPr>
          <w:p w:rsidR="00DF0D52" w:rsidRPr="00DF0D52" w:rsidRDefault="00DF0D52" w:rsidP="008A7465">
            <w:pPr>
              <w:spacing w:after="0"/>
              <w:rPr>
                <w:b/>
              </w:rPr>
            </w:pPr>
            <w:r w:rsidRPr="00DF0D52">
              <w:rPr>
                <w:b/>
                <w:sz w:val="20"/>
                <w:szCs w:val="20"/>
              </w:rPr>
              <w:t>c</w:t>
            </w:r>
          </w:p>
        </w:tc>
        <w:tc>
          <w:tcPr>
            <w:tcW w:w="76" w:type="pct"/>
            <w:shd w:val="clear" w:color="auto" w:fill="auto"/>
            <w:noWrap/>
            <w:vAlign w:val="center"/>
          </w:tcPr>
          <w:p w:rsidR="00DF0D52" w:rsidRPr="00AC7E06" w:rsidRDefault="00DF0D52" w:rsidP="008A7465">
            <w:pPr>
              <w:spacing w:after="0"/>
              <w:rPr>
                <w:sz w:val="20"/>
                <w:szCs w:val="20"/>
              </w:rPr>
            </w:pPr>
            <w:r w:rsidRPr="00AC7E06">
              <w:rPr>
                <w:sz w:val="20"/>
                <w:szCs w:val="20"/>
              </w:rPr>
              <w:t> </w:t>
            </w:r>
          </w:p>
        </w:tc>
        <w:tc>
          <w:tcPr>
            <w:tcW w:w="819" w:type="pct"/>
            <w:shd w:val="clear" w:color="auto" w:fill="auto"/>
            <w:vAlign w:val="center"/>
          </w:tcPr>
          <w:p w:rsidR="00DF0D52" w:rsidRPr="00AC7E06" w:rsidRDefault="00083ED9" w:rsidP="008A7465">
            <w:pPr>
              <w:spacing w:after="0"/>
              <w:rPr>
                <w:sz w:val="20"/>
                <w:szCs w:val="20"/>
              </w:rPr>
            </w:pPr>
            <w:r w:rsidRPr="00AC7E06">
              <w:rPr>
                <w:color w:val="000000"/>
                <w:sz w:val="20"/>
                <w:szCs w:val="20"/>
              </w:rPr>
              <w:t>Poda</w:t>
            </w:r>
            <w:r w:rsidRPr="00AC7E06">
              <w:rPr>
                <w:sz w:val="20"/>
                <w:szCs w:val="20"/>
              </w:rPr>
              <w:t xml:space="preserve"> </w:t>
            </w:r>
            <w:r w:rsidR="00DF0D52" w:rsidRPr="00AC7E06">
              <w:rPr>
                <w:sz w:val="20"/>
                <w:szCs w:val="20"/>
              </w:rPr>
              <w:t>+</w:t>
            </w:r>
            <w:r w:rsidR="00DF0D52" w:rsidRPr="004570EB">
              <w:rPr>
                <w:sz w:val="20"/>
                <w:szCs w:val="20"/>
              </w:rPr>
              <w:t xml:space="preserve"> </w:t>
            </w:r>
            <w:r w:rsidR="00DF0D52">
              <w:rPr>
                <w:sz w:val="20"/>
                <w:szCs w:val="20"/>
              </w:rPr>
              <w:t>e</w:t>
            </w:r>
            <w:r w:rsidR="00DF0D52" w:rsidRPr="004570EB">
              <w:rPr>
                <w:sz w:val="20"/>
                <w:szCs w:val="20"/>
              </w:rPr>
              <w:t xml:space="preserve">st. fenol. </w:t>
            </w:r>
            <w:r w:rsidR="00B46DCB">
              <w:rPr>
                <w:sz w:val="20"/>
                <w:szCs w:val="20"/>
              </w:rPr>
              <w:t>D</w:t>
            </w:r>
            <w:r>
              <w:rPr>
                <w:sz w:val="20"/>
                <w:szCs w:val="20"/>
              </w:rPr>
              <w:t>/</w:t>
            </w:r>
            <w:r w:rsidR="00B46DCB">
              <w:rPr>
                <w:sz w:val="20"/>
                <w:szCs w:val="20"/>
              </w:rPr>
              <w:t>E</w:t>
            </w:r>
          </w:p>
        </w:tc>
        <w:tc>
          <w:tcPr>
            <w:tcW w:w="750" w:type="pct"/>
            <w:shd w:val="clear" w:color="auto" w:fill="auto"/>
            <w:vAlign w:val="center"/>
          </w:tcPr>
          <w:p w:rsidR="00DF0D52" w:rsidRPr="00AC7E06" w:rsidRDefault="00DF0D52" w:rsidP="008A7465">
            <w:pPr>
              <w:spacing w:after="0"/>
              <w:rPr>
                <w:sz w:val="20"/>
                <w:szCs w:val="20"/>
              </w:rPr>
            </w:pPr>
            <w:r w:rsidRPr="00AC7E06">
              <w:rPr>
                <w:color w:val="000000"/>
                <w:sz w:val="20"/>
                <w:szCs w:val="20"/>
              </w:rPr>
              <w:t>tebuconazol</w:t>
            </w:r>
          </w:p>
        </w:tc>
        <w:tc>
          <w:tcPr>
            <w:tcW w:w="575" w:type="pct"/>
            <w:shd w:val="clear" w:color="auto" w:fill="auto"/>
            <w:vAlign w:val="center"/>
          </w:tcPr>
          <w:p w:rsidR="00DF0D52" w:rsidRPr="00AC7E06" w:rsidRDefault="00DF0D52" w:rsidP="008A7465">
            <w:pPr>
              <w:spacing w:after="0"/>
              <w:jc w:val="right"/>
              <w:rPr>
                <w:sz w:val="20"/>
                <w:szCs w:val="20"/>
              </w:rPr>
            </w:pPr>
            <w:r w:rsidRPr="00AC7E06">
              <w:rPr>
                <w:sz w:val="20"/>
                <w:szCs w:val="20"/>
              </w:rPr>
              <w:t>24,7</w:t>
            </w:r>
          </w:p>
        </w:tc>
        <w:tc>
          <w:tcPr>
            <w:tcW w:w="98" w:type="pct"/>
            <w:shd w:val="clear" w:color="auto" w:fill="auto"/>
            <w:vAlign w:val="center"/>
          </w:tcPr>
          <w:p w:rsidR="00DF0D52" w:rsidRPr="00DF0D52" w:rsidRDefault="00DF0D52" w:rsidP="008A7465">
            <w:pPr>
              <w:spacing w:after="0"/>
              <w:rPr>
                <w:b/>
                <w:sz w:val="20"/>
                <w:szCs w:val="20"/>
              </w:rPr>
            </w:pPr>
            <w:r w:rsidRPr="00DF0D52">
              <w:rPr>
                <w:b/>
                <w:sz w:val="20"/>
                <w:szCs w:val="20"/>
              </w:rPr>
              <w:t>a</w:t>
            </w:r>
          </w:p>
        </w:tc>
        <w:tc>
          <w:tcPr>
            <w:tcW w:w="98" w:type="pct"/>
            <w:shd w:val="clear" w:color="auto" w:fill="auto"/>
            <w:vAlign w:val="center"/>
          </w:tcPr>
          <w:p w:rsidR="00DF0D52" w:rsidRPr="00DF0D52" w:rsidRDefault="00DF0D52" w:rsidP="008A7465">
            <w:pPr>
              <w:spacing w:after="0"/>
              <w:rPr>
                <w:b/>
                <w:sz w:val="20"/>
                <w:szCs w:val="20"/>
              </w:rPr>
            </w:pPr>
            <w:r w:rsidRPr="00DF0D52">
              <w:rPr>
                <w:b/>
                <w:sz w:val="20"/>
                <w:szCs w:val="20"/>
              </w:rPr>
              <w:t>b</w:t>
            </w:r>
          </w:p>
        </w:tc>
        <w:tc>
          <w:tcPr>
            <w:tcW w:w="93" w:type="pct"/>
            <w:shd w:val="clear" w:color="auto" w:fill="auto"/>
            <w:vAlign w:val="center"/>
          </w:tcPr>
          <w:p w:rsidR="00DF0D52" w:rsidRPr="00DF0D52" w:rsidRDefault="00DF0D52" w:rsidP="008A7465">
            <w:pPr>
              <w:spacing w:after="0"/>
              <w:rPr>
                <w:b/>
                <w:sz w:val="20"/>
                <w:szCs w:val="20"/>
              </w:rPr>
            </w:pPr>
            <w:r w:rsidRPr="00DF0D52">
              <w:rPr>
                <w:b/>
                <w:sz w:val="20"/>
                <w:szCs w:val="20"/>
              </w:rPr>
              <w:t>c</w:t>
            </w:r>
          </w:p>
        </w:tc>
        <w:tc>
          <w:tcPr>
            <w:tcW w:w="97" w:type="pct"/>
            <w:shd w:val="clear" w:color="auto" w:fill="auto"/>
            <w:vAlign w:val="center"/>
          </w:tcPr>
          <w:p w:rsidR="00DF0D52" w:rsidRPr="00DF0D52" w:rsidRDefault="00DF0D52" w:rsidP="008A7465">
            <w:pPr>
              <w:spacing w:after="0"/>
              <w:rPr>
                <w:b/>
                <w:sz w:val="20"/>
                <w:szCs w:val="20"/>
              </w:rPr>
            </w:pPr>
          </w:p>
        </w:tc>
      </w:tr>
      <w:tr w:rsidR="00DF0D52" w:rsidRPr="00AC7E06" w:rsidTr="00DF0D52">
        <w:trPr>
          <w:cantSplit/>
        </w:trPr>
        <w:tc>
          <w:tcPr>
            <w:tcW w:w="780" w:type="pct"/>
            <w:shd w:val="clear" w:color="auto" w:fill="auto"/>
            <w:noWrap/>
            <w:vAlign w:val="center"/>
          </w:tcPr>
          <w:p w:rsidR="00DF0D52" w:rsidRPr="00AC7E06" w:rsidRDefault="00083ED9" w:rsidP="008A7465">
            <w:pPr>
              <w:spacing w:after="0"/>
              <w:rPr>
                <w:color w:val="000000"/>
                <w:sz w:val="20"/>
                <w:szCs w:val="20"/>
              </w:rPr>
            </w:pPr>
            <w:r w:rsidRPr="00AC7E06">
              <w:rPr>
                <w:color w:val="000000"/>
                <w:sz w:val="20"/>
                <w:szCs w:val="20"/>
              </w:rPr>
              <w:t>Poda</w:t>
            </w:r>
          </w:p>
        </w:tc>
        <w:tc>
          <w:tcPr>
            <w:tcW w:w="750" w:type="pct"/>
            <w:shd w:val="clear" w:color="auto" w:fill="auto"/>
            <w:noWrap/>
            <w:vAlign w:val="center"/>
          </w:tcPr>
          <w:p w:rsidR="00DF0D52" w:rsidRPr="00AC7E06" w:rsidRDefault="00DF0D52" w:rsidP="008A7465">
            <w:pPr>
              <w:spacing w:after="0"/>
              <w:jc w:val="right"/>
              <w:rPr>
                <w:color w:val="000000"/>
                <w:sz w:val="20"/>
                <w:szCs w:val="20"/>
              </w:rPr>
            </w:pPr>
            <w:r w:rsidRPr="00AC7E06">
              <w:rPr>
                <w:color w:val="000000"/>
                <w:sz w:val="20"/>
                <w:szCs w:val="20"/>
              </w:rPr>
              <w:t>oxicloreto de cobre</w:t>
            </w:r>
          </w:p>
        </w:tc>
        <w:tc>
          <w:tcPr>
            <w:tcW w:w="575" w:type="pct"/>
            <w:shd w:val="clear" w:color="auto" w:fill="auto"/>
            <w:noWrap/>
            <w:vAlign w:val="center"/>
          </w:tcPr>
          <w:p w:rsidR="00DF0D52" w:rsidRDefault="00DF0D52" w:rsidP="008A7465">
            <w:pPr>
              <w:spacing w:after="0"/>
              <w:jc w:val="right"/>
              <w:rPr>
                <w:color w:val="000000"/>
                <w:sz w:val="20"/>
                <w:szCs w:val="20"/>
              </w:rPr>
            </w:pPr>
            <w:r>
              <w:rPr>
                <w:color w:val="000000"/>
                <w:sz w:val="20"/>
                <w:szCs w:val="20"/>
              </w:rPr>
              <w:t>42,0</w:t>
            </w:r>
          </w:p>
        </w:tc>
        <w:tc>
          <w:tcPr>
            <w:tcW w:w="98" w:type="pct"/>
            <w:shd w:val="clear" w:color="auto" w:fill="auto"/>
            <w:noWrap/>
            <w:vAlign w:val="center"/>
          </w:tcPr>
          <w:p w:rsidR="00DF0D52" w:rsidRPr="00DF0D52" w:rsidRDefault="00DF0D52" w:rsidP="008A7465">
            <w:pPr>
              <w:spacing w:after="0"/>
              <w:rPr>
                <w:b/>
                <w:sz w:val="20"/>
                <w:szCs w:val="20"/>
              </w:rPr>
            </w:pPr>
            <w:r w:rsidRPr="00DF0D52">
              <w:rPr>
                <w:b/>
                <w:sz w:val="20"/>
                <w:szCs w:val="20"/>
              </w:rPr>
              <w:t>a</w:t>
            </w:r>
          </w:p>
        </w:tc>
        <w:tc>
          <w:tcPr>
            <w:tcW w:w="98" w:type="pct"/>
            <w:shd w:val="clear" w:color="auto" w:fill="auto"/>
            <w:noWrap/>
            <w:vAlign w:val="center"/>
          </w:tcPr>
          <w:p w:rsidR="00DF0D52" w:rsidRPr="00DF0D52" w:rsidRDefault="00DF0D52" w:rsidP="008A7465">
            <w:pPr>
              <w:spacing w:after="0"/>
              <w:rPr>
                <w:b/>
              </w:rPr>
            </w:pPr>
            <w:r w:rsidRPr="00DF0D52">
              <w:rPr>
                <w:b/>
                <w:sz w:val="20"/>
                <w:szCs w:val="20"/>
              </w:rPr>
              <w:t>b</w:t>
            </w:r>
          </w:p>
        </w:tc>
        <w:tc>
          <w:tcPr>
            <w:tcW w:w="93" w:type="pct"/>
            <w:shd w:val="clear" w:color="auto" w:fill="auto"/>
            <w:noWrap/>
            <w:vAlign w:val="center"/>
          </w:tcPr>
          <w:p w:rsidR="00DF0D52" w:rsidRPr="00DF0D52" w:rsidRDefault="00DF0D52" w:rsidP="008A7465">
            <w:pPr>
              <w:spacing w:after="0"/>
              <w:rPr>
                <w:b/>
              </w:rPr>
            </w:pPr>
            <w:r w:rsidRPr="00DF0D52">
              <w:rPr>
                <w:b/>
                <w:sz w:val="20"/>
                <w:szCs w:val="20"/>
              </w:rPr>
              <w:t>c</w:t>
            </w:r>
          </w:p>
        </w:tc>
        <w:tc>
          <w:tcPr>
            <w:tcW w:w="76" w:type="pct"/>
            <w:shd w:val="clear" w:color="auto" w:fill="auto"/>
            <w:noWrap/>
            <w:vAlign w:val="center"/>
          </w:tcPr>
          <w:p w:rsidR="00DF0D52" w:rsidRPr="00AC7E06" w:rsidRDefault="00DF0D52" w:rsidP="008A7465">
            <w:pPr>
              <w:spacing w:after="0"/>
              <w:rPr>
                <w:sz w:val="20"/>
                <w:szCs w:val="20"/>
              </w:rPr>
            </w:pPr>
            <w:r w:rsidRPr="00AC7E06">
              <w:rPr>
                <w:sz w:val="20"/>
                <w:szCs w:val="20"/>
              </w:rPr>
              <w:t> </w:t>
            </w:r>
          </w:p>
        </w:tc>
        <w:tc>
          <w:tcPr>
            <w:tcW w:w="819" w:type="pct"/>
            <w:shd w:val="clear" w:color="auto" w:fill="auto"/>
            <w:vAlign w:val="center"/>
          </w:tcPr>
          <w:p w:rsidR="00DF0D52" w:rsidRPr="00AC7E06" w:rsidRDefault="00DF0D52" w:rsidP="008A7465">
            <w:pPr>
              <w:spacing w:after="0"/>
              <w:rPr>
                <w:sz w:val="20"/>
                <w:szCs w:val="20"/>
              </w:rPr>
            </w:pPr>
            <w:r w:rsidRPr="004570EB">
              <w:rPr>
                <w:sz w:val="20"/>
                <w:szCs w:val="20"/>
              </w:rPr>
              <w:t xml:space="preserve">Est. fenol. </w:t>
            </w:r>
            <w:r w:rsidR="00B46DCB">
              <w:rPr>
                <w:sz w:val="20"/>
                <w:szCs w:val="20"/>
              </w:rPr>
              <w:t>D</w:t>
            </w:r>
            <w:r w:rsidR="00083ED9">
              <w:rPr>
                <w:sz w:val="20"/>
                <w:szCs w:val="20"/>
              </w:rPr>
              <w:t>/</w:t>
            </w:r>
            <w:r w:rsidR="00B46DCB">
              <w:rPr>
                <w:sz w:val="20"/>
                <w:szCs w:val="20"/>
              </w:rPr>
              <w:t>E</w:t>
            </w:r>
          </w:p>
        </w:tc>
        <w:tc>
          <w:tcPr>
            <w:tcW w:w="750" w:type="pct"/>
            <w:shd w:val="clear" w:color="auto" w:fill="auto"/>
            <w:vAlign w:val="center"/>
          </w:tcPr>
          <w:p w:rsidR="00DF0D52" w:rsidRPr="00AC7E06" w:rsidRDefault="00DF0D52" w:rsidP="008A7465">
            <w:pPr>
              <w:spacing w:after="0"/>
              <w:rPr>
                <w:sz w:val="20"/>
                <w:szCs w:val="20"/>
              </w:rPr>
            </w:pPr>
            <w:r w:rsidRPr="00AC7E06">
              <w:rPr>
                <w:color w:val="000000"/>
                <w:sz w:val="20"/>
                <w:szCs w:val="20"/>
              </w:rPr>
              <w:t>difenoconazol</w:t>
            </w:r>
          </w:p>
        </w:tc>
        <w:tc>
          <w:tcPr>
            <w:tcW w:w="575" w:type="pct"/>
            <w:shd w:val="clear" w:color="auto" w:fill="auto"/>
            <w:vAlign w:val="center"/>
          </w:tcPr>
          <w:p w:rsidR="00DF0D52" w:rsidRPr="00AC7E06" w:rsidRDefault="00DF0D52" w:rsidP="008A7465">
            <w:pPr>
              <w:spacing w:after="0"/>
              <w:jc w:val="right"/>
              <w:rPr>
                <w:sz w:val="20"/>
                <w:szCs w:val="20"/>
              </w:rPr>
            </w:pPr>
            <w:r w:rsidRPr="00AC7E06">
              <w:rPr>
                <w:sz w:val="20"/>
                <w:szCs w:val="20"/>
              </w:rPr>
              <w:t>28,0</w:t>
            </w:r>
          </w:p>
        </w:tc>
        <w:tc>
          <w:tcPr>
            <w:tcW w:w="98" w:type="pct"/>
            <w:shd w:val="clear" w:color="auto" w:fill="auto"/>
            <w:vAlign w:val="center"/>
          </w:tcPr>
          <w:p w:rsidR="00DF0D52" w:rsidRPr="00DF0D52" w:rsidRDefault="00DF0D52" w:rsidP="008A7465">
            <w:pPr>
              <w:spacing w:after="0"/>
              <w:rPr>
                <w:b/>
                <w:sz w:val="20"/>
                <w:szCs w:val="20"/>
              </w:rPr>
            </w:pPr>
            <w:r w:rsidRPr="00DF0D52">
              <w:rPr>
                <w:b/>
                <w:sz w:val="20"/>
                <w:szCs w:val="20"/>
              </w:rPr>
              <w:t>a</w:t>
            </w:r>
          </w:p>
        </w:tc>
        <w:tc>
          <w:tcPr>
            <w:tcW w:w="98" w:type="pct"/>
            <w:shd w:val="clear" w:color="auto" w:fill="auto"/>
            <w:vAlign w:val="center"/>
          </w:tcPr>
          <w:p w:rsidR="00DF0D52" w:rsidRPr="00DF0D52" w:rsidRDefault="00DF0D52" w:rsidP="008A7465">
            <w:pPr>
              <w:spacing w:after="0"/>
              <w:rPr>
                <w:b/>
                <w:sz w:val="20"/>
                <w:szCs w:val="20"/>
              </w:rPr>
            </w:pPr>
            <w:r w:rsidRPr="00DF0D52">
              <w:rPr>
                <w:b/>
                <w:sz w:val="20"/>
                <w:szCs w:val="20"/>
              </w:rPr>
              <w:t>b</w:t>
            </w:r>
          </w:p>
        </w:tc>
        <w:tc>
          <w:tcPr>
            <w:tcW w:w="93" w:type="pct"/>
            <w:shd w:val="clear" w:color="auto" w:fill="auto"/>
            <w:vAlign w:val="center"/>
          </w:tcPr>
          <w:p w:rsidR="00DF0D52" w:rsidRPr="00DF0D52" w:rsidRDefault="00DF0D52" w:rsidP="008A7465">
            <w:pPr>
              <w:spacing w:after="0"/>
              <w:rPr>
                <w:b/>
                <w:sz w:val="20"/>
                <w:szCs w:val="20"/>
              </w:rPr>
            </w:pPr>
            <w:r w:rsidRPr="00DF0D52">
              <w:rPr>
                <w:b/>
                <w:sz w:val="20"/>
                <w:szCs w:val="20"/>
              </w:rPr>
              <w:t>c</w:t>
            </w:r>
          </w:p>
        </w:tc>
        <w:tc>
          <w:tcPr>
            <w:tcW w:w="97" w:type="pct"/>
            <w:shd w:val="clear" w:color="auto" w:fill="auto"/>
            <w:vAlign w:val="center"/>
          </w:tcPr>
          <w:p w:rsidR="00DF0D52" w:rsidRPr="00DF0D52" w:rsidRDefault="00DF0D52" w:rsidP="008A7465">
            <w:pPr>
              <w:spacing w:after="0"/>
              <w:rPr>
                <w:b/>
                <w:sz w:val="20"/>
                <w:szCs w:val="20"/>
              </w:rPr>
            </w:pPr>
          </w:p>
        </w:tc>
      </w:tr>
      <w:tr w:rsidR="00DF0D52" w:rsidRPr="00AC7E06" w:rsidTr="00DF0D52">
        <w:trPr>
          <w:cantSplit/>
        </w:trPr>
        <w:tc>
          <w:tcPr>
            <w:tcW w:w="780" w:type="pct"/>
            <w:shd w:val="clear" w:color="auto" w:fill="auto"/>
            <w:noWrap/>
            <w:vAlign w:val="center"/>
          </w:tcPr>
          <w:p w:rsidR="00DF0D52" w:rsidRPr="00AC7E06" w:rsidRDefault="00083ED9" w:rsidP="008A7465">
            <w:pPr>
              <w:spacing w:after="0"/>
              <w:rPr>
                <w:color w:val="000000"/>
                <w:sz w:val="20"/>
                <w:szCs w:val="20"/>
              </w:rPr>
            </w:pPr>
            <w:r w:rsidRPr="00AC7E06">
              <w:rPr>
                <w:color w:val="000000"/>
                <w:sz w:val="20"/>
                <w:szCs w:val="20"/>
              </w:rPr>
              <w:t>Poda</w:t>
            </w:r>
          </w:p>
        </w:tc>
        <w:tc>
          <w:tcPr>
            <w:tcW w:w="750" w:type="pct"/>
            <w:shd w:val="clear" w:color="auto" w:fill="auto"/>
            <w:noWrap/>
            <w:vAlign w:val="center"/>
          </w:tcPr>
          <w:p w:rsidR="00DF0D52" w:rsidRPr="00AC7E06" w:rsidRDefault="00DF0D52" w:rsidP="008A7465">
            <w:pPr>
              <w:spacing w:after="0"/>
              <w:jc w:val="right"/>
              <w:rPr>
                <w:color w:val="000000"/>
                <w:sz w:val="20"/>
                <w:szCs w:val="20"/>
              </w:rPr>
            </w:pPr>
            <w:r w:rsidRPr="00AC7E06">
              <w:rPr>
                <w:color w:val="000000"/>
                <w:sz w:val="20"/>
                <w:szCs w:val="20"/>
              </w:rPr>
              <w:t>tebuconazol</w:t>
            </w:r>
          </w:p>
        </w:tc>
        <w:tc>
          <w:tcPr>
            <w:tcW w:w="575" w:type="pct"/>
            <w:shd w:val="clear" w:color="auto" w:fill="auto"/>
            <w:noWrap/>
            <w:vAlign w:val="center"/>
          </w:tcPr>
          <w:p w:rsidR="00DF0D52" w:rsidRDefault="00DF0D52" w:rsidP="008A7465">
            <w:pPr>
              <w:spacing w:after="0"/>
              <w:jc w:val="right"/>
              <w:rPr>
                <w:color w:val="000000"/>
                <w:sz w:val="20"/>
                <w:szCs w:val="20"/>
              </w:rPr>
            </w:pPr>
            <w:r>
              <w:rPr>
                <w:color w:val="000000"/>
                <w:sz w:val="20"/>
                <w:szCs w:val="20"/>
              </w:rPr>
              <w:t>42,5</w:t>
            </w:r>
          </w:p>
        </w:tc>
        <w:tc>
          <w:tcPr>
            <w:tcW w:w="98" w:type="pct"/>
            <w:shd w:val="clear" w:color="auto" w:fill="auto"/>
            <w:noWrap/>
            <w:vAlign w:val="center"/>
          </w:tcPr>
          <w:p w:rsidR="00DF0D52" w:rsidRPr="00DF0D52" w:rsidRDefault="00DF0D52" w:rsidP="008A7465">
            <w:pPr>
              <w:spacing w:after="0"/>
              <w:rPr>
                <w:b/>
                <w:sz w:val="20"/>
                <w:szCs w:val="20"/>
              </w:rPr>
            </w:pPr>
            <w:r w:rsidRPr="00DF0D52">
              <w:rPr>
                <w:b/>
                <w:sz w:val="20"/>
                <w:szCs w:val="20"/>
              </w:rPr>
              <w:t>a</w:t>
            </w:r>
          </w:p>
        </w:tc>
        <w:tc>
          <w:tcPr>
            <w:tcW w:w="98" w:type="pct"/>
            <w:shd w:val="clear" w:color="auto" w:fill="auto"/>
            <w:noWrap/>
            <w:vAlign w:val="center"/>
          </w:tcPr>
          <w:p w:rsidR="00DF0D52" w:rsidRPr="00DF0D52" w:rsidRDefault="00DF0D52" w:rsidP="008A7465">
            <w:pPr>
              <w:spacing w:after="0"/>
              <w:rPr>
                <w:b/>
              </w:rPr>
            </w:pPr>
            <w:r w:rsidRPr="00DF0D52">
              <w:rPr>
                <w:b/>
                <w:sz w:val="20"/>
                <w:szCs w:val="20"/>
              </w:rPr>
              <w:t>b</w:t>
            </w:r>
          </w:p>
        </w:tc>
        <w:tc>
          <w:tcPr>
            <w:tcW w:w="93" w:type="pct"/>
            <w:shd w:val="clear" w:color="auto" w:fill="auto"/>
            <w:noWrap/>
            <w:vAlign w:val="center"/>
          </w:tcPr>
          <w:p w:rsidR="00DF0D52" w:rsidRPr="00DF0D52" w:rsidRDefault="00DF0D52" w:rsidP="008A7465">
            <w:pPr>
              <w:spacing w:after="0"/>
              <w:rPr>
                <w:b/>
              </w:rPr>
            </w:pPr>
            <w:r w:rsidRPr="00DF0D52">
              <w:rPr>
                <w:b/>
                <w:sz w:val="20"/>
                <w:szCs w:val="20"/>
              </w:rPr>
              <w:t>c</w:t>
            </w:r>
          </w:p>
        </w:tc>
        <w:tc>
          <w:tcPr>
            <w:tcW w:w="76" w:type="pct"/>
            <w:shd w:val="clear" w:color="auto" w:fill="auto"/>
            <w:noWrap/>
            <w:vAlign w:val="center"/>
          </w:tcPr>
          <w:p w:rsidR="00DF0D52" w:rsidRPr="00AC7E06" w:rsidRDefault="00DF0D52" w:rsidP="008A7465">
            <w:pPr>
              <w:spacing w:after="0"/>
              <w:rPr>
                <w:sz w:val="20"/>
                <w:szCs w:val="20"/>
              </w:rPr>
            </w:pPr>
          </w:p>
        </w:tc>
        <w:tc>
          <w:tcPr>
            <w:tcW w:w="819" w:type="pct"/>
            <w:shd w:val="clear" w:color="auto" w:fill="auto"/>
            <w:vAlign w:val="center"/>
          </w:tcPr>
          <w:p w:rsidR="00DF0D52" w:rsidRPr="00AC7E06" w:rsidRDefault="00083ED9" w:rsidP="008A7465">
            <w:pPr>
              <w:spacing w:after="0"/>
              <w:rPr>
                <w:sz w:val="20"/>
                <w:szCs w:val="20"/>
              </w:rPr>
            </w:pPr>
            <w:r w:rsidRPr="00AC7E06">
              <w:rPr>
                <w:color w:val="000000"/>
                <w:sz w:val="20"/>
                <w:szCs w:val="20"/>
              </w:rPr>
              <w:t>Poda</w:t>
            </w:r>
            <w:r w:rsidRPr="00AC7E06">
              <w:rPr>
                <w:sz w:val="20"/>
                <w:szCs w:val="20"/>
              </w:rPr>
              <w:t xml:space="preserve"> </w:t>
            </w:r>
            <w:r w:rsidR="00DF0D52" w:rsidRPr="00AC7E06">
              <w:rPr>
                <w:sz w:val="20"/>
                <w:szCs w:val="20"/>
              </w:rPr>
              <w:t>+</w:t>
            </w:r>
            <w:r w:rsidR="00DF0D52" w:rsidRPr="004570EB">
              <w:rPr>
                <w:sz w:val="20"/>
                <w:szCs w:val="20"/>
              </w:rPr>
              <w:t xml:space="preserve"> </w:t>
            </w:r>
            <w:r w:rsidR="00DF0D52">
              <w:rPr>
                <w:sz w:val="20"/>
                <w:szCs w:val="20"/>
              </w:rPr>
              <w:t>e</w:t>
            </w:r>
            <w:r w:rsidR="00DF0D52" w:rsidRPr="004570EB">
              <w:rPr>
                <w:sz w:val="20"/>
                <w:szCs w:val="20"/>
              </w:rPr>
              <w:t xml:space="preserve">st. fenol. </w:t>
            </w:r>
            <w:r w:rsidR="00B46DCB">
              <w:rPr>
                <w:sz w:val="20"/>
                <w:szCs w:val="20"/>
              </w:rPr>
              <w:t>D</w:t>
            </w:r>
            <w:r>
              <w:rPr>
                <w:sz w:val="20"/>
                <w:szCs w:val="20"/>
              </w:rPr>
              <w:t>/</w:t>
            </w:r>
            <w:r w:rsidR="00B46DCB">
              <w:rPr>
                <w:sz w:val="20"/>
                <w:szCs w:val="20"/>
              </w:rPr>
              <w:t>E</w:t>
            </w:r>
          </w:p>
        </w:tc>
        <w:tc>
          <w:tcPr>
            <w:tcW w:w="750" w:type="pct"/>
            <w:shd w:val="clear" w:color="auto" w:fill="auto"/>
            <w:vAlign w:val="center"/>
          </w:tcPr>
          <w:p w:rsidR="00DF0D52" w:rsidRPr="00AC7E06" w:rsidRDefault="00DF0D52" w:rsidP="008A7465">
            <w:pPr>
              <w:spacing w:after="0"/>
              <w:rPr>
                <w:sz w:val="20"/>
                <w:szCs w:val="20"/>
              </w:rPr>
            </w:pPr>
            <w:r w:rsidRPr="00AC7E06">
              <w:rPr>
                <w:color w:val="000000"/>
                <w:sz w:val="20"/>
                <w:szCs w:val="20"/>
              </w:rPr>
              <w:t>oxicloreto de cobre</w:t>
            </w:r>
          </w:p>
        </w:tc>
        <w:tc>
          <w:tcPr>
            <w:tcW w:w="575" w:type="pct"/>
            <w:shd w:val="clear" w:color="auto" w:fill="auto"/>
            <w:vAlign w:val="center"/>
          </w:tcPr>
          <w:p w:rsidR="00DF0D52" w:rsidRPr="00AC7E06" w:rsidRDefault="00DF0D52" w:rsidP="008A7465">
            <w:pPr>
              <w:spacing w:after="0"/>
              <w:jc w:val="right"/>
              <w:rPr>
                <w:sz w:val="20"/>
                <w:szCs w:val="20"/>
              </w:rPr>
            </w:pPr>
            <w:r w:rsidRPr="00AC7E06">
              <w:rPr>
                <w:sz w:val="20"/>
                <w:szCs w:val="20"/>
              </w:rPr>
              <w:t>30,2</w:t>
            </w:r>
          </w:p>
        </w:tc>
        <w:tc>
          <w:tcPr>
            <w:tcW w:w="98" w:type="pct"/>
            <w:shd w:val="clear" w:color="auto" w:fill="auto"/>
            <w:vAlign w:val="center"/>
          </w:tcPr>
          <w:p w:rsidR="00DF0D52" w:rsidRPr="00DF0D52" w:rsidRDefault="00DF0D52" w:rsidP="008A7465">
            <w:pPr>
              <w:spacing w:after="0"/>
              <w:rPr>
                <w:b/>
                <w:sz w:val="20"/>
                <w:szCs w:val="20"/>
              </w:rPr>
            </w:pPr>
            <w:r w:rsidRPr="00DF0D52">
              <w:rPr>
                <w:b/>
                <w:sz w:val="20"/>
                <w:szCs w:val="20"/>
              </w:rPr>
              <w:t>a</w:t>
            </w:r>
          </w:p>
        </w:tc>
        <w:tc>
          <w:tcPr>
            <w:tcW w:w="98" w:type="pct"/>
            <w:shd w:val="clear" w:color="auto" w:fill="auto"/>
            <w:vAlign w:val="center"/>
          </w:tcPr>
          <w:p w:rsidR="00DF0D52" w:rsidRPr="00DF0D52" w:rsidRDefault="00DF0D52" w:rsidP="008A7465">
            <w:pPr>
              <w:spacing w:after="0"/>
              <w:rPr>
                <w:b/>
                <w:sz w:val="20"/>
                <w:szCs w:val="20"/>
              </w:rPr>
            </w:pPr>
            <w:r w:rsidRPr="00DF0D52">
              <w:rPr>
                <w:b/>
                <w:sz w:val="20"/>
                <w:szCs w:val="20"/>
              </w:rPr>
              <w:t>b</w:t>
            </w:r>
          </w:p>
        </w:tc>
        <w:tc>
          <w:tcPr>
            <w:tcW w:w="93" w:type="pct"/>
            <w:shd w:val="clear" w:color="auto" w:fill="auto"/>
            <w:vAlign w:val="center"/>
          </w:tcPr>
          <w:p w:rsidR="00DF0D52" w:rsidRPr="00DF0D52" w:rsidRDefault="00DF0D52" w:rsidP="008A7465">
            <w:pPr>
              <w:spacing w:after="0"/>
              <w:rPr>
                <w:b/>
                <w:sz w:val="20"/>
                <w:szCs w:val="20"/>
              </w:rPr>
            </w:pPr>
            <w:r w:rsidRPr="00DF0D52">
              <w:rPr>
                <w:b/>
                <w:sz w:val="20"/>
                <w:szCs w:val="20"/>
              </w:rPr>
              <w:t>c</w:t>
            </w:r>
          </w:p>
        </w:tc>
        <w:tc>
          <w:tcPr>
            <w:tcW w:w="97" w:type="pct"/>
            <w:shd w:val="clear" w:color="auto" w:fill="auto"/>
            <w:vAlign w:val="center"/>
          </w:tcPr>
          <w:p w:rsidR="00DF0D52" w:rsidRPr="00DF0D52" w:rsidRDefault="00DF0D52" w:rsidP="008A7465">
            <w:pPr>
              <w:spacing w:after="0"/>
              <w:rPr>
                <w:b/>
                <w:sz w:val="20"/>
                <w:szCs w:val="20"/>
              </w:rPr>
            </w:pPr>
            <w:r w:rsidRPr="00DF0D52">
              <w:rPr>
                <w:b/>
                <w:sz w:val="20"/>
                <w:szCs w:val="20"/>
              </w:rPr>
              <w:t>d</w:t>
            </w:r>
          </w:p>
        </w:tc>
      </w:tr>
      <w:tr w:rsidR="00DF0D52" w:rsidRPr="00AC7E06" w:rsidTr="00DF0D52">
        <w:trPr>
          <w:cantSplit/>
        </w:trPr>
        <w:tc>
          <w:tcPr>
            <w:tcW w:w="780" w:type="pct"/>
            <w:shd w:val="clear" w:color="auto" w:fill="auto"/>
            <w:noWrap/>
            <w:vAlign w:val="center"/>
          </w:tcPr>
          <w:p w:rsidR="00DF0D52" w:rsidRPr="00AC7E06" w:rsidRDefault="00DF0D52" w:rsidP="008A7465">
            <w:pPr>
              <w:spacing w:after="0"/>
              <w:rPr>
                <w:color w:val="000000"/>
                <w:sz w:val="20"/>
                <w:szCs w:val="20"/>
              </w:rPr>
            </w:pPr>
            <w:r w:rsidRPr="00AC7E06">
              <w:rPr>
                <w:color w:val="000000"/>
                <w:sz w:val="20"/>
                <w:szCs w:val="20"/>
              </w:rPr>
              <w:t>Poda+</w:t>
            </w:r>
            <w:r w:rsidRPr="004570EB">
              <w:rPr>
                <w:sz w:val="20"/>
                <w:szCs w:val="20"/>
              </w:rPr>
              <w:t xml:space="preserve"> </w:t>
            </w:r>
            <w:r>
              <w:rPr>
                <w:sz w:val="20"/>
                <w:szCs w:val="20"/>
              </w:rPr>
              <w:t>e</w:t>
            </w:r>
            <w:r w:rsidRPr="004570EB">
              <w:rPr>
                <w:sz w:val="20"/>
                <w:szCs w:val="20"/>
              </w:rPr>
              <w:t xml:space="preserve">st. fenol. </w:t>
            </w:r>
            <w:r w:rsidR="00B46DCB">
              <w:rPr>
                <w:sz w:val="20"/>
                <w:szCs w:val="20"/>
              </w:rPr>
              <w:t>D</w:t>
            </w:r>
            <w:r w:rsidR="00083ED9">
              <w:rPr>
                <w:sz w:val="20"/>
                <w:szCs w:val="20"/>
              </w:rPr>
              <w:t>/</w:t>
            </w:r>
            <w:r w:rsidR="00B46DCB">
              <w:rPr>
                <w:sz w:val="20"/>
                <w:szCs w:val="20"/>
              </w:rPr>
              <w:t>E</w:t>
            </w:r>
          </w:p>
        </w:tc>
        <w:tc>
          <w:tcPr>
            <w:tcW w:w="750" w:type="pct"/>
            <w:shd w:val="clear" w:color="auto" w:fill="auto"/>
            <w:noWrap/>
            <w:vAlign w:val="center"/>
          </w:tcPr>
          <w:p w:rsidR="00DF0D52" w:rsidRPr="00AC7E06" w:rsidRDefault="00DF0D52" w:rsidP="008A7465">
            <w:pPr>
              <w:spacing w:after="0"/>
              <w:jc w:val="right"/>
              <w:rPr>
                <w:color w:val="000000"/>
                <w:sz w:val="20"/>
                <w:szCs w:val="20"/>
              </w:rPr>
            </w:pPr>
            <w:r w:rsidRPr="00AC7E06">
              <w:rPr>
                <w:color w:val="000000"/>
                <w:sz w:val="20"/>
                <w:szCs w:val="20"/>
              </w:rPr>
              <w:t>oxicloreto de cobre</w:t>
            </w:r>
          </w:p>
        </w:tc>
        <w:tc>
          <w:tcPr>
            <w:tcW w:w="575" w:type="pct"/>
            <w:shd w:val="clear" w:color="auto" w:fill="auto"/>
            <w:noWrap/>
            <w:vAlign w:val="center"/>
          </w:tcPr>
          <w:p w:rsidR="00DF0D52" w:rsidRDefault="00DF0D52" w:rsidP="008A7465">
            <w:pPr>
              <w:spacing w:after="0"/>
              <w:jc w:val="right"/>
              <w:rPr>
                <w:color w:val="000000"/>
                <w:sz w:val="20"/>
                <w:szCs w:val="20"/>
              </w:rPr>
            </w:pPr>
            <w:r>
              <w:rPr>
                <w:color w:val="000000"/>
                <w:sz w:val="20"/>
                <w:szCs w:val="20"/>
              </w:rPr>
              <w:t>44,1</w:t>
            </w:r>
          </w:p>
        </w:tc>
        <w:tc>
          <w:tcPr>
            <w:tcW w:w="98" w:type="pct"/>
            <w:shd w:val="clear" w:color="auto" w:fill="auto"/>
            <w:noWrap/>
            <w:vAlign w:val="center"/>
          </w:tcPr>
          <w:p w:rsidR="00DF0D52" w:rsidRPr="00DF0D52" w:rsidRDefault="00DF0D52" w:rsidP="008A7465">
            <w:pPr>
              <w:spacing w:after="0"/>
              <w:rPr>
                <w:b/>
                <w:sz w:val="20"/>
                <w:szCs w:val="20"/>
              </w:rPr>
            </w:pPr>
            <w:r w:rsidRPr="00DF0D52">
              <w:rPr>
                <w:b/>
                <w:sz w:val="20"/>
                <w:szCs w:val="20"/>
              </w:rPr>
              <w:t>a</w:t>
            </w:r>
          </w:p>
        </w:tc>
        <w:tc>
          <w:tcPr>
            <w:tcW w:w="98" w:type="pct"/>
            <w:shd w:val="clear" w:color="auto" w:fill="auto"/>
            <w:noWrap/>
            <w:vAlign w:val="center"/>
          </w:tcPr>
          <w:p w:rsidR="00DF0D52" w:rsidRPr="00DF0D52" w:rsidRDefault="00DF0D52" w:rsidP="008A7465">
            <w:pPr>
              <w:spacing w:after="0"/>
              <w:rPr>
                <w:b/>
              </w:rPr>
            </w:pPr>
            <w:r w:rsidRPr="00DF0D52">
              <w:rPr>
                <w:b/>
                <w:sz w:val="20"/>
                <w:szCs w:val="20"/>
              </w:rPr>
              <w:t>b</w:t>
            </w:r>
          </w:p>
        </w:tc>
        <w:tc>
          <w:tcPr>
            <w:tcW w:w="93" w:type="pct"/>
            <w:shd w:val="clear" w:color="auto" w:fill="auto"/>
            <w:noWrap/>
            <w:vAlign w:val="center"/>
          </w:tcPr>
          <w:p w:rsidR="00DF0D52" w:rsidRPr="00DF0D52" w:rsidRDefault="00DF0D52" w:rsidP="008A7465">
            <w:pPr>
              <w:spacing w:after="0"/>
              <w:rPr>
                <w:b/>
              </w:rPr>
            </w:pPr>
            <w:r w:rsidRPr="00DF0D52">
              <w:rPr>
                <w:b/>
                <w:sz w:val="20"/>
                <w:szCs w:val="20"/>
              </w:rPr>
              <w:t>c</w:t>
            </w:r>
          </w:p>
        </w:tc>
        <w:tc>
          <w:tcPr>
            <w:tcW w:w="76" w:type="pct"/>
            <w:shd w:val="clear" w:color="auto" w:fill="auto"/>
            <w:noWrap/>
            <w:vAlign w:val="center"/>
          </w:tcPr>
          <w:p w:rsidR="00DF0D52" w:rsidRPr="00AC7E06" w:rsidRDefault="00DF0D52" w:rsidP="008A7465">
            <w:pPr>
              <w:spacing w:after="0"/>
              <w:rPr>
                <w:sz w:val="20"/>
                <w:szCs w:val="20"/>
              </w:rPr>
            </w:pPr>
          </w:p>
        </w:tc>
        <w:tc>
          <w:tcPr>
            <w:tcW w:w="819" w:type="pct"/>
            <w:shd w:val="clear" w:color="auto" w:fill="auto"/>
            <w:vAlign w:val="center"/>
          </w:tcPr>
          <w:p w:rsidR="00DF0D52" w:rsidRPr="00AC7E06" w:rsidRDefault="00083ED9" w:rsidP="008A7465">
            <w:pPr>
              <w:spacing w:after="0"/>
              <w:rPr>
                <w:sz w:val="20"/>
                <w:szCs w:val="20"/>
              </w:rPr>
            </w:pPr>
            <w:r w:rsidRPr="00AC7E06">
              <w:rPr>
                <w:color w:val="000000"/>
                <w:sz w:val="20"/>
                <w:szCs w:val="20"/>
              </w:rPr>
              <w:t>Poda</w:t>
            </w:r>
          </w:p>
        </w:tc>
        <w:tc>
          <w:tcPr>
            <w:tcW w:w="750" w:type="pct"/>
            <w:shd w:val="clear" w:color="auto" w:fill="auto"/>
            <w:vAlign w:val="center"/>
          </w:tcPr>
          <w:p w:rsidR="00DF0D52" w:rsidRPr="00AC7E06" w:rsidRDefault="00DF0D52" w:rsidP="008A7465">
            <w:pPr>
              <w:spacing w:after="0"/>
              <w:rPr>
                <w:sz w:val="20"/>
                <w:szCs w:val="20"/>
              </w:rPr>
            </w:pPr>
            <w:r w:rsidRPr="00AC7E06">
              <w:rPr>
                <w:color w:val="000000"/>
                <w:sz w:val="20"/>
                <w:szCs w:val="20"/>
              </w:rPr>
              <w:t>difenoconazol</w:t>
            </w:r>
          </w:p>
        </w:tc>
        <w:tc>
          <w:tcPr>
            <w:tcW w:w="575" w:type="pct"/>
            <w:shd w:val="clear" w:color="auto" w:fill="auto"/>
            <w:vAlign w:val="center"/>
          </w:tcPr>
          <w:p w:rsidR="00DF0D52" w:rsidRPr="00AC7E06" w:rsidRDefault="00DF0D52" w:rsidP="008A7465">
            <w:pPr>
              <w:spacing w:after="0"/>
              <w:jc w:val="right"/>
              <w:rPr>
                <w:sz w:val="20"/>
                <w:szCs w:val="20"/>
              </w:rPr>
            </w:pPr>
            <w:r w:rsidRPr="00AC7E06">
              <w:rPr>
                <w:sz w:val="20"/>
                <w:szCs w:val="20"/>
              </w:rPr>
              <w:t>31,3</w:t>
            </w:r>
          </w:p>
        </w:tc>
        <w:tc>
          <w:tcPr>
            <w:tcW w:w="98" w:type="pct"/>
            <w:shd w:val="clear" w:color="auto" w:fill="auto"/>
            <w:vAlign w:val="center"/>
          </w:tcPr>
          <w:p w:rsidR="00DF0D52" w:rsidRPr="00DF0D52" w:rsidRDefault="00DF0D52" w:rsidP="008A7465">
            <w:pPr>
              <w:spacing w:after="0"/>
              <w:rPr>
                <w:b/>
                <w:sz w:val="20"/>
                <w:szCs w:val="20"/>
              </w:rPr>
            </w:pPr>
            <w:r w:rsidRPr="00DF0D52">
              <w:rPr>
                <w:b/>
                <w:sz w:val="20"/>
                <w:szCs w:val="20"/>
              </w:rPr>
              <w:t>a</w:t>
            </w:r>
          </w:p>
        </w:tc>
        <w:tc>
          <w:tcPr>
            <w:tcW w:w="98" w:type="pct"/>
            <w:shd w:val="clear" w:color="auto" w:fill="auto"/>
            <w:vAlign w:val="center"/>
          </w:tcPr>
          <w:p w:rsidR="00DF0D52" w:rsidRPr="00DF0D52" w:rsidRDefault="00DF0D52" w:rsidP="008A7465">
            <w:pPr>
              <w:spacing w:after="0"/>
              <w:rPr>
                <w:b/>
                <w:sz w:val="20"/>
                <w:szCs w:val="20"/>
              </w:rPr>
            </w:pPr>
            <w:r w:rsidRPr="00DF0D52">
              <w:rPr>
                <w:b/>
                <w:sz w:val="20"/>
                <w:szCs w:val="20"/>
              </w:rPr>
              <w:t>b</w:t>
            </w:r>
          </w:p>
        </w:tc>
        <w:tc>
          <w:tcPr>
            <w:tcW w:w="93" w:type="pct"/>
            <w:shd w:val="clear" w:color="auto" w:fill="auto"/>
            <w:vAlign w:val="center"/>
          </w:tcPr>
          <w:p w:rsidR="00DF0D52" w:rsidRPr="00DF0D52" w:rsidRDefault="00DF0D52" w:rsidP="008A7465">
            <w:pPr>
              <w:spacing w:after="0"/>
              <w:rPr>
                <w:b/>
                <w:sz w:val="20"/>
                <w:szCs w:val="20"/>
              </w:rPr>
            </w:pPr>
            <w:r w:rsidRPr="00DF0D52">
              <w:rPr>
                <w:b/>
                <w:sz w:val="20"/>
                <w:szCs w:val="20"/>
              </w:rPr>
              <w:t>c</w:t>
            </w:r>
          </w:p>
        </w:tc>
        <w:tc>
          <w:tcPr>
            <w:tcW w:w="97" w:type="pct"/>
            <w:shd w:val="clear" w:color="auto" w:fill="auto"/>
            <w:vAlign w:val="center"/>
          </w:tcPr>
          <w:p w:rsidR="00DF0D52" w:rsidRPr="00DF0D52" w:rsidRDefault="00DF0D52" w:rsidP="008A7465">
            <w:pPr>
              <w:spacing w:after="0"/>
              <w:rPr>
                <w:b/>
                <w:sz w:val="20"/>
                <w:szCs w:val="20"/>
              </w:rPr>
            </w:pPr>
            <w:r w:rsidRPr="00DF0D52">
              <w:rPr>
                <w:b/>
                <w:sz w:val="20"/>
                <w:szCs w:val="20"/>
              </w:rPr>
              <w:t>d</w:t>
            </w:r>
          </w:p>
        </w:tc>
      </w:tr>
      <w:tr w:rsidR="00DF0D52" w:rsidRPr="00AC7E06" w:rsidTr="00DF0D52">
        <w:trPr>
          <w:cantSplit/>
        </w:trPr>
        <w:tc>
          <w:tcPr>
            <w:tcW w:w="780" w:type="pct"/>
            <w:shd w:val="clear" w:color="auto" w:fill="auto"/>
            <w:noWrap/>
            <w:vAlign w:val="center"/>
          </w:tcPr>
          <w:p w:rsidR="00DF0D52" w:rsidRPr="00AC7E06" w:rsidRDefault="00DF0D52" w:rsidP="008A7465">
            <w:pPr>
              <w:spacing w:after="0"/>
              <w:rPr>
                <w:color w:val="000000"/>
                <w:sz w:val="20"/>
                <w:szCs w:val="20"/>
              </w:rPr>
            </w:pPr>
            <w:r w:rsidRPr="00AC7E06">
              <w:rPr>
                <w:color w:val="000000"/>
                <w:sz w:val="20"/>
                <w:szCs w:val="20"/>
              </w:rPr>
              <w:t>Poda+</w:t>
            </w:r>
            <w:r w:rsidRPr="004570EB">
              <w:rPr>
                <w:sz w:val="20"/>
                <w:szCs w:val="20"/>
              </w:rPr>
              <w:t xml:space="preserve"> </w:t>
            </w:r>
            <w:r>
              <w:rPr>
                <w:sz w:val="20"/>
                <w:szCs w:val="20"/>
              </w:rPr>
              <w:t>e</w:t>
            </w:r>
            <w:r w:rsidRPr="004570EB">
              <w:rPr>
                <w:sz w:val="20"/>
                <w:szCs w:val="20"/>
              </w:rPr>
              <w:t xml:space="preserve">st. fenol. </w:t>
            </w:r>
            <w:r w:rsidR="00B46DCB">
              <w:rPr>
                <w:sz w:val="20"/>
                <w:szCs w:val="20"/>
              </w:rPr>
              <w:t>D</w:t>
            </w:r>
            <w:r w:rsidR="00083ED9">
              <w:rPr>
                <w:sz w:val="20"/>
                <w:szCs w:val="20"/>
              </w:rPr>
              <w:t>/</w:t>
            </w:r>
            <w:r w:rsidR="00B46DCB">
              <w:rPr>
                <w:sz w:val="20"/>
                <w:szCs w:val="20"/>
              </w:rPr>
              <w:t>E</w:t>
            </w:r>
          </w:p>
        </w:tc>
        <w:tc>
          <w:tcPr>
            <w:tcW w:w="750" w:type="pct"/>
            <w:shd w:val="clear" w:color="auto" w:fill="auto"/>
            <w:noWrap/>
            <w:vAlign w:val="center"/>
          </w:tcPr>
          <w:p w:rsidR="00DF0D52" w:rsidRPr="00AC7E06" w:rsidRDefault="00DF0D52" w:rsidP="008A7465">
            <w:pPr>
              <w:spacing w:after="0"/>
              <w:jc w:val="right"/>
              <w:rPr>
                <w:color w:val="000000"/>
                <w:sz w:val="20"/>
                <w:szCs w:val="20"/>
              </w:rPr>
            </w:pPr>
            <w:r w:rsidRPr="00AC7E06">
              <w:rPr>
                <w:color w:val="000000"/>
                <w:sz w:val="20"/>
                <w:szCs w:val="20"/>
              </w:rPr>
              <w:t>azoxistrobina</w:t>
            </w:r>
          </w:p>
        </w:tc>
        <w:tc>
          <w:tcPr>
            <w:tcW w:w="575" w:type="pct"/>
            <w:shd w:val="clear" w:color="auto" w:fill="auto"/>
            <w:noWrap/>
            <w:vAlign w:val="center"/>
          </w:tcPr>
          <w:p w:rsidR="00DF0D52" w:rsidRDefault="00DF0D52" w:rsidP="008A7465">
            <w:pPr>
              <w:spacing w:after="0"/>
              <w:jc w:val="right"/>
              <w:rPr>
                <w:color w:val="000000"/>
                <w:sz w:val="20"/>
                <w:szCs w:val="20"/>
              </w:rPr>
            </w:pPr>
            <w:r>
              <w:rPr>
                <w:color w:val="000000"/>
                <w:sz w:val="20"/>
                <w:szCs w:val="20"/>
              </w:rPr>
              <w:t>44,8</w:t>
            </w:r>
          </w:p>
        </w:tc>
        <w:tc>
          <w:tcPr>
            <w:tcW w:w="98" w:type="pct"/>
            <w:shd w:val="clear" w:color="auto" w:fill="auto"/>
            <w:noWrap/>
            <w:vAlign w:val="center"/>
          </w:tcPr>
          <w:p w:rsidR="00DF0D52" w:rsidRPr="00DF0D52" w:rsidRDefault="00DF0D52" w:rsidP="008A7465">
            <w:pPr>
              <w:spacing w:after="0"/>
              <w:rPr>
                <w:b/>
                <w:sz w:val="20"/>
                <w:szCs w:val="20"/>
              </w:rPr>
            </w:pPr>
            <w:r w:rsidRPr="00DF0D52">
              <w:rPr>
                <w:b/>
                <w:sz w:val="20"/>
                <w:szCs w:val="20"/>
              </w:rPr>
              <w:t>a</w:t>
            </w:r>
          </w:p>
        </w:tc>
        <w:tc>
          <w:tcPr>
            <w:tcW w:w="98" w:type="pct"/>
            <w:shd w:val="clear" w:color="auto" w:fill="auto"/>
            <w:noWrap/>
            <w:vAlign w:val="center"/>
          </w:tcPr>
          <w:p w:rsidR="00DF0D52" w:rsidRPr="00DF0D52" w:rsidRDefault="00DF0D52" w:rsidP="008A7465">
            <w:pPr>
              <w:spacing w:after="0"/>
              <w:rPr>
                <w:b/>
              </w:rPr>
            </w:pPr>
            <w:r w:rsidRPr="00DF0D52">
              <w:rPr>
                <w:b/>
                <w:sz w:val="20"/>
                <w:szCs w:val="20"/>
              </w:rPr>
              <w:t>b</w:t>
            </w:r>
          </w:p>
        </w:tc>
        <w:tc>
          <w:tcPr>
            <w:tcW w:w="93" w:type="pct"/>
            <w:shd w:val="clear" w:color="auto" w:fill="auto"/>
            <w:noWrap/>
            <w:vAlign w:val="center"/>
          </w:tcPr>
          <w:p w:rsidR="00DF0D52" w:rsidRPr="00DF0D52" w:rsidRDefault="00DF0D52" w:rsidP="008A7465">
            <w:pPr>
              <w:spacing w:after="0"/>
              <w:rPr>
                <w:b/>
              </w:rPr>
            </w:pPr>
            <w:r w:rsidRPr="00DF0D52">
              <w:rPr>
                <w:b/>
                <w:sz w:val="20"/>
                <w:szCs w:val="20"/>
              </w:rPr>
              <w:t>c</w:t>
            </w:r>
          </w:p>
        </w:tc>
        <w:tc>
          <w:tcPr>
            <w:tcW w:w="76" w:type="pct"/>
            <w:shd w:val="clear" w:color="auto" w:fill="auto"/>
            <w:noWrap/>
            <w:vAlign w:val="center"/>
          </w:tcPr>
          <w:p w:rsidR="00DF0D52" w:rsidRPr="00AC7E06" w:rsidRDefault="00DF0D52" w:rsidP="008A7465">
            <w:pPr>
              <w:spacing w:after="0"/>
              <w:rPr>
                <w:sz w:val="20"/>
                <w:szCs w:val="20"/>
              </w:rPr>
            </w:pPr>
          </w:p>
        </w:tc>
        <w:tc>
          <w:tcPr>
            <w:tcW w:w="819" w:type="pct"/>
            <w:shd w:val="clear" w:color="auto" w:fill="auto"/>
            <w:vAlign w:val="center"/>
          </w:tcPr>
          <w:p w:rsidR="00DF0D52" w:rsidRPr="00AC7E06" w:rsidRDefault="00DF0D52" w:rsidP="008A7465">
            <w:pPr>
              <w:spacing w:after="0"/>
              <w:rPr>
                <w:sz w:val="20"/>
                <w:szCs w:val="20"/>
              </w:rPr>
            </w:pPr>
            <w:r w:rsidRPr="004570EB">
              <w:rPr>
                <w:sz w:val="20"/>
                <w:szCs w:val="20"/>
              </w:rPr>
              <w:t xml:space="preserve">Est. fenol. </w:t>
            </w:r>
            <w:r w:rsidR="00B46DCB">
              <w:rPr>
                <w:sz w:val="20"/>
                <w:szCs w:val="20"/>
              </w:rPr>
              <w:t>D</w:t>
            </w:r>
            <w:r w:rsidR="00083ED9">
              <w:rPr>
                <w:sz w:val="20"/>
                <w:szCs w:val="20"/>
              </w:rPr>
              <w:t>/</w:t>
            </w:r>
            <w:r w:rsidR="00B46DCB">
              <w:rPr>
                <w:sz w:val="20"/>
                <w:szCs w:val="20"/>
              </w:rPr>
              <w:t>E</w:t>
            </w:r>
          </w:p>
        </w:tc>
        <w:tc>
          <w:tcPr>
            <w:tcW w:w="750" w:type="pct"/>
            <w:shd w:val="clear" w:color="auto" w:fill="auto"/>
            <w:vAlign w:val="center"/>
          </w:tcPr>
          <w:p w:rsidR="00DF0D52" w:rsidRPr="00AC7E06" w:rsidRDefault="00DF0D52" w:rsidP="008A7465">
            <w:pPr>
              <w:spacing w:after="0"/>
              <w:rPr>
                <w:sz w:val="20"/>
                <w:szCs w:val="20"/>
              </w:rPr>
            </w:pPr>
            <w:r w:rsidRPr="00AC7E06">
              <w:rPr>
                <w:color w:val="000000"/>
                <w:sz w:val="20"/>
                <w:szCs w:val="20"/>
              </w:rPr>
              <w:t>oxicloreto de cobre</w:t>
            </w:r>
          </w:p>
        </w:tc>
        <w:tc>
          <w:tcPr>
            <w:tcW w:w="575" w:type="pct"/>
            <w:shd w:val="clear" w:color="auto" w:fill="auto"/>
            <w:vAlign w:val="center"/>
          </w:tcPr>
          <w:p w:rsidR="00DF0D52" w:rsidRPr="00AC7E06" w:rsidRDefault="00DF0D52" w:rsidP="008A7465">
            <w:pPr>
              <w:spacing w:after="0"/>
              <w:jc w:val="right"/>
              <w:rPr>
                <w:sz w:val="20"/>
                <w:szCs w:val="20"/>
              </w:rPr>
            </w:pPr>
            <w:r w:rsidRPr="00AC7E06">
              <w:rPr>
                <w:sz w:val="20"/>
                <w:szCs w:val="20"/>
              </w:rPr>
              <w:t>32,0</w:t>
            </w:r>
          </w:p>
        </w:tc>
        <w:tc>
          <w:tcPr>
            <w:tcW w:w="98" w:type="pct"/>
            <w:shd w:val="clear" w:color="auto" w:fill="auto"/>
            <w:vAlign w:val="center"/>
          </w:tcPr>
          <w:p w:rsidR="00DF0D52" w:rsidRPr="00DF0D52" w:rsidRDefault="00DF0D52" w:rsidP="008A7465">
            <w:pPr>
              <w:spacing w:after="0"/>
              <w:rPr>
                <w:b/>
                <w:sz w:val="20"/>
                <w:szCs w:val="20"/>
              </w:rPr>
            </w:pPr>
            <w:r w:rsidRPr="00DF0D52">
              <w:rPr>
                <w:b/>
                <w:sz w:val="20"/>
                <w:szCs w:val="20"/>
              </w:rPr>
              <w:t>a</w:t>
            </w:r>
          </w:p>
        </w:tc>
        <w:tc>
          <w:tcPr>
            <w:tcW w:w="98" w:type="pct"/>
            <w:shd w:val="clear" w:color="auto" w:fill="auto"/>
            <w:vAlign w:val="center"/>
          </w:tcPr>
          <w:p w:rsidR="00DF0D52" w:rsidRPr="00DF0D52" w:rsidRDefault="00DF0D52" w:rsidP="008A7465">
            <w:pPr>
              <w:spacing w:after="0"/>
              <w:rPr>
                <w:b/>
                <w:sz w:val="20"/>
                <w:szCs w:val="20"/>
              </w:rPr>
            </w:pPr>
            <w:r w:rsidRPr="00DF0D52">
              <w:rPr>
                <w:b/>
                <w:sz w:val="20"/>
                <w:szCs w:val="20"/>
              </w:rPr>
              <w:t>b</w:t>
            </w:r>
          </w:p>
        </w:tc>
        <w:tc>
          <w:tcPr>
            <w:tcW w:w="93" w:type="pct"/>
            <w:shd w:val="clear" w:color="auto" w:fill="auto"/>
            <w:vAlign w:val="center"/>
          </w:tcPr>
          <w:p w:rsidR="00DF0D52" w:rsidRPr="00DF0D52" w:rsidRDefault="00DF0D52" w:rsidP="008A7465">
            <w:pPr>
              <w:spacing w:after="0"/>
              <w:rPr>
                <w:b/>
                <w:sz w:val="20"/>
                <w:szCs w:val="20"/>
              </w:rPr>
            </w:pPr>
            <w:r w:rsidRPr="00DF0D52">
              <w:rPr>
                <w:b/>
                <w:sz w:val="20"/>
                <w:szCs w:val="20"/>
              </w:rPr>
              <w:t>c</w:t>
            </w:r>
          </w:p>
        </w:tc>
        <w:tc>
          <w:tcPr>
            <w:tcW w:w="97" w:type="pct"/>
            <w:shd w:val="clear" w:color="auto" w:fill="auto"/>
            <w:vAlign w:val="center"/>
          </w:tcPr>
          <w:p w:rsidR="00DF0D52" w:rsidRPr="00DF0D52" w:rsidRDefault="00DF0D52" w:rsidP="008A7465">
            <w:pPr>
              <w:spacing w:after="0"/>
              <w:rPr>
                <w:b/>
                <w:sz w:val="20"/>
                <w:szCs w:val="20"/>
              </w:rPr>
            </w:pPr>
            <w:r w:rsidRPr="00DF0D52">
              <w:rPr>
                <w:b/>
                <w:sz w:val="20"/>
                <w:szCs w:val="20"/>
              </w:rPr>
              <w:t>d</w:t>
            </w:r>
          </w:p>
        </w:tc>
      </w:tr>
      <w:tr w:rsidR="00DF0D52" w:rsidRPr="00AC7E06" w:rsidTr="00DF0D52">
        <w:trPr>
          <w:cantSplit/>
        </w:trPr>
        <w:tc>
          <w:tcPr>
            <w:tcW w:w="780" w:type="pct"/>
            <w:shd w:val="clear" w:color="auto" w:fill="auto"/>
            <w:noWrap/>
            <w:vAlign w:val="center"/>
          </w:tcPr>
          <w:p w:rsidR="00DF0D52" w:rsidRPr="00AC7E06" w:rsidRDefault="00DF0D52" w:rsidP="008A7465">
            <w:pPr>
              <w:spacing w:after="0"/>
              <w:rPr>
                <w:color w:val="000000"/>
                <w:sz w:val="20"/>
                <w:szCs w:val="20"/>
              </w:rPr>
            </w:pPr>
            <w:r w:rsidRPr="00AC7E06">
              <w:rPr>
                <w:color w:val="000000"/>
                <w:sz w:val="20"/>
                <w:szCs w:val="20"/>
              </w:rPr>
              <w:t>Poda+</w:t>
            </w:r>
            <w:r w:rsidRPr="004570EB">
              <w:rPr>
                <w:sz w:val="20"/>
                <w:szCs w:val="20"/>
              </w:rPr>
              <w:t xml:space="preserve"> </w:t>
            </w:r>
            <w:r>
              <w:rPr>
                <w:sz w:val="20"/>
                <w:szCs w:val="20"/>
              </w:rPr>
              <w:t>e</w:t>
            </w:r>
            <w:r w:rsidRPr="004570EB">
              <w:rPr>
                <w:sz w:val="20"/>
                <w:szCs w:val="20"/>
              </w:rPr>
              <w:t xml:space="preserve">st. fenol. </w:t>
            </w:r>
            <w:r w:rsidR="00B46DCB">
              <w:rPr>
                <w:sz w:val="20"/>
                <w:szCs w:val="20"/>
              </w:rPr>
              <w:t>D</w:t>
            </w:r>
            <w:r w:rsidR="00083ED9">
              <w:rPr>
                <w:sz w:val="20"/>
                <w:szCs w:val="20"/>
              </w:rPr>
              <w:t>/</w:t>
            </w:r>
            <w:r w:rsidR="00B46DCB">
              <w:rPr>
                <w:sz w:val="20"/>
                <w:szCs w:val="20"/>
              </w:rPr>
              <w:t>E</w:t>
            </w:r>
          </w:p>
        </w:tc>
        <w:tc>
          <w:tcPr>
            <w:tcW w:w="750" w:type="pct"/>
            <w:shd w:val="clear" w:color="auto" w:fill="auto"/>
            <w:noWrap/>
            <w:vAlign w:val="center"/>
          </w:tcPr>
          <w:p w:rsidR="00DF0D52" w:rsidRPr="00AC7E06" w:rsidRDefault="00DF0D52" w:rsidP="008A7465">
            <w:pPr>
              <w:spacing w:after="0"/>
              <w:jc w:val="right"/>
              <w:rPr>
                <w:color w:val="000000"/>
                <w:sz w:val="20"/>
                <w:szCs w:val="20"/>
              </w:rPr>
            </w:pPr>
            <w:r w:rsidRPr="00AC7E06">
              <w:rPr>
                <w:color w:val="000000"/>
                <w:sz w:val="20"/>
                <w:szCs w:val="20"/>
              </w:rPr>
              <w:t>tebuconazol</w:t>
            </w:r>
          </w:p>
        </w:tc>
        <w:tc>
          <w:tcPr>
            <w:tcW w:w="575" w:type="pct"/>
            <w:shd w:val="clear" w:color="auto" w:fill="auto"/>
            <w:noWrap/>
            <w:vAlign w:val="center"/>
          </w:tcPr>
          <w:p w:rsidR="00DF0D52" w:rsidRDefault="00DF0D52" w:rsidP="008A7465">
            <w:pPr>
              <w:spacing w:after="0"/>
              <w:jc w:val="right"/>
              <w:rPr>
                <w:color w:val="000000"/>
                <w:sz w:val="20"/>
                <w:szCs w:val="20"/>
              </w:rPr>
            </w:pPr>
            <w:r>
              <w:rPr>
                <w:color w:val="000000"/>
                <w:sz w:val="20"/>
                <w:szCs w:val="20"/>
              </w:rPr>
              <w:t>45,0</w:t>
            </w:r>
          </w:p>
        </w:tc>
        <w:tc>
          <w:tcPr>
            <w:tcW w:w="98" w:type="pct"/>
            <w:shd w:val="clear" w:color="auto" w:fill="auto"/>
            <w:noWrap/>
            <w:vAlign w:val="center"/>
          </w:tcPr>
          <w:p w:rsidR="00DF0D52" w:rsidRPr="00DF0D52" w:rsidRDefault="00DF0D52" w:rsidP="008A7465">
            <w:pPr>
              <w:spacing w:after="0"/>
              <w:rPr>
                <w:b/>
                <w:sz w:val="20"/>
                <w:szCs w:val="20"/>
              </w:rPr>
            </w:pPr>
            <w:r w:rsidRPr="00DF0D52">
              <w:rPr>
                <w:b/>
                <w:sz w:val="20"/>
                <w:szCs w:val="20"/>
              </w:rPr>
              <w:t>a</w:t>
            </w:r>
          </w:p>
        </w:tc>
        <w:tc>
          <w:tcPr>
            <w:tcW w:w="98" w:type="pct"/>
            <w:shd w:val="clear" w:color="auto" w:fill="auto"/>
            <w:noWrap/>
            <w:vAlign w:val="center"/>
          </w:tcPr>
          <w:p w:rsidR="00DF0D52" w:rsidRPr="00DF0D52" w:rsidRDefault="00DF0D52" w:rsidP="008A7465">
            <w:pPr>
              <w:spacing w:after="0"/>
              <w:rPr>
                <w:b/>
              </w:rPr>
            </w:pPr>
            <w:r w:rsidRPr="00DF0D52">
              <w:rPr>
                <w:b/>
                <w:sz w:val="20"/>
                <w:szCs w:val="20"/>
              </w:rPr>
              <w:t>b</w:t>
            </w:r>
          </w:p>
        </w:tc>
        <w:tc>
          <w:tcPr>
            <w:tcW w:w="93" w:type="pct"/>
            <w:shd w:val="clear" w:color="auto" w:fill="auto"/>
            <w:noWrap/>
            <w:vAlign w:val="center"/>
          </w:tcPr>
          <w:p w:rsidR="00DF0D52" w:rsidRPr="00DF0D52" w:rsidRDefault="00DF0D52" w:rsidP="008A7465">
            <w:pPr>
              <w:spacing w:after="0"/>
              <w:rPr>
                <w:b/>
              </w:rPr>
            </w:pPr>
            <w:r w:rsidRPr="00DF0D52">
              <w:rPr>
                <w:b/>
                <w:sz w:val="20"/>
                <w:szCs w:val="20"/>
              </w:rPr>
              <w:t>c</w:t>
            </w:r>
          </w:p>
        </w:tc>
        <w:tc>
          <w:tcPr>
            <w:tcW w:w="76" w:type="pct"/>
            <w:shd w:val="clear" w:color="auto" w:fill="auto"/>
            <w:noWrap/>
            <w:vAlign w:val="center"/>
          </w:tcPr>
          <w:p w:rsidR="00DF0D52" w:rsidRPr="00AC7E06" w:rsidRDefault="00DF0D52" w:rsidP="008A7465">
            <w:pPr>
              <w:spacing w:after="0"/>
              <w:rPr>
                <w:sz w:val="20"/>
                <w:szCs w:val="20"/>
              </w:rPr>
            </w:pPr>
          </w:p>
        </w:tc>
        <w:tc>
          <w:tcPr>
            <w:tcW w:w="819" w:type="pct"/>
            <w:shd w:val="clear" w:color="auto" w:fill="auto"/>
            <w:vAlign w:val="center"/>
          </w:tcPr>
          <w:p w:rsidR="00DF0D52" w:rsidRPr="00AC7E06" w:rsidRDefault="00083ED9" w:rsidP="008A7465">
            <w:pPr>
              <w:spacing w:after="0"/>
              <w:rPr>
                <w:sz w:val="20"/>
                <w:szCs w:val="20"/>
              </w:rPr>
            </w:pPr>
            <w:r w:rsidRPr="00AC7E06">
              <w:rPr>
                <w:color w:val="000000"/>
                <w:sz w:val="20"/>
                <w:szCs w:val="20"/>
              </w:rPr>
              <w:t>Poda</w:t>
            </w:r>
          </w:p>
        </w:tc>
        <w:tc>
          <w:tcPr>
            <w:tcW w:w="750" w:type="pct"/>
            <w:shd w:val="clear" w:color="auto" w:fill="auto"/>
            <w:vAlign w:val="center"/>
          </w:tcPr>
          <w:p w:rsidR="00DF0D52" w:rsidRPr="00AC7E06" w:rsidRDefault="00DF0D52" w:rsidP="008A7465">
            <w:pPr>
              <w:spacing w:after="0"/>
              <w:rPr>
                <w:sz w:val="20"/>
                <w:szCs w:val="20"/>
              </w:rPr>
            </w:pPr>
            <w:r w:rsidRPr="00AC7E06">
              <w:rPr>
                <w:color w:val="000000"/>
                <w:sz w:val="20"/>
                <w:szCs w:val="20"/>
              </w:rPr>
              <w:t>ciprodinil+fludioxonil</w:t>
            </w:r>
          </w:p>
        </w:tc>
        <w:tc>
          <w:tcPr>
            <w:tcW w:w="575" w:type="pct"/>
            <w:shd w:val="clear" w:color="auto" w:fill="auto"/>
            <w:vAlign w:val="center"/>
          </w:tcPr>
          <w:p w:rsidR="00DF0D52" w:rsidRPr="00AC7E06" w:rsidRDefault="00DF0D52" w:rsidP="008A7465">
            <w:pPr>
              <w:spacing w:after="0"/>
              <w:jc w:val="right"/>
              <w:rPr>
                <w:sz w:val="20"/>
                <w:szCs w:val="20"/>
              </w:rPr>
            </w:pPr>
            <w:r w:rsidRPr="00AC7E06">
              <w:rPr>
                <w:sz w:val="20"/>
                <w:szCs w:val="20"/>
              </w:rPr>
              <w:t>33,6</w:t>
            </w:r>
          </w:p>
        </w:tc>
        <w:tc>
          <w:tcPr>
            <w:tcW w:w="98" w:type="pct"/>
            <w:shd w:val="clear" w:color="auto" w:fill="auto"/>
            <w:vAlign w:val="center"/>
          </w:tcPr>
          <w:p w:rsidR="00DF0D52" w:rsidRPr="00DF0D52" w:rsidRDefault="00DF0D52" w:rsidP="008A7465">
            <w:pPr>
              <w:spacing w:after="0"/>
              <w:rPr>
                <w:b/>
                <w:sz w:val="20"/>
                <w:szCs w:val="20"/>
              </w:rPr>
            </w:pPr>
            <w:r w:rsidRPr="00DF0D52">
              <w:rPr>
                <w:b/>
                <w:sz w:val="20"/>
                <w:szCs w:val="20"/>
              </w:rPr>
              <w:t> </w:t>
            </w:r>
          </w:p>
        </w:tc>
        <w:tc>
          <w:tcPr>
            <w:tcW w:w="98" w:type="pct"/>
            <w:shd w:val="clear" w:color="auto" w:fill="auto"/>
            <w:vAlign w:val="center"/>
          </w:tcPr>
          <w:p w:rsidR="00DF0D52" w:rsidRPr="00DF0D52" w:rsidRDefault="00DF0D52" w:rsidP="008A7465">
            <w:pPr>
              <w:spacing w:after="0"/>
              <w:rPr>
                <w:b/>
                <w:sz w:val="20"/>
                <w:szCs w:val="20"/>
              </w:rPr>
            </w:pPr>
            <w:r w:rsidRPr="00DF0D52">
              <w:rPr>
                <w:b/>
                <w:sz w:val="20"/>
                <w:szCs w:val="20"/>
              </w:rPr>
              <w:t>b</w:t>
            </w:r>
          </w:p>
        </w:tc>
        <w:tc>
          <w:tcPr>
            <w:tcW w:w="93" w:type="pct"/>
            <w:shd w:val="clear" w:color="auto" w:fill="auto"/>
            <w:vAlign w:val="center"/>
          </w:tcPr>
          <w:p w:rsidR="00DF0D52" w:rsidRPr="00DF0D52" w:rsidRDefault="00DF0D52" w:rsidP="008A7465">
            <w:pPr>
              <w:spacing w:after="0"/>
              <w:rPr>
                <w:b/>
                <w:sz w:val="20"/>
                <w:szCs w:val="20"/>
              </w:rPr>
            </w:pPr>
            <w:r w:rsidRPr="00DF0D52">
              <w:rPr>
                <w:b/>
                <w:sz w:val="20"/>
                <w:szCs w:val="20"/>
              </w:rPr>
              <w:t>c</w:t>
            </w:r>
          </w:p>
        </w:tc>
        <w:tc>
          <w:tcPr>
            <w:tcW w:w="97" w:type="pct"/>
            <w:shd w:val="clear" w:color="auto" w:fill="auto"/>
            <w:vAlign w:val="center"/>
          </w:tcPr>
          <w:p w:rsidR="00DF0D52" w:rsidRPr="00DF0D52" w:rsidRDefault="00DF0D52" w:rsidP="008A7465">
            <w:pPr>
              <w:spacing w:after="0"/>
              <w:rPr>
                <w:b/>
                <w:sz w:val="20"/>
                <w:szCs w:val="20"/>
              </w:rPr>
            </w:pPr>
            <w:r w:rsidRPr="00DF0D52">
              <w:rPr>
                <w:b/>
                <w:sz w:val="20"/>
                <w:szCs w:val="20"/>
              </w:rPr>
              <w:t>d</w:t>
            </w:r>
          </w:p>
        </w:tc>
      </w:tr>
      <w:tr w:rsidR="00DF0D52" w:rsidRPr="00AC7E06" w:rsidTr="00DF0D52">
        <w:trPr>
          <w:cantSplit/>
        </w:trPr>
        <w:tc>
          <w:tcPr>
            <w:tcW w:w="780" w:type="pct"/>
            <w:shd w:val="clear" w:color="auto" w:fill="auto"/>
            <w:noWrap/>
            <w:vAlign w:val="center"/>
          </w:tcPr>
          <w:p w:rsidR="00DF0D52" w:rsidRPr="00AC7E06" w:rsidRDefault="00083ED9" w:rsidP="008A7465">
            <w:pPr>
              <w:spacing w:after="0"/>
              <w:rPr>
                <w:color w:val="000000"/>
                <w:sz w:val="20"/>
                <w:szCs w:val="20"/>
              </w:rPr>
            </w:pPr>
            <w:r w:rsidRPr="00AC7E06">
              <w:rPr>
                <w:color w:val="000000"/>
                <w:sz w:val="20"/>
                <w:szCs w:val="20"/>
              </w:rPr>
              <w:t>Poda</w:t>
            </w:r>
          </w:p>
        </w:tc>
        <w:tc>
          <w:tcPr>
            <w:tcW w:w="750" w:type="pct"/>
            <w:shd w:val="clear" w:color="auto" w:fill="auto"/>
            <w:noWrap/>
            <w:vAlign w:val="center"/>
          </w:tcPr>
          <w:p w:rsidR="00DF0D52" w:rsidRPr="00AC7E06" w:rsidRDefault="00DF0D52" w:rsidP="008A7465">
            <w:pPr>
              <w:spacing w:after="0"/>
              <w:jc w:val="right"/>
              <w:rPr>
                <w:color w:val="000000"/>
                <w:sz w:val="20"/>
                <w:szCs w:val="20"/>
              </w:rPr>
            </w:pPr>
            <w:r w:rsidRPr="00AC7E06">
              <w:rPr>
                <w:color w:val="000000"/>
                <w:sz w:val="20"/>
                <w:szCs w:val="20"/>
              </w:rPr>
              <w:t>azoxistrobina</w:t>
            </w:r>
          </w:p>
        </w:tc>
        <w:tc>
          <w:tcPr>
            <w:tcW w:w="575" w:type="pct"/>
            <w:shd w:val="clear" w:color="auto" w:fill="auto"/>
            <w:noWrap/>
            <w:vAlign w:val="center"/>
          </w:tcPr>
          <w:p w:rsidR="00DF0D52" w:rsidRDefault="00DF0D52" w:rsidP="008A7465">
            <w:pPr>
              <w:spacing w:after="0"/>
              <w:jc w:val="right"/>
              <w:rPr>
                <w:color w:val="000000"/>
                <w:sz w:val="20"/>
                <w:szCs w:val="20"/>
              </w:rPr>
            </w:pPr>
            <w:r>
              <w:rPr>
                <w:color w:val="000000"/>
                <w:sz w:val="20"/>
                <w:szCs w:val="20"/>
              </w:rPr>
              <w:t>45,2</w:t>
            </w:r>
          </w:p>
        </w:tc>
        <w:tc>
          <w:tcPr>
            <w:tcW w:w="98" w:type="pct"/>
            <w:shd w:val="clear" w:color="auto" w:fill="auto"/>
            <w:noWrap/>
            <w:vAlign w:val="center"/>
          </w:tcPr>
          <w:p w:rsidR="00DF0D52" w:rsidRPr="00DF0D52" w:rsidRDefault="00DF0D52" w:rsidP="008A7465">
            <w:pPr>
              <w:spacing w:after="0"/>
              <w:rPr>
                <w:b/>
                <w:sz w:val="20"/>
                <w:szCs w:val="20"/>
              </w:rPr>
            </w:pPr>
            <w:r w:rsidRPr="00DF0D52">
              <w:rPr>
                <w:b/>
                <w:sz w:val="20"/>
                <w:szCs w:val="20"/>
              </w:rPr>
              <w:t>a</w:t>
            </w:r>
          </w:p>
        </w:tc>
        <w:tc>
          <w:tcPr>
            <w:tcW w:w="98" w:type="pct"/>
            <w:shd w:val="clear" w:color="auto" w:fill="auto"/>
            <w:noWrap/>
            <w:vAlign w:val="center"/>
          </w:tcPr>
          <w:p w:rsidR="00DF0D52" w:rsidRPr="00DF0D52" w:rsidRDefault="00DF0D52" w:rsidP="008A7465">
            <w:pPr>
              <w:spacing w:after="0"/>
              <w:rPr>
                <w:b/>
              </w:rPr>
            </w:pPr>
            <w:r w:rsidRPr="00DF0D52">
              <w:rPr>
                <w:b/>
                <w:sz w:val="20"/>
                <w:szCs w:val="20"/>
              </w:rPr>
              <w:t>b</w:t>
            </w:r>
          </w:p>
        </w:tc>
        <w:tc>
          <w:tcPr>
            <w:tcW w:w="93" w:type="pct"/>
            <w:shd w:val="clear" w:color="auto" w:fill="auto"/>
            <w:noWrap/>
            <w:vAlign w:val="center"/>
          </w:tcPr>
          <w:p w:rsidR="00DF0D52" w:rsidRPr="00DF0D52" w:rsidRDefault="00DF0D52" w:rsidP="008A7465">
            <w:pPr>
              <w:spacing w:after="0"/>
              <w:rPr>
                <w:b/>
              </w:rPr>
            </w:pPr>
            <w:r w:rsidRPr="00DF0D52">
              <w:rPr>
                <w:b/>
                <w:sz w:val="20"/>
                <w:szCs w:val="20"/>
              </w:rPr>
              <w:t>c</w:t>
            </w:r>
          </w:p>
        </w:tc>
        <w:tc>
          <w:tcPr>
            <w:tcW w:w="76" w:type="pct"/>
            <w:shd w:val="clear" w:color="auto" w:fill="auto"/>
            <w:noWrap/>
            <w:vAlign w:val="center"/>
          </w:tcPr>
          <w:p w:rsidR="00DF0D52" w:rsidRPr="00AC7E06" w:rsidRDefault="00DF0D52" w:rsidP="008A7465">
            <w:pPr>
              <w:spacing w:after="0"/>
              <w:rPr>
                <w:sz w:val="20"/>
                <w:szCs w:val="20"/>
              </w:rPr>
            </w:pPr>
          </w:p>
        </w:tc>
        <w:tc>
          <w:tcPr>
            <w:tcW w:w="819" w:type="pct"/>
            <w:shd w:val="clear" w:color="auto" w:fill="auto"/>
            <w:vAlign w:val="center"/>
          </w:tcPr>
          <w:p w:rsidR="00DF0D52" w:rsidRPr="00AC7E06" w:rsidRDefault="00DF0D52" w:rsidP="008A7465">
            <w:pPr>
              <w:spacing w:after="0"/>
              <w:rPr>
                <w:sz w:val="20"/>
                <w:szCs w:val="20"/>
              </w:rPr>
            </w:pPr>
            <w:r w:rsidRPr="004570EB">
              <w:rPr>
                <w:sz w:val="20"/>
                <w:szCs w:val="20"/>
              </w:rPr>
              <w:t xml:space="preserve">Est. fenol. </w:t>
            </w:r>
            <w:r w:rsidR="00B46DCB">
              <w:rPr>
                <w:sz w:val="20"/>
                <w:szCs w:val="20"/>
              </w:rPr>
              <w:t>D</w:t>
            </w:r>
            <w:r w:rsidR="00083ED9">
              <w:rPr>
                <w:sz w:val="20"/>
                <w:szCs w:val="20"/>
              </w:rPr>
              <w:t>/</w:t>
            </w:r>
            <w:r w:rsidR="00B46DCB">
              <w:rPr>
                <w:sz w:val="20"/>
                <w:szCs w:val="20"/>
              </w:rPr>
              <w:t>E</w:t>
            </w:r>
          </w:p>
        </w:tc>
        <w:tc>
          <w:tcPr>
            <w:tcW w:w="750" w:type="pct"/>
            <w:shd w:val="clear" w:color="auto" w:fill="auto"/>
            <w:vAlign w:val="center"/>
          </w:tcPr>
          <w:p w:rsidR="00DF0D52" w:rsidRPr="00AC7E06" w:rsidRDefault="00DF0D52" w:rsidP="008A7465">
            <w:pPr>
              <w:spacing w:after="0"/>
              <w:rPr>
                <w:sz w:val="20"/>
                <w:szCs w:val="20"/>
              </w:rPr>
            </w:pPr>
            <w:r w:rsidRPr="00AC7E06">
              <w:rPr>
                <w:color w:val="000000"/>
                <w:sz w:val="20"/>
                <w:szCs w:val="20"/>
              </w:rPr>
              <w:t>azoxistrobina</w:t>
            </w:r>
          </w:p>
        </w:tc>
        <w:tc>
          <w:tcPr>
            <w:tcW w:w="575" w:type="pct"/>
            <w:shd w:val="clear" w:color="auto" w:fill="auto"/>
            <w:vAlign w:val="center"/>
          </w:tcPr>
          <w:p w:rsidR="00DF0D52" w:rsidRPr="00AC7E06" w:rsidRDefault="00DF0D52" w:rsidP="008A7465">
            <w:pPr>
              <w:spacing w:after="0"/>
              <w:jc w:val="right"/>
              <w:rPr>
                <w:sz w:val="20"/>
                <w:szCs w:val="20"/>
              </w:rPr>
            </w:pPr>
            <w:r w:rsidRPr="00AC7E06">
              <w:rPr>
                <w:sz w:val="20"/>
                <w:szCs w:val="20"/>
              </w:rPr>
              <w:t>33,8</w:t>
            </w:r>
          </w:p>
        </w:tc>
        <w:tc>
          <w:tcPr>
            <w:tcW w:w="98" w:type="pct"/>
            <w:shd w:val="clear" w:color="auto" w:fill="auto"/>
            <w:vAlign w:val="center"/>
          </w:tcPr>
          <w:p w:rsidR="00DF0D52" w:rsidRPr="00DF0D52" w:rsidRDefault="00DF0D52" w:rsidP="008A7465">
            <w:pPr>
              <w:spacing w:after="0"/>
              <w:rPr>
                <w:b/>
                <w:sz w:val="20"/>
                <w:szCs w:val="20"/>
              </w:rPr>
            </w:pPr>
            <w:r w:rsidRPr="00DF0D52">
              <w:rPr>
                <w:b/>
                <w:sz w:val="20"/>
                <w:szCs w:val="20"/>
              </w:rPr>
              <w:t> </w:t>
            </w:r>
          </w:p>
        </w:tc>
        <w:tc>
          <w:tcPr>
            <w:tcW w:w="98" w:type="pct"/>
            <w:shd w:val="clear" w:color="auto" w:fill="auto"/>
            <w:vAlign w:val="center"/>
          </w:tcPr>
          <w:p w:rsidR="00DF0D52" w:rsidRPr="00DF0D52" w:rsidRDefault="00DF0D52" w:rsidP="008A7465">
            <w:pPr>
              <w:spacing w:after="0"/>
              <w:rPr>
                <w:b/>
                <w:sz w:val="20"/>
                <w:szCs w:val="20"/>
              </w:rPr>
            </w:pPr>
            <w:r w:rsidRPr="00DF0D52">
              <w:rPr>
                <w:b/>
                <w:sz w:val="20"/>
                <w:szCs w:val="20"/>
              </w:rPr>
              <w:t>b</w:t>
            </w:r>
          </w:p>
        </w:tc>
        <w:tc>
          <w:tcPr>
            <w:tcW w:w="93" w:type="pct"/>
            <w:shd w:val="clear" w:color="auto" w:fill="auto"/>
            <w:vAlign w:val="center"/>
          </w:tcPr>
          <w:p w:rsidR="00DF0D52" w:rsidRPr="00DF0D52" w:rsidRDefault="00DF0D52" w:rsidP="008A7465">
            <w:pPr>
              <w:spacing w:after="0"/>
              <w:rPr>
                <w:b/>
                <w:sz w:val="20"/>
                <w:szCs w:val="20"/>
              </w:rPr>
            </w:pPr>
            <w:r w:rsidRPr="00DF0D52">
              <w:rPr>
                <w:b/>
                <w:sz w:val="20"/>
                <w:szCs w:val="20"/>
              </w:rPr>
              <w:t>c</w:t>
            </w:r>
          </w:p>
        </w:tc>
        <w:tc>
          <w:tcPr>
            <w:tcW w:w="97" w:type="pct"/>
            <w:shd w:val="clear" w:color="auto" w:fill="auto"/>
            <w:vAlign w:val="center"/>
          </w:tcPr>
          <w:p w:rsidR="00DF0D52" w:rsidRPr="00DF0D52" w:rsidRDefault="00DF0D52" w:rsidP="008A7465">
            <w:pPr>
              <w:spacing w:after="0"/>
              <w:rPr>
                <w:b/>
                <w:sz w:val="20"/>
                <w:szCs w:val="20"/>
              </w:rPr>
            </w:pPr>
            <w:r w:rsidRPr="00DF0D52">
              <w:rPr>
                <w:b/>
                <w:sz w:val="20"/>
                <w:szCs w:val="20"/>
              </w:rPr>
              <w:t>d</w:t>
            </w:r>
          </w:p>
        </w:tc>
      </w:tr>
      <w:tr w:rsidR="00DF0D52" w:rsidRPr="00AC7E06" w:rsidTr="00DF0D52">
        <w:trPr>
          <w:cantSplit/>
        </w:trPr>
        <w:tc>
          <w:tcPr>
            <w:tcW w:w="780" w:type="pct"/>
            <w:shd w:val="clear" w:color="auto" w:fill="auto"/>
            <w:noWrap/>
          </w:tcPr>
          <w:p w:rsidR="00DF0D52" w:rsidRDefault="00DF0D52" w:rsidP="008A7465">
            <w:pPr>
              <w:spacing w:after="0"/>
            </w:pPr>
            <w:r w:rsidRPr="008E7B43">
              <w:rPr>
                <w:sz w:val="20"/>
                <w:szCs w:val="20"/>
              </w:rPr>
              <w:t xml:space="preserve">Est. fenol. </w:t>
            </w:r>
            <w:r w:rsidR="00B46DCB">
              <w:rPr>
                <w:sz w:val="20"/>
                <w:szCs w:val="20"/>
              </w:rPr>
              <w:t>D</w:t>
            </w:r>
            <w:r w:rsidR="00083ED9">
              <w:rPr>
                <w:sz w:val="20"/>
                <w:szCs w:val="20"/>
              </w:rPr>
              <w:t>/</w:t>
            </w:r>
            <w:r w:rsidR="00B46DCB">
              <w:rPr>
                <w:sz w:val="20"/>
                <w:szCs w:val="20"/>
              </w:rPr>
              <w:t>E</w:t>
            </w:r>
          </w:p>
        </w:tc>
        <w:tc>
          <w:tcPr>
            <w:tcW w:w="750" w:type="pct"/>
            <w:shd w:val="clear" w:color="auto" w:fill="auto"/>
            <w:noWrap/>
            <w:vAlign w:val="center"/>
          </w:tcPr>
          <w:p w:rsidR="00DF0D52" w:rsidRPr="00AC7E06" w:rsidRDefault="00DF0D52" w:rsidP="008A7465">
            <w:pPr>
              <w:spacing w:after="0"/>
              <w:jc w:val="right"/>
              <w:rPr>
                <w:color w:val="000000"/>
                <w:sz w:val="20"/>
                <w:szCs w:val="20"/>
              </w:rPr>
            </w:pPr>
            <w:r w:rsidRPr="00AC7E06">
              <w:rPr>
                <w:color w:val="000000"/>
                <w:sz w:val="20"/>
                <w:szCs w:val="20"/>
              </w:rPr>
              <w:t>oxicloreto de cobre</w:t>
            </w:r>
          </w:p>
        </w:tc>
        <w:tc>
          <w:tcPr>
            <w:tcW w:w="575" w:type="pct"/>
            <w:shd w:val="clear" w:color="auto" w:fill="auto"/>
            <w:noWrap/>
            <w:vAlign w:val="center"/>
          </w:tcPr>
          <w:p w:rsidR="00DF0D52" w:rsidRDefault="00DF0D52" w:rsidP="008A7465">
            <w:pPr>
              <w:spacing w:after="0"/>
              <w:jc w:val="right"/>
              <w:rPr>
                <w:color w:val="000000"/>
                <w:sz w:val="20"/>
                <w:szCs w:val="20"/>
              </w:rPr>
            </w:pPr>
            <w:r>
              <w:rPr>
                <w:color w:val="000000"/>
                <w:sz w:val="20"/>
                <w:szCs w:val="20"/>
              </w:rPr>
              <w:t>45,8</w:t>
            </w:r>
          </w:p>
        </w:tc>
        <w:tc>
          <w:tcPr>
            <w:tcW w:w="98" w:type="pct"/>
            <w:shd w:val="clear" w:color="auto" w:fill="auto"/>
            <w:noWrap/>
            <w:vAlign w:val="center"/>
          </w:tcPr>
          <w:p w:rsidR="00DF0D52" w:rsidRPr="00DF0D52" w:rsidRDefault="00DF0D52" w:rsidP="008A7465">
            <w:pPr>
              <w:spacing w:after="0"/>
              <w:rPr>
                <w:b/>
                <w:sz w:val="20"/>
                <w:szCs w:val="20"/>
              </w:rPr>
            </w:pPr>
            <w:r w:rsidRPr="00DF0D52">
              <w:rPr>
                <w:b/>
                <w:sz w:val="20"/>
                <w:szCs w:val="20"/>
              </w:rPr>
              <w:t>a</w:t>
            </w:r>
          </w:p>
        </w:tc>
        <w:tc>
          <w:tcPr>
            <w:tcW w:w="98" w:type="pct"/>
            <w:shd w:val="clear" w:color="auto" w:fill="auto"/>
            <w:noWrap/>
            <w:vAlign w:val="center"/>
          </w:tcPr>
          <w:p w:rsidR="00DF0D52" w:rsidRPr="00DF0D52" w:rsidRDefault="00DF0D52" w:rsidP="008A7465">
            <w:pPr>
              <w:spacing w:after="0"/>
              <w:rPr>
                <w:b/>
              </w:rPr>
            </w:pPr>
            <w:r w:rsidRPr="00DF0D52">
              <w:rPr>
                <w:b/>
                <w:sz w:val="20"/>
                <w:szCs w:val="20"/>
              </w:rPr>
              <w:t>b</w:t>
            </w:r>
          </w:p>
        </w:tc>
        <w:tc>
          <w:tcPr>
            <w:tcW w:w="93" w:type="pct"/>
            <w:shd w:val="clear" w:color="auto" w:fill="auto"/>
            <w:noWrap/>
            <w:vAlign w:val="center"/>
          </w:tcPr>
          <w:p w:rsidR="00DF0D52" w:rsidRPr="00DF0D52" w:rsidRDefault="00DF0D52" w:rsidP="008A7465">
            <w:pPr>
              <w:spacing w:after="0"/>
              <w:rPr>
                <w:b/>
              </w:rPr>
            </w:pPr>
            <w:r w:rsidRPr="00DF0D52">
              <w:rPr>
                <w:b/>
                <w:sz w:val="20"/>
                <w:szCs w:val="20"/>
              </w:rPr>
              <w:t>c</w:t>
            </w:r>
          </w:p>
        </w:tc>
        <w:tc>
          <w:tcPr>
            <w:tcW w:w="76" w:type="pct"/>
            <w:shd w:val="clear" w:color="auto" w:fill="auto"/>
            <w:noWrap/>
            <w:vAlign w:val="center"/>
          </w:tcPr>
          <w:p w:rsidR="00DF0D52" w:rsidRPr="00AC7E06" w:rsidRDefault="00DF0D52" w:rsidP="008A7465">
            <w:pPr>
              <w:spacing w:after="0"/>
              <w:rPr>
                <w:sz w:val="20"/>
                <w:szCs w:val="20"/>
              </w:rPr>
            </w:pPr>
          </w:p>
        </w:tc>
        <w:tc>
          <w:tcPr>
            <w:tcW w:w="819" w:type="pct"/>
            <w:shd w:val="clear" w:color="auto" w:fill="auto"/>
            <w:vAlign w:val="center"/>
          </w:tcPr>
          <w:p w:rsidR="00DF0D52" w:rsidRPr="00AC7E06" w:rsidRDefault="00083ED9" w:rsidP="008A7465">
            <w:pPr>
              <w:spacing w:after="0"/>
              <w:rPr>
                <w:sz w:val="20"/>
                <w:szCs w:val="20"/>
              </w:rPr>
            </w:pPr>
            <w:r w:rsidRPr="00AC7E06">
              <w:rPr>
                <w:color w:val="000000"/>
                <w:sz w:val="20"/>
                <w:szCs w:val="20"/>
              </w:rPr>
              <w:t>Poda</w:t>
            </w:r>
          </w:p>
        </w:tc>
        <w:tc>
          <w:tcPr>
            <w:tcW w:w="750" w:type="pct"/>
            <w:shd w:val="clear" w:color="auto" w:fill="auto"/>
            <w:vAlign w:val="center"/>
          </w:tcPr>
          <w:p w:rsidR="00DF0D52" w:rsidRPr="00AC7E06" w:rsidRDefault="00DF0D52" w:rsidP="008A7465">
            <w:pPr>
              <w:spacing w:after="0"/>
              <w:rPr>
                <w:sz w:val="20"/>
                <w:szCs w:val="20"/>
              </w:rPr>
            </w:pPr>
            <w:r w:rsidRPr="00AC7E06">
              <w:rPr>
                <w:color w:val="000000"/>
                <w:sz w:val="20"/>
                <w:szCs w:val="20"/>
              </w:rPr>
              <w:t>tebuconazol</w:t>
            </w:r>
          </w:p>
        </w:tc>
        <w:tc>
          <w:tcPr>
            <w:tcW w:w="575" w:type="pct"/>
            <w:shd w:val="clear" w:color="auto" w:fill="auto"/>
            <w:vAlign w:val="center"/>
          </w:tcPr>
          <w:p w:rsidR="00DF0D52" w:rsidRPr="00AC7E06" w:rsidRDefault="00DF0D52" w:rsidP="008A7465">
            <w:pPr>
              <w:spacing w:after="0"/>
              <w:jc w:val="right"/>
              <w:rPr>
                <w:sz w:val="20"/>
                <w:szCs w:val="20"/>
              </w:rPr>
            </w:pPr>
            <w:r w:rsidRPr="00AC7E06">
              <w:rPr>
                <w:sz w:val="20"/>
                <w:szCs w:val="20"/>
              </w:rPr>
              <w:t>36,6</w:t>
            </w:r>
          </w:p>
        </w:tc>
        <w:tc>
          <w:tcPr>
            <w:tcW w:w="98" w:type="pct"/>
            <w:shd w:val="clear" w:color="auto" w:fill="auto"/>
            <w:vAlign w:val="center"/>
          </w:tcPr>
          <w:p w:rsidR="00DF0D52" w:rsidRPr="00DF0D52" w:rsidRDefault="00DF0D52" w:rsidP="008A7465">
            <w:pPr>
              <w:spacing w:after="0"/>
              <w:rPr>
                <w:b/>
                <w:sz w:val="20"/>
                <w:szCs w:val="20"/>
              </w:rPr>
            </w:pPr>
            <w:r w:rsidRPr="00DF0D52">
              <w:rPr>
                <w:b/>
                <w:sz w:val="20"/>
                <w:szCs w:val="20"/>
              </w:rPr>
              <w:t> </w:t>
            </w:r>
          </w:p>
        </w:tc>
        <w:tc>
          <w:tcPr>
            <w:tcW w:w="98" w:type="pct"/>
            <w:shd w:val="clear" w:color="auto" w:fill="auto"/>
            <w:vAlign w:val="center"/>
          </w:tcPr>
          <w:p w:rsidR="00DF0D52" w:rsidRPr="00DF0D52" w:rsidRDefault="00DF0D52" w:rsidP="008A7465">
            <w:pPr>
              <w:spacing w:after="0"/>
              <w:rPr>
                <w:b/>
                <w:sz w:val="20"/>
                <w:szCs w:val="20"/>
              </w:rPr>
            </w:pPr>
            <w:r w:rsidRPr="00DF0D52">
              <w:rPr>
                <w:b/>
                <w:sz w:val="20"/>
                <w:szCs w:val="20"/>
              </w:rPr>
              <w:t>b</w:t>
            </w:r>
          </w:p>
        </w:tc>
        <w:tc>
          <w:tcPr>
            <w:tcW w:w="93" w:type="pct"/>
            <w:shd w:val="clear" w:color="auto" w:fill="auto"/>
            <w:vAlign w:val="center"/>
          </w:tcPr>
          <w:p w:rsidR="00DF0D52" w:rsidRPr="00DF0D52" w:rsidRDefault="00DF0D52" w:rsidP="008A7465">
            <w:pPr>
              <w:spacing w:after="0"/>
              <w:rPr>
                <w:b/>
                <w:sz w:val="20"/>
                <w:szCs w:val="20"/>
              </w:rPr>
            </w:pPr>
            <w:r w:rsidRPr="00DF0D52">
              <w:rPr>
                <w:b/>
                <w:sz w:val="20"/>
                <w:szCs w:val="20"/>
              </w:rPr>
              <w:t>c</w:t>
            </w:r>
          </w:p>
        </w:tc>
        <w:tc>
          <w:tcPr>
            <w:tcW w:w="97" w:type="pct"/>
            <w:shd w:val="clear" w:color="auto" w:fill="auto"/>
            <w:vAlign w:val="center"/>
          </w:tcPr>
          <w:p w:rsidR="00DF0D52" w:rsidRPr="00DF0D52" w:rsidRDefault="00DF0D52" w:rsidP="008A7465">
            <w:pPr>
              <w:spacing w:after="0"/>
              <w:rPr>
                <w:b/>
                <w:sz w:val="20"/>
                <w:szCs w:val="20"/>
              </w:rPr>
            </w:pPr>
            <w:r w:rsidRPr="00DF0D52">
              <w:rPr>
                <w:b/>
                <w:sz w:val="20"/>
                <w:szCs w:val="20"/>
              </w:rPr>
              <w:t>d</w:t>
            </w:r>
          </w:p>
        </w:tc>
      </w:tr>
      <w:tr w:rsidR="00DF0D52" w:rsidRPr="00AC7E06" w:rsidTr="00DF0D52">
        <w:trPr>
          <w:cantSplit/>
        </w:trPr>
        <w:tc>
          <w:tcPr>
            <w:tcW w:w="780" w:type="pct"/>
            <w:shd w:val="clear" w:color="auto" w:fill="auto"/>
            <w:noWrap/>
          </w:tcPr>
          <w:p w:rsidR="00DF0D52" w:rsidRDefault="00DF0D52" w:rsidP="008A7465">
            <w:pPr>
              <w:spacing w:after="0"/>
            </w:pPr>
            <w:r w:rsidRPr="008E7B43">
              <w:rPr>
                <w:sz w:val="20"/>
                <w:szCs w:val="20"/>
              </w:rPr>
              <w:t xml:space="preserve">Est. fenol. </w:t>
            </w:r>
            <w:r w:rsidR="00B46DCB">
              <w:rPr>
                <w:sz w:val="20"/>
                <w:szCs w:val="20"/>
              </w:rPr>
              <w:t>D</w:t>
            </w:r>
            <w:r w:rsidR="00083ED9">
              <w:rPr>
                <w:sz w:val="20"/>
                <w:szCs w:val="20"/>
              </w:rPr>
              <w:t>/</w:t>
            </w:r>
            <w:r w:rsidR="00B46DCB">
              <w:rPr>
                <w:sz w:val="20"/>
                <w:szCs w:val="20"/>
              </w:rPr>
              <w:t>E</w:t>
            </w:r>
          </w:p>
        </w:tc>
        <w:tc>
          <w:tcPr>
            <w:tcW w:w="750" w:type="pct"/>
            <w:shd w:val="clear" w:color="auto" w:fill="auto"/>
            <w:noWrap/>
            <w:vAlign w:val="center"/>
          </w:tcPr>
          <w:p w:rsidR="00DF0D52" w:rsidRPr="00AC7E06" w:rsidRDefault="00DF0D52" w:rsidP="008A7465">
            <w:pPr>
              <w:spacing w:after="0"/>
              <w:jc w:val="right"/>
              <w:rPr>
                <w:color w:val="000000"/>
                <w:sz w:val="20"/>
                <w:szCs w:val="20"/>
              </w:rPr>
            </w:pPr>
            <w:r w:rsidRPr="00AC7E06">
              <w:rPr>
                <w:color w:val="000000"/>
                <w:sz w:val="20"/>
                <w:szCs w:val="20"/>
              </w:rPr>
              <w:t>água</w:t>
            </w:r>
          </w:p>
        </w:tc>
        <w:tc>
          <w:tcPr>
            <w:tcW w:w="575" w:type="pct"/>
            <w:shd w:val="clear" w:color="auto" w:fill="auto"/>
            <w:noWrap/>
            <w:vAlign w:val="center"/>
          </w:tcPr>
          <w:p w:rsidR="00DF0D52" w:rsidRDefault="00DF0D52" w:rsidP="008A7465">
            <w:pPr>
              <w:spacing w:after="0"/>
              <w:jc w:val="right"/>
              <w:rPr>
                <w:color w:val="000000"/>
                <w:sz w:val="20"/>
                <w:szCs w:val="20"/>
              </w:rPr>
            </w:pPr>
            <w:r>
              <w:rPr>
                <w:color w:val="000000"/>
                <w:sz w:val="20"/>
                <w:szCs w:val="20"/>
              </w:rPr>
              <w:t>45,9</w:t>
            </w:r>
          </w:p>
        </w:tc>
        <w:tc>
          <w:tcPr>
            <w:tcW w:w="98" w:type="pct"/>
            <w:shd w:val="clear" w:color="auto" w:fill="auto"/>
            <w:noWrap/>
            <w:vAlign w:val="center"/>
          </w:tcPr>
          <w:p w:rsidR="00DF0D52" w:rsidRPr="00DF0D52" w:rsidRDefault="00DF0D52" w:rsidP="008A7465">
            <w:pPr>
              <w:spacing w:after="0"/>
              <w:rPr>
                <w:b/>
                <w:sz w:val="20"/>
                <w:szCs w:val="20"/>
              </w:rPr>
            </w:pPr>
            <w:r w:rsidRPr="00DF0D52">
              <w:rPr>
                <w:b/>
                <w:sz w:val="20"/>
                <w:szCs w:val="20"/>
              </w:rPr>
              <w:t>a</w:t>
            </w:r>
          </w:p>
        </w:tc>
        <w:tc>
          <w:tcPr>
            <w:tcW w:w="98" w:type="pct"/>
            <w:shd w:val="clear" w:color="auto" w:fill="auto"/>
            <w:noWrap/>
            <w:vAlign w:val="center"/>
          </w:tcPr>
          <w:p w:rsidR="00DF0D52" w:rsidRPr="00DF0D52" w:rsidRDefault="00DF0D52" w:rsidP="008A7465">
            <w:pPr>
              <w:spacing w:after="0"/>
              <w:rPr>
                <w:b/>
              </w:rPr>
            </w:pPr>
            <w:r w:rsidRPr="00DF0D52">
              <w:rPr>
                <w:b/>
                <w:sz w:val="20"/>
                <w:szCs w:val="20"/>
              </w:rPr>
              <w:t>b</w:t>
            </w:r>
          </w:p>
        </w:tc>
        <w:tc>
          <w:tcPr>
            <w:tcW w:w="93" w:type="pct"/>
            <w:shd w:val="clear" w:color="auto" w:fill="auto"/>
            <w:noWrap/>
            <w:vAlign w:val="center"/>
          </w:tcPr>
          <w:p w:rsidR="00DF0D52" w:rsidRPr="00DF0D52" w:rsidRDefault="00DF0D52" w:rsidP="008A7465">
            <w:pPr>
              <w:spacing w:after="0"/>
              <w:rPr>
                <w:b/>
              </w:rPr>
            </w:pPr>
            <w:r w:rsidRPr="00DF0D52">
              <w:rPr>
                <w:b/>
                <w:sz w:val="20"/>
                <w:szCs w:val="20"/>
              </w:rPr>
              <w:t>c</w:t>
            </w:r>
          </w:p>
        </w:tc>
        <w:tc>
          <w:tcPr>
            <w:tcW w:w="76" w:type="pct"/>
            <w:shd w:val="clear" w:color="auto" w:fill="auto"/>
            <w:noWrap/>
            <w:vAlign w:val="center"/>
          </w:tcPr>
          <w:p w:rsidR="00DF0D52" w:rsidRPr="00AC7E06" w:rsidRDefault="00DF0D52" w:rsidP="008A7465">
            <w:pPr>
              <w:spacing w:after="0"/>
              <w:rPr>
                <w:sz w:val="20"/>
                <w:szCs w:val="20"/>
              </w:rPr>
            </w:pPr>
          </w:p>
        </w:tc>
        <w:tc>
          <w:tcPr>
            <w:tcW w:w="819" w:type="pct"/>
            <w:shd w:val="clear" w:color="auto" w:fill="auto"/>
            <w:vAlign w:val="center"/>
          </w:tcPr>
          <w:p w:rsidR="00DF0D52" w:rsidRPr="00AC7E06" w:rsidRDefault="00083ED9" w:rsidP="008A7465">
            <w:pPr>
              <w:spacing w:after="0"/>
              <w:rPr>
                <w:sz w:val="20"/>
                <w:szCs w:val="20"/>
              </w:rPr>
            </w:pPr>
            <w:r w:rsidRPr="00AC7E06">
              <w:rPr>
                <w:color w:val="000000"/>
                <w:sz w:val="20"/>
                <w:szCs w:val="20"/>
              </w:rPr>
              <w:t>Poda</w:t>
            </w:r>
            <w:r w:rsidRPr="00AC7E06">
              <w:rPr>
                <w:sz w:val="20"/>
                <w:szCs w:val="20"/>
              </w:rPr>
              <w:t xml:space="preserve"> </w:t>
            </w:r>
            <w:r w:rsidR="00DF0D52" w:rsidRPr="00AC7E06">
              <w:rPr>
                <w:sz w:val="20"/>
                <w:szCs w:val="20"/>
              </w:rPr>
              <w:t>+</w:t>
            </w:r>
            <w:r w:rsidR="00DF0D52">
              <w:rPr>
                <w:sz w:val="20"/>
                <w:szCs w:val="20"/>
              </w:rPr>
              <w:t xml:space="preserve"> e</w:t>
            </w:r>
            <w:r w:rsidR="00DF0D52" w:rsidRPr="004570EB">
              <w:rPr>
                <w:sz w:val="20"/>
                <w:szCs w:val="20"/>
              </w:rPr>
              <w:t xml:space="preserve">st. fenol. </w:t>
            </w:r>
            <w:r w:rsidR="00B46DCB">
              <w:rPr>
                <w:sz w:val="20"/>
                <w:szCs w:val="20"/>
              </w:rPr>
              <w:t>D</w:t>
            </w:r>
            <w:r>
              <w:rPr>
                <w:sz w:val="20"/>
                <w:szCs w:val="20"/>
              </w:rPr>
              <w:t>/</w:t>
            </w:r>
            <w:r w:rsidR="00B46DCB">
              <w:rPr>
                <w:sz w:val="20"/>
                <w:szCs w:val="20"/>
              </w:rPr>
              <w:t>E</w:t>
            </w:r>
          </w:p>
        </w:tc>
        <w:tc>
          <w:tcPr>
            <w:tcW w:w="750" w:type="pct"/>
            <w:shd w:val="clear" w:color="auto" w:fill="auto"/>
            <w:vAlign w:val="center"/>
          </w:tcPr>
          <w:p w:rsidR="00DF0D52" w:rsidRPr="00AC7E06" w:rsidRDefault="00DF0D52" w:rsidP="008A7465">
            <w:pPr>
              <w:spacing w:after="0"/>
              <w:rPr>
                <w:sz w:val="20"/>
                <w:szCs w:val="20"/>
              </w:rPr>
            </w:pPr>
            <w:r w:rsidRPr="00AC7E06">
              <w:rPr>
                <w:color w:val="000000"/>
                <w:sz w:val="20"/>
                <w:szCs w:val="20"/>
              </w:rPr>
              <w:t>azoxistrobina</w:t>
            </w:r>
          </w:p>
        </w:tc>
        <w:tc>
          <w:tcPr>
            <w:tcW w:w="575" w:type="pct"/>
            <w:shd w:val="clear" w:color="auto" w:fill="auto"/>
            <w:vAlign w:val="center"/>
          </w:tcPr>
          <w:p w:rsidR="00DF0D52" w:rsidRPr="00AC7E06" w:rsidRDefault="00DF0D52" w:rsidP="008A7465">
            <w:pPr>
              <w:spacing w:after="0"/>
              <w:jc w:val="right"/>
              <w:rPr>
                <w:sz w:val="20"/>
                <w:szCs w:val="20"/>
              </w:rPr>
            </w:pPr>
            <w:r w:rsidRPr="00AC7E06">
              <w:rPr>
                <w:sz w:val="20"/>
                <w:szCs w:val="20"/>
              </w:rPr>
              <w:t>36,6</w:t>
            </w:r>
          </w:p>
        </w:tc>
        <w:tc>
          <w:tcPr>
            <w:tcW w:w="98" w:type="pct"/>
            <w:shd w:val="clear" w:color="auto" w:fill="auto"/>
            <w:vAlign w:val="center"/>
          </w:tcPr>
          <w:p w:rsidR="00DF0D52" w:rsidRPr="00DF0D52" w:rsidRDefault="00DF0D52" w:rsidP="008A7465">
            <w:pPr>
              <w:spacing w:after="0"/>
              <w:rPr>
                <w:b/>
                <w:sz w:val="20"/>
                <w:szCs w:val="20"/>
              </w:rPr>
            </w:pPr>
            <w:r w:rsidRPr="00DF0D52">
              <w:rPr>
                <w:b/>
                <w:sz w:val="20"/>
                <w:szCs w:val="20"/>
              </w:rPr>
              <w:t> </w:t>
            </w:r>
          </w:p>
        </w:tc>
        <w:tc>
          <w:tcPr>
            <w:tcW w:w="98" w:type="pct"/>
            <w:shd w:val="clear" w:color="auto" w:fill="auto"/>
            <w:vAlign w:val="center"/>
          </w:tcPr>
          <w:p w:rsidR="00DF0D52" w:rsidRPr="00DF0D52" w:rsidRDefault="00DF0D52" w:rsidP="008A7465">
            <w:pPr>
              <w:spacing w:after="0"/>
              <w:rPr>
                <w:b/>
                <w:sz w:val="20"/>
                <w:szCs w:val="20"/>
              </w:rPr>
            </w:pPr>
            <w:r w:rsidRPr="00DF0D52">
              <w:rPr>
                <w:b/>
                <w:sz w:val="20"/>
                <w:szCs w:val="20"/>
              </w:rPr>
              <w:t>b</w:t>
            </w:r>
          </w:p>
        </w:tc>
        <w:tc>
          <w:tcPr>
            <w:tcW w:w="93" w:type="pct"/>
            <w:shd w:val="clear" w:color="auto" w:fill="auto"/>
            <w:vAlign w:val="center"/>
          </w:tcPr>
          <w:p w:rsidR="00DF0D52" w:rsidRPr="00DF0D52" w:rsidRDefault="00DF0D52" w:rsidP="008A7465">
            <w:pPr>
              <w:spacing w:after="0"/>
              <w:rPr>
                <w:b/>
                <w:sz w:val="20"/>
                <w:szCs w:val="20"/>
              </w:rPr>
            </w:pPr>
            <w:r w:rsidRPr="00DF0D52">
              <w:rPr>
                <w:b/>
                <w:sz w:val="20"/>
                <w:szCs w:val="20"/>
              </w:rPr>
              <w:t>c</w:t>
            </w:r>
          </w:p>
        </w:tc>
        <w:tc>
          <w:tcPr>
            <w:tcW w:w="97" w:type="pct"/>
            <w:shd w:val="clear" w:color="auto" w:fill="auto"/>
            <w:vAlign w:val="center"/>
          </w:tcPr>
          <w:p w:rsidR="00DF0D52" w:rsidRPr="00DF0D52" w:rsidRDefault="00DF0D52" w:rsidP="008A7465">
            <w:pPr>
              <w:spacing w:after="0"/>
              <w:rPr>
                <w:b/>
                <w:sz w:val="20"/>
                <w:szCs w:val="20"/>
              </w:rPr>
            </w:pPr>
            <w:r w:rsidRPr="00DF0D52">
              <w:rPr>
                <w:b/>
                <w:sz w:val="20"/>
                <w:szCs w:val="20"/>
              </w:rPr>
              <w:t>d</w:t>
            </w:r>
          </w:p>
        </w:tc>
      </w:tr>
      <w:tr w:rsidR="00DF0D52" w:rsidRPr="00AC7E06" w:rsidTr="00DF0D52">
        <w:trPr>
          <w:cantSplit/>
        </w:trPr>
        <w:tc>
          <w:tcPr>
            <w:tcW w:w="780" w:type="pct"/>
            <w:shd w:val="clear" w:color="auto" w:fill="auto"/>
            <w:noWrap/>
            <w:vAlign w:val="center"/>
          </w:tcPr>
          <w:p w:rsidR="00DF0D52" w:rsidRPr="00AC7E06" w:rsidRDefault="00DF0D52" w:rsidP="008A7465">
            <w:pPr>
              <w:spacing w:after="0"/>
              <w:rPr>
                <w:color w:val="000000"/>
                <w:sz w:val="20"/>
                <w:szCs w:val="20"/>
              </w:rPr>
            </w:pPr>
            <w:r w:rsidRPr="00AC7E06">
              <w:rPr>
                <w:color w:val="000000"/>
                <w:sz w:val="20"/>
                <w:szCs w:val="20"/>
              </w:rPr>
              <w:t>Poda+</w:t>
            </w:r>
            <w:r w:rsidRPr="004570EB">
              <w:rPr>
                <w:sz w:val="20"/>
                <w:szCs w:val="20"/>
              </w:rPr>
              <w:t xml:space="preserve"> </w:t>
            </w:r>
            <w:r>
              <w:rPr>
                <w:sz w:val="20"/>
                <w:szCs w:val="20"/>
              </w:rPr>
              <w:t>e</w:t>
            </w:r>
            <w:r w:rsidRPr="004570EB">
              <w:rPr>
                <w:sz w:val="20"/>
                <w:szCs w:val="20"/>
              </w:rPr>
              <w:t xml:space="preserve">st. fenol. </w:t>
            </w:r>
            <w:r w:rsidR="00B46DCB">
              <w:rPr>
                <w:sz w:val="20"/>
                <w:szCs w:val="20"/>
              </w:rPr>
              <w:t>D</w:t>
            </w:r>
            <w:r w:rsidR="00083ED9">
              <w:rPr>
                <w:sz w:val="20"/>
                <w:szCs w:val="20"/>
              </w:rPr>
              <w:t>/</w:t>
            </w:r>
            <w:r w:rsidR="00B46DCB">
              <w:rPr>
                <w:sz w:val="20"/>
                <w:szCs w:val="20"/>
              </w:rPr>
              <w:t>E</w:t>
            </w:r>
          </w:p>
        </w:tc>
        <w:tc>
          <w:tcPr>
            <w:tcW w:w="750" w:type="pct"/>
            <w:shd w:val="clear" w:color="auto" w:fill="auto"/>
            <w:noWrap/>
            <w:vAlign w:val="center"/>
          </w:tcPr>
          <w:p w:rsidR="00DF0D52" w:rsidRPr="00AC7E06" w:rsidRDefault="00DF0D52" w:rsidP="008A7465">
            <w:pPr>
              <w:spacing w:after="0"/>
              <w:jc w:val="right"/>
              <w:rPr>
                <w:color w:val="000000"/>
                <w:sz w:val="20"/>
                <w:szCs w:val="20"/>
              </w:rPr>
            </w:pPr>
            <w:r w:rsidRPr="00AC7E06">
              <w:rPr>
                <w:color w:val="000000"/>
                <w:sz w:val="20"/>
                <w:szCs w:val="20"/>
              </w:rPr>
              <w:t>ciprodinil+fludioxonil</w:t>
            </w:r>
          </w:p>
        </w:tc>
        <w:tc>
          <w:tcPr>
            <w:tcW w:w="575" w:type="pct"/>
            <w:shd w:val="clear" w:color="auto" w:fill="auto"/>
            <w:noWrap/>
            <w:vAlign w:val="center"/>
          </w:tcPr>
          <w:p w:rsidR="00DF0D52" w:rsidRDefault="00DF0D52" w:rsidP="008A7465">
            <w:pPr>
              <w:spacing w:after="0"/>
              <w:jc w:val="right"/>
              <w:rPr>
                <w:color w:val="000000"/>
                <w:sz w:val="20"/>
                <w:szCs w:val="20"/>
              </w:rPr>
            </w:pPr>
            <w:r>
              <w:rPr>
                <w:color w:val="000000"/>
                <w:sz w:val="20"/>
                <w:szCs w:val="20"/>
              </w:rPr>
              <w:t>46,2</w:t>
            </w:r>
          </w:p>
        </w:tc>
        <w:tc>
          <w:tcPr>
            <w:tcW w:w="98" w:type="pct"/>
            <w:shd w:val="clear" w:color="auto" w:fill="auto"/>
            <w:noWrap/>
            <w:vAlign w:val="center"/>
          </w:tcPr>
          <w:p w:rsidR="00DF0D52" w:rsidRPr="00DF0D52" w:rsidRDefault="00DF0D52" w:rsidP="008A7465">
            <w:pPr>
              <w:spacing w:after="0"/>
              <w:rPr>
                <w:b/>
                <w:sz w:val="20"/>
                <w:szCs w:val="20"/>
              </w:rPr>
            </w:pPr>
            <w:r w:rsidRPr="00DF0D52">
              <w:rPr>
                <w:b/>
                <w:sz w:val="20"/>
                <w:szCs w:val="20"/>
              </w:rPr>
              <w:t>a</w:t>
            </w:r>
          </w:p>
        </w:tc>
        <w:tc>
          <w:tcPr>
            <w:tcW w:w="98" w:type="pct"/>
            <w:shd w:val="clear" w:color="auto" w:fill="auto"/>
            <w:noWrap/>
            <w:vAlign w:val="center"/>
          </w:tcPr>
          <w:p w:rsidR="00DF0D52" w:rsidRPr="00DF0D52" w:rsidRDefault="00DF0D52" w:rsidP="008A7465">
            <w:pPr>
              <w:spacing w:after="0"/>
              <w:rPr>
                <w:b/>
              </w:rPr>
            </w:pPr>
            <w:r w:rsidRPr="00DF0D52">
              <w:rPr>
                <w:b/>
                <w:sz w:val="20"/>
                <w:szCs w:val="20"/>
              </w:rPr>
              <w:t>b</w:t>
            </w:r>
          </w:p>
        </w:tc>
        <w:tc>
          <w:tcPr>
            <w:tcW w:w="93" w:type="pct"/>
            <w:shd w:val="clear" w:color="auto" w:fill="auto"/>
            <w:noWrap/>
            <w:vAlign w:val="center"/>
          </w:tcPr>
          <w:p w:rsidR="00DF0D52" w:rsidRPr="00DF0D52" w:rsidRDefault="00DF0D52" w:rsidP="008A7465">
            <w:pPr>
              <w:spacing w:after="0"/>
              <w:rPr>
                <w:b/>
              </w:rPr>
            </w:pPr>
            <w:r w:rsidRPr="00DF0D52">
              <w:rPr>
                <w:b/>
                <w:sz w:val="20"/>
                <w:szCs w:val="20"/>
              </w:rPr>
              <w:t>c</w:t>
            </w:r>
          </w:p>
        </w:tc>
        <w:tc>
          <w:tcPr>
            <w:tcW w:w="76" w:type="pct"/>
            <w:shd w:val="clear" w:color="auto" w:fill="auto"/>
            <w:noWrap/>
            <w:vAlign w:val="center"/>
          </w:tcPr>
          <w:p w:rsidR="00DF0D52" w:rsidRPr="00AC7E06" w:rsidRDefault="00DF0D52" w:rsidP="008A7465">
            <w:pPr>
              <w:spacing w:after="0"/>
              <w:rPr>
                <w:sz w:val="20"/>
                <w:szCs w:val="20"/>
              </w:rPr>
            </w:pPr>
          </w:p>
        </w:tc>
        <w:tc>
          <w:tcPr>
            <w:tcW w:w="819" w:type="pct"/>
            <w:shd w:val="clear" w:color="auto" w:fill="auto"/>
            <w:vAlign w:val="center"/>
          </w:tcPr>
          <w:p w:rsidR="00DF0D52" w:rsidRPr="00AC7E06" w:rsidRDefault="00083ED9" w:rsidP="008A7465">
            <w:pPr>
              <w:spacing w:after="0"/>
              <w:rPr>
                <w:sz w:val="20"/>
                <w:szCs w:val="20"/>
              </w:rPr>
            </w:pPr>
            <w:r w:rsidRPr="00AC7E06">
              <w:rPr>
                <w:color w:val="000000"/>
                <w:sz w:val="20"/>
                <w:szCs w:val="20"/>
              </w:rPr>
              <w:t>Poda</w:t>
            </w:r>
          </w:p>
        </w:tc>
        <w:tc>
          <w:tcPr>
            <w:tcW w:w="750" w:type="pct"/>
            <w:shd w:val="clear" w:color="auto" w:fill="auto"/>
            <w:vAlign w:val="center"/>
          </w:tcPr>
          <w:p w:rsidR="00DF0D52" w:rsidRPr="00AC7E06" w:rsidRDefault="00DF0D52" w:rsidP="008A7465">
            <w:pPr>
              <w:spacing w:after="0"/>
              <w:rPr>
                <w:sz w:val="20"/>
                <w:szCs w:val="20"/>
              </w:rPr>
            </w:pPr>
            <w:r w:rsidRPr="00AC7E06">
              <w:rPr>
                <w:sz w:val="20"/>
                <w:szCs w:val="20"/>
              </w:rPr>
              <w:t>água</w:t>
            </w:r>
          </w:p>
        </w:tc>
        <w:tc>
          <w:tcPr>
            <w:tcW w:w="575" w:type="pct"/>
            <w:shd w:val="clear" w:color="auto" w:fill="auto"/>
            <w:vAlign w:val="center"/>
          </w:tcPr>
          <w:p w:rsidR="00DF0D52" w:rsidRPr="00AC7E06" w:rsidRDefault="00DF0D52" w:rsidP="008A7465">
            <w:pPr>
              <w:spacing w:after="0"/>
              <w:jc w:val="right"/>
              <w:rPr>
                <w:sz w:val="20"/>
                <w:szCs w:val="20"/>
              </w:rPr>
            </w:pPr>
            <w:r w:rsidRPr="00AC7E06">
              <w:rPr>
                <w:sz w:val="20"/>
                <w:szCs w:val="20"/>
              </w:rPr>
              <w:t>40,3</w:t>
            </w:r>
          </w:p>
        </w:tc>
        <w:tc>
          <w:tcPr>
            <w:tcW w:w="98" w:type="pct"/>
            <w:shd w:val="clear" w:color="auto" w:fill="auto"/>
            <w:vAlign w:val="center"/>
          </w:tcPr>
          <w:p w:rsidR="00DF0D52" w:rsidRPr="00DF0D52" w:rsidRDefault="00DF0D52" w:rsidP="008A7465">
            <w:pPr>
              <w:spacing w:after="0"/>
              <w:rPr>
                <w:b/>
                <w:sz w:val="20"/>
                <w:szCs w:val="20"/>
              </w:rPr>
            </w:pPr>
          </w:p>
        </w:tc>
        <w:tc>
          <w:tcPr>
            <w:tcW w:w="98" w:type="pct"/>
            <w:shd w:val="clear" w:color="auto" w:fill="auto"/>
            <w:vAlign w:val="center"/>
          </w:tcPr>
          <w:p w:rsidR="00DF0D52" w:rsidRPr="00DF0D52" w:rsidRDefault="00DF0D52" w:rsidP="008A7465">
            <w:pPr>
              <w:spacing w:after="0"/>
              <w:rPr>
                <w:b/>
                <w:sz w:val="20"/>
                <w:szCs w:val="20"/>
              </w:rPr>
            </w:pPr>
          </w:p>
        </w:tc>
        <w:tc>
          <w:tcPr>
            <w:tcW w:w="93" w:type="pct"/>
            <w:shd w:val="clear" w:color="auto" w:fill="auto"/>
            <w:vAlign w:val="center"/>
          </w:tcPr>
          <w:p w:rsidR="00DF0D52" w:rsidRPr="00DF0D52" w:rsidRDefault="00DF0D52" w:rsidP="008A7465">
            <w:pPr>
              <w:spacing w:after="0"/>
              <w:rPr>
                <w:b/>
                <w:sz w:val="20"/>
                <w:szCs w:val="20"/>
              </w:rPr>
            </w:pPr>
            <w:r w:rsidRPr="00DF0D52">
              <w:rPr>
                <w:b/>
                <w:sz w:val="20"/>
                <w:szCs w:val="20"/>
              </w:rPr>
              <w:t>c</w:t>
            </w:r>
          </w:p>
        </w:tc>
        <w:tc>
          <w:tcPr>
            <w:tcW w:w="97" w:type="pct"/>
            <w:shd w:val="clear" w:color="auto" w:fill="auto"/>
            <w:vAlign w:val="center"/>
          </w:tcPr>
          <w:p w:rsidR="00DF0D52" w:rsidRPr="00DF0D52" w:rsidRDefault="00DF0D52" w:rsidP="008A7465">
            <w:pPr>
              <w:spacing w:after="0"/>
              <w:rPr>
                <w:b/>
                <w:sz w:val="20"/>
                <w:szCs w:val="20"/>
              </w:rPr>
            </w:pPr>
            <w:r w:rsidRPr="00DF0D52">
              <w:rPr>
                <w:b/>
                <w:sz w:val="20"/>
                <w:szCs w:val="20"/>
              </w:rPr>
              <w:t>d</w:t>
            </w:r>
          </w:p>
        </w:tc>
      </w:tr>
      <w:tr w:rsidR="00DF0D52" w:rsidRPr="00AC7E06" w:rsidTr="00DF0D52">
        <w:trPr>
          <w:cantSplit/>
        </w:trPr>
        <w:tc>
          <w:tcPr>
            <w:tcW w:w="780" w:type="pct"/>
            <w:shd w:val="clear" w:color="auto" w:fill="auto"/>
            <w:noWrap/>
            <w:vAlign w:val="center"/>
          </w:tcPr>
          <w:p w:rsidR="00DF0D52" w:rsidRPr="00AC7E06" w:rsidRDefault="00083ED9" w:rsidP="008A7465">
            <w:pPr>
              <w:spacing w:after="0"/>
              <w:rPr>
                <w:color w:val="000000"/>
                <w:sz w:val="20"/>
                <w:szCs w:val="20"/>
              </w:rPr>
            </w:pPr>
            <w:r w:rsidRPr="00AC7E06">
              <w:rPr>
                <w:color w:val="000000"/>
                <w:sz w:val="20"/>
                <w:szCs w:val="20"/>
              </w:rPr>
              <w:t>Poda</w:t>
            </w:r>
          </w:p>
        </w:tc>
        <w:tc>
          <w:tcPr>
            <w:tcW w:w="750" w:type="pct"/>
            <w:shd w:val="clear" w:color="auto" w:fill="auto"/>
            <w:noWrap/>
            <w:vAlign w:val="center"/>
          </w:tcPr>
          <w:p w:rsidR="00DF0D52" w:rsidRPr="00AC7E06" w:rsidRDefault="00DF0D52" w:rsidP="008A7465">
            <w:pPr>
              <w:spacing w:after="0"/>
              <w:jc w:val="right"/>
              <w:rPr>
                <w:color w:val="000000"/>
                <w:sz w:val="20"/>
                <w:szCs w:val="20"/>
              </w:rPr>
            </w:pPr>
            <w:r w:rsidRPr="00AC7E06">
              <w:rPr>
                <w:color w:val="000000"/>
                <w:sz w:val="20"/>
                <w:szCs w:val="20"/>
              </w:rPr>
              <w:t>ciprodinil+fludioxonil</w:t>
            </w:r>
          </w:p>
        </w:tc>
        <w:tc>
          <w:tcPr>
            <w:tcW w:w="575" w:type="pct"/>
            <w:shd w:val="clear" w:color="auto" w:fill="auto"/>
            <w:noWrap/>
            <w:vAlign w:val="center"/>
          </w:tcPr>
          <w:p w:rsidR="00DF0D52" w:rsidRDefault="00DF0D52" w:rsidP="008A7465">
            <w:pPr>
              <w:spacing w:after="0"/>
              <w:jc w:val="right"/>
              <w:rPr>
                <w:color w:val="000000"/>
                <w:sz w:val="20"/>
                <w:szCs w:val="20"/>
              </w:rPr>
            </w:pPr>
            <w:r>
              <w:rPr>
                <w:color w:val="000000"/>
                <w:sz w:val="20"/>
                <w:szCs w:val="20"/>
              </w:rPr>
              <w:t>47,1</w:t>
            </w:r>
          </w:p>
        </w:tc>
        <w:tc>
          <w:tcPr>
            <w:tcW w:w="98" w:type="pct"/>
            <w:shd w:val="clear" w:color="auto" w:fill="auto"/>
            <w:noWrap/>
            <w:vAlign w:val="center"/>
          </w:tcPr>
          <w:p w:rsidR="00DF0D52" w:rsidRPr="00DF0D52" w:rsidRDefault="00DF0D52" w:rsidP="008A7465">
            <w:pPr>
              <w:spacing w:after="0"/>
              <w:rPr>
                <w:b/>
                <w:sz w:val="20"/>
                <w:szCs w:val="20"/>
              </w:rPr>
            </w:pPr>
            <w:r w:rsidRPr="00DF0D52">
              <w:rPr>
                <w:b/>
                <w:sz w:val="20"/>
                <w:szCs w:val="20"/>
              </w:rPr>
              <w:t>a</w:t>
            </w:r>
          </w:p>
        </w:tc>
        <w:tc>
          <w:tcPr>
            <w:tcW w:w="98" w:type="pct"/>
            <w:shd w:val="clear" w:color="auto" w:fill="auto"/>
            <w:noWrap/>
            <w:vAlign w:val="center"/>
          </w:tcPr>
          <w:p w:rsidR="00DF0D52" w:rsidRPr="00DF0D52" w:rsidRDefault="00DF0D52" w:rsidP="008A7465">
            <w:pPr>
              <w:spacing w:after="0"/>
              <w:rPr>
                <w:b/>
              </w:rPr>
            </w:pPr>
            <w:r w:rsidRPr="00DF0D52">
              <w:rPr>
                <w:b/>
                <w:sz w:val="20"/>
                <w:szCs w:val="20"/>
              </w:rPr>
              <w:t>b</w:t>
            </w:r>
          </w:p>
        </w:tc>
        <w:tc>
          <w:tcPr>
            <w:tcW w:w="93" w:type="pct"/>
            <w:shd w:val="clear" w:color="auto" w:fill="auto"/>
            <w:noWrap/>
            <w:vAlign w:val="center"/>
          </w:tcPr>
          <w:p w:rsidR="00DF0D52" w:rsidRPr="00DF0D52" w:rsidRDefault="00DF0D52" w:rsidP="008A7465">
            <w:pPr>
              <w:spacing w:after="0"/>
              <w:rPr>
                <w:b/>
              </w:rPr>
            </w:pPr>
            <w:r w:rsidRPr="00DF0D52">
              <w:rPr>
                <w:b/>
                <w:sz w:val="20"/>
                <w:szCs w:val="20"/>
              </w:rPr>
              <w:t>c</w:t>
            </w:r>
          </w:p>
        </w:tc>
        <w:tc>
          <w:tcPr>
            <w:tcW w:w="76" w:type="pct"/>
            <w:shd w:val="clear" w:color="auto" w:fill="auto"/>
            <w:noWrap/>
            <w:vAlign w:val="center"/>
          </w:tcPr>
          <w:p w:rsidR="00DF0D52" w:rsidRPr="00AC7E06" w:rsidRDefault="00DF0D52" w:rsidP="008A7465">
            <w:pPr>
              <w:spacing w:after="0"/>
              <w:rPr>
                <w:sz w:val="20"/>
                <w:szCs w:val="20"/>
              </w:rPr>
            </w:pPr>
          </w:p>
        </w:tc>
        <w:tc>
          <w:tcPr>
            <w:tcW w:w="819" w:type="pct"/>
            <w:shd w:val="clear" w:color="auto" w:fill="auto"/>
            <w:vAlign w:val="center"/>
          </w:tcPr>
          <w:p w:rsidR="00DF0D52" w:rsidRPr="00AC7E06" w:rsidRDefault="00083ED9" w:rsidP="008A7465">
            <w:pPr>
              <w:spacing w:after="0"/>
              <w:rPr>
                <w:sz w:val="20"/>
                <w:szCs w:val="20"/>
              </w:rPr>
            </w:pPr>
            <w:r w:rsidRPr="00AC7E06">
              <w:rPr>
                <w:color w:val="000000"/>
                <w:sz w:val="20"/>
                <w:szCs w:val="20"/>
              </w:rPr>
              <w:t>Poda</w:t>
            </w:r>
          </w:p>
        </w:tc>
        <w:tc>
          <w:tcPr>
            <w:tcW w:w="750" w:type="pct"/>
            <w:shd w:val="clear" w:color="auto" w:fill="auto"/>
            <w:vAlign w:val="center"/>
          </w:tcPr>
          <w:p w:rsidR="00DF0D52" w:rsidRPr="00AC7E06" w:rsidRDefault="00DF0D52" w:rsidP="008A7465">
            <w:pPr>
              <w:spacing w:after="0"/>
              <w:rPr>
                <w:sz w:val="20"/>
                <w:szCs w:val="20"/>
              </w:rPr>
            </w:pPr>
            <w:r w:rsidRPr="00AC7E06">
              <w:rPr>
                <w:color w:val="000000"/>
                <w:sz w:val="20"/>
                <w:szCs w:val="20"/>
              </w:rPr>
              <w:t>azoxistrobina</w:t>
            </w:r>
          </w:p>
        </w:tc>
        <w:tc>
          <w:tcPr>
            <w:tcW w:w="575" w:type="pct"/>
            <w:shd w:val="clear" w:color="auto" w:fill="auto"/>
            <w:vAlign w:val="center"/>
          </w:tcPr>
          <w:p w:rsidR="00DF0D52" w:rsidRPr="00AC7E06" w:rsidRDefault="00DF0D52" w:rsidP="008A7465">
            <w:pPr>
              <w:spacing w:after="0"/>
              <w:jc w:val="right"/>
              <w:rPr>
                <w:sz w:val="20"/>
                <w:szCs w:val="20"/>
              </w:rPr>
            </w:pPr>
            <w:r w:rsidRPr="00AC7E06">
              <w:rPr>
                <w:sz w:val="20"/>
                <w:szCs w:val="20"/>
              </w:rPr>
              <w:t>41,4</w:t>
            </w:r>
          </w:p>
        </w:tc>
        <w:tc>
          <w:tcPr>
            <w:tcW w:w="98" w:type="pct"/>
            <w:shd w:val="clear" w:color="auto" w:fill="auto"/>
            <w:vAlign w:val="center"/>
          </w:tcPr>
          <w:p w:rsidR="00DF0D52" w:rsidRPr="00DF0D52" w:rsidRDefault="00DF0D52" w:rsidP="008A7465">
            <w:pPr>
              <w:spacing w:after="0"/>
              <w:rPr>
                <w:b/>
                <w:sz w:val="20"/>
                <w:szCs w:val="20"/>
              </w:rPr>
            </w:pPr>
          </w:p>
        </w:tc>
        <w:tc>
          <w:tcPr>
            <w:tcW w:w="98" w:type="pct"/>
            <w:shd w:val="clear" w:color="auto" w:fill="auto"/>
            <w:vAlign w:val="center"/>
          </w:tcPr>
          <w:p w:rsidR="00DF0D52" w:rsidRPr="00DF0D52" w:rsidRDefault="00DF0D52" w:rsidP="008A7465">
            <w:pPr>
              <w:spacing w:after="0"/>
              <w:rPr>
                <w:b/>
                <w:sz w:val="20"/>
                <w:szCs w:val="20"/>
              </w:rPr>
            </w:pPr>
          </w:p>
        </w:tc>
        <w:tc>
          <w:tcPr>
            <w:tcW w:w="93" w:type="pct"/>
            <w:shd w:val="clear" w:color="auto" w:fill="auto"/>
            <w:vAlign w:val="center"/>
          </w:tcPr>
          <w:p w:rsidR="00DF0D52" w:rsidRPr="00DF0D52" w:rsidRDefault="00DF0D52" w:rsidP="008A7465">
            <w:pPr>
              <w:spacing w:after="0"/>
              <w:rPr>
                <w:b/>
                <w:sz w:val="20"/>
                <w:szCs w:val="20"/>
              </w:rPr>
            </w:pPr>
            <w:r w:rsidRPr="00DF0D52">
              <w:rPr>
                <w:b/>
                <w:sz w:val="20"/>
                <w:szCs w:val="20"/>
              </w:rPr>
              <w:t>c</w:t>
            </w:r>
          </w:p>
        </w:tc>
        <w:tc>
          <w:tcPr>
            <w:tcW w:w="97" w:type="pct"/>
            <w:shd w:val="clear" w:color="auto" w:fill="auto"/>
            <w:vAlign w:val="center"/>
          </w:tcPr>
          <w:p w:rsidR="00DF0D52" w:rsidRPr="00DF0D52" w:rsidRDefault="00DF0D52" w:rsidP="008A7465">
            <w:pPr>
              <w:spacing w:after="0"/>
              <w:rPr>
                <w:b/>
                <w:sz w:val="20"/>
                <w:szCs w:val="20"/>
              </w:rPr>
            </w:pPr>
            <w:r w:rsidRPr="00DF0D52">
              <w:rPr>
                <w:b/>
                <w:sz w:val="20"/>
                <w:szCs w:val="20"/>
              </w:rPr>
              <w:t>d</w:t>
            </w:r>
          </w:p>
        </w:tc>
      </w:tr>
      <w:tr w:rsidR="00DF0D52" w:rsidRPr="00AC7E06" w:rsidTr="00DF0D52">
        <w:trPr>
          <w:cantSplit/>
        </w:trPr>
        <w:tc>
          <w:tcPr>
            <w:tcW w:w="780" w:type="pct"/>
            <w:shd w:val="clear" w:color="auto" w:fill="auto"/>
            <w:noWrap/>
            <w:vAlign w:val="center"/>
          </w:tcPr>
          <w:p w:rsidR="00DF0D52" w:rsidRPr="00AC7E06" w:rsidRDefault="00DF0D52" w:rsidP="008A7465">
            <w:pPr>
              <w:spacing w:after="0"/>
              <w:rPr>
                <w:color w:val="000000"/>
                <w:sz w:val="20"/>
                <w:szCs w:val="20"/>
              </w:rPr>
            </w:pPr>
            <w:r w:rsidRPr="00AC7E06">
              <w:rPr>
                <w:color w:val="000000"/>
                <w:sz w:val="20"/>
                <w:szCs w:val="20"/>
              </w:rPr>
              <w:t>Poda+</w:t>
            </w:r>
            <w:r w:rsidRPr="004570EB">
              <w:rPr>
                <w:sz w:val="20"/>
                <w:szCs w:val="20"/>
              </w:rPr>
              <w:t xml:space="preserve"> </w:t>
            </w:r>
            <w:r>
              <w:rPr>
                <w:sz w:val="20"/>
                <w:szCs w:val="20"/>
              </w:rPr>
              <w:t>e</w:t>
            </w:r>
            <w:r w:rsidRPr="004570EB">
              <w:rPr>
                <w:sz w:val="20"/>
                <w:szCs w:val="20"/>
              </w:rPr>
              <w:t xml:space="preserve">st. fenol. </w:t>
            </w:r>
            <w:r w:rsidR="00B46DCB">
              <w:rPr>
                <w:sz w:val="20"/>
                <w:szCs w:val="20"/>
              </w:rPr>
              <w:t>D</w:t>
            </w:r>
            <w:r w:rsidR="00083ED9">
              <w:rPr>
                <w:sz w:val="20"/>
                <w:szCs w:val="20"/>
              </w:rPr>
              <w:t>/</w:t>
            </w:r>
            <w:r w:rsidR="00B46DCB">
              <w:rPr>
                <w:sz w:val="20"/>
                <w:szCs w:val="20"/>
              </w:rPr>
              <w:t>E</w:t>
            </w:r>
          </w:p>
        </w:tc>
        <w:tc>
          <w:tcPr>
            <w:tcW w:w="750" w:type="pct"/>
            <w:shd w:val="clear" w:color="auto" w:fill="auto"/>
            <w:noWrap/>
            <w:vAlign w:val="center"/>
          </w:tcPr>
          <w:p w:rsidR="00DF0D52" w:rsidRPr="00AC7E06" w:rsidRDefault="00DF0D52" w:rsidP="008A7465">
            <w:pPr>
              <w:spacing w:after="0"/>
              <w:jc w:val="right"/>
              <w:rPr>
                <w:color w:val="000000"/>
                <w:sz w:val="20"/>
                <w:szCs w:val="20"/>
              </w:rPr>
            </w:pPr>
            <w:r w:rsidRPr="00AC7E06">
              <w:rPr>
                <w:color w:val="000000"/>
                <w:sz w:val="20"/>
                <w:szCs w:val="20"/>
              </w:rPr>
              <w:t>água</w:t>
            </w:r>
          </w:p>
        </w:tc>
        <w:tc>
          <w:tcPr>
            <w:tcW w:w="575" w:type="pct"/>
            <w:shd w:val="clear" w:color="auto" w:fill="auto"/>
            <w:noWrap/>
            <w:vAlign w:val="center"/>
          </w:tcPr>
          <w:p w:rsidR="00DF0D52" w:rsidRDefault="00DF0D52" w:rsidP="008A7465">
            <w:pPr>
              <w:spacing w:after="0"/>
              <w:jc w:val="right"/>
              <w:rPr>
                <w:color w:val="000000"/>
                <w:sz w:val="20"/>
                <w:szCs w:val="20"/>
              </w:rPr>
            </w:pPr>
            <w:r>
              <w:rPr>
                <w:color w:val="000000"/>
                <w:sz w:val="20"/>
                <w:szCs w:val="20"/>
              </w:rPr>
              <w:t>53,3</w:t>
            </w:r>
          </w:p>
        </w:tc>
        <w:tc>
          <w:tcPr>
            <w:tcW w:w="98" w:type="pct"/>
            <w:shd w:val="clear" w:color="auto" w:fill="auto"/>
            <w:noWrap/>
            <w:vAlign w:val="center"/>
          </w:tcPr>
          <w:p w:rsidR="00DF0D52" w:rsidRPr="00DF0D52" w:rsidRDefault="00DF0D52" w:rsidP="008A7465">
            <w:pPr>
              <w:spacing w:after="0"/>
              <w:jc w:val="right"/>
              <w:rPr>
                <w:b/>
                <w:color w:val="000000"/>
                <w:sz w:val="20"/>
                <w:szCs w:val="20"/>
              </w:rPr>
            </w:pPr>
            <w:r w:rsidRPr="00DF0D52">
              <w:rPr>
                <w:b/>
                <w:color w:val="000000"/>
                <w:sz w:val="20"/>
                <w:szCs w:val="20"/>
              </w:rPr>
              <w:t> </w:t>
            </w:r>
          </w:p>
        </w:tc>
        <w:tc>
          <w:tcPr>
            <w:tcW w:w="98" w:type="pct"/>
            <w:shd w:val="clear" w:color="auto" w:fill="auto"/>
            <w:noWrap/>
            <w:vAlign w:val="center"/>
          </w:tcPr>
          <w:p w:rsidR="00DF0D52" w:rsidRPr="00DF0D52" w:rsidRDefault="00DF0D52" w:rsidP="008A7465">
            <w:pPr>
              <w:spacing w:after="0"/>
              <w:rPr>
                <w:b/>
              </w:rPr>
            </w:pPr>
            <w:r w:rsidRPr="00DF0D52">
              <w:rPr>
                <w:b/>
                <w:sz w:val="20"/>
                <w:szCs w:val="20"/>
              </w:rPr>
              <w:t>b</w:t>
            </w:r>
          </w:p>
        </w:tc>
        <w:tc>
          <w:tcPr>
            <w:tcW w:w="93" w:type="pct"/>
            <w:shd w:val="clear" w:color="auto" w:fill="auto"/>
            <w:noWrap/>
            <w:vAlign w:val="center"/>
          </w:tcPr>
          <w:p w:rsidR="00DF0D52" w:rsidRPr="00DF0D52" w:rsidRDefault="00DF0D52" w:rsidP="008A7465">
            <w:pPr>
              <w:spacing w:after="0"/>
              <w:rPr>
                <w:b/>
              </w:rPr>
            </w:pPr>
            <w:r w:rsidRPr="00DF0D52">
              <w:rPr>
                <w:b/>
                <w:sz w:val="20"/>
                <w:szCs w:val="20"/>
              </w:rPr>
              <w:t>c</w:t>
            </w:r>
          </w:p>
        </w:tc>
        <w:tc>
          <w:tcPr>
            <w:tcW w:w="76" w:type="pct"/>
            <w:shd w:val="clear" w:color="auto" w:fill="auto"/>
            <w:noWrap/>
            <w:vAlign w:val="center"/>
          </w:tcPr>
          <w:p w:rsidR="00DF0D52" w:rsidRPr="00AC7E06" w:rsidRDefault="00DF0D52" w:rsidP="008A7465">
            <w:pPr>
              <w:spacing w:after="0"/>
              <w:rPr>
                <w:sz w:val="20"/>
                <w:szCs w:val="20"/>
              </w:rPr>
            </w:pPr>
          </w:p>
        </w:tc>
        <w:tc>
          <w:tcPr>
            <w:tcW w:w="819" w:type="pct"/>
            <w:shd w:val="clear" w:color="auto" w:fill="auto"/>
            <w:vAlign w:val="center"/>
          </w:tcPr>
          <w:p w:rsidR="00DF0D52" w:rsidRPr="00AC7E06" w:rsidRDefault="00083ED9" w:rsidP="008A7465">
            <w:pPr>
              <w:spacing w:after="0"/>
              <w:rPr>
                <w:sz w:val="20"/>
                <w:szCs w:val="20"/>
              </w:rPr>
            </w:pPr>
            <w:r w:rsidRPr="00AC7E06">
              <w:rPr>
                <w:color w:val="000000"/>
                <w:sz w:val="20"/>
                <w:szCs w:val="20"/>
              </w:rPr>
              <w:t>Poda</w:t>
            </w:r>
            <w:r w:rsidRPr="00AC7E06">
              <w:rPr>
                <w:sz w:val="20"/>
                <w:szCs w:val="20"/>
              </w:rPr>
              <w:t xml:space="preserve"> </w:t>
            </w:r>
            <w:r w:rsidR="00DF0D52" w:rsidRPr="00AC7E06">
              <w:rPr>
                <w:sz w:val="20"/>
                <w:szCs w:val="20"/>
              </w:rPr>
              <w:t>+</w:t>
            </w:r>
            <w:r w:rsidR="00DF0D52">
              <w:rPr>
                <w:sz w:val="20"/>
                <w:szCs w:val="20"/>
              </w:rPr>
              <w:t xml:space="preserve"> e</w:t>
            </w:r>
            <w:r w:rsidR="00DF0D52" w:rsidRPr="004570EB">
              <w:rPr>
                <w:sz w:val="20"/>
                <w:szCs w:val="20"/>
              </w:rPr>
              <w:t xml:space="preserve">st. fenol. </w:t>
            </w:r>
            <w:r w:rsidR="00B46DCB">
              <w:rPr>
                <w:sz w:val="20"/>
                <w:szCs w:val="20"/>
              </w:rPr>
              <w:t>D</w:t>
            </w:r>
            <w:r>
              <w:rPr>
                <w:sz w:val="20"/>
                <w:szCs w:val="20"/>
              </w:rPr>
              <w:t>/</w:t>
            </w:r>
            <w:r w:rsidR="00B46DCB">
              <w:rPr>
                <w:sz w:val="20"/>
                <w:szCs w:val="20"/>
              </w:rPr>
              <w:t>E</w:t>
            </w:r>
          </w:p>
        </w:tc>
        <w:tc>
          <w:tcPr>
            <w:tcW w:w="750" w:type="pct"/>
            <w:shd w:val="clear" w:color="auto" w:fill="auto"/>
            <w:vAlign w:val="center"/>
          </w:tcPr>
          <w:p w:rsidR="00DF0D52" w:rsidRPr="00AC7E06" w:rsidRDefault="00DF0D52" w:rsidP="008A7465">
            <w:pPr>
              <w:spacing w:after="0"/>
              <w:rPr>
                <w:sz w:val="20"/>
                <w:szCs w:val="20"/>
              </w:rPr>
            </w:pPr>
            <w:r w:rsidRPr="00AC7E06">
              <w:rPr>
                <w:sz w:val="20"/>
                <w:szCs w:val="20"/>
              </w:rPr>
              <w:t>água</w:t>
            </w:r>
          </w:p>
        </w:tc>
        <w:tc>
          <w:tcPr>
            <w:tcW w:w="575" w:type="pct"/>
            <w:shd w:val="clear" w:color="auto" w:fill="auto"/>
            <w:vAlign w:val="center"/>
          </w:tcPr>
          <w:p w:rsidR="00DF0D52" w:rsidRPr="00AC7E06" w:rsidRDefault="00DF0D52" w:rsidP="008A7465">
            <w:pPr>
              <w:spacing w:after="0"/>
              <w:jc w:val="right"/>
              <w:rPr>
                <w:sz w:val="20"/>
                <w:szCs w:val="20"/>
              </w:rPr>
            </w:pPr>
            <w:r w:rsidRPr="00AC7E06">
              <w:rPr>
                <w:sz w:val="20"/>
                <w:szCs w:val="20"/>
              </w:rPr>
              <w:t>46,8</w:t>
            </w:r>
          </w:p>
        </w:tc>
        <w:tc>
          <w:tcPr>
            <w:tcW w:w="98" w:type="pct"/>
            <w:shd w:val="clear" w:color="auto" w:fill="auto"/>
            <w:vAlign w:val="center"/>
          </w:tcPr>
          <w:p w:rsidR="00DF0D52" w:rsidRPr="00DF0D52" w:rsidRDefault="00DF0D52" w:rsidP="008A7465">
            <w:pPr>
              <w:spacing w:after="0"/>
              <w:rPr>
                <w:b/>
                <w:sz w:val="20"/>
                <w:szCs w:val="20"/>
              </w:rPr>
            </w:pPr>
          </w:p>
        </w:tc>
        <w:tc>
          <w:tcPr>
            <w:tcW w:w="98" w:type="pct"/>
            <w:shd w:val="clear" w:color="auto" w:fill="auto"/>
            <w:vAlign w:val="center"/>
          </w:tcPr>
          <w:p w:rsidR="00DF0D52" w:rsidRPr="00DF0D52" w:rsidRDefault="00DF0D52" w:rsidP="008A7465">
            <w:pPr>
              <w:spacing w:after="0"/>
              <w:rPr>
                <w:b/>
                <w:sz w:val="20"/>
                <w:szCs w:val="20"/>
              </w:rPr>
            </w:pPr>
          </w:p>
        </w:tc>
        <w:tc>
          <w:tcPr>
            <w:tcW w:w="93" w:type="pct"/>
            <w:shd w:val="clear" w:color="auto" w:fill="auto"/>
            <w:vAlign w:val="center"/>
          </w:tcPr>
          <w:p w:rsidR="00DF0D52" w:rsidRPr="00DF0D52" w:rsidRDefault="00DF0D52" w:rsidP="008A7465">
            <w:pPr>
              <w:spacing w:after="0"/>
              <w:rPr>
                <w:b/>
                <w:sz w:val="20"/>
                <w:szCs w:val="20"/>
              </w:rPr>
            </w:pPr>
            <w:r w:rsidRPr="00DF0D52">
              <w:rPr>
                <w:b/>
                <w:sz w:val="20"/>
                <w:szCs w:val="20"/>
              </w:rPr>
              <w:t>c</w:t>
            </w:r>
          </w:p>
        </w:tc>
        <w:tc>
          <w:tcPr>
            <w:tcW w:w="97" w:type="pct"/>
            <w:shd w:val="clear" w:color="auto" w:fill="auto"/>
            <w:vAlign w:val="center"/>
          </w:tcPr>
          <w:p w:rsidR="00DF0D52" w:rsidRPr="00DF0D52" w:rsidRDefault="00DF0D52" w:rsidP="008A7465">
            <w:pPr>
              <w:spacing w:after="0"/>
              <w:rPr>
                <w:b/>
                <w:sz w:val="20"/>
                <w:szCs w:val="20"/>
              </w:rPr>
            </w:pPr>
            <w:r w:rsidRPr="00DF0D52">
              <w:rPr>
                <w:b/>
                <w:sz w:val="20"/>
                <w:szCs w:val="20"/>
              </w:rPr>
              <w:t>d</w:t>
            </w:r>
          </w:p>
        </w:tc>
      </w:tr>
      <w:tr w:rsidR="00DF0D52" w:rsidRPr="00AC7E06" w:rsidTr="00DF0D52">
        <w:trPr>
          <w:cantSplit/>
        </w:trPr>
        <w:tc>
          <w:tcPr>
            <w:tcW w:w="780" w:type="pct"/>
            <w:tcBorders>
              <w:bottom w:val="single" w:sz="4" w:space="0" w:color="auto"/>
            </w:tcBorders>
            <w:shd w:val="clear" w:color="auto" w:fill="auto"/>
            <w:noWrap/>
            <w:vAlign w:val="center"/>
          </w:tcPr>
          <w:p w:rsidR="00DF0D52" w:rsidRPr="00AC7E06" w:rsidRDefault="00083ED9" w:rsidP="008A7465">
            <w:pPr>
              <w:spacing w:after="0"/>
              <w:rPr>
                <w:color w:val="000000"/>
                <w:sz w:val="20"/>
                <w:szCs w:val="20"/>
              </w:rPr>
            </w:pPr>
            <w:r w:rsidRPr="00AC7E06">
              <w:rPr>
                <w:color w:val="000000"/>
                <w:sz w:val="20"/>
                <w:szCs w:val="20"/>
              </w:rPr>
              <w:t>Poda</w:t>
            </w:r>
          </w:p>
        </w:tc>
        <w:tc>
          <w:tcPr>
            <w:tcW w:w="750" w:type="pct"/>
            <w:tcBorders>
              <w:bottom w:val="single" w:sz="4" w:space="0" w:color="auto"/>
            </w:tcBorders>
            <w:shd w:val="clear" w:color="auto" w:fill="auto"/>
            <w:noWrap/>
            <w:vAlign w:val="center"/>
          </w:tcPr>
          <w:p w:rsidR="00DF0D52" w:rsidRPr="00AC7E06" w:rsidRDefault="00DF0D52" w:rsidP="008A7465">
            <w:pPr>
              <w:spacing w:after="0"/>
              <w:jc w:val="right"/>
              <w:rPr>
                <w:color w:val="000000"/>
                <w:sz w:val="20"/>
                <w:szCs w:val="20"/>
              </w:rPr>
            </w:pPr>
            <w:r w:rsidRPr="00AC7E06">
              <w:rPr>
                <w:color w:val="000000"/>
                <w:sz w:val="20"/>
                <w:szCs w:val="20"/>
              </w:rPr>
              <w:t>água</w:t>
            </w:r>
          </w:p>
        </w:tc>
        <w:tc>
          <w:tcPr>
            <w:tcW w:w="575" w:type="pct"/>
            <w:tcBorders>
              <w:bottom w:val="single" w:sz="4" w:space="0" w:color="auto"/>
            </w:tcBorders>
            <w:shd w:val="clear" w:color="auto" w:fill="auto"/>
            <w:noWrap/>
            <w:vAlign w:val="center"/>
          </w:tcPr>
          <w:p w:rsidR="00DF0D52" w:rsidRDefault="00DF0D52" w:rsidP="008A7465">
            <w:pPr>
              <w:spacing w:after="0"/>
              <w:jc w:val="right"/>
              <w:rPr>
                <w:color w:val="000000"/>
                <w:sz w:val="20"/>
                <w:szCs w:val="20"/>
              </w:rPr>
            </w:pPr>
            <w:r>
              <w:rPr>
                <w:color w:val="000000"/>
                <w:sz w:val="20"/>
                <w:szCs w:val="20"/>
              </w:rPr>
              <w:t>55,6</w:t>
            </w:r>
          </w:p>
        </w:tc>
        <w:tc>
          <w:tcPr>
            <w:tcW w:w="98" w:type="pct"/>
            <w:tcBorders>
              <w:bottom w:val="single" w:sz="4" w:space="0" w:color="auto"/>
            </w:tcBorders>
            <w:shd w:val="clear" w:color="auto" w:fill="auto"/>
            <w:noWrap/>
            <w:vAlign w:val="center"/>
          </w:tcPr>
          <w:p w:rsidR="00DF0D52" w:rsidRPr="00DF0D52" w:rsidRDefault="00DF0D52" w:rsidP="008A7465">
            <w:pPr>
              <w:spacing w:after="0"/>
              <w:jc w:val="right"/>
              <w:rPr>
                <w:b/>
                <w:color w:val="000000"/>
                <w:sz w:val="20"/>
                <w:szCs w:val="20"/>
              </w:rPr>
            </w:pPr>
            <w:r w:rsidRPr="00DF0D52">
              <w:rPr>
                <w:b/>
                <w:color w:val="000000"/>
                <w:sz w:val="20"/>
                <w:szCs w:val="20"/>
              </w:rPr>
              <w:t> </w:t>
            </w:r>
          </w:p>
        </w:tc>
        <w:tc>
          <w:tcPr>
            <w:tcW w:w="98" w:type="pct"/>
            <w:tcBorders>
              <w:bottom w:val="single" w:sz="4" w:space="0" w:color="auto"/>
            </w:tcBorders>
            <w:shd w:val="clear" w:color="auto" w:fill="auto"/>
            <w:noWrap/>
            <w:vAlign w:val="center"/>
          </w:tcPr>
          <w:p w:rsidR="00DF0D52" w:rsidRPr="00DF0D52" w:rsidRDefault="00DF0D52" w:rsidP="008A7465">
            <w:pPr>
              <w:spacing w:after="0"/>
              <w:jc w:val="right"/>
              <w:rPr>
                <w:b/>
                <w:color w:val="000000"/>
                <w:sz w:val="20"/>
                <w:szCs w:val="20"/>
              </w:rPr>
            </w:pPr>
            <w:r w:rsidRPr="00DF0D52">
              <w:rPr>
                <w:b/>
                <w:color w:val="000000"/>
                <w:sz w:val="20"/>
                <w:szCs w:val="20"/>
              </w:rPr>
              <w:t> </w:t>
            </w:r>
          </w:p>
        </w:tc>
        <w:tc>
          <w:tcPr>
            <w:tcW w:w="93" w:type="pct"/>
            <w:tcBorders>
              <w:bottom w:val="single" w:sz="4" w:space="0" w:color="auto"/>
            </w:tcBorders>
            <w:shd w:val="clear" w:color="auto" w:fill="auto"/>
            <w:noWrap/>
            <w:vAlign w:val="center"/>
          </w:tcPr>
          <w:p w:rsidR="00DF0D52" w:rsidRPr="00DF0D52" w:rsidRDefault="00DF0D52" w:rsidP="008A7465">
            <w:pPr>
              <w:spacing w:after="0"/>
              <w:rPr>
                <w:b/>
              </w:rPr>
            </w:pPr>
            <w:r w:rsidRPr="00DF0D52">
              <w:rPr>
                <w:b/>
                <w:sz w:val="20"/>
                <w:szCs w:val="20"/>
              </w:rPr>
              <w:t>c</w:t>
            </w:r>
          </w:p>
        </w:tc>
        <w:tc>
          <w:tcPr>
            <w:tcW w:w="76" w:type="pct"/>
            <w:shd w:val="clear" w:color="auto" w:fill="auto"/>
            <w:noWrap/>
            <w:vAlign w:val="center"/>
          </w:tcPr>
          <w:p w:rsidR="00DF0D52" w:rsidRPr="00AC7E06" w:rsidRDefault="00DF0D52" w:rsidP="008A7465">
            <w:pPr>
              <w:spacing w:after="0"/>
              <w:rPr>
                <w:sz w:val="20"/>
                <w:szCs w:val="20"/>
              </w:rPr>
            </w:pPr>
          </w:p>
        </w:tc>
        <w:tc>
          <w:tcPr>
            <w:tcW w:w="819" w:type="pct"/>
            <w:tcBorders>
              <w:bottom w:val="single" w:sz="4" w:space="0" w:color="auto"/>
            </w:tcBorders>
            <w:shd w:val="clear" w:color="auto" w:fill="auto"/>
            <w:vAlign w:val="center"/>
          </w:tcPr>
          <w:p w:rsidR="00DF0D52" w:rsidRPr="00AC7E06" w:rsidRDefault="00083ED9" w:rsidP="008A7465">
            <w:pPr>
              <w:spacing w:after="0"/>
              <w:rPr>
                <w:sz w:val="20"/>
                <w:szCs w:val="20"/>
              </w:rPr>
            </w:pPr>
            <w:r>
              <w:rPr>
                <w:sz w:val="20"/>
                <w:szCs w:val="20"/>
              </w:rPr>
              <w:t>e</w:t>
            </w:r>
            <w:r w:rsidRPr="004570EB">
              <w:rPr>
                <w:sz w:val="20"/>
                <w:szCs w:val="20"/>
              </w:rPr>
              <w:t xml:space="preserve">st. fenol. </w:t>
            </w:r>
            <w:r>
              <w:rPr>
                <w:sz w:val="20"/>
                <w:szCs w:val="20"/>
              </w:rPr>
              <w:t>D/E</w:t>
            </w:r>
          </w:p>
        </w:tc>
        <w:tc>
          <w:tcPr>
            <w:tcW w:w="750" w:type="pct"/>
            <w:tcBorders>
              <w:bottom w:val="single" w:sz="4" w:space="0" w:color="auto"/>
            </w:tcBorders>
            <w:shd w:val="clear" w:color="auto" w:fill="auto"/>
            <w:vAlign w:val="center"/>
          </w:tcPr>
          <w:p w:rsidR="00DF0D52" w:rsidRPr="00AC7E06" w:rsidRDefault="00DF0D52" w:rsidP="008A7465">
            <w:pPr>
              <w:spacing w:after="0"/>
              <w:rPr>
                <w:sz w:val="20"/>
                <w:szCs w:val="20"/>
              </w:rPr>
            </w:pPr>
            <w:r w:rsidRPr="00AC7E06">
              <w:rPr>
                <w:sz w:val="20"/>
                <w:szCs w:val="20"/>
              </w:rPr>
              <w:t>água</w:t>
            </w:r>
          </w:p>
        </w:tc>
        <w:tc>
          <w:tcPr>
            <w:tcW w:w="575" w:type="pct"/>
            <w:tcBorders>
              <w:bottom w:val="single" w:sz="4" w:space="0" w:color="auto"/>
            </w:tcBorders>
            <w:shd w:val="clear" w:color="auto" w:fill="auto"/>
            <w:vAlign w:val="center"/>
          </w:tcPr>
          <w:p w:rsidR="00DF0D52" w:rsidRPr="00AC7E06" w:rsidRDefault="00DF0D52" w:rsidP="008A7465">
            <w:pPr>
              <w:spacing w:after="0"/>
              <w:jc w:val="right"/>
              <w:rPr>
                <w:sz w:val="20"/>
                <w:szCs w:val="20"/>
              </w:rPr>
            </w:pPr>
            <w:r w:rsidRPr="00AC7E06">
              <w:rPr>
                <w:sz w:val="20"/>
                <w:szCs w:val="20"/>
              </w:rPr>
              <w:t>47,8</w:t>
            </w:r>
          </w:p>
        </w:tc>
        <w:tc>
          <w:tcPr>
            <w:tcW w:w="98" w:type="pct"/>
            <w:tcBorders>
              <w:bottom w:val="single" w:sz="4" w:space="0" w:color="auto"/>
            </w:tcBorders>
            <w:shd w:val="clear" w:color="auto" w:fill="auto"/>
            <w:vAlign w:val="center"/>
          </w:tcPr>
          <w:p w:rsidR="00DF0D52" w:rsidRPr="00DF0D52" w:rsidRDefault="00DF0D52" w:rsidP="008A7465">
            <w:pPr>
              <w:spacing w:after="0"/>
              <w:rPr>
                <w:b/>
                <w:sz w:val="20"/>
                <w:szCs w:val="20"/>
              </w:rPr>
            </w:pPr>
          </w:p>
        </w:tc>
        <w:tc>
          <w:tcPr>
            <w:tcW w:w="98" w:type="pct"/>
            <w:tcBorders>
              <w:bottom w:val="single" w:sz="4" w:space="0" w:color="auto"/>
            </w:tcBorders>
            <w:shd w:val="clear" w:color="auto" w:fill="auto"/>
            <w:vAlign w:val="center"/>
          </w:tcPr>
          <w:p w:rsidR="00DF0D52" w:rsidRPr="00DF0D52" w:rsidRDefault="00DF0D52" w:rsidP="008A7465">
            <w:pPr>
              <w:spacing w:after="0"/>
              <w:rPr>
                <w:b/>
                <w:sz w:val="20"/>
                <w:szCs w:val="20"/>
              </w:rPr>
            </w:pPr>
          </w:p>
        </w:tc>
        <w:tc>
          <w:tcPr>
            <w:tcW w:w="93" w:type="pct"/>
            <w:tcBorders>
              <w:bottom w:val="single" w:sz="4" w:space="0" w:color="auto"/>
            </w:tcBorders>
            <w:shd w:val="clear" w:color="auto" w:fill="auto"/>
            <w:vAlign w:val="center"/>
          </w:tcPr>
          <w:p w:rsidR="00DF0D52" w:rsidRPr="00DF0D52" w:rsidRDefault="00DF0D52" w:rsidP="008A7465">
            <w:pPr>
              <w:spacing w:after="0"/>
              <w:rPr>
                <w:b/>
                <w:sz w:val="20"/>
                <w:szCs w:val="20"/>
              </w:rPr>
            </w:pPr>
          </w:p>
        </w:tc>
        <w:tc>
          <w:tcPr>
            <w:tcW w:w="97" w:type="pct"/>
            <w:tcBorders>
              <w:bottom w:val="single" w:sz="4" w:space="0" w:color="auto"/>
            </w:tcBorders>
            <w:shd w:val="clear" w:color="auto" w:fill="auto"/>
            <w:vAlign w:val="center"/>
          </w:tcPr>
          <w:p w:rsidR="00DF0D52" w:rsidRPr="00DF0D52" w:rsidRDefault="00DF0D52" w:rsidP="008A7465">
            <w:pPr>
              <w:spacing w:after="0"/>
              <w:rPr>
                <w:b/>
                <w:sz w:val="20"/>
                <w:szCs w:val="20"/>
              </w:rPr>
            </w:pPr>
            <w:r w:rsidRPr="00DF0D52">
              <w:rPr>
                <w:b/>
                <w:sz w:val="20"/>
                <w:szCs w:val="20"/>
              </w:rPr>
              <w:t>d</w:t>
            </w:r>
          </w:p>
        </w:tc>
      </w:tr>
    </w:tbl>
    <w:p w:rsidR="00087B49" w:rsidRDefault="00087B49" w:rsidP="00DF0D52">
      <w:pPr>
        <w:spacing w:after="0"/>
      </w:pPr>
    </w:p>
    <w:p w:rsidR="00971B4D" w:rsidRPr="00C043D5" w:rsidRDefault="00971B4D" w:rsidP="00DF0D52">
      <w:pPr>
        <w:spacing w:after="0"/>
      </w:pPr>
    </w:p>
    <w:p w:rsidR="00087B49" w:rsidRPr="00C043D5" w:rsidRDefault="00087B49" w:rsidP="00DF0D52">
      <w:pPr>
        <w:spacing w:after="0"/>
        <w:sectPr w:rsidR="00087B49" w:rsidRPr="00C043D5" w:rsidSect="00277AB0">
          <w:pgSz w:w="16838" w:h="11906" w:orient="landscape"/>
          <w:pgMar w:top="1418" w:right="1418" w:bottom="1418" w:left="1418" w:header="709" w:footer="709" w:gutter="0"/>
          <w:cols w:space="708"/>
          <w:docGrid w:linePitch="360"/>
        </w:sectPr>
      </w:pPr>
    </w:p>
    <w:p w:rsidR="006269A1" w:rsidRDefault="006269A1" w:rsidP="00D547C3">
      <w:pPr>
        <w:pStyle w:val="Estilo1"/>
      </w:pPr>
      <w:r w:rsidRPr="00C043D5">
        <w:lastRenderedPageBreak/>
        <w:t>concluir que a a</w:t>
      </w:r>
      <w:r>
        <w:t>plicação de tebuconazol e difenoconazol</w:t>
      </w:r>
      <w:r w:rsidRPr="00C043D5">
        <w:t xml:space="preserve"> </w:t>
      </w:r>
      <w:r>
        <w:t>no estado fenológico D/E e difenoconazol à p</w:t>
      </w:r>
      <w:r w:rsidRPr="00C043D5">
        <w:t>oda e</w:t>
      </w:r>
      <w:r>
        <w:t xml:space="preserve"> no estado fenológico D/E </w:t>
      </w:r>
      <w:r w:rsidRPr="00C043D5">
        <w:t xml:space="preserve">são as combinações que permitem a obtenção de melhores resultados, ainda que não difiram significativamente de uma série de outras combinações (todas as que estão </w:t>
      </w:r>
      <w:r>
        <w:t>afec</w:t>
      </w:r>
      <w:r w:rsidR="004044F7">
        <w:t>tadas pela letra a e b (Quadro 4.4</w:t>
      </w:r>
      <w:r w:rsidRPr="00C043D5">
        <w:t xml:space="preserve">). </w:t>
      </w:r>
      <w:r>
        <w:t>Para o ano de 2009</w:t>
      </w:r>
      <w:r w:rsidRPr="00EF7B65">
        <w:t xml:space="preserve"> </w:t>
      </w:r>
      <w:r w:rsidRPr="00C043D5">
        <w:t>os resultados obtidos, permitem concluir que a a</w:t>
      </w:r>
      <w:r>
        <w:t>pli</w:t>
      </w:r>
      <w:r w:rsidR="00CA5E6D">
        <w:t>cação de oxicloreto de cobre à p</w:t>
      </w:r>
      <w:r>
        <w:t>oda e de ciprodinil+fludioxonil</w:t>
      </w:r>
      <w:r w:rsidRPr="00C043D5">
        <w:t xml:space="preserve"> no estado </w:t>
      </w:r>
      <w:r>
        <w:t>fenológico D/E</w:t>
      </w:r>
      <w:r w:rsidRPr="00C043D5">
        <w:t xml:space="preserve"> </w:t>
      </w:r>
      <w:r>
        <w:t xml:space="preserve">ou </w:t>
      </w:r>
      <w:r w:rsidR="00CA5E6D">
        <w:t>à p</w:t>
      </w:r>
      <w:r>
        <w:t xml:space="preserve">oda e </w:t>
      </w:r>
      <w:r w:rsidRPr="00C043D5">
        <w:t xml:space="preserve">no estado </w:t>
      </w:r>
      <w:r>
        <w:t>fenológico D/E</w:t>
      </w:r>
      <w:r w:rsidRPr="00C043D5">
        <w:t xml:space="preserve"> são as combinações que permitem a obtenção de melhores resultados, ainda que não difiram significativamente de uma série de outras combinações (todas as que estão </w:t>
      </w:r>
      <w:r>
        <w:t>afec</w:t>
      </w:r>
      <w:r w:rsidR="004044F7">
        <w:t>tadas pela letra a e b (Quadro 4.4</w:t>
      </w:r>
      <w:r w:rsidRPr="00C043D5">
        <w:t xml:space="preserve">). </w:t>
      </w:r>
    </w:p>
    <w:p w:rsidR="008A2C8A" w:rsidRPr="001A146F" w:rsidRDefault="00F02BF9" w:rsidP="00B73BBD">
      <w:pPr>
        <w:pStyle w:val="Ttulo3"/>
      </w:pPr>
      <w:r w:rsidRPr="002D5BA0">
        <w:rPr>
          <w:lang w:val="pt-PT"/>
        </w:rPr>
        <w:t xml:space="preserve"> </w:t>
      </w:r>
      <w:bookmarkStart w:id="76" w:name="_Toc264890311"/>
      <w:r w:rsidR="008A2C8A" w:rsidRPr="001A146F">
        <w:t>Severidade das doenças</w:t>
      </w:r>
      <w:bookmarkEnd w:id="76"/>
    </w:p>
    <w:p w:rsidR="00725F94" w:rsidRDefault="008A2C8A" w:rsidP="00D547C3">
      <w:pPr>
        <w:pStyle w:val="Estilo1"/>
      </w:pPr>
      <w:r w:rsidRPr="00C043D5">
        <w:t>A análise dos resultados obtidos no ensaio de eficácia de fungicidas no campo, relativamente</w:t>
      </w:r>
      <w:r w:rsidR="00F02BF9">
        <w:t xml:space="preserve"> a fungos do lenho da videira (</w:t>
      </w:r>
      <w:r w:rsidR="00016F11" w:rsidRPr="00016F11">
        <w:rPr>
          <w:i/>
        </w:rPr>
        <w:t>Botryosphaeria</w:t>
      </w:r>
      <w:r w:rsidR="00F02BF9" w:rsidRPr="00F02BF9">
        <w:t>ceae</w:t>
      </w:r>
      <w:r w:rsidRPr="00C043D5">
        <w:t xml:space="preserve"> e </w:t>
      </w:r>
      <w:r w:rsidRPr="00C043D5">
        <w:rPr>
          <w:i/>
        </w:rPr>
        <w:t xml:space="preserve">Phomopsis </w:t>
      </w:r>
      <w:r w:rsidRPr="00C043D5">
        <w:t>spp.) permitiu concluir que relativamente à severidade destas doenças</w:t>
      </w:r>
      <w:r w:rsidR="003433C7">
        <w:t>, n</w:t>
      </w:r>
      <w:r w:rsidRPr="00C043D5">
        <w:t>ão se registaram diferenças significativas entre a aplicação dos tratamentos à poda e/ou no estado fe</w:t>
      </w:r>
      <w:r w:rsidR="006269A1">
        <w:t>nológico D/E</w:t>
      </w:r>
      <w:r w:rsidR="003D7ACD">
        <w:t xml:space="preserve"> nos dois anos de ensaio</w:t>
      </w:r>
      <w:r w:rsidRPr="00C043D5">
        <w:t>. Assim, pode novamente concluir-se que, para os tratamentos em avaliação, não se extrai qualquer variação positiva com a realização de do</w:t>
      </w:r>
      <w:r w:rsidR="003D7ACD">
        <w:t>is tratamentos á</w:t>
      </w:r>
      <w:r w:rsidR="004C2364">
        <w:t xml:space="preserve"> vinha </w:t>
      </w:r>
      <w:r w:rsidR="006269A1">
        <w:t xml:space="preserve">sendo necessário confirmar este resultado no terceiro ano de ensaio </w:t>
      </w:r>
      <w:r w:rsidR="004044F7">
        <w:t>(Quadro 4.5</w:t>
      </w:r>
      <w:r w:rsidRPr="00C043D5">
        <w:t xml:space="preserve">). </w:t>
      </w:r>
      <w:r w:rsidR="00725F94">
        <w:t xml:space="preserve">Contrariamente ao que ocorreu relativamente aos valores de incidência, a severidade no primeiro ano de ensaio foram, em média, inferiores ás do segundo ano de ensaio. </w:t>
      </w:r>
    </w:p>
    <w:p w:rsidR="00580E49" w:rsidRPr="008A7465" w:rsidRDefault="00C37A87" w:rsidP="00C37A87">
      <w:pPr>
        <w:pStyle w:val="Legenda"/>
      </w:pPr>
      <w:bookmarkStart w:id="77" w:name="_Toc264890337"/>
      <w:r>
        <w:t xml:space="preserve">Quadro </w:t>
      </w:r>
      <w:fldSimple w:instr=" STYLEREF 1 \s ">
        <w:r w:rsidR="00E2640D">
          <w:rPr>
            <w:noProof/>
          </w:rPr>
          <w:t>4</w:t>
        </w:r>
      </w:fldSimple>
      <w:r>
        <w:t>.</w:t>
      </w:r>
      <w:fldSimple w:instr=" SEQ Quadro \* ARABIC \s 1 ">
        <w:r w:rsidR="00E2640D">
          <w:rPr>
            <w:noProof/>
          </w:rPr>
          <w:t>5</w:t>
        </w:r>
      </w:fldSimple>
      <w:r>
        <w:t xml:space="preserve">. </w:t>
      </w:r>
      <w:r w:rsidRPr="008A7465">
        <w:t>Comparação das médias relativas à severidade de “black dead arm” e escoriose americana obtidas nos dois anos de ensaio (2008 e 2009) e nas três épocas de aplicação, através dos testes de Tuckey</w:t>
      </w:r>
      <w:bookmarkEnd w:id="77"/>
    </w:p>
    <w:tbl>
      <w:tblPr>
        <w:tblW w:w="5000" w:type="pct"/>
        <w:tblBorders>
          <w:top w:val="single" w:sz="4" w:space="0" w:color="auto"/>
          <w:bottom w:val="single" w:sz="4" w:space="0" w:color="auto"/>
          <w:insideH w:val="single" w:sz="4" w:space="0" w:color="auto"/>
        </w:tblBorders>
        <w:tblCellMar>
          <w:left w:w="70" w:type="dxa"/>
          <w:right w:w="70" w:type="dxa"/>
        </w:tblCellMar>
        <w:tblLook w:val="04A0"/>
      </w:tblPr>
      <w:tblGrid>
        <w:gridCol w:w="2581"/>
        <w:gridCol w:w="1711"/>
        <w:gridCol w:w="293"/>
        <w:gridCol w:w="162"/>
        <w:gridCol w:w="2459"/>
        <w:gridCol w:w="1711"/>
        <w:gridCol w:w="293"/>
      </w:tblGrid>
      <w:tr w:rsidR="00580E49" w:rsidRPr="00C043D5" w:rsidTr="00580E49">
        <w:trPr>
          <w:trHeight w:val="567"/>
        </w:trPr>
        <w:tc>
          <w:tcPr>
            <w:tcW w:w="1401" w:type="pct"/>
            <w:shd w:val="clear" w:color="auto" w:fill="auto"/>
            <w:noWrap/>
            <w:vAlign w:val="center"/>
          </w:tcPr>
          <w:p w:rsidR="00580E49" w:rsidRPr="00AC7E06" w:rsidRDefault="00580E49" w:rsidP="00240126">
            <w:pPr>
              <w:spacing w:after="60"/>
              <w:jc w:val="left"/>
              <w:rPr>
                <w:b/>
                <w:sz w:val="20"/>
                <w:szCs w:val="20"/>
              </w:rPr>
            </w:pPr>
            <w:r w:rsidRPr="00AC7E06">
              <w:rPr>
                <w:b/>
                <w:sz w:val="20"/>
                <w:szCs w:val="20"/>
              </w:rPr>
              <w:t>Época de aplicação</w:t>
            </w:r>
          </w:p>
          <w:p w:rsidR="00580E49" w:rsidRPr="00AC7E06" w:rsidRDefault="00580E49" w:rsidP="00240126">
            <w:pPr>
              <w:spacing w:after="60"/>
              <w:jc w:val="left"/>
              <w:rPr>
                <w:b/>
                <w:sz w:val="20"/>
                <w:szCs w:val="20"/>
              </w:rPr>
            </w:pPr>
            <w:r w:rsidRPr="00AC7E06">
              <w:rPr>
                <w:b/>
                <w:sz w:val="20"/>
                <w:szCs w:val="20"/>
              </w:rPr>
              <w:t>(</w:t>
            </w:r>
            <w:r>
              <w:rPr>
                <w:b/>
                <w:sz w:val="20"/>
                <w:szCs w:val="20"/>
              </w:rPr>
              <w:t xml:space="preserve">ano de </w:t>
            </w:r>
            <w:r w:rsidRPr="00AC7E06">
              <w:rPr>
                <w:b/>
                <w:sz w:val="20"/>
                <w:szCs w:val="20"/>
              </w:rPr>
              <w:t>2008)</w:t>
            </w:r>
          </w:p>
        </w:tc>
        <w:tc>
          <w:tcPr>
            <w:tcW w:w="929" w:type="pct"/>
            <w:shd w:val="clear" w:color="auto" w:fill="auto"/>
            <w:noWrap/>
            <w:vAlign w:val="center"/>
          </w:tcPr>
          <w:p w:rsidR="00580E49" w:rsidRPr="00AC7E06" w:rsidRDefault="00580E49" w:rsidP="00240126">
            <w:pPr>
              <w:spacing w:after="60"/>
              <w:jc w:val="left"/>
              <w:rPr>
                <w:b/>
                <w:sz w:val="20"/>
                <w:szCs w:val="20"/>
              </w:rPr>
            </w:pPr>
            <w:r>
              <w:rPr>
                <w:b/>
                <w:sz w:val="20"/>
                <w:szCs w:val="20"/>
              </w:rPr>
              <w:t>Severidade</w:t>
            </w:r>
            <w:r w:rsidRPr="00AC7E06">
              <w:rPr>
                <w:b/>
                <w:sz w:val="20"/>
                <w:szCs w:val="20"/>
              </w:rPr>
              <w:t xml:space="preserve"> (%)</w:t>
            </w:r>
          </w:p>
        </w:tc>
        <w:tc>
          <w:tcPr>
            <w:tcW w:w="159" w:type="pct"/>
            <w:tcBorders>
              <w:top w:val="single" w:sz="4" w:space="0" w:color="auto"/>
            </w:tcBorders>
            <w:shd w:val="clear" w:color="auto" w:fill="auto"/>
            <w:noWrap/>
            <w:vAlign w:val="center"/>
          </w:tcPr>
          <w:p w:rsidR="00580E49" w:rsidRPr="00AC7E06" w:rsidRDefault="00580E49" w:rsidP="00240126">
            <w:pPr>
              <w:spacing w:after="60"/>
              <w:jc w:val="left"/>
              <w:rPr>
                <w:b/>
                <w:sz w:val="20"/>
                <w:szCs w:val="20"/>
              </w:rPr>
            </w:pPr>
            <w:r w:rsidRPr="00AC7E06">
              <w:rPr>
                <w:b/>
                <w:sz w:val="20"/>
                <w:szCs w:val="20"/>
              </w:rPr>
              <w:t> </w:t>
            </w:r>
          </w:p>
        </w:tc>
        <w:tc>
          <w:tcPr>
            <w:tcW w:w="88" w:type="pct"/>
            <w:tcBorders>
              <w:top w:val="nil"/>
              <w:bottom w:val="nil"/>
            </w:tcBorders>
            <w:shd w:val="clear" w:color="auto" w:fill="auto"/>
            <w:vAlign w:val="center"/>
          </w:tcPr>
          <w:p w:rsidR="00580E49" w:rsidRPr="00AC7E06" w:rsidRDefault="00580E49" w:rsidP="00240126">
            <w:pPr>
              <w:spacing w:after="60"/>
              <w:jc w:val="left"/>
              <w:rPr>
                <w:b/>
                <w:sz w:val="20"/>
                <w:szCs w:val="20"/>
              </w:rPr>
            </w:pPr>
          </w:p>
        </w:tc>
        <w:tc>
          <w:tcPr>
            <w:tcW w:w="1335" w:type="pct"/>
            <w:shd w:val="clear" w:color="auto" w:fill="auto"/>
            <w:vAlign w:val="center"/>
          </w:tcPr>
          <w:p w:rsidR="00580E49" w:rsidRPr="00AC7E06" w:rsidRDefault="00580E49" w:rsidP="00240126">
            <w:pPr>
              <w:spacing w:after="60"/>
              <w:jc w:val="left"/>
              <w:rPr>
                <w:b/>
                <w:sz w:val="20"/>
                <w:szCs w:val="20"/>
              </w:rPr>
            </w:pPr>
            <w:r w:rsidRPr="00AC7E06">
              <w:rPr>
                <w:b/>
                <w:sz w:val="20"/>
                <w:szCs w:val="20"/>
              </w:rPr>
              <w:t>Época de aplicação</w:t>
            </w:r>
          </w:p>
          <w:p w:rsidR="00580E49" w:rsidRPr="00AC7E06" w:rsidRDefault="00580E49" w:rsidP="00240126">
            <w:pPr>
              <w:spacing w:after="60"/>
              <w:jc w:val="left"/>
              <w:rPr>
                <w:b/>
                <w:sz w:val="20"/>
                <w:szCs w:val="20"/>
              </w:rPr>
            </w:pPr>
            <w:r w:rsidRPr="00AC7E06">
              <w:rPr>
                <w:b/>
                <w:sz w:val="20"/>
                <w:szCs w:val="20"/>
              </w:rPr>
              <w:t>(</w:t>
            </w:r>
            <w:r>
              <w:rPr>
                <w:b/>
                <w:sz w:val="20"/>
                <w:szCs w:val="20"/>
              </w:rPr>
              <w:t xml:space="preserve">ano de </w:t>
            </w:r>
            <w:r w:rsidRPr="00AC7E06">
              <w:rPr>
                <w:b/>
                <w:sz w:val="20"/>
                <w:szCs w:val="20"/>
              </w:rPr>
              <w:t>2009)</w:t>
            </w:r>
          </w:p>
        </w:tc>
        <w:tc>
          <w:tcPr>
            <w:tcW w:w="929" w:type="pct"/>
            <w:shd w:val="clear" w:color="auto" w:fill="auto"/>
            <w:vAlign w:val="center"/>
          </w:tcPr>
          <w:p w:rsidR="00580E49" w:rsidRPr="00AC7E06" w:rsidRDefault="00580E49" w:rsidP="00240126">
            <w:pPr>
              <w:spacing w:after="60"/>
              <w:jc w:val="left"/>
              <w:rPr>
                <w:b/>
                <w:sz w:val="20"/>
                <w:szCs w:val="20"/>
              </w:rPr>
            </w:pPr>
            <w:r>
              <w:rPr>
                <w:b/>
                <w:sz w:val="20"/>
                <w:szCs w:val="20"/>
              </w:rPr>
              <w:t>Severidade</w:t>
            </w:r>
            <w:r w:rsidRPr="00AC7E06">
              <w:rPr>
                <w:b/>
                <w:sz w:val="20"/>
                <w:szCs w:val="20"/>
              </w:rPr>
              <w:t xml:space="preserve"> (%)</w:t>
            </w:r>
          </w:p>
        </w:tc>
        <w:tc>
          <w:tcPr>
            <w:tcW w:w="159" w:type="pct"/>
            <w:shd w:val="clear" w:color="auto" w:fill="auto"/>
            <w:vAlign w:val="center"/>
          </w:tcPr>
          <w:p w:rsidR="00580E49" w:rsidRPr="00AC7E06" w:rsidRDefault="00580E49" w:rsidP="00240126">
            <w:pPr>
              <w:spacing w:after="60"/>
              <w:jc w:val="left"/>
              <w:rPr>
                <w:b/>
                <w:sz w:val="20"/>
                <w:szCs w:val="20"/>
              </w:rPr>
            </w:pPr>
          </w:p>
        </w:tc>
      </w:tr>
      <w:tr w:rsidR="003D7ACD" w:rsidRPr="00C043D5" w:rsidTr="005C1776">
        <w:trPr>
          <w:trHeight w:val="300"/>
        </w:trPr>
        <w:tc>
          <w:tcPr>
            <w:tcW w:w="1401" w:type="pct"/>
            <w:shd w:val="clear" w:color="auto" w:fill="auto"/>
            <w:noWrap/>
            <w:vAlign w:val="bottom"/>
          </w:tcPr>
          <w:p w:rsidR="003D7ACD" w:rsidRPr="003D7ACD" w:rsidRDefault="003D7ACD" w:rsidP="00240126">
            <w:pPr>
              <w:spacing w:after="60"/>
              <w:rPr>
                <w:sz w:val="20"/>
                <w:szCs w:val="20"/>
              </w:rPr>
            </w:pPr>
            <w:r w:rsidRPr="003D7ACD">
              <w:rPr>
                <w:sz w:val="20"/>
                <w:szCs w:val="20"/>
              </w:rPr>
              <w:t xml:space="preserve">Est. fenol. </w:t>
            </w:r>
            <w:r w:rsidR="00B46DCB">
              <w:rPr>
                <w:color w:val="000000"/>
                <w:sz w:val="20"/>
                <w:szCs w:val="20"/>
              </w:rPr>
              <w:t>D</w:t>
            </w:r>
            <w:r w:rsidR="00083ED9">
              <w:rPr>
                <w:color w:val="000000"/>
                <w:sz w:val="20"/>
                <w:szCs w:val="20"/>
              </w:rPr>
              <w:t>/</w:t>
            </w:r>
            <w:r w:rsidR="00B46DCB">
              <w:rPr>
                <w:color w:val="000000"/>
                <w:sz w:val="20"/>
                <w:szCs w:val="20"/>
              </w:rPr>
              <w:t>E</w:t>
            </w:r>
          </w:p>
        </w:tc>
        <w:tc>
          <w:tcPr>
            <w:tcW w:w="929" w:type="pct"/>
            <w:shd w:val="clear" w:color="auto" w:fill="auto"/>
            <w:noWrap/>
            <w:vAlign w:val="bottom"/>
          </w:tcPr>
          <w:p w:rsidR="003D7ACD" w:rsidRPr="003D7ACD" w:rsidRDefault="003D7ACD" w:rsidP="00240126">
            <w:pPr>
              <w:spacing w:after="60"/>
              <w:jc w:val="right"/>
              <w:rPr>
                <w:sz w:val="20"/>
                <w:szCs w:val="20"/>
              </w:rPr>
            </w:pPr>
            <w:r>
              <w:rPr>
                <w:sz w:val="20"/>
                <w:szCs w:val="20"/>
              </w:rPr>
              <w:t>19,3</w:t>
            </w:r>
          </w:p>
        </w:tc>
        <w:tc>
          <w:tcPr>
            <w:tcW w:w="159" w:type="pct"/>
            <w:shd w:val="clear" w:color="auto" w:fill="auto"/>
            <w:noWrap/>
            <w:vAlign w:val="center"/>
          </w:tcPr>
          <w:p w:rsidR="003D7ACD" w:rsidRPr="00DF0D52" w:rsidRDefault="003D7ACD" w:rsidP="00240126">
            <w:pPr>
              <w:spacing w:after="60"/>
              <w:jc w:val="left"/>
              <w:rPr>
                <w:b/>
                <w:sz w:val="20"/>
                <w:szCs w:val="20"/>
              </w:rPr>
            </w:pPr>
            <w:r w:rsidRPr="00DF0D52">
              <w:rPr>
                <w:b/>
                <w:sz w:val="20"/>
                <w:szCs w:val="20"/>
              </w:rPr>
              <w:t>a</w:t>
            </w:r>
          </w:p>
        </w:tc>
        <w:tc>
          <w:tcPr>
            <w:tcW w:w="88" w:type="pct"/>
            <w:tcBorders>
              <w:top w:val="nil"/>
              <w:bottom w:val="nil"/>
            </w:tcBorders>
            <w:shd w:val="clear" w:color="auto" w:fill="auto"/>
            <w:vAlign w:val="center"/>
          </w:tcPr>
          <w:p w:rsidR="003D7ACD" w:rsidRPr="004570EB" w:rsidRDefault="003D7ACD" w:rsidP="00240126">
            <w:pPr>
              <w:spacing w:after="60"/>
              <w:jc w:val="left"/>
              <w:rPr>
                <w:sz w:val="20"/>
                <w:szCs w:val="20"/>
              </w:rPr>
            </w:pPr>
          </w:p>
        </w:tc>
        <w:tc>
          <w:tcPr>
            <w:tcW w:w="1335" w:type="pct"/>
            <w:shd w:val="clear" w:color="auto" w:fill="auto"/>
            <w:vAlign w:val="center"/>
          </w:tcPr>
          <w:p w:rsidR="003D7ACD" w:rsidRPr="004570EB" w:rsidRDefault="003D7ACD" w:rsidP="00240126">
            <w:pPr>
              <w:spacing w:after="60"/>
              <w:jc w:val="left"/>
              <w:rPr>
                <w:color w:val="000000"/>
                <w:sz w:val="20"/>
                <w:szCs w:val="20"/>
              </w:rPr>
            </w:pPr>
            <w:r w:rsidRPr="004570EB">
              <w:rPr>
                <w:sz w:val="20"/>
                <w:szCs w:val="20"/>
              </w:rPr>
              <w:t xml:space="preserve">Est. fenol. </w:t>
            </w:r>
            <w:r w:rsidR="00B46DCB">
              <w:rPr>
                <w:color w:val="000000"/>
                <w:sz w:val="20"/>
                <w:szCs w:val="20"/>
              </w:rPr>
              <w:t>D</w:t>
            </w:r>
            <w:r w:rsidR="00083ED9">
              <w:rPr>
                <w:color w:val="000000"/>
                <w:sz w:val="20"/>
                <w:szCs w:val="20"/>
              </w:rPr>
              <w:t>/</w:t>
            </w:r>
            <w:r w:rsidR="00B46DCB">
              <w:rPr>
                <w:color w:val="000000"/>
                <w:sz w:val="20"/>
                <w:szCs w:val="20"/>
              </w:rPr>
              <w:t>E</w:t>
            </w:r>
          </w:p>
        </w:tc>
        <w:tc>
          <w:tcPr>
            <w:tcW w:w="929" w:type="pct"/>
            <w:shd w:val="clear" w:color="auto" w:fill="auto"/>
            <w:vAlign w:val="center"/>
          </w:tcPr>
          <w:p w:rsidR="003D7ACD" w:rsidRPr="00580E49" w:rsidRDefault="003D7ACD" w:rsidP="00240126">
            <w:pPr>
              <w:spacing w:after="60"/>
              <w:jc w:val="right"/>
              <w:rPr>
                <w:sz w:val="20"/>
                <w:szCs w:val="20"/>
              </w:rPr>
            </w:pPr>
            <w:r w:rsidRPr="00580E49">
              <w:rPr>
                <w:sz w:val="20"/>
                <w:szCs w:val="20"/>
              </w:rPr>
              <w:t>27,0</w:t>
            </w:r>
          </w:p>
        </w:tc>
        <w:tc>
          <w:tcPr>
            <w:tcW w:w="159" w:type="pct"/>
            <w:shd w:val="clear" w:color="auto" w:fill="auto"/>
            <w:vAlign w:val="center"/>
          </w:tcPr>
          <w:p w:rsidR="003D7ACD" w:rsidRPr="00DF0D52" w:rsidRDefault="003D7ACD" w:rsidP="00240126">
            <w:pPr>
              <w:spacing w:after="60"/>
              <w:rPr>
                <w:b/>
                <w:sz w:val="20"/>
                <w:szCs w:val="20"/>
              </w:rPr>
            </w:pPr>
            <w:r w:rsidRPr="00DF0D52">
              <w:rPr>
                <w:b/>
                <w:sz w:val="20"/>
                <w:szCs w:val="20"/>
              </w:rPr>
              <w:t>a</w:t>
            </w:r>
          </w:p>
        </w:tc>
      </w:tr>
      <w:tr w:rsidR="003D7ACD" w:rsidRPr="00C043D5" w:rsidTr="005C1776">
        <w:trPr>
          <w:trHeight w:val="300"/>
        </w:trPr>
        <w:tc>
          <w:tcPr>
            <w:tcW w:w="1401" w:type="pct"/>
            <w:shd w:val="clear" w:color="auto" w:fill="auto"/>
            <w:noWrap/>
            <w:vAlign w:val="bottom"/>
          </w:tcPr>
          <w:p w:rsidR="003D7ACD" w:rsidRPr="003D7ACD" w:rsidRDefault="003D7ACD" w:rsidP="00240126">
            <w:pPr>
              <w:spacing w:after="60"/>
              <w:rPr>
                <w:sz w:val="20"/>
                <w:szCs w:val="20"/>
              </w:rPr>
            </w:pPr>
            <w:r w:rsidRPr="003D7ACD">
              <w:rPr>
                <w:sz w:val="20"/>
                <w:szCs w:val="20"/>
              </w:rPr>
              <w:t>Poda</w:t>
            </w:r>
          </w:p>
        </w:tc>
        <w:tc>
          <w:tcPr>
            <w:tcW w:w="929" w:type="pct"/>
            <w:shd w:val="clear" w:color="auto" w:fill="auto"/>
            <w:noWrap/>
            <w:vAlign w:val="bottom"/>
          </w:tcPr>
          <w:p w:rsidR="003D7ACD" w:rsidRPr="003D7ACD" w:rsidRDefault="003D7ACD" w:rsidP="00240126">
            <w:pPr>
              <w:spacing w:after="60"/>
              <w:jc w:val="right"/>
              <w:rPr>
                <w:sz w:val="20"/>
                <w:szCs w:val="20"/>
              </w:rPr>
            </w:pPr>
            <w:r>
              <w:rPr>
                <w:sz w:val="20"/>
                <w:szCs w:val="20"/>
              </w:rPr>
              <w:t>19,7</w:t>
            </w:r>
          </w:p>
        </w:tc>
        <w:tc>
          <w:tcPr>
            <w:tcW w:w="159" w:type="pct"/>
            <w:shd w:val="clear" w:color="auto" w:fill="auto"/>
            <w:noWrap/>
            <w:vAlign w:val="center"/>
          </w:tcPr>
          <w:p w:rsidR="003D7ACD" w:rsidRPr="00DF0D52" w:rsidRDefault="003D7ACD" w:rsidP="00240126">
            <w:pPr>
              <w:spacing w:after="60"/>
              <w:jc w:val="left"/>
              <w:rPr>
                <w:b/>
                <w:sz w:val="20"/>
                <w:szCs w:val="20"/>
              </w:rPr>
            </w:pPr>
            <w:r w:rsidRPr="00DF0D52">
              <w:rPr>
                <w:b/>
                <w:sz w:val="20"/>
                <w:szCs w:val="20"/>
              </w:rPr>
              <w:t>a</w:t>
            </w:r>
          </w:p>
        </w:tc>
        <w:tc>
          <w:tcPr>
            <w:tcW w:w="88" w:type="pct"/>
            <w:tcBorders>
              <w:top w:val="nil"/>
              <w:bottom w:val="nil"/>
            </w:tcBorders>
            <w:shd w:val="clear" w:color="auto" w:fill="auto"/>
            <w:vAlign w:val="center"/>
          </w:tcPr>
          <w:p w:rsidR="003D7ACD" w:rsidRPr="004570EB" w:rsidRDefault="003D7ACD" w:rsidP="00240126">
            <w:pPr>
              <w:spacing w:after="60"/>
              <w:jc w:val="left"/>
              <w:rPr>
                <w:sz w:val="20"/>
                <w:szCs w:val="20"/>
              </w:rPr>
            </w:pPr>
          </w:p>
        </w:tc>
        <w:tc>
          <w:tcPr>
            <w:tcW w:w="1335" w:type="pct"/>
            <w:shd w:val="clear" w:color="auto" w:fill="auto"/>
            <w:vAlign w:val="center"/>
          </w:tcPr>
          <w:p w:rsidR="003D7ACD" w:rsidRPr="004570EB" w:rsidRDefault="003D7ACD" w:rsidP="00240126">
            <w:pPr>
              <w:spacing w:after="60"/>
              <w:jc w:val="left"/>
              <w:rPr>
                <w:color w:val="000000"/>
                <w:sz w:val="20"/>
                <w:szCs w:val="20"/>
              </w:rPr>
            </w:pPr>
            <w:r w:rsidRPr="004570EB">
              <w:rPr>
                <w:color w:val="000000"/>
                <w:sz w:val="20"/>
                <w:szCs w:val="20"/>
              </w:rPr>
              <w:t>Poda+</w:t>
            </w:r>
            <w:r w:rsidRPr="004570EB">
              <w:rPr>
                <w:sz w:val="20"/>
                <w:szCs w:val="20"/>
              </w:rPr>
              <w:t xml:space="preserve"> Est. fenol. </w:t>
            </w:r>
            <w:r w:rsidR="00B46DCB">
              <w:rPr>
                <w:color w:val="000000"/>
                <w:sz w:val="20"/>
                <w:szCs w:val="20"/>
              </w:rPr>
              <w:t>D</w:t>
            </w:r>
            <w:r w:rsidR="00083ED9">
              <w:rPr>
                <w:color w:val="000000"/>
                <w:sz w:val="20"/>
                <w:szCs w:val="20"/>
              </w:rPr>
              <w:t>/</w:t>
            </w:r>
            <w:r w:rsidR="00B46DCB">
              <w:rPr>
                <w:color w:val="000000"/>
                <w:sz w:val="20"/>
                <w:szCs w:val="20"/>
              </w:rPr>
              <w:t>E</w:t>
            </w:r>
          </w:p>
        </w:tc>
        <w:tc>
          <w:tcPr>
            <w:tcW w:w="929" w:type="pct"/>
            <w:shd w:val="clear" w:color="auto" w:fill="auto"/>
            <w:vAlign w:val="center"/>
          </w:tcPr>
          <w:p w:rsidR="003D7ACD" w:rsidRPr="00580E49" w:rsidRDefault="003D7ACD" w:rsidP="00240126">
            <w:pPr>
              <w:spacing w:after="60"/>
              <w:jc w:val="right"/>
              <w:rPr>
                <w:sz w:val="20"/>
                <w:szCs w:val="20"/>
              </w:rPr>
            </w:pPr>
            <w:r w:rsidRPr="00580E49">
              <w:rPr>
                <w:sz w:val="20"/>
                <w:szCs w:val="20"/>
              </w:rPr>
              <w:t>30,4</w:t>
            </w:r>
          </w:p>
        </w:tc>
        <w:tc>
          <w:tcPr>
            <w:tcW w:w="159" w:type="pct"/>
            <w:shd w:val="clear" w:color="auto" w:fill="auto"/>
            <w:vAlign w:val="center"/>
          </w:tcPr>
          <w:p w:rsidR="003D7ACD" w:rsidRPr="00DF0D52" w:rsidRDefault="003D7ACD" w:rsidP="00240126">
            <w:pPr>
              <w:spacing w:after="60"/>
              <w:rPr>
                <w:b/>
                <w:sz w:val="20"/>
                <w:szCs w:val="20"/>
              </w:rPr>
            </w:pPr>
            <w:r w:rsidRPr="00DF0D52">
              <w:rPr>
                <w:b/>
                <w:sz w:val="20"/>
                <w:szCs w:val="20"/>
              </w:rPr>
              <w:t>a</w:t>
            </w:r>
          </w:p>
        </w:tc>
      </w:tr>
      <w:tr w:rsidR="003D7ACD" w:rsidRPr="00C043D5" w:rsidTr="005C1776">
        <w:trPr>
          <w:trHeight w:val="300"/>
        </w:trPr>
        <w:tc>
          <w:tcPr>
            <w:tcW w:w="1401" w:type="pct"/>
            <w:shd w:val="clear" w:color="auto" w:fill="auto"/>
            <w:noWrap/>
            <w:vAlign w:val="bottom"/>
          </w:tcPr>
          <w:p w:rsidR="003D7ACD" w:rsidRPr="003D7ACD" w:rsidRDefault="003D7ACD" w:rsidP="00240126">
            <w:pPr>
              <w:spacing w:after="60"/>
              <w:rPr>
                <w:sz w:val="20"/>
                <w:szCs w:val="20"/>
              </w:rPr>
            </w:pPr>
            <w:r w:rsidRPr="003D7ACD">
              <w:rPr>
                <w:sz w:val="20"/>
                <w:szCs w:val="20"/>
              </w:rPr>
              <w:t xml:space="preserve">Poda + Est. fenol. </w:t>
            </w:r>
            <w:r w:rsidR="00B46DCB">
              <w:rPr>
                <w:color w:val="000000"/>
                <w:sz w:val="20"/>
                <w:szCs w:val="20"/>
              </w:rPr>
              <w:t>D</w:t>
            </w:r>
            <w:r w:rsidR="00083ED9">
              <w:rPr>
                <w:color w:val="000000"/>
                <w:sz w:val="20"/>
                <w:szCs w:val="20"/>
              </w:rPr>
              <w:t>/</w:t>
            </w:r>
            <w:r w:rsidR="00B46DCB">
              <w:rPr>
                <w:color w:val="000000"/>
                <w:sz w:val="20"/>
                <w:szCs w:val="20"/>
              </w:rPr>
              <w:t>E</w:t>
            </w:r>
          </w:p>
        </w:tc>
        <w:tc>
          <w:tcPr>
            <w:tcW w:w="929" w:type="pct"/>
            <w:shd w:val="clear" w:color="auto" w:fill="auto"/>
            <w:noWrap/>
            <w:vAlign w:val="bottom"/>
          </w:tcPr>
          <w:p w:rsidR="003D7ACD" w:rsidRPr="003D7ACD" w:rsidRDefault="003D7ACD" w:rsidP="00240126">
            <w:pPr>
              <w:spacing w:after="60"/>
              <w:jc w:val="right"/>
              <w:rPr>
                <w:sz w:val="20"/>
                <w:szCs w:val="20"/>
              </w:rPr>
            </w:pPr>
            <w:r>
              <w:rPr>
                <w:sz w:val="20"/>
                <w:szCs w:val="20"/>
              </w:rPr>
              <w:t>21,5</w:t>
            </w:r>
          </w:p>
        </w:tc>
        <w:tc>
          <w:tcPr>
            <w:tcW w:w="159" w:type="pct"/>
            <w:shd w:val="clear" w:color="auto" w:fill="auto"/>
            <w:noWrap/>
            <w:vAlign w:val="center"/>
          </w:tcPr>
          <w:p w:rsidR="003D7ACD" w:rsidRPr="00DF0D52" w:rsidRDefault="003D7ACD" w:rsidP="00240126">
            <w:pPr>
              <w:spacing w:after="60"/>
              <w:jc w:val="left"/>
              <w:rPr>
                <w:b/>
                <w:sz w:val="20"/>
                <w:szCs w:val="20"/>
              </w:rPr>
            </w:pPr>
            <w:r w:rsidRPr="00DF0D52">
              <w:rPr>
                <w:b/>
                <w:sz w:val="20"/>
                <w:szCs w:val="20"/>
              </w:rPr>
              <w:t>a</w:t>
            </w:r>
          </w:p>
        </w:tc>
        <w:tc>
          <w:tcPr>
            <w:tcW w:w="88" w:type="pct"/>
            <w:tcBorders>
              <w:top w:val="nil"/>
              <w:bottom w:val="nil"/>
            </w:tcBorders>
            <w:shd w:val="clear" w:color="auto" w:fill="auto"/>
            <w:vAlign w:val="center"/>
          </w:tcPr>
          <w:p w:rsidR="003D7ACD" w:rsidRPr="004570EB" w:rsidRDefault="003D7ACD" w:rsidP="00240126">
            <w:pPr>
              <w:spacing w:after="60"/>
              <w:jc w:val="left"/>
              <w:rPr>
                <w:sz w:val="20"/>
                <w:szCs w:val="20"/>
              </w:rPr>
            </w:pPr>
          </w:p>
        </w:tc>
        <w:tc>
          <w:tcPr>
            <w:tcW w:w="1335" w:type="pct"/>
            <w:shd w:val="clear" w:color="auto" w:fill="auto"/>
            <w:vAlign w:val="center"/>
          </w:tcPr>
          <w:p w:rsidR="003D7ACD" w:rsidRPr="004570EB" w:rsidRDefault="00083ED9" w:rsidP="00240126">
            <w:pPr>
              <w:spacing w:after="60"/>
              <w:jc w:val="left"/>
              <w:rPr>
                <w:color w:val="000000"/>
                <w:sz w:val="20"/>
                <w:szCs w:val="20"/>
              </w:rPr>
            </w:pPr>
            <w:r>
              <w:rPr>
                <w:color w:val="000000"/>
                <w:sz w:val="20"/>
                <w:szCs w:val="20"/>
              </w:rPr>
              <w:t>Poda</w:t>
            </w:r>
          </w:p>
        </w:tc>
        <w:tc>
          <w:tcPr>
            <w:tcW w:w="929" w:type="pct"/>
            <w:shd w:val="clear" w:color="auto" w:fill="auto"/>
            <w:vAlign w:val="center"/>
          </w:tcPr>
          <w:p w:rsidR="003D7ACD" w:rsidRPr="00580E49" w:rsidRDefault="003D7ACD" w:rsidP="00240126">
            <w:pPr>
              <w:spacing w:after="60"/>
              <w:jc w:val="right"/>
              <w:rPr>
                <w:sz w:val="20"/>
                <w:szCs w:val="20"/>
              </w:rPr>
            </w:pPr>
            <w:r w:rsidRPr="00580E49">
              <w:rPr>
                <w:sz w:val="20"/>
                <w:szCs w:val="20"/>
              </w:rPr>
              <w:t>30,8</w:t>
            </w:r>
          </w:p>
        </w:tc>
        <w:tc>
          <w:tcPr>
            <w:tcW w:w="159" w:type="pct"/>
            <w:shd w:val="clear" w:color="auto" w:fill="auto"/>
            <w:vAlign w:val="center"/>
          </w:tcPr>
          <w:p w:rsidR="003D7ACD" w:rsidRPr="00DF0D52" w:rsidRDefault="003D7ACD" w:rsidP="00240126">
            <w:pPr>
              <w:spacing w:after="60"/>
              <w:rPr>
                <w:b/>
                <w:sz w:val="20"/>
                <w:szCs w:val="20"/>
              </w:rPr>
            </w:pPr>
            <w:r w:rsidRPr="00DF0D52">
              <w:rPr>
                <w:b/>
                <w:sz w:val="20"/>
                <w:szCs w:val="20"/>
              </w:rPr>
              <w:t>a</w:t>
            </w:r>
          </w:p>
        </w:tc>
      </w:tr>
    </w:tbl>
    <w:p w:rsidR="005A09DC" w:rsidRPr="00C043D5" w:rsidRDefault="005A09DC" w:rsidP="001A146F"/>
    <w:p w:rsidR="00087B49" w:rsidRPr="004C66E5" w:rsidRDefault="003433C7" w:rsidP="00D547C3">
      <w:pPr>
        <w:pStyle w:val="Estilo1"/>
        <w:rPr>
          <w:color w:val="000000"/>
        </w:rPr>
      </w:pPr>
      <w:r w:rsidRPr="004C66E5">
        <w:t>R</w:t>
      </w:r>
      <w:r w:rsidR="00087B49" w:rsidRPr="004C66E5">
        <w:t>elativamente ao efeito do</w:t>
      </w:r>
      <w:r w:rsidR="000B2504">
        <w:t xml:space="preserve"> tratamento </w:t>
      </w:r>
      <w:r w:rsidR="004C2364">
        <w:t xml:space="preserve">(fungicida) </w:t>
      </w:r>
      <w:r w:rsidR="000B2504">
        <w:t xml:space="preserve">verificou-se </w:t>
      </w:r>
      <w:r w:rsidR="00087B49" w:rsidRPr="004C66E5">
        <w:t xml:space="preserve">que </w:t>
      </w:r>
      <w:r w:rsidR="004C66E5" w:rsidRPr="004C66E5">
        <w:t xml:space="preserve">no primeiro ano de ensaio (2008) o </w:t>
      </w:r>
      <w:r w:rsidR="000B2504" w:rsidRPr="004C66E5">
        <w:t>difenoconazol</w:t>
      </w:r>
      <w:r w:rsidR="000B2504" w:rsidRPr="004C66E5">
        <w:rPr>
          <w:color w:val="000000"/>
        </w:rPr>
        <w:t xml:space="preserve"> </w:t>
      </w:r>
      <w:r w:rsidR="000B2504" w:rsidRPr="004C66E5">
        <w:t xml:space="preserve">e o </w:t>
      </w:r>
      <w:r w:rsidR="004C66E5" w:rsidRPr="004C66E5">
        <w:t xml:space="preserve">ciprodinil+fludioxonil </w:t>
      </w:r>
      <w:r w:rsidR="004C66E5" w:rsidRPr="004C66E5">
        <w:rPr>
          <w:color w:val="000000"/>
        </w:rPr>
        <w:t>foram os produtos que se destacaram</w:t>
      </w:r>
      <w:r w:rsidR="000B2504">
        <w:rPr>
          <w:color w:val="000000"/>
        </w:rPr>
        <w:t xml:space="preserve"> diferindo s</w:t>
      </w:r>
      <w:r w:rsidR="006269A1">
        <w:rPr>
          <w:color w:val="000000"/>
        </w:rPr>
        <w:t xml:space="preserve">ignificativamente da testemunha </w:t>
      </w:r>
      <w:r w:rsidR="004044F7">
        <w:t>(Quadro 4.6</w:t>
      </w:r>
      <w:r w:rsidR="006269A1" w:rsidRPr="004C66E5">
        <w:t>)</w:t>
      </w:r>
      <w:r w:rsidR="004C66E5" w:rsidRPr="004C66E5">
        <w:rPr>
          <w:color w:val="000000"/>
        </w:rPr>
        <w:t xml:space="preserve">; no segundo ano </w:t>
      </w:r>
      <w:r w:rsidR="000B2504">
        <w:rPr>
          <w:color w:val="000000"/>
        </w:rPr>
        <w:t>de ensaio (2009),</w:t>
      </w:r>
      <w:r w:rsidR="006269A1">
        <w:rPr>
          <w:color w:val="000000"/>
        </w:rPr>
        <w:t xml:space="preserve"> </w:t>
      </w:r>
      <w:r w:rsidR="000B2504">
        <w:rPr>
          <w:color w:val="000000"/>
        </w:rPr>
        <w:t xml:space="preserve">todos os produtos diferiram da testemunha tendo </w:t>
      </w:r>
      <w:r w:rsidR="009D4B3A">
        <w:rPr>
          <w:color w:val="000000"/>
        </w:rPr>
        <w:t xml:space="preserve">sido </w:t>
      </w:r>
      <w:r w:rsidR="004C66E5" w:rsidRPr="004C66E5">
        <w:t>o ciprodinil+fludioxonil</w:t>
      </w:r>
      <w:r w:rsidR="004C66E5" w:rsidRPr="004C66E5">
        <w:rPr>
          <w:color w:val="000000"/>
        </w:rPr>
        <w:t xml:space="preserve"> </w:t>
      </w:r>
      <w:r w:rsidR="000B2504">
        <w:rPr>
          <w:color w:val="000000"/>
        </w:rPr>
        <w:t xml:space="preserve">e o </w:t>
      </w:r>
      <w:r w:rsidR="000B2504" w:rsidRPr="004C66E5">
        <w:rPr>
          <w:color w:val="000000"/>
        </w:rPr>
        <w:t xml:space="preserve">oxicloreto </w:t>
      </w:r>
      <w:r w:rsidR="000B2504" w:rsidRPr="004C66E5">
        <w:rPr>
          <w:color w:val="000000"/>
        </w:rPr>
        <w:lastRenderedPageBreak/>
        <w:t>de cobre</w:t>
      </w:r>
      <w:r w:rsidR="009D4B3A">
        <w:rPr>
          <w:color w:val="000000"/>
        </w:rPr>
        <w:t>,</w:t>
      </w:r>
      <w:r w:rsidR="000B2504" w:rsidRPr="004C66E5">
        <w:rPr>
          <w:color w:val="000000"/>
        </w:rPr>
        <w:t xml:space="preserve"> </w:t>
      </w:r>
      <w:r w:rsidR="000B2504">
        <w:rPr>
          <w:color w:val="000000"/>
        </w:rPr>
        <w:t xml:space="preserve">aqueles que demonstraram </w:t>
      </w:r>
      <w:r w:rsidR="009D4B3A">
        <w:rPr>
          <w:color w:val="000000"/>
        </w:rPr>
        <w:t>melhor</w:t>
      </w:r>
      <w:r w:rsidR="009D4B3A" w:rsidRPr="004C66E5">
        <w:rPr>
          <w:color w:val="000000"/>
        </w:rPr>
        <w:t xml:space="preserve"> eficácia </w:t>
      </w:r>
      <w:r w:rsidR="004C66E5" w:rsidRPr="004C66E5">
        <w:rPr>
          <w:color w:val="000000"/>
        </w:rPr>
        <w:t xml:space="preserve">na redução da severidade </w:t>
      </w:r>
      <w:r w:rsidR="000B2504">
        <w:rPr>
          <w:color w:val="000000"/>
        </w:rPr>
        <w:t>das doenças</w:t>
      </w:r>
      <w:r w:rsidR="00087B49" w:rsidRPr="004C66E5">
        <w:rPr>
          <w:color w:val="000000"/>
        </w:rPr>
        <w:t xml:space="preserve"> </w:t>
      </w:r>
      <w:r w:rsidR="004044F7">
        <w:t>(Quadro 4.6</w:t>
      </w:r>
      <w:r w:rsidR="00087B49" w:rsidRPr="004C66E5">
        <w:t>)</w:t>
      </w:r>
      <w:r w:rsidR="00087B49" w:rsidRPr="004C66E5">
        <w:rPr>
          <w:color w:val="000000"/>
        </w:rPr>
        <w:t>.</w:t>
      </w:r>
    </w:p>
    <w:p w:rsidR="00087B49" w:rsidRPr="00C37A87" w:rsidRDefault="00C37A87" w:rsidP="00C37A87">
      <w:pPr>
        <w:pStyle w:val="Legenda"/>
      </w:pPr>
      <w:bookmarkStart w:id="78" w:name="_Toc264890338"/>
      <w:r w:rsidRPr="00C37A87">
        <w:t xml:space="preserve">Quadro </w:t>
      </w:r>
      <w:fldSimple w:instr=" STYLEREF 1 \s ">
        <w:r w:rsidR="00E2640D">
          <w:rPr>
            <w:noProof/>
          </w:rPr>
          <w:t>4</w:t>
        </w:r>
      </w:fldSimple>
      <w:r>
        <w:t>.</w:t>
      </w:r>
      <w:fldSimple w:instr=" SEQ Quadro \* ARABIC \s 1 ">
        <w:r w:rsidR="00E2640D">
          <w:rPr>
            <w:noProof/>
          </w:rPr>
          <w:t>6</w:t>
        </w:r>
      </w:fldSimple>
      <w:r w:rsidRPr="00C37A87">
        <w:t>. Comparação das médias relativas à incidência de “black dead arm” e escoriose europeia obtidas nos dois anos de ensaio, para os seis tratamentos em estudo, através dos testes de Tuckey</w:t>
      </w:r>
      <w:bookmarkEnd w:id="78"/>
    </w:p>
    <w:tbl>
      <w:tblPr>
        <w:tblW w:w="5000" w:type="pct"/>
        <w:tblCellMar>
          <w:left w:w="70" w:type="dxa"/>
          <w:right w:w="70" w:type="dxa"/>
        </w:tblCellMar>
        <w:tblLook w:val="04A0"/>
      </w:tblPr>
      <w:tblGrid>
        <w:gridCol w:w="2087"/>
        <w:gridCol w:w="1574"/>
        <w:gridCol w:w="448"/>
        <w:gridCol w:w="448"/>
        <w:gridCol w:w="192"/>
        <w:gridCol w:w="2087"/>
        <w:gridCol w:w="1607"/>
        <w:gridCol w:w="252"/>
        <w:gridCol w:w="263"/>
        <w:gridCol w:w="252"/>
      </w:tblGrid>
      <w:tr w:rsidR="00DF0D52" w:rsidRPr="00AC7E06" w:rsidTr="00DF0D52">
        <w:trPr>
          <w:trHeight w:val="567"/>
        </w:trPr>
        <w:tc>
          <w:tcPr>
            <w:tcW w:w="1138" w:type="pct"/>
            <w:tcBorders>
              <w:top w:val="single" w:sz="4" w:space="0" w:color="auto"/>
              <w:bottom w:val="single" w:sz="4" w:space="0" w:color="auto"/>
            </w:tcBorders>
            <w:shd w:val="clear" w:color="auto" w:fill="auto"/>
            <w:noWrap/>
            <w:vAlign w:val="center"/>
          </w:tcPr>
          <w:p w:rsidR="00DF0D52" w:rsidRPr="006269A1" w:rsidRDefault="00DF0D52" w:rsidP="008A7465">
            <w:pPr>
              <w:spacing w:after="60"/>
              <w:rPr>
                <w:b/>
                <w:sz w:val="20"/>
                <w:szCs w:val="20"/>
              </w:rPr>
            </w:pPr>
            <w:r w:rsidRPr="006269A1">
              <w:rPr>
                <w:b/>
                <w:sz w:val="20"/>
                <w:szCs w:val="20"/>
              </w:rPr>
              <w:t>Efeito Tratamento</w:t>
            </w:r>
          </w:p>
          <w:p w:rsidR="00DF0D52" w:rsidRPr="006269A1" w:rsidRDefault="00DF0D52" w:rsidP="008A7465">
            <w:pPr>
              <w:spacing w:after="60"/>
              <w:rPr>
                <w:b/>
                <w:sz w:val="20"/>
                <w:szCs w:val="20"/>
              </w:rPr>
            </w:pPr>
            <w:r w:rsidRPr="006269A1">
              <w:rPr>
                <w:b/>
                <w:sz w:val="20"/>
                <w:szCs w:val="20"/>
              </w:rPr>
              <w:t>(ano de 2008)</w:t>
            </w:r>
          </w:p>
        </w:tc>
        <w:tc>
          <w:tcPr>
            <w:tcW w:w="819" w:type="pct"/>
            <w:tcBorders>
              <w:top w:val="single" w:sz="4" w:space="0" w:color="auto"/>
              <w:bottom w:val="single" w:sz="4" w:space="0" w:color="auto"/>
            </w:tcBorders>
            <w:shd w:val="clear" w:color="auto" w:fill="auto"/>
            <w:noWrap/>
            <w:vAlign w:val="center"/>
          </w:tcPr>
          <w:p w:rsidR="00DF0D52" w:rsidRPr="006269A1" w:rsidRDefault="00DF0D52" w:rsidP="008A7465">
            <w:pPr>
              <w:spacing w:after="60"/>
              <w:rPr>
                <w:b/>
                <w:sz w:val="20"/>
                <w:szCs w:val="20"/>
              </w:rPr>
            </w:pPr>
            <w:r w:rsidRPr="006269A1">
              <w:rPr>
                <w:b/>
                <w:sz w:val="20"/>
                <w:szCs w:val="20"/>
              </w:rPr>
              <w:t>Sev</w:t>
            </w:r>
            <w:r w:rsidR="009D4CE7" w:rsidRPr="006269A1">
              <w:rPr>
                <w:b/>
                <w:sz w:val="20"/>
                <w:szCs w:val="20"/>
              </w:rPr>
              <w:t>e</w:t>
            </w:r>
            <w:r w:rsidRPr="006269A1">
              <w:rPr>
                <w:b/>
                <w:sz w:val="20"/>
                <w:szCs w:val="20"/>
              </w:rPr>
              <w:t>ridade (%)</w:t>
            </w:r>
          </w:p>
        </w:tc>
        <w:tc>
          <w:tcPr>
            <w:tcW w:w="248" w:type="pct"/>
            <w:tcBorders>
              <w:top w:val="single" w:sz="4" w:space="0" w:color="auto"/>
              <w:bottom w:val="single" w:sz="4" w:space="0" w:color="auto"/>
            </w:tcBorders>
            <w:shd w:val="clear" w:color="auto" w:fill="auto"/>
            <w:noWrap/>
            <w:vAlign w:val="center"/>
          </w:tcPr>
          <w:p w:rsidR="00DF0D52" w:rsidRPr="006269A1" w:rsidRDefault="00DF0D52" w:rsidP="008A7465">
            <w:pPr>
              <w:spacing w:after="60"/>
              <w:rPr>
                <w:b/>
                <w:sz w:val="20"/>
                <w:szCs w:val="20"/>
              </w:rPr>
            </w:pPr>
          </w:p>
        </w:tc>
        <w:tc>
          <w:tcPr>
            <w:tcW w:w="248" w:type="pct"/>
            <w:tcBorders>
              <w:top w:val="single" w:sz="4" w:space="0" w:color="auto"/>
              <w:bottom w:val="single" w:sz="4" w:space="0" w:color="auto"/>
            </w:tcBorders>
            <w:shd w:val="clear" w:color="auto" w:fill="auto"/>
            <w:noWrap/>
            <w:vAlign w:val="center"/>
          </w:tcPr>
          <w:p w:rsidR="00DF0D52" w:rsidRPr="006269A1" w:rsidRDefault="00DF0D52" w:rsidP="008A7465">
            <w:pPr>
              <w:spacing w:after="60"/>
              <w:rPr>
                <w:b/>
                <w:sz w:val="20"/>
                <w:szCs w:val="20"/>
              </w:rPr>
            </w:pPr>
          </w:p>
        </w:tc>
        <w:tc>
          <w:tcPr>
            <w:tcW w:w="108" w:type="pct"/>
            <w:shd w:val="clear" w:color="auto" w:fill="auto"/>
            <w:vAlign w:val="center"/>
          </w:tcPr>
          <w:p w:rsidR="00DF0D52" w:rsidRPr="006269A1" w:rsidRDefault="00DF0D52" w:rsidP="008A7465">
            <w:pPr>
              <w:spacing w:after="60"/>
              <w:rPr>
                <w:b/>
                <w:sz w:val="20"/>
                <w:szCs w:val="20"/>
              </w:rPr>
            </w:pPr>
          </w:p>
        </w:tc>
        <w:tc>
          <w:tcPr>
            <w:tcW w:w="1137" w:type="pct"/>
            <w:tcBorders>
              <w:top w:val="single" w:sz="4" w:space="0" w:color="auto"/>
              <w:bottom w:val="single" w:sz="4" w:space="0" w:color="auto"/>
            </w:tcBorders>
            <w:shd w:val="clear" w:color="auto" w:fill="auto"/>
            <w:vAlign w:val="center"/>
          </w:tcPr>
          <w:p w:rsidR="00DF0D52" w:rsidRPr="006269A1" w:rsidRDefault="00DF0D52" w:rsidP="008A7465">
            <w:pPr>
              <w:spacing w:after="60"/>
              <w:rPr>
                <w:b/>
                <w:sz w:val="20"/>
                <w:szCs w:val="20"/>
              </w:rPr>
            </w:pPr>
            <w:r w:rsidRPr="006269A1">
              <w:rPr>
                <w:b/>
                <w:sz w:val="20"/>
                <w:szCs w:val="20"/>
              </w:rPr>
              <w:t>Efeito Tratamento</w:t>
            </w:r>
          </w:p>
          <w:p w:rsidR="00DF0D52" w:rsidRPr="006269A1" w:rsidRDefault="00DF0D52" w:rsidP="008A7465">
            <w:pPr>
              <w:spacing w:after="60"/>
              <w:rPr>
                <w:b/>
                <w:sz w:val="20"/>
                <w:szCs w:val="20"/>
              </w:rPr>
            </w:pPr>
            <w:r w:rsidRPr="006269A1">
              <w:rPr>
                <w:b/>
                <w:sz w:val="20"/>
                <w:szCs w:val="20"/>
              </w:rPr>
              <w:t>(ano de 2009)</w:t>
            </w:r>
          </w:p>
        </w:tc>
        <w:tc>
          <w:tcPr>
            <w:tcW w:w="876" w:type="pct"/>
            <w:tcBorders>
              <w:top w:val="single" w:sz="4" w:space="0" w:color="auto"/>
              <w:bottom w:val="single" w:sz="4" w:space="0" w:color="auto"/>
            </w:tcBorders>
            <w:shd w:val="clear" w:color="auto" w:fill="auto"/>
            <w:vAlign w:val="center"/>
          </w:tcPr>
          <w:p w:rsidR="00DF0D52" w:rsidRPr="006269A1" w:rsidRDefault="00DF0D52" w:rsidP="008A7465">
            <w:pPr>
              <w:spacing w:after="60"/>
              <w:rPr>
                <w:b/>
                <w:sz w:val="20"/>
                <w:szCs w:val="20"/>
              </w:rPr>
            </w:pPr>
            <w:r w:rsidRPr="006269A1">
              <w:rPr>
                <w:b/>
                <w:sz w:val="20"/>
                <w:szCs w:val="20"/>
              </w:rPr>
              <w:t>Severidade (%)</w:t>
            </w:r>
          </w:p>
        </w:tc>
        <w:tc>
          <w:tcPr>
            <w:tcW w:w="140" w:type="pct"/>
            <w:tcBorders>
              <w:top w:val="single" w:sz="4" w:space="0" w:color="auto"/>
              <w:bottom w:val="single" w:sz="4" w:space="0" w:color="auto"/>
            </w:tcBorders>
            <w:shd w:val="clear" w:color="auto" w:fill="auto"/>
            <w:vAlign w:val="center"/>
          </w:tcPr>
          <w:p w:rsidR="00DF0D52" w:rsidRPr="006269A1" w:rsidRDefault="00DF0D52" w:rsidP="008A7465">
            <w:pPr>
              <w:spacing w:after="60"/>
              <w:rPr>
                <w:b/>
                <w:sz w:val="20"/>
                <w:szCs w:val="20"/>
              </w:rPr>
            </w:pPr>
          </w:p>
        </w:tc>
        <w:tc>
          <w:tcPr>
            <w:tcW w:w="146" w:type="pct"/>
            <w:tcBorders>
              <w:top w:val="single" w:sz="4" w:space="0" w:color="auto"/>
              <w:bottom w:val="single" w:sz="4" w:space="0" w:color="auto"/>
            </w:tcBorders>
            <w:shd w:val="clear" w:color="auto" w:fill="auto"/>
            <w:vAlign w:val="center"/>
          </w:tcPr>
          <w:p w:rsidR="00DF0D52" w:rsidRPr="006269A1" w:rsidRDefault="00DF0D52" w:rsidP="008A7465">
            <w:pPr>
              <w:spacing w:after="60"/>
              <w:rPr>
                <w:b/>
                <w:sz w:val="20"/>
                <w:szCs w:val="20"/>
              </w:rPr>
            </w:pPr>
          </w:p>
        </w:tc>
        <w:tc>
          <w:tcPr>
            <w:tcW w:w="140" w:type="pct"/>
            <w:tcBorders>
              <w:top w:val="single" w:sz="4" w:space="0" w:color="auto"/>
              <w:bottom w:val="single" w:sz="4" w:space="0" w:color="auto"/>
            </w:tcBorders>
            <w:vAlign w:val="center"/>
          </w:tcPr>
          <w:p w:rsidR="00DF0D52" w:rsidRPr="006269A1" w:rsidRDefault="00DF0D52" w:rsidP="008A7465">
            <w:pPr>
              <w:spacing w:after="60"/>
              <w:rPr>
                <w:b/>
                <w:sz w:val="20"/>
                <w:szCs w:val="20"/>
              </w:rPr>
            </w:pPr>
          </w:p>
        </w:tc>
      </w:tr>
      <w:tr w:rsidR="00DF0D52" w:rsidRPr="00AC7E06" w:rsidTr="00DF0D52">
        <w:trPr>
          <w:trHeight w:val="300"/>
        </w:trPr>
        <w:tc>
          <w:tcPr>
            <w:tcW w:w="1138" w:type="pct"/>
            <w:tcBorders>
              <w:top w:val="single" w:sz="4" w:space="0" w:color="auto"/>
            </w:tcBorders>
            <w:shd w:val="clear" w:color="auto" w:fill="auto"/>
            <w:noWrap/>
            <w:vAlign w:val="center"/>
          </w:tcPr>
          <w:p w:rsidR="00DF0D52" w:rsidRPr="006269A1" w:rsidRDefault="00DF0D52" w:rsidP="008A7465">
            <w:pPr>
              <w:spacing w:after="60"/>
              <w:jc w:val="right"/>
              <w:rPr>
                <w:color w:val="000000"/>
                <w:sz w:val="20"/>
                <w:szCs w:val="20"/>
              </w:rPr>
            </w:pPr>
            <w:r w:rsidRPr="006269A1">
              <w:rPr>
                <w:sz w:val="20"/>
                <w:szCs w:val="20"/>
              </w:rPr>
              <w:t>difenoconazol</w:t>
            </w:r>
          </w:p>
        </w:tc>
        <w:tc>
          <w:tcPr>
            <w:tcW w:w="819" w:type="pct"/>
            <w:tcBorders>
              <w:top w:val="single" w:sz="4" w:space="0" w:color="auto"/>
            </w:tcBorders>
            <w:shd w:val="clear" w:color="auto" w:fill="auto"/>
            <w:noWrap/>
            <w:vAlign w:val="center"/>
          </w:tcPr>
          <w:p w:rsidR="00DF0D52" w:rsidRPr="006269A1" w:rsidRDefault="00DF0D52" w:rsidP="008A7465">
            <w:pPr>
              <w:spacing w:after="60"/>
              <w:jc w:val="right"/>
              <w:rPr>
                <w:color w:val="000000"/>
                <w:sz w:val="20"/>
                <w:szCs w:val="20"/>
              </w:rPr>
            </w:pPr>
            <w:r w:rsidRPr="006269A1">
              <w:rPr>
                <w:color w:val="000000"/>
                <w:sz w:val="20"/>
                <w:szCs w:val="20"/>
              </w:rPr>
              <w:t>15,5</w:t>
            </w:r>
          </w:p>
        </w:tc>
        <w:tc>
          <w:tcPr>
            <w:tcW w:w="248" w:type="pct"/>
            <w:tcBorders>
              <w:top w:val="single" w:sz="4" w:space="0" w:color="auto"/>
            </w:tcBorders>
            <w:shd w:val="clear" w:color="auto" w:fill="auto"/>
            <w:noWrap/>
            <w:vAlign w:val="center"/>
          </w:tcPr>
          <w:p w:rsidR="00DF0D52" w:rsidRPr="006269A1" w:rsidRDefault="00DF0D52" w:rsidP="008A7465">
            <w:pPr>
              <w:spacing w:after="60"/>
              <w:jc w:val="left"/>
              <w:rPr>
                <w:b/>
                <w:color w:val="000000"/>
                <w:sz w:val="20"/>
                <w:szCs w:val="20"/>
              </w:rPr>
            </w:pPr>
            <w:r w:rsidRPr="006269A1">
              <w:rPr>
                <w:b/>
                <w:color w:val="000000"/>
                <w:sz w:val="20"/>
                <w:szCs w:val="20"/>
              </w:rPr>
              <w:t>a</w:t>
            </w:r>
          </w:p>
        </w:tc>
        <w:tc>
          <w:tcPr>
            <w:tcW w:w="248" w:type="pct"/>
            <w:tcBorders>
              <w:top w:val="single" w:sz="4" w:space="0" w:color="auto"/>
            </w:tcBorders>
            <w:shd w:val="clear" w:color="auto" w:fill="auto"/>
            <w:noWrap/>
            <w:vAlign w:val="center"/>
          </w:tcPr>
          <w:p w:rsidR="00DF0D52" w:rsidRPr="006269A1" w:rsidRDefault="00DF0D52" w:rsidP="008A7465">
            <w:pPr>
              <w:spacing w:after="60"/>
              <w:jc w:val="left"/>
              <w:rPr>
                <w:b/>
                <w:color w:val="000000"/>
                <w:sz w:val="20"/>
                <w:szCs w:val="20"/>
              </w:rPr>
            </w:pPr>
          </w:p>
        </w:tc>
        <w:tc>
          <w:tcPr>
            <w:tcW w:w="108" w:type="pct"/>
            <w:shd w:val="clear" w:color="auto" w:fill="auto"/>
            <w:vAlign w:val="center"/>
          </w:tcPr>
          <w:p w:rsidR="00DF0D52" w:rsidRPr="006269A1" w:rsidRDefault="00DF0D52" w:rsidP="008A7465">
            <w:pPr>
              <w:spacing w:after="60"/>
              <w:jc w:val="right"/>
              <w:rPr>
                <w:sz w:val="20"/>
                <w:szCs w:val="20"/>
              </w:rPr>
            </w:pPr>
          </w:p>
        </w:tc>
        <w:tc>
          <w:tcPr>
            <w:tcW w:w="1137" w:type="pct"/>
            <w:tcBorders>
              <w:top w:val="single" w:sz="4" w:space="0" w:color="auto"/>
            </w:tcBorders>
            <w:shd w:val="clear" w:color="auto" w:fill="auto"/>
            <w:vAlign w:val="center"/>
          </w:tcPr>
          <w:p w:rsidR="00DF0D52" w:rsidRPr="006269A1" w:rsidRDefault="00DF0D52" w:rsidP="008A7465">
            <w:pPr>
              <w:spacing w:after="60"/>
              <w:jc w:val="right"/>
              <w:rPr>
                <w:sz w:val="20"/>
                <w:szCs w:val="20"/>
              </w:rPr>
            </w:pPr>
            <w:r w:rsidRPr="006269A1">
              <w:rPr>
                <w:sz w:val="20"/>
                <w:szCs w:val="20"/>
              </w:rPr>
              <w:t>ciprodinil+fludioxonil</w:t>
            </w:r>
          </w:p>
        </w:tc>
        <w:tc>
          <w:tcPr>
            <w:tcW w:w="876" w:type="pct"/>
            <w:tcBorders>
              <w:top w:val="single" w:sz="4" w:space="0" w:color="auto"/>
            </w:tcBorders>
            <w:shd w:val="clear" w:color="auto" w:fill="auto"/>
            <w:vAlign w:val="center"/>
          </w:tcPr>
          <w:p w:rsidR="00DF0D52" w:rsidRPr="006269A1" w:rsidRDefault="00DF0D52" w:rsidP="008A7465">
            <w:pPr>
              <w:spacing w:after="60"/>
              <w:jc w:val="right"/>
              <w:rPr>
                <w:sz w:val="20"/>
                <w:szCs w:val="20"/>
              </w:rPr>
            </w:pPr>
            <w:r w:rsidRPr="006269A1">
              <w:rPr>
                <w:sz w:val="20"/>
                <w:szCs w:val="20"/>
              </w:rPr>
              <w:t>21,6</w:t>
            </w:r>
          </w:p>
        </w:tc>
        <w:tc>
          <w:tcPr>
            <w:tcW w:w="140" w:type="pct"/>
            <w:tcBorders>
              <w:top w:val="single" w:sz="4" w:space="0" w:color="auto"/>
            </w:tcBorders>
            <w:shd w:val="clear" w:color="auto" w:fill="auto"/>
            <w:vAlign w:val="center"/>
          </w:tcPr>
          <w:p w:rsidR="00DF0D52" w:rsidRPr="006269A1" w:rsidRDefault="00DF0D52" w:rsidP="008A7465">
            <w:pPr>
              <w:spacing w:after="60"/>
              <w:jc w:val="left"/>
              <w:rPr>
                <w:b/>
                <w:sz w:val="20"/>
                <w:szCs w:val="20"/>
              </w:rPr>
            </w:pPr>
            <w:r w:rsidRPr="006269A1">
              <w:rPr>
                <w:b/>
                <w:sz w:val="20"/>
                <w:szCs w:val="20"/>
              </w:rPr>
              <w:t>a</w:t>
            </w:r>
          </w:p>
        </w:tc>
        <w:tc>
          <w:tcPr>
            <w:tcW w:w="146" w:type="pct"/>
            <w:tcBorders>
              <w:top w:val="single" w:sz="4" w:space="0" w:color="auto"/>
            </w:tcBorders>
            <w:shd w:val="clear" w:color="auto" w:fill="auto"/>
            <w:vAlign w:val="center"/>
          </w:tcPr>
          <w:p w:rsidR="00DF0D52" w:rsidRPr="006269A1" w:rsidRDefault="00DF0D52" w:rsidP="008A7465">
            <w:pPr>
              <w:spacing w:after="60"/>
              <w:jc w:val="left"/>
              <w:rPr>
                <w:b/>
                <w:sz w:val="20"/>
                <w:szCs w:val="20"/>
              </w:rPr>
            </w:pPr>
          </w:p>
        </w:tc>
        <w:tc>
          <w:tcPr>
            <w:tcW w:w="140" w:type="pct"/>
            <w:tcBorders>
              <w:top w:val="single" w:sz="4" w:space="0" w:color="auto"/>
            </w:tcBorders>
            <w:vAlign w:val="center"/>
          </w:tcPr>
          <w:p w:rsidR="00DF0D52" w:rsidRPr="006269A1" w:rsidRDefault="00DF0D52" w:rsidP="008A7465">
            <w:pPr>
              <w:spacing w:after="60"/>
              <w:jc w:val="left"/>
              <w:rPr>
                <w:b/>
                <w:sz w:val="20"/>
                <w:szCs w:val="20"/>
              </w:rPr>
            </w:pPr>
          </w:p>
        </w:tc>
      </w:tr>
      <w:tr w:rsidR="00DF0D52" w:rsidRPr="00AC7E06" w:rsidTr="00DF0D52">
        <w:trPr>
          <w:trHeight w:val="300"/>
        </w:trPr>
        <w:tc>
          <w:tcPr>
            <w:tcW w:w="1138" w:type="pct"/>
            <w:shd w:val="clear" w:color="auto" w:fill="auto"/>
            <w:noWrap/>
            <w:vAlign w:val="center"/>
          </w:tcPr>
          <w:p w:rsidR="00DF0D52" w:rsidRPr="006269A1" w:rsidRDefault="00DF0D52" w:rsidP="008A7465">
            <w:pPr>
              <w:spacing w:after="60"/>
              <w:jc w:val="right"/>
              <w:rPr>
                <w:color w:val="000000"/>
                <w:sz w:val="20"/>
                <w:szCs w:val="20"/>
              </w:rPr>
            </w:pPr>
            <w:r w:rsidRPr="006269A1">
              <w:rPr>
                <w:sz w:val="20"/>
                <w:szCs w:val="20"/>
              </w:rPr>
              <w:t>ciprodinil+fludioxonil</w:t>
            </w:r>
          </w:p>
        </w:tc>
        <w:tc>
          <w:tcPr>
            <w:tcW w:w="819" w:type="pct"/>
            <w:shd w:val="clear" w:color="auto" w:fill="auto"/>
            <w:noWrap/>
            <w:vAlign w:val="center"/>
          </w:tcPr>
          <w:p w:rsidR="00DF0D52" w:rsidRPr="006269A1" w:rsidRDefault="00DF0D52" w:rsidP="008A7465">
            <w:pPr>
              <w:spacing w:after="60"/>
              <w:jc w:val="right"/>
              <w:rPr>
                <w:color w:val="000000"/>
                <w:sz w:val="20"/>
                <w:szCs w:val="20"/>
              </w:rPr>
            </w:pPr>
            <w:r w:rsidRPr="006269A1">
              <w:rPr>
                <w:color w:val="000000"/>
                <w:sz w:val="20"/>
                <w:szCs w:val="20"/>
              </w:rPr>
              <w:t>17,1</w:t>
            </w:r>
          </w:p>
        </w:tc>
        <w:tc>
          <w:tcPr>
            <w:tcW w:w="248" w:type="pct"/>
            <w:shd w:val="clear" w:color="auto" w:fill="auto"/>
            <w:noWrap/>
            <w:vAlign w:val="center"/>
          </w:tcPr>
          <w:p w:rsidR="00DF0D52" w:rsidRPr="006269A1" w:rsidRDefault="00DF0D52" w:rsidP="008A7465">
            <w:pPr>
              <w:spacing w:after="60"/>
              <w:jc w:val="left"/>
              <w:rPr>
                <w:b/>
                <w:color w:val="000000"/>
                <w:sz w:val="20"/>
                <w:szCs w:val="20"/>
              </w:rPr>
            </w:pPr>
            <w:r w:rsidRPr="006269A1">
              <w:rPr>
                <w:b/>
                <w:color w:val="000000"/>
                <w:sz w:val="20"/>
                <w:szCs w:val="20"/>
              </w:rPr>
              <w:t>a</w:t>
            </w:r>
          </w:p>
        </w:tc>
        <w:tc>
          <w:tcPr>
            <w:tcW w:w="248" w:type="pct"/>
            <w:shd w:val="clear" w:color="auto" w:fill="auto"/>
            <w:noWrap/>
            <w:vAlign w:val="center"/>
          </w:tcPr>
          <w:p w:rsidR="00DF0D52" w:rsidRPr="006269A1" w:rsidRDefault="00DF0D52" w:rsidP="008A7465">
            <w:pPr>
              <w:spacing w:after="60"/>
              <w:jc w:val="left"/>
              <w:rPr>
                <w:b/>
                <w:color w:val="000000"/>
                <w:sz w:val="20"/>
                <w:szCs w:val="20"/>
              </w:rPr>
            </w:pPr>
          </w:p>
        </w:tc>
        <w:tc>
          <w:tcPr>
            <w:tcW w:w="108" w:type="pct"/>
            <w:shd w:val="clear" w:color="auto" w:fill="auto"/>
            <w:vAlign w:val="center"/>
          </w:tcPr>
          <w:p w:rsidR="00DF0D52" w:rsidRPr="006269A1" w:rsidRDefault="00DF0D52" w:rsidP="008A7465">
            <w:pPr>
              <w:spacing w:after="60"/>
              <w:jc w:val="right"/>
              <w:rPr>
                <w:sz w:val="20"/>
                <w:szCs w:val="20"/>
              </w:rPr>
            </w:pPr>
          </w:p>
        </w:tc>
        <w:tc>
          <w:tcPr>
            <w:tcW w:w="1137" w:type="pct"/>
            <w:shd w:val="clear" w:color="auto" w:fill="auto"/>
            <w:vAlign w:val="center"/>
          </w:tcPr>
          <w:p w:rsidR="00DF0D52" w:rsidRPr="006269A1" w:rsidRDefault="00DF0D52" w:rsidP="008A7465">
            <w:pPr>
              <w:spacing w:after="60"/>
              <w:jc w:val="right"/>
              <w:rPr>
                <w:sz w:val="20"/>
                <w:szCs w:val="20"/>
              </w:rPr>
            </w:pPr>
            <w:r w:rsidRPr="006269A1">
              <w:rPr>
                <w:sz w:val="20"/>
                <w:szCs w:val="20"/>
              </w:rPr>
              <w:t>oxicloreto de cobre</w:t>
            </w:r>
          </w:p>
        </w:tc>
        <w:tc>
          <w:tcPr>
            <w:tcW w:w="876" w:type="pct"/>
            <w:shd w:val="clear" w:color="auto" w:fill="auto"/>
            <w:vAlign w:val="center"/>
          </w:tcPr>
          <w:p w:rsidR="00DF0D52" w:rsidRPr="006269A1" w:rsidRDefault="00DF0D52" w:rsidP="008A7465">
            <w:pPr>
              <w:spacing w:after="60"/>
              <w:jc w:val="right"/>
              <w:rPr>
                <w:sz w:val="20"/>
                <w:szCs w:val="20"/>
              </w:rPr>
            </w:pPr>
            <w:r w:rsidRPr="006269A1">
              <w:rPr>
                <w:sz w:val="20"/>
                <w:szCs w:val="20"/>
              </w:rPr>
              <w:t>23,4</w:t>
            </w:r>
          </w:p>
        </w:tc>
        <w:tc>
          <w:tcPr>
            <w:tcW w:w="140" w:type="pct"/>
            <w:shd w:val="clear" w:color="auto" w:fill="auto"/>
            <w:vAlign w:val="center"/>
          </w:tcPr>
          <w:p w:rsidR="00DF0D52" w:rsidRPr="006269A1" w:rsidRDefault="00DF0D52" w:rsidP="008A7465">
            <w:pPr>
              <w:spacing w:after="60"/>
              <w:jc w:val="left"/>
              <w:rPr>
                <w:b/>
                <w:sz w:val="20"/>
                <w:szCs w:val="20"/>
              </w:rPr>
            </w:pPr>
            <w:r w:rsidRPr="006269A1">
              <w:rPr>
                <w:b/>
                <w:sz w:val="20"/>
                <w:szCs w:val="20"/>
              </w:rPr>
              <w:t>a</w:t>
            </w:r>
          </w:p>
        </w:tc>
        <w:tc>
          <w:tcPr>
            <w:tcW w:w="146" w:type="pct"/>
            <w:shd w:val="clear" w:color="auto" w:fill="auto"/>
            <w:vAlign w:val="center"/>
          </w:tcPr>
          <w:p w:rsidR="00DF0D52" w:rsidRPr="006269A1" w:rsidRDefault="00DF0D52" w:rsidP="008A7465">
            <w:pPr>
              <w:spacing w:after="60"/>
              <w:jc w:val="left"/>
              <w:rPr>
                <w:b/>
                <w:sz w:val="20"/>
                <w:szCs w:val="20"/>
              </w:rPr>
            </w:pPr>
          </w:p>
        </w:tc>
        <w:tc>
          <w:tcPr>
            <w:tcW w:w="140" w:type="pct"/>
            <w:vAlign w:val="center"/>
          </w:tcPr>
          <w:p w:rsidR="00DF0D52" w:rsidRPr="006269A1" w:rsidRDefault="00DF0D52" w:rsidP="008A7465">
            <w:pPr>
              <w:spacing w:after="60"/>
              <w:jc w:val="left"/>
              <w:rPr>
                <w:b/>
                <w:sz w:val="20"/>
                <w:szCs w:val="20"/>
              </w:rPr>
            </w:pPr>
          </w:p>
        </w:tc>
      </w:tr>
      <w:tr w:rsidR="00DF0D52" w:rsidRPr="00AC7E06" w:rsidTr="00DF0D52">
        <w:trPr>
          <w:trHeight w:val="300"/>
        </w:trPr>
        <w:tc>
          <w:tcPr>
            <w:tcW w:w="1138" w:type="pct"/>
            <w:shd w:val="clear" w:color="auto" w:fill="auto"/>
            <w:noWrap/>
            <w:vAlign w:val="center"/>
          </w:tcPr>
          <w:p w:rsidR="00DF0D52" w:rsidRPr="006269A1" w:rsidRDefault="00DF0D52" w:rsidP="008A7465">
            <w:pPr>
              <w:spacing w:after="60"/>
              <w:jc w:val="right"/>
              <w:rPr>
                <w:color w:val="000000"/>
                <w:sz w:val="20"/>
                <w:szCs w:val="20"/>
              </w:rPr>
            </w:pPr>
            <w:r w:rsidRPr="006269A1">
              <w:rPr>
                <w:sz w:val="20"/>
                <w:szCs w:val="20"/>
              </w:rPr>
              <w:t>oxicloreto de cobre</w:t>
            </w:r>
          </w:p>
        </w:tc>
        <w:tc>
          <w:tcPr>
            <w:tcW w:w="819" w:type="pct"/>
            <w:shd w:val="clear" w:color="auto" w:fill="auto"/>
            <w:noWrap/>
            <w:vAlign w:val="center"/>
          </w:tcPr>
          <w:p w:rsidR="00DF0D52" w:rsidRPr="006269A1" w:rsidRDefault="00DF0D52" w:rsidP="008A7465">
            <w:pPr>
              <w:spacing w:after="60"/>
              <w:jc w:val="right"/>
              <w:rPr>
                <w:color w:val="000000"/>
                <w:sz w:val="20"/>
                <w:szCs w:val="20"/>
              </w:rPr>
            </w:pPr>
            <w:r w:rsidRPr="006269A1">
              <w:rPr>
                <w:color w:val="000000"/>
                <w:sz w:val="20"/>
                <w:szCs w:val="20"/>
              </w:rPr>
              <w:t>19,0</w:t>
            </w:r>
          </w:p>
        </w:tc>
        <w:tc>
          <w:tcPr>
            <w:tcW w:w="248" w:type="pct"/>
            <w:shd w:val="clear" w:color="auto" w:fill="auto"/>
            <w:noWrap/>
            <w:vAlign w:val="center"/>
          </w:tcPr>
          <w:p w:rsidR="00DF0D52" w:rsidRPr="006269A1" w:rsidRDefault="00DF0D52" w:rsidP="008A7465">
            <w:pPr>
              <w:spacing w:after="60"/>
              <w:jc w:val="left"/>
              <w:rPr>
                <w:b/>
                <w:color w:val="000000"/>
                <w:sz w:val="20"/>
                <w:szCs w:val="20"/>
              </w:rPr>
            </w:pPr>
            <w:r w:rsidRPr="006269A1">
              <w:rPr>
                <w:b/>
                <w:color w:val="000000"/>
                <w:sz w:val="20"/>
                <w:szCs w:val="20"/>
              </w:rPr>
              <w:t>a</w:t>
            </w:r>
          </w:p>
        </w:tc>
        <w:tc>
          <w:tcPr>
            <w:tcW w:w="248" w:type="pct"/>
            <w:shd w:val="clear" w:color="auto" w:fill="auto"/>
            <w:noWrap/>
            <w:vAlign w:val="center"/>
          </w:tcPr>
          <w:p w:rsidR="00DF0D52" w:rsidRPr="006269A1" w:rsidRDefault="00DF0D52" w:rsidP="008A7465">
            <w:pPr>
              <w:spacing w:after="60"/>
              <w:jc w:val="left"/>
              <w:rPr>
                <w:b/>
                <w:color w:val="000000"/>
                <w:sz w:val="20"/>
                <w:szCs w:val="20"/>
              </w:rPr>
            </w:pPr>
            <w:r w:rsidRPr="006269A1">
              <w:rPr>
                <w:b/>
                <w:color w:val="000000"/>
                <w:sz w:val="20"/>
                <w:szCs w:val="20"/>
              </w:rPr>
              <w:t>b</w:t>
            </w:r>
          </w:p>
        </w:tc>
        <w:tc>
          <w:tcPr>
            <w:tcW w:w="108" w:type="pct"/>
            <w:shd w:val="clear" w:color="auto" w:fill="auto"/>
            <w:vAlign w:val="center"/>
          </w:tcPr>
          <w:p w:rsidR="00DF0D52" w:rsidRPr="006269A1" w:rsidRDefault="00DF0D52" w:rsidP="008A7465">
            <w:pPr>
              <w:spacing w:after="60"/>
              <w:jc w:val="right"/>
              <w:rPr>
                <w:sz w:val="20"/>
                <w:szCs w:val="20"/>
              </w:rPr>
            </w:pPr>
          </w:p>
        </w:tc>
        <w:tc>
          <w:tcPr>
            <w:tcW w:w="1137" w:type="pct"/>
            <w:shd w:val="clear" w:color="auto" w:fill="auto"/>
            <w:vAlign w:val="center"/>
          </w:tcPr>
          <w:p w:rsidR="00DF0D52" w:rsidRPr="006269A1" w:rsidRDefault="00DF0D52" w:rsidP="008A7465">
            <w:pPr>
              <w:spacing w:after="60"/>
              <w:jc w:val="right"/>
              <w:rPr>
                <w:sz w:val="20"/>
                <w:szCs w:val="20"/>
              </w:rPr>
            </w:pPr>
            <w:r w:rsidRPr="006269A1">
              <w:rPr>
                <w:sz w:val="20"/>
                <w:szCs w:val="20"/>
              </w:rPr>
              <w:t>difenoconazol</w:t>
            </w:r>
          </w:p>
        </w:tc>
        <w:tc>
          <w:tcPr>
            <w:tcW w:w="876" w:type="pct"/>
            <w:shd w:val="clear" w:color="auto" w:fill="auto"/>
            <w:vAlign w:val="center"/>
          </w:tcPr>
          <w:p w:rsidR="00DF0D52" w:rsidRPr="006269A1" w:rsidRDefault="00DF0D52" w:rsidP="008A7465">
            <w:pPr>
              <w:spacing w:after="60"/>
              <w:jc w:val="right"/>
              <w:rPr>
                <w:sz w:val="20"/>
                <w:szCs w:val="20"/>
              </w:rPr>
            </w:pPr>
            <w:r w:rsidRPr="006269A1">
              <w:rPr>
                <w:sz w:val="20"/>
                <w:szCs w:val="20"/>
              </w:rPr>
              <w:t>25,0</w:t>
            </w:r>
          </w:p>
        </w:tc>
        <w:tc>
          <w:tcPr>
            <w:tcW w:w="140" w:type="pct"/>
            <w:shd w:val="clear" w:color="auto" w:fill="auto"/>
            <w:vAlign w:val="center"/>
          </w:tcPr>
          <w:p w:rsidR="00DF0D52" w:rsidRPr="006269A1" w:rsidRDefault="00DF0D52" w:rsidP="008A7465">
            <w:pPr>
              <w:spacing w:after="60"/>
              <w:jc w:val="left"/>
              <w:rPr>
                <w:b/>
                <w:sz w:val="20"/>
                <w:szCs w:val="20"/>
              </w:rPr>
            </w:pPr>
            <w:r w:rsidRPr="006269A1">
              <w:rPr>
                <w:b/>
                <w:sz w:val="20"/>
                <w:szCs w:val="20"/>
              </w:rPr>
              <w:t>a</w:t>
            </w:r>
          </w:p>
        </w:tc>
        <w:tc>
          <w:tcPr>
            <w:tcW w:w="146" w:type="pct"/>
            <w:shd w:val="clear" w:color="auto" w:fill="auto"/>
            <w:vAlign w:val="center"/>
          </w:tcPr>
          <w:p w:rsidR="00DF0D52" w:rsidRPr="006269A1" w:rsidRDefault="00DF0D52" w:rsidP="008A7465">
            <w:pPr>
              <w:spacing w:after="60"/>
              <w:jc w:val="left"/>
              <w:rPr>
                <w:b/>
                <w:sz w:val="20"/>
                <w:szCs w:val="20"/>
              </w:rPr>
            </w:pPr>
            <w:r w:rsidRPr="006269A1">
              <w:rPr>
                <w:b/>
                <w:sz w:val="20"/>
                <w:szCs w:val="20"/>
              </w:rPr>
              <w:t>b</w:t>
            </w:r>
          </w:p>
        </w:tc>
        <w:tc>
          <w:tcPr>
            <w:tcW w:w="140" w:type="pct"/>
            <w:vAlign w:val="center"/>
          </w:tcPr>
          <w:p w:rsidR="00DF0D52" w:rsidRPr="006269A1" w:rsidRDefault="00DF0D52" w:rsidP="008A7465">
            <w:pPr>
              <w:spacing w:after="60"/>
              <w:jc w:val="left"/>
              <w:rPr>
                <w:b/>
                <w:sz w:val="20"/>
                <w:szCs w:val="20"/>
              </w:rPr>
            </w:pPr>
          </w:p>
        </w:tc>
      </w:tr>
      <w:tr w:rsidR="00DF0D52" w:rsidRPr="00AC7E06" w:rsidTr="00DF0D52">
        <w:trPr>
          <w:trHeight w:val="300"/>
        </w:trPr>
        <w:tc>
          <w:tcPr>
            <w:tcW w:w="1138" w:type="pct"/>
            <w:shd w:val="clear" w:color="auto" w:fill="auto"/>
            <w:noWrap/>
            <w:vAlign w:val="center"/>
          </w:tcPr>
          <w:p w:rsidR="00DF0D52" w:rsidRPr="006269A1" w:rsidRDefault="00DF0D52" w:rsidP="008A7465">
            <w:pPr>
              <w:spacing w:after="60"/>
              <w:jc w:val="right"/>
              <w:rPr>
                <w:color w:val="000000"/>
                <w:sz w:val="20"/>
                <w:szCs w:val="20"/>
              </w:rPr>
            </w:pPr>
            <w:r w:rsidRPr="006269A1">
              <w:rPr>
                <w:sz w:val="20"/>
                <w:szCs w:val="20"/>
              </w:rPr>
              <w:t>tebuconazol</w:t>
            </w:r>
          </w:p>
        </w:tc>
        <w:tc>
          <w:tcPr>
            <w:tcW w:w="819" w:type="pct"/>
            <w:shd w:val="clear" w:color="auto" w:fill="auto"/>
            <w:noWrap/>
            <w:vAlign w:val="center"/>
          </w:tcPr>
          <w:p w:rsidR="00DF0D52" w:rsidRPr="006269A1" w:rsidRDefault="00DF0D52" w:rsidP="008A7465">
            <w:pPr>
              <w:spacing w:after="60"/>
              <w:jc w:val="right"/>
              <w:rPr>
                <w:color w:val="000000"/>
                <w:sz w:val="20"/>
                <w:szCs w:val="20"/>
              </w:rPr>
            </w:pPr>
            <w:r w:rsidRPr="006269A1">
              <w:rPr>
                <w:color w:val="000000"/>
                <w:sz w:val="20"/>
                <w:szCs w:val="20"/>
              </w:rPr>
              <w:t>19,2</w:t>
            </w:r>
          </w:p>
        </w:tc>
        <w:tc>
          <w:tcPr>
            <w:tcW w:w="248" w:type="pct"/>
            <w:shd w:val="clear" w:color="auto" w:fill="auto"/>
            <w:noWrap/>
            <w:vAlign w:val="center"/>
          </w:tcPr>
          <w:p w:rsidR="00DF0D52" w:rsidRPr="006269A1" w:rsidRDefault="00DF0D52" w:rsidP="008A7465">
            <w:pPr>
              <w:spacing w:after="60"/>
              <w:jc w:val="left"/>
              <w:rPr>
                <w:b/>
                <w:color w:val="000000"/>
                <w:sz w:val="20"/>
                <w:szCs w:val="20"/>
              </w:rPr>
            </w:pPr>
            <w:r w:rsidRPr="006269A1">
              <w:rPr>
                <w:b/>
                <w:color w:val="000000"/>
                <w:sz w:val="20"/>
                <w:szCs w:val="20"/>
              </w:rPr>
              <w:t>a</w:t>
            </w:r>
          </w:p>
        </w:tc>
        <w:tc>
          <w:tcPr>
            <w:tcW w:w="248" w:type="pct"/>
            <w:shd w:val="clear" w:color="auto" w:fill="auto"/>
            <w:noWrap/>
            <w:vAlign w:val="center"/>
          </w:tcPr>
          <w:p w:rsidR="00DF0D52" w:rsidRPr="006269A1" w:rsidRDefault="00DF0D52" w:rsidP="008A7465">
            <w:pPr>
              <w:spacing w:after="60"/>
              <w:jc w:val="left"/>
              <w:rPr>
                <w:b/>
                <w:color w:val="000000"/>
                <w:sz w:val="20"/>
                <w:szCs w:val="20"/>
              </w:rPr>
            </w:pPr>
            <w:r w:rsidRPr="006269A1">
              <w:rPr>
                <w:b/>
                <w:color w:val="000000"/>
                <w:sz w:val="20"/>
                <w:szCs w:val="20"/>
              </w:rPr>
              <w:t>b</w:t>
            </w:r>
          </w:p>
        </w:tc>
        <w:tc>
          <w:tcPr>
            <w:tcW w:w="108" w:type="pct"/>
            <w:shd w:val="clear" w:color="auto" w:fill="auto"/>
            <w:vAlign w:val="center"/>
          </w:tcPr>
          <w:p w:rsidR="00DF0D52" w:rsidRPr="006269A1" w:rsidRDefault="00DF0D52" w:rsidP="008A7465">
            <w:pPr>
              <w:spacing w:after="60"/>
              <w:jc w:val="right"/>
              <w:rPr>
                <w:sz w:val="20"/>
                <w:szCs w:val="20"/>
              </w:rPr>
            </w:pPr>
          </w:p>
        </w:tc>
        <w:tc>
          <w:tcPr>
            <w:tcW w:w="1137" w:type="pct"/>
            <w:shd w:val="clear" w:color="auto" w:fill="auto"/>
            <w:vAlign w:val="center"/>
          </w:tcPr>
          <w:p w:rsidR="00DF0D52" w:rsidRPr="006269A1" w:rsidRDefault="00DF0D52" w:rsidP="008A7465">
            <w:pPr>
              <w:spacing w:after="60"/>
              <w:jc w:val="right"/>
              <w:rPr>
                <w:sz w:val="20"/>
                <w:szCs w:val="20"/>
              </w:rPr>
            </w:pPr>
            <w:r w:rsidRPr="006269A1">
              <w:rPr>
                <w:sz w:val="20"/>
                <w:szCs w:val="20"/>
              </w:rPr>
              <w:t>tebuconazol</w:t>
            </w:r>
          </w:p>
        </w:tc>
        <w:tc>
          <w:tcPr>
            <w:tcW w:w="876" w:type="pct"/>
            <w:shd w:val="clear" w:color="auto" w:fill="auto"/>
            <w:vAlign w:val="center"/>
          </w:tcPr>
          <w:p w:rsidR="00DF0D52" w:rsidRPr="006269A1" w:rsidRDefault="00DF0D52" w:rsidP="008A7465">
            <w:pPr>
              <w:spacing w:after="60"/>
              <w:jc w:val="right"/>
              <w:rPr>
                <w:sz w:val="20"/>
                <w:szCs w:val="20"/>
              </w:rPr>
            </w:pPr>
            <w:r w:rsidRPr="006269A1">
              <w:rPr>
                <w:sz w:val="20"/>
                <w:szCs w:val="20"/>
              </w:rPr>
              <w:t>25,2</w:t>
            </w:r>
          </w:p>
        </w:tc>
        <w:tc>
          <w:tcPr>
            <w:tcW w:w="140" w:type="pct"/>
            <w:shd w:val="clear" w:color="auto" w:fill="auto"/>
            <w:vAlign w:val="center"/>
          </w:tcPr>
          <w:p w:rsidR="00DF0D52" w:rsidRPr="006269A1" w:rsidRDefault="00DF0D52" w:rsidP="008A7465">
            <w:pPr>
              <w:spacing w:after="60"/>
              <w:jc w:val="left"/>
              <w:rPr>
                <w:b/>
                <w:sz w:val="20"/>
                <w:szCs w:val="20"/>
              </w:rPr>
            </w:pPr>
            <w:r w:rsidRPr="006269A1">
              <w:rPr>
                <w:b/>
                <w:sz w:val="20"/>
                <w:szCs w:val="20"/>
              </w:rPr>
              <w:t>a</w:t>
            </w:r>
          </w:p>
        </w:tc>
        <w:tc>
          <w:tcPr>
            <w:tcW w:w="146" w:type="pct"/>
            <w:shd w:val="clear" w:color="auto" w:fill="auto"/>
            <w:vAlign w:val="center"/>
          </w:tcPr>
          <w:p w:rsidR="00DF0D52" w:rsidRPr="006269A1" w:rsidRDefault="00DF0D52" w:rsidP="008A7465">
            <w:pPr>
              <w:spacing w:after="60"/>
              <w:jc w:val="left"/>
              <w:rPr>
                <w:b/>
                <w:sz w:val="20"/>
                <w:szCs w:val="20"/>
              </w:rPr>
            </w:pPr>
            <w:r w:rsidRPr="006269A1">
              <w:rPr>
                <w:b/>
                <w:sz w:val="20"/>
                <w:szCs w:val="20"/>
              </w:rPr>
              <w:t>b</w:t>
            </w:r>
          </w:p>
        </w:tc>
        <w:tc>
          <w:tcPr>
            <w:tcW w:w="140" w:type="pct"/>
            <w:vAlign w:val="center"/>
          </w:tcPr>
          <w:p w:rsidR="00DF0D52" w:rsidRPr="006269A1" w:rsidRDefault="00DF0D52" w:rsidP="008A7465">
            <w:pPr>
              <w:spacing w:after="60"/>
              <w:jc w:val="left"/>
              <w:rPr>
                <w:b/>
                <w:sz w:val="20"/>
                <w:szCs w:val="20"/>
              </w:rPr>
            </w:pPr>
          </w:p>
        </w:tc>
      </w:tr>
      <w:tr w:rsidR="00DF0D52" w:rsidRPr="00AC7E06" w:rsidTr="00DF0D52">
        <w:trPr>
          <w:trHeight w:val="300"/>
        </w:trPr>
        <w:tc>
          <w:tcPr>
            <w:tcW w:w="1138" w:type="pct"/>
            <w:shd w:val="clear" w:color="auto" w:fill="auto"/>
            <w:noWrap/>
            <w:vAlign w:val="center"/>
          </w:tcPr>
          <w:p w:rsidR="00DF0D52" w:rsidRPr="006269A1" w:rsidRDefault="00DF0D52" w:rsidP="008A7465">
            <w:pPr>
              <w:spacing w:after="60"/>
              <w:jc w:val="right"/>
              <w:rPr>
                <w:color w:val="000000"/>
                <w:sz w:val="20"/>
                <w:szCs w:val="20"/>
              </w:rPr>
            </w:pPr>
            <w:r w:rsidRPr="006269A1">
              <w:rPr>
                <w:sz w:val="20"/>
                <w:szCs w:val="20"/>
              </w:rPr>
              <w:t>azoxistrobina</w:t>
            </w:r>
          </w:p>
        </w:tc>
        <w:tc>
          <w:tcPr>
            <w:tcW w:w="819" w:type="pct"/>
            <w:shd w:val="clear" w:color="auto" w:fill="auto"/>
            <w:noWrap/>
            <w:vAlign w:val="center"/>
          </w:tcPr>
          <w:p w:rsidR="00DF0D52" w:rsidRPr="006269A1" w:rsidRDefault="00DF0D52" w:rsidP="008A7465">
            <w:pPr>
              <w:spacing w:after="60"/>
              <w:jc w:val="right"/>
              <w:rPr>
                <w:color w:val="000000"/>
                <w:sz w:val="20"/>
                <w:szCs w:val="20"/>
              </w:rPr>
            </w:pPr>
            <w:r w:rsidRPr="006269A1">
              <w:rPr>
                <w:color w:val="000000"/>
                <w:sz w:val="20"/>
                <w:szCs w:val="20"/>
              </w:rPr>
              <w:t>20,1</w:t>
            </w:r>
          </w:p>
        </w:tc>
        <w:tc>
          <w:tcPr>
            <w:tcW w:w="248" w:type="pct"/>
            <w:shd w:val="clear" w:color="auto" w:fill="auto"/>
            <w:noWrap/>
            <w:vAlign w:val="center"/>
          </w:tcPr>
          <w:p w:rsidR="00DF0D52" w:rsidRPr="006269A1" w:rsidRDefault="00DF0D52" w:rsidP="008A7465">
            <w:pPr>
              <w:spacing w:after="60"/>
              <w:jc w:val="left"/>
              <w:rPr>
                <w:b/>
                <w:color w:val="000000"/>
                <w:sz w:val="20"/>
                <w:szCs w:val="20"/>
              </w:rPr>
            </w:pPr>
            <w:r w:rsidRPr="006269A1">
              <w:rPr>
                <w:b/>
                <w:color w:val="000000"/>
                <w:sz w:val="20"/>
                <w:szCs w:val="20"/>
              </w:rPr>
              <w:t>a</w:t>
            </w:r>
          </w:p>
        </w:tc>
        <w:tc>
          <w:tcPr>
            <w:tcW w:w="248" w:type="pct"/>
            <w:shd w:val="clear" w:color="auto" w:fill="auto"/>
            <w:noWrap/>
            <w:vAlign w:val="center"/>
          </w:tcPr>
          <w:p w:rsidR="00DF0D52" w:rsidRPr="006269A1" w:rsidRDefault="00DF0D52" w:rsidP="008A7465">
            <w:pPr>
              <w:spacing w:after="60"/>
              <w:jc w:val="left"/>
              <w:rPr>
                <w:b/>
                <w:color w:val="000000"/>
                <w:sz w:val="20"/>
                <w:szCs w:val="20"/>
              </w:rPr>
            </w:pPr>
            <w:r w:rsidRPr="006269A1">
              <w:rPr>
                <w:b/>
                <w:color w:val="000000"/>
                <w:sz w:val="20"/>
                <w:szCs w:val="20"/>
              </w:rPr>
              <w:t>b</w:t>
            </w:r>
          </w:p>
        </w:tc>
        <w:tc>
          <w:tcPr>
            <w:tcW w:w="108" w:type="pct"/>
            <w:shd w:val="clear" w:color="auto" w:fill="auto"/>
            <w:vAlign w:val="center"/>
          </w:tcPr>
          <w:p w:rsidR="00DF0D52" w:rsidRPr="006269A1" w:rsidRDefault="00DF0D52" w:rsidP="008A7465">
            <w:pPr>
              <w:spacing w:after="60"/>
              <w:jc w:val="right"/>
              <w:rPr>
                <w:sz w:val="20"/>
                <w:szCs w:val="20"/>
              </w:rPr>
            </w:pPr>
          </w:p>
        </w:tc>
        <w:tc>
          <w:tcPr>
            <w:tcW w:w="1137" w:type="pct"/>
            <w:shd w:val="clear" w:color="auto" w:fill="auto"/>
            <w:vAlign w:val="center"/>
          </w:tcPr>
          <w:p w:rsidR="00DF0D52" w:rsidRPr="006269A1" w:rsidRDefault="00DF0D52" w:rsidP="008A7465">
            <w:pPr>
              <w:spacing w:after="60"/>
              <w:jc w:val="right"/>
              <w:rPr>
                <w:sz w:val="20"/>
                <w:szCs w:val="20"/>
              </w:rPr>
            </w:pPr>
            <w:r w:rsidRPr="006269A1">
              <w:rPr>
                <w:sz w:val="20"/>
                <w:szCs w:val="20"/>
              </w:rPr>
              <w:t>azoxistrobina</w:t>
            </w:r>
          </w:p>
        </w:tc>
        <w:tc>
          <w:tcPr>
            <w:tcW w:w="876" w:type="pct"/>
            <w:shd w:val="clear" w:color="auto" w:fill="auto"/>
            <w:vAlign w:val="center"/>
          </w:tcPr>
          <w:p w:rsidR="00DF0D52" w:rsidRPr="006269A1" w:rsidRDefault="00DF0D52" w:rsidP="008A7465">
            <w:pPr>
              <w:spacing w:after="60"/>
              <w:jc w:val="right"/>
              <w:rPr>
                <w:sz w:val="20"/>
                <w:szCs w:val="20"/>
              </w:rPr>
            </w:pPr>
            <w:r w:rsidRPr="006269A1">
              <w:rPr>
                <w:sz w:val="20"/>
                <w:szCs w:val="20"/>
              </w:rPr>
              <w:t>32,7</w:t>
            </w:r>
          </w:p>
        </w:tc>
        <w:tc>
          <w:tcPr>
            <w:tcW w:w="140" w:type="pct"/>
            <w:shd w:val="clear" w:color="auto" w:fill="auto"/>
            <w:vAlign w:val="center"/>
          </w:tcPr>
          <w:p w:rsidR="00DF0D52" w:rsidRPr="006269A1" w:rsidRDefault="00DF0D52" w:rsidP="008A7465">
            <w:pPr>
              <w:spacing w:after="60"/>
              <w:jc w:val="left"/>
              <w:rPr>
                <w:b/>
                <w:sz w:val="20"/>
                <w:szCs w:val="20"/>
              </w:rPr>
            </w:pPr>
          </w:p>
        </w:tc>
        <w:tc>
          <w:tcPr>
            <w:tcW w:w="146" w:type="pct"/>
            <w:shd w:val="clear" w:color="auto" w:fill="auto"/>
            <w:vAlign w:val="center"/>
          </w:tcPr>
          <w:p w:rsidR="00DF0D52" w:rsidRPr="006269A1" w:rsidRDefault="00DF0D52" w:rsidP="008A7465">
            <w:pPr>
              <w:spacing w:after="60"/>
              <w:jc w:val="left"/>
              <w:rPr>
                <w:b/>
                <w:sz w:val="20"/>
                <w:szCs w:val="20"/>
              </w:rPr>
            </w:pPr>
            <w:r w:rsidRPr="006269A1">
              <w:rPr>
                <w:b/>
                <w:sz w:val="20"/>
                <w:szCs w:val="20"/>
              </w:rPr>
              <w:t>b</w:t>
            </w:r>
          </w:p>
        </w:tc>
        <w:tc>
          <w:tcPr>
            <w:tcW w:w="140" w:type="pct"/>
            <w:vAlign w:val="center"/>
          </w:tcPr>
          <w:p w:rsidR="00DF0D52" w:rsidRPr="006269A1" w:rsidRDefault="00DF0D52" w:rsidP="008A7465">
            <w:pPr>
              <w:spacing w:after="60"/>
              <w:jc w:val="left"/>
              <w:rPr>
                <w:b/>
                <w:sz w:val="20"/>
                <w:szCs w:val="20"/>
              </w:rPr>
            </w:pPr>
          </w:p>
        </w:tc>
      </w:tr>
      <w:tr w:rsidR="00DF0D52" w:rsidRPr="00AC7E06" w:rsidTr="00DF0D52">
        <w:trPr>
          <w:trHeight w:val="300"/>
        </w:trPr>
        <w:tc>
          <w:tcPr>
            <w:tcW w:w="1138" w:type="pct"/>
            <w:tcBorders>
              <w:bottom w:val="single" w:sz="4" w:space="0" w:color="auto"/>
            </w:tcBorders>
            <w:shd w:val="clear" w:color="auto" w:fill="auto"/>
            <w:noWrap/>
            <w:vAlign w:val="center"/>
          </w:tcPr>
          <w:p w:rsidR="00DF0D52" w:rsidRPr="006269A1" w:rsidRDefault="00DF0D52" w:rsidP="008A7465">
            <w:pPr>
              <w:spacing w:after="60"/>
              <w:jc w:val="right"/>
              <w:rPr>
                <w:color w:val="000000"/>
                <w:sz w:val="20"/>
                <w:szCs w:val="20"/>
              </w:rPr>
            </w:pPr>
            <w:r w:rsidRPr="006269A1">
              <w:rPr>
                <w:color w:val="000000"/>
                <w:sz w:val="20"/>
                <w:szCs w:val="20"/>
              </w:rPr>
              <w:t>água</w:t>
            </w:r>
          </w:p>
        </w:tc>
        <w:tc>
          <w:tcPr>
            <w:tcW w:w="819" w:type="pct"/>
            <w:tcBorders>
              <w:bottom w:val="single" w:sz="4" w:space="0" w:color="auto"/>
            </w:tcBorders>
            <w:shd w:val="clear" w:color="auto" w:fill="auto"/>
            <w:noWrap/>
            <w:vAlign w:val="center"/>
          </w:tcPr>
          <w:p w:rsidR="00DF0D52" w:rsidRPr="006269A1" w:rsidRDefault="00DF0D52" w:rsidP="008A7465">
            <w:pPr>
              <w:spacing w:after="60"/>
              <w:jc w:val="right"/>
              <w:rPr>
                <w:color w:val="000000"/>
                <w:sz w:val="20"/>
                <w:szCs w:val="20"/>
              </w:rPr>
            </w:pPr>
            <w:r w:rsidRPr="006269A1">
              <w:rPr>
                <w:color w:val="000000"/>
                <w:sz w:val="20"/>
                <w:szCs w:val="20"/>
              </w:rPr>
              <w:t>29,7</w:t>
            </w:r>
          </w:p>
        </w:tc>
        <w:tc>
          <w:tcPr>
            <w:tcW w:w="248" w:type="pct"/>
            <w:tcBorders>
              <w:bottom w:val="single" w:sz="4" w:space="0" w:color="auto"/>
            </w:tcBorders>
            <w:shd w:val="clear" w:color="auto" w:fill="auto"/>
            <w:noWrap/>
            <w:vAlign w:val="center"/>
          </w:tcPr>
          <w:p w:rsidR="00DF0D52" w:rsidRPr="006269A1" w:rsidRDefault="00DF0D52" w:rsidP="008A7465">
            <w:pPr>
              <w:spacing w:after="60"/>
              <w:jc w:val="left"/>
              <w:rPr>
                <w:b/>
                <w:color w:val="000000"/>
                <w:sz w:val="20"/>
                <w:szCs w:val="20"/>
              </w:rPr>
            </w:pPr>
          </w:p>
        </w:tc>
        <w:tc>
          <w:tcPr>
            <w:tcW w:w="248" w:type="pct"/>
            <w:tcBorders>
              <w:bottom w:val="single" w:sz="4" w:space="0" w:color="auto"/>
            </w:tcBorders>
            <w:shd w:val="clear" w:color="auto" w:fill="auto"/>
            <w:noWrap/>
            <w:vAlign w:val="center"/>
          </w:tcPr>
          <w:p w:rsidR="00DF0D52" w:rsidRPr="006269A1" w:rsidRDefault="00DF0D52" w:rsidP="008A7465">
            <w:pPr>
              <w:spacing w:after="60"/>
              <w:jc w:val="left"/>
              <w:rPr>
                <w:b/>
                <w:color w:val="000000"/>
                <w:sz w:val="20"/>
                <w:szCs w:val="20"/>
              </w:rPr>
            </w:pPr>
            <w:r w:rsidRPr="006269A1">
              <w:rPr>
                <w:b/>
                <w:color w:val="000000"/>
                <w:sz w:val="20"/>
                <w:szCs w:val="20"/>
              </w:rPr>
              <w:t>b</w:t>
            </w:r>
          </w:p>
        </w:tc>
        <w:tc>
          <w:tcPr>
            <w:tcW w:w="108" w:type="pct"/>
            <w:shd w:val="clear" w:color="auto" w:fill="auto"/>
            <w:vAlign w:val="center"/>
          </w:tcPr>
          <w:p w:rsidR="00DF0D52" w:rsidRPr="006269A1" w:rsidRDefault="00DF0D52" w:rsidP="008A7465">
            <w:pPr>
              <w:spacing w:after="60"/>
              <w:jc w:val="right"/>
              <w:rPr>
                <w:sz w:val="20"/>
                <w:szCs w:val="20"/>
              </w:rPr>
            </w:pPr>
          </w:p>
        </w:tc>
        <w:tc>
          <w:tcPr>
            <w:tcW w:w="1137" w:type="pct"/>
            <w:tcBorders>
              <w:bottom w:val="single" w:sz="4" w:space="0" w:color="auto"/>
            </w:tcBorders>
            <w:shd w:val="clear" w:color="auto" w:fill="auto"/>
            <w:vAlign w:val="center"/>
          </w:tcPr>
          <w:p w:rsidR="00DF0D52" w:rsidRPr="006269A1" w:rsidRDefault="00DF0D52" w:rsidP="008A7465">
            <w:pPr>
              <w:spacing w:after="60"/>
              <w:jc w:val="right"/>
              <w:rPr>
                <w:sz w:val="20"/>
                <w:szCs w:val="20"/>
              </w:rPr>
            </w:pPr>
            <w:r w:rsidRPr="006269A1">
              <w:rPr>
                <w:sz w:val="20"/>
                <w:szCs w:val="20"/>
              </w:rPr>
              <w:t>água</w:t>
            </w:r>
          </w:p>
        </w:tc>
        <w:tc>
          <w:tcPr>
            <w:tcW w:w="876" w:type="pct"/>
            <w:tcBorders>
              <w:bottom w:val="single" w:sz="4" w:space="0" w:color="auto"/>
            </w:tcBorders>
            <w:shd w:val="clear" w:color="auto" w:fill="auto"/>
            <w:vAlign w:val="center"/>
          </w:tcPr>
          <w:p w:rsidR="00DF0D52" w:rsidRPr="006269A1" w:rsidRDefault="00DF0D52" w:rsidP="008A7465">
            <w:pPr>
              <w:spacing w:after="60"/>
              <w:jc w:val="right"/>
              <w:rPr>
                <w:sz w:val="20"/>
                <w:szCs w:val="20"/>
              </w:rPr>
            </w:pPr>
            <w:r w:rsidRPr="006269A1">
              <w:rPr>
                <w:sz w:val="20"/>
                <w:szCs w:val="20"/>
              </w:rPr>
              <w:t>48,3</w:t>
            </w:r>
          </w:p>
        </w:tc>
        <w:tc>
          <w:tcPr>
            <w:tcW w:w="140" w:type="pct"/>
            <w:tcBorders>
              <w:bottom w:val="single" w:sz="4" w:space="0" w:color="auto"/>
            </w:tcBorders>
            <w:shd w:val="clear" w:color="auto" w:fill="auto"/>
            <w:vAlign w:val="center"/>
          </w:tcPr>
          <w:p w:rsidR="00DF0D52" w:rsidRPr="006269A1" w:rsidRDefault="00DF0D52" w:rsidP="008A7465">
            <w:pPr>
              <w:spacing w:after="60"/>
              <w:jc w:val="left"/>
              <w:rPr>
                <w:b/>
                <w:sz w:val="20"/>
                <w:szCs w:val="20"/>
              </w:rPr>
            </w:pPr>
          </w:p>
        </w:tc>
        <w:tc>
          <w:tcPr>
            <w:tcW w:w="146" w:type="pct"/>
            <w:tcBorders>
              <w:bottom w:val="single" w:sz="4" w:space="0" w:color="auto"/>
            </w:tcBorders>
            <w:shd w:val="clear" w:color="auto" w:fill="auto"/>
            <w:vAlign w:val="center"/>
          </w:tcPr>
          <w:p w:rsidR="00DF0D52" w:rsidRPr="006269A1" w:rsidRDefault="00DF0D52" w:rsidP="008A7465">
            <w:pPr>
              <w:spacing w:after="60"/>
              <w:jc w:val="left"/>
              <w:rPr>
                <w:b/>
                <w:sz w:val="20"/>
                <w:szCs w:val="20"/>
              </w:rPr>
            </w:pPr>
          </w:p>
        </w:tc>
        <w:tc>
          <w:tcPr>
            <w:tcW w:w="140" w:type="pct"/>
            <w:tcBorders>
              <w:bottom w:val="single" w:sz="4" w:space="0" w:color="auto"/>
            </w:tcBorders>
            <w:vAlign w:val="center"/>
          </w:tcPr>
          <w:p w:rsidR="00DF0D52" w:rsidRPr="006269A1" w:rsidRDefault="00DF0D52" w:rsidP="008A7465">
            <w:pPr>
              <w:spacing w:after="60"/>
              <w:jc w:val="left"/>
              <w:rPr>
                <w:b/>
                <w:sz w:val="20"/>
                <w:szCs w:val="20"/>
              </w:rPr>
            </w:pPr>
            <w:r w:rsidRPr="006269A1">
              <w:rPr>
                <w:b/>
                <w:sz w:val="20"/>
                <w:szCs w:val="20"/>
              </w:rPr>
              <w:t>c</w:t>
            </w:r>
          </w:p>
        </w:tc>
      </w:tr>
    </w:tbl>
    <w:p w:rsidR="008062B3" w:rsidRPr="00C043D5" w:rsidRDefault="008062B3" w:rsidP="00D547C3">
      <w:pPr>
        <w:pStyle w:val="Estilo1"/>
      </w:pPr>
    </w:p>
    <w:p w:rsidR="00087B49" w:rsidRDefault="003433C7" w:rsidP="00D547C3">
      <w:pPr>
        <w:pStyle w:val="Estilo1"/>
        <w:rPr>
          <w:color w:val="000000"/>
        </w:rPr>
      </w:pPr>
      <w:r w:rsidRPr="006269A1">
        <w:t>R</w:t>
      </w:r>
      <w:r w:rsidR="00087B49" w:rsidRPr="006269A1">
        <w:t>elativamente ao efeito conjunto da época de aplicação e do tratamento fungicida, a comparação dos resultados obtidos</w:t>
      </w:r>
      <w:r w:rsidR="00A964D1" w:rsidRPr="006269A1">
        <w:t xml:space="preserve"> no primeiro ano de ensaio (2008)</w:t>
      </w:r>
      <w:r w:rsidR="00087B49" w:rsidRPr="006269A1">
        <w:t>, atra</w:t>
      </w:r>
      <w:r w:rsidR="00A964D1" w:rsidRPr="006269A1">
        <w:t>vés do teste de Tuckey, permite</w:t>
      </w:r>
      <w:r w:rsidR="00087B49" w:rsidRPr="006269A1">
        <w:t xml:space="preserve"> concluir que </w:t>
      </w:r>
      <w:r w:rsidR="0069786C" w:rsidRPr="006269A1">
        <w:t xml:space="preserve">a azoxistrobina aplicada à poda </w:t>
      </w:r>
      <w:r w:rsidR="006269A1">
        <w:t xml:space="preserve">foi o produto que mais </w:t>
      </w:r>
      <w:r w:rsidR="00A964D1" w:rsidRPr="006269A1">
        <w:t>reduziu a severidade das doenças</w:t>
      </w:r>
      <w:r w:rsidR="006269A1">
        <w:t xml:space="preserve"> contudo apenas diferiu significativamente da testemunha</w:t>
      </w:r>
      <w:r w:rsidR="00A964D1" w:rsidRPr="006269A1">
        <w:t>.</w:t>
      </w:r>
      <w:r w:rsidR="0069786C" w:rsidRPr="006269A1">
        <w:t xml:space="preserve"> Nenhum dos restantes tratamentos diferiu significativamente da testemunha. No ano seguinte, em 2009</w:t>
      </w:r>
      <w:r w:rsidR="0017591B">
        <w:t>,</w:t>
      </w:r>
      <w:r w:rsidR="006269A1">
        <w:t xml:space="preserve"> já </w:t>
      </w:r>
      <w:r w:rsidR="0017591B">
        <w:t xml:space="preserve">se </w:t>
      </w:r>
      <w:r w:rsidR="006269A1">
        <w:t xml:space="preserve">alcançou uma maior </w:t>
      </w:r>
      <w:r w:rsidR="00F02BF9">
        <w:t>diferenciação</w:t>
      </w:r>
      <w:r w:rsidR="006269A1">
        <w:t xml:space="preserve"> entre modalidades e</w:t>
      </w:r>
      <w:r w:rsidR="0069786C" w:rsidRPr="006269A1">
        <w:t xml:space="preserve"> o </w:t>
      </w:r>
      <w:r w:rsidR="0069786C" w:rsidRPr="006269A1">
        <w:rPr>
          <w:color w:val="000000"/>
        </w:rPr>
        <w:t xml:space="preserve">oxicloreto de cobre aplicado à poda, o ciprodinil+fludioxonil aplicado à </w:t>
      </w:r>
      <w:r w:rsidR="0069786C" w:rsidRPr="006269A1">
        <w:t>poda e no estado fenológico</w:t>
      </w:r>
      <w:r w:rsidR="00083ED9">
        <w:t xml:space="preserve"> D</w:t>
      </w:r>
      <w:r w:rsidR="0069786C" w:rsidRPr="006269A1">
        <w:t>/</w:t>
      </w:r>
      <w:r w:rsidR="00083ED9">
        <w:t>E</w:t>
      </w:r>
      <w:r w:rsidR="00712DBA" w:rsidRPr="006269A1">
        <w:t xml:space="preserve"> ou apenas no estado fenológico</w:t>
      </w:r>
      <w:r w:rsidR="00083ED9">
        <w:t xml:space="preserve"> D</w:t>
      </w:r>
      <w:r w:rsidR="00712DBA" w:rsidRPr="006269A1">
        <w:t>/</w:t>
      </w:r>
      <w:r w:rsidR="00083ED9">
        <w:t>E</w:t>
      </w:r>
      <w:r w:rsidR="00712DBA" w:rsidRPr="006269A1">
        <w:t xml:space="preserve"> e</w:t>
      </w:r>
      <w:r w:rsidR="00083ED9">
        <w:t>,</w:t>
      </w:r>
      <w:r w:rsidR="00712DBA" w:rsidRPr="006269A1">
        <w:t xml:space="preserve"> o </w:t>
      </w:r>
      <w:r w:rsidR="00712DBA" w:rsidRPr="006269A1">
        <w:rPr>
          <w:color w:val="000000"/>
        </w:rPr>
        <w:t xml:space="preserve">difenoconazol aplicado à </w:t>
      </w:r>
      <w:r w:rsidR="00712DBA" w:rsidRPr="006269A1">
        <w:t>poda e no estado fenológico</w:t>
      </w:r>
      <w:r w:rsidR="00083ED9">
        <w:t xml:space="preserve"> D</w:t>
      </w:r>
      <w:r w:rsidR="00712DBA" w:rsidRPr="006269A1">
        <w:t>/</w:t>
      </w:r>
      <w:r w:rsidR="00083ED9">
        <w:t>E</w:t>
      </w:r>
      <w:r w:rsidR="00712DBA" w:rsidRPr="006269A1">
        <w:t xml:space="preserve"> foram os tratamentos que mais significativamente reduziram a severidade das doenças</w:t>
      </w:r>
      <w:r w:rsidR="00087B49" w:rsidRPr="006269A1">
        <w:t xml:space="preserve"> </w:t>
      </w:r>
      <w:r w:rsidR="0069786C" w:rsidRPr="006269A1">
        <w:t>(</w:t>
      </w:r>
      <w:r w:rsidR="004044F7">
        <w:rPr>
          <w:color w:val="000000"/>
        </w:rPr>
        <w:t>Quadro 4.7</w:t>
      </w:r>
      <w:r w:rsidR="0069786C" w:rsidRPr="006269A1">
        <w:rPr>
          <w:color w:val="000000"/>
        </w:rPr>
        <w:t>)</w:t>
      </w:r>
      <w:r w:rsidR="005A09DC" w:rsidRPr="006269A1">
        <w:rPr>
          <w:color w:val="000000"/>
        </w:rPr>
        <w:t>.</w:t>
      </w:r>
      <w:r w:rsidR="00300E1E" w:rsidRPr="006269A1">
        <w:rPr>
          <w:color w:val="000000"/>
        </w:rPr>
        <w:t xml:space="preserve"> </w:t>
      </w:r>
      <w:r w:rsidR="00083ED9">
        <w:rPr>
          <w:color w:val="000000"/>
        </w:rPr>
        <w:t>Esta tendência terá que ser confirmada no terceiro ano de ensaio.</w:t>
      </w:r>
    </w:p>
    <w:p w:rsidR="006B490F" w:rsidRPr="007516FB" w:rsidRDefault="006B490F" w:rsidP="006B490F">
      <w:r w:rsidRPr="007516FB">
        <w:t>A protecção das feridas da poda é uma época critica para limitar as infecções assim como, o período pré e pós - abrolhamento em que normalmente ocorrem períodos de chuva que favorecem as condições de infecção. Em Portugal, a mistura carbendazime</w:t>
      </w:r>
      <w:r w:rsidR="00725F94">
        <w:t xml:space="preserve"> </w:t>
      </w:r>
      <w:r w:rsidRPr="007516FB">
        <w:t>+</w:t>
      </w:r>
      <w:r w:rsidR="00725F94">
        <w:t xml:space="preserve"> </w:t>
      </w:r>
      <w:r w:rsidR="00F02BF9" w:rsidRPr="007516FB">
        <w:t>flusilazol</w:t>
      </w:r>
      <w:r w:rsidRPr="007516FB">
        <w:t xml:space="preserve"> (Escudo</w:t>
      </w:r>
      <w:r w:rsidRPr="007516FB">
        <w:rPr>
          <w:vertAlign w:val="superscript"/>
        </w:rPr>
        <w:t>®</w:t>
      </w:r>
      <w:r w:rsidR="009D4B3A">
        <w:t xml:space="preserve">) que era </w:t>
      </w:r>
      <w:r w:rsidR="009D4B3A" w:rsidRPr="007D027C">
        <w:t>aplicada par</w:t>
      </w:r>
      <w:r w:rsidRPr="007D027C">
        <w:t>a desinfecção</w:t>
      </w:r>
      <w:r w:rsidRPr="007516FB">
        <w:t xml:space="preserve"> das feridas da poda foi retirada do mercado deixando os viticultores sem alternativa.</w:t>
      </w:r>
    </w:p>
    <w:p w:rsidR="006B490F" w:rsidRPr="006269A1" w:rsidRDefault="00983896" w:rsidP="00983896">
      <w:r>
        <w:t>Tal como já se referiu anteriormente, a</w:t>
      </w:r>
      <w:r w:rsidRPr="007516FB">
        <w:t xml:space="preserve"> selecção dos fungicidas em ensaio teve </w:t>
      </w:r>
      <w:r w:rsidR="00F02BF9">
        <w:t>por</w:t>
      </w:r>
      <w:r w:rsidRPr="007516FB">
        <w:t xml:space="preserve"> base as diferenças entre substâncias activas, modos de acção e épocas de aplicação bem como a eficácia biológica já demonstrada (Rego </w:t>
      </w:r>
      <w:r w:rsidRPr="007516FB">
        <w:rPr>
          <w:i/>
        </w:rPr>
        <w:t>et al</w:t>
      </w:r>
      <w:r w:rsidRPr="007516FB">
        <w:t xml:space="preserve">, 2007; Nascimento </w:t>
      </w:r>
      <w:r w:rsidR="006F2254" w:rsidRPr="006F2254">
        <w:rPr>
          <w:i/>
        </w:rPr>
        <w:t>et al.</w:t>
      </w:r>
      <w:r w:rsidRPr="007516FB">
        <w:t xml:space="preserve"> 2008). </w:t>
      </w:r>
      <w:r>
        <w:t xml:space="preserve">O tebuconazol e a mistura </w:t>
      </w:r>
      <w:r w:rsidRPr="007516FB">
        <w:t>ciprodinil+</w:t>
      </w:r>
      <w:r w:rsidR="00F02BF9">
        <w:t xml:space="preserve"> </w:t>
      </w:r>
      <w:r w:rsidRPr="007516FB">
        <w:t xml:space="preserve">fludioxonil </w:t>
      </w:r>
      <w:r>
        <w:t xml:space="preserve">comprovaram no campo os bons resultados obtidos relativamente a espécies de </w:t>
      </w:r>
      <w:r w:rsidR="00016F11" w:rsidRPr="00016F11">
        <w:rPr>
          <w:i/>
        </w:rPr>
        <w:t>Botryosphaeria</w:t>
      </w:r>
      <w:r>
        <w:t>ceae</w:t>
      </w:r>
      <w:r w:rsidRPr="00983896">
        <w:t xml:space="preserve"> </w:t>
      </w:r>
      <w:r>
        <w:t>(</w:t>
      </w:r>
      <w:r w:rsidRPr="007516FB">
        <w:t xml:space="preserve">Rego </w:t>
      </w:r>
      <w:r w:rsidRPr="007516FB">
        <w:rPr>
          <w:i/>
        </w:rPr>
        <w:t>et al</w:t>
      </w:r>
      <w:r w:rsidRPr="007516FB">
        <w:t>, 2007</w:t>
      </w:r>
      <w:r>
        <w:t>, Vaz, 2008).</w:t>
      </w:r>
    </w:p>
    <w:p w:rsidR="005A09DC" w:rsidRPr="00C043D5" w:rsidRDefault="005A09DC" w:rsidP="00D547C3">
      <w:pPr>
        <w:pStyle w:val="Estilo1"/>
        <w:sectPr w:rsidR="005A09DC" w:rsidRPr="00C043D5" w:rsidSect="00277AB0">
          <w:pgSz w:w="11906" w:h="16838"/>
          <w:pgMar w:top="1418" w:right="1418" w:bottom="1418" w:left="1418" w:header="709" w:footer="709" w:gutter="0"/>
          <w:cols w:space="708"/>
          <w:titlePg/>
          <w:docGrid w:linePitch="360"/>
        </w:sectPr>
      </w:pPr>
    </w:p>
    <w:p w:rsidR="00087B49" w:rsidRDefault="00C37A87" w:rsidP="00C37A87">
      <w:pPr>
        <w:pStyle w:val="Legenda"/>
      </w:pPr>
      <w:bookmarkStart w:id="79" w:name="_Toc264890339"/>
      <w:r>
        <w:lastRenderedPageBreak/>
        <w:t xml:space="preserve">Quadro </w:t>
      </w:r>
      <w:fldSimple w:instr=" STYLEREF 1 \s ">
        <w:r w:rsidR="00E2640D">
          <w:rPr>
            <w:noProof/>
          </w:rPr>
          <w:t>4</w:t>
        </w:r>
      </w:fldSimple>
      <w:r>
        <w:t>.</w:t>
      </w:r>
      <w:fldSimple w:instr=" SEQ Quadro \* ARABIC \s 1 ">
        <w:r w:rsidR="00E2640D">
          <w:rPr>
            <w:noProof/>
          </w:rPr>
          <w:t>7</w:t>
        </w:r>
      </w:fldSimple>
      <w:r>
        <w:t xml:space="preserve">. </w:t>
      </w:r>
      <w:r w:rsidRPr="00C043D5">
        <w:t>Comparação das médias relativas à severidade de “black dead arm” e escoriose europeia obtidas para as três épocas de aplicação e para os seis tratamentos em estudo, a</w:t>
      </w:r>
      <w:r>
        <w:t>través dos testes de Tuckey</w:t>
      </w:r>
      <w:bookmarkEnd w:id="79"/>
    </w:p>
    <w:tbl>
      <w:tblPr>
        <w:tblW w:w="4907" w:type="pct"/>
        <w:tblCellMar>
          <w:left w:w="70" w:type="dxa"/>
          <w:right w:w="70" w:type="dxa"/>
        </w:tblCellMar>
        <w:tblLook w:val="04A0"/>
      </w:tblPr>
      <w:tblGrid>
        <w:gridCol w:w="2114"/>
        <w:gridCol w:w="139"/>
        <w:gridCol w:w="2124"/>
        <w:gridCol w:w="1622"/>
        <w:gridCol w:w="350"/>
        <w:gridCol w:w="278"/>
        <w:gridCol w:w="278"/>
        <w:gridCol w:w="2157"/>
        <w:gridCol w:w="2116"/>
        <w:gridCol w:w="1622"/>
        <w:gridCol w:w="274"/>
        <w:gridCol w:w="274"/>
        <w:gridCol w:w="260"/>
        <w:gridCol w:w="271"/>
      </w:tblGrid>
      <w:tr w:rsidR="00D11E5C" w:rsidRPr="00AC7E06" w:rsidTr="00D11E5C">
        <w:tc>
          <w:tcPr>
            <w:tcW w:w="792" w:type="pct"/>
            <w:gridSpan w:val="2"/>
            <w:tcBorders>
              <w:top w:val="single" w:sz="4" w:space="0" w:color="auto"/>
              <w:bottom w:val="single" w:sz="4" w:space="0" w:color="auto"/>
            </w:tcBorders>
            <w:shd w:val="clear" w:color="auto" w:fill="auto"/>
            <w:noWrap/>
            <w:vAlign w:val="center"/>
          </w:tcPr>
          <w:p w:rsidR="00DF0D52" w:rsidRPr="00BC659E" w:rsidRDefault="00DF0D52" w:rsidP="00DF0D52">
            <w:pPr>
              <w:spacing w:after="0"/>
              <w:rPr>
                <w:b/>
                <w:sz w:val="20"/>
                <w:szCs w:val="20"/>
              </w:rPr>
            </w:pPr>
            <w:r w:rsidRPr="00BC659E">
              <w:rPr>
                <w:b/>
                <w:sz w:val="20"/>
                <w:szCs w:val="20"/>
              </w:rPr>
              <w:t>Efeito Época</w:t>
            </w:r>
          </w:p>
          <w:p w:rsidR="00DF0D52" w:rsidRPr="00BC659E" w:rsidRDefault="00DF0D52" w:rsidP="00DF0D52">
            <w:pPr>
              <w:spacing w:after="0"/>
              <w:rPr>
                <w:b/>
                <w:sz w:val="20"/>
                <w:szCs w:val="20"/>
              </w:rPr>
            </w:pPr>
            <w:r w:rsidRPr="00BC659E">
              <w:rPr>
                <w:b/>
                <w:sz w:val="20"/>
                <w:szCs w:val="20"/>
              </w:rPr>
              <w:t>(ano de 2008)</w:t>
            </w:r>
          </w:p>
        </w:tc>
        <w:tc>
          <w:tcPr>
            <w:tcW w:w="766" w:type="pct"/>
            <w:tcBorders>
              <w:top w:val="single" w:sz="4" w:space="0" w:color="auto"/>
              <w:bottom w:val="single" w:sz="4" w:space="0" w:color="auto"/>
            </w:tcBorders>
            <w:shd w:val="clear" w:color="auto" w:fill="auto"/>
            <w:noWrap/>
            <w:vAlign w:val="center"/>
          </w:tcPr>
          <w:p w:rsidR="00DF0D52" w:rsidRPr="00BC659E" w:rsidRDefault="00DF0D52" w:rsidP="00DF0D52">
            <w:pPr>
              <w:spacing w:after="0"/>
              <w:rPr>
                <w:b/>
                <w:sz w:val="20"/>
                <w:szCs w:val="20"/>
              </w:rPr>
            </w:pPr>
            <w:r w:rsidRPr="00BC659E">
              <w:rPr>
                <w:b/>
                <w:sz w:val="20"/>
                <w:szCs w:val="20"/>
              </w:rPr>
              <w:t>Tratamento</w:t>
            </w:r>
          </w:p>
        </w:tc>
        <w:tc>
          <w:tcPr>
            <w:tcW w:w="586" w:type="pct"/>
            <w:tcBorders>
              <w:top w:val="single" w:sz="4" w:space="0" w:color="auto"/>
              <w:bottom w:val="single" w:sz="4" w:space="0" w:color="auto"/>
            </w:tcBorders>
            <w:shd w:val="clear" w:color="auto" w:fill="auto"/>
            <w:noWrap/>
            <w:vAlign w:val="center"/>
          </w:tcPr>
          <w:p w:rsidR="00DF0D52" w:rsidRPr="00BC659E" w:rsidRDefault="00DF0D52" w:rsidP="00DF0D52">
            <w:pPr>
              <w:spacing w:after="0"/>
              <w:rPr>
                <w:b/>
                <w:sz w:val="20"/>
                <w:szCs w:val="20"/>
              </w:rPr>
            </w:pPr>
            <w:r>
              <w:rPr>
                <w:b/>
                <w:sz w:val="20"/>
                <w:szCs w:val="20"/>
              </w:rPr>
              <w:t>Severidade</w:t>
            </w:r>
            <w:r w:rsidRPr="00BC659E">
              <w:rPr>
                <w:b/>
                <w:sz w:val="20"/>
                <w:szCs w:val="20"/>
              </w:rPr>
              <w:t xml:space="preserve"> (%)</w:t>
            </w:r>
          </w:p>
        </w:tc>
        <w:tc>
          <w:tcPr>
            <w:tcW w:w="128" w:type="pct"/>
            <w:tcBorders>
              <w:top w:val="single" w:sz="4" w:space="0" w:color="auto"/>
              <w:bottom w:val="single" w:sz="4" w:space="0" w:color="auto"/>
            </w:tcBorders>
            <w:shd w:val="clear" w:color="auto" w:fill="auto"/>
            <w:noWrap/>
            <w:vAlign w:val="center"/>
          </w:tcPr>
          <w:p w:rsidR="00DF0D52" w:rsidRPr="00BC659E" w:rsidRDefault="00DF0D52" w:rsidP="00DF0D52">
            <w:pPr>
              <w:spacing w:after="0"/>
              <w:rPr>
                <w:b/>
                <w:sz w:val="20"/>
                <w:szCs w:val="20"/>
              </w:rPr>
            </w:pPr>
          </w:p>
        </w:tc>
        <w:tc>
          <w:tcPr>
            <w:tcW w:w="102" w:type="pct"/>
            <w:tcBorders>
              <w:top w:val="single" w:sz="4" w:space="0" w:color="auto"/>
              <w:bottom w:val="single" w:sz="4" w:space="0" w:color="auto"/>
            </w:tcBorders>
            <w:shd w:val="clear" w:color="auto" w:fill="auto"/>
            <w:noWrap/>
            <w:vAlign w:val="center"/>
          </w:tcPr>
          <w:p w:rsidR="00DF0D52" w:rsidRPr="00BC659E" w:rsidRDefault="00DF0D52" w:rsidP="00D11E5C">
            <w:pPr>
              <w:spacing w:after="0"/>
              <w:jc w:val="left"/>
              <w:rPr>
                <w:b/>
                <w:sz w:val="20"/>
                <w:szCs w:val="20"/>
              </w:rPr>
            </w:pPr>
          </w:p>
        </w:tc>
        <w:tc>
          <w:tcPr>
            <w:tcW w:w="102" w:type="pct"/>
            <w:shd w:val="clear" w:color="auto" w:fill="auto"/>
            <w:vAlign w:val="center"/>
          </w:tcPr>
          <w:p w:rsidR="00DF0D52" w:rsidRPr="00BC659E" w:rsidRDefault="00DF0D52" w:rsidP="00DF0D52">
            <w:pPr>
              <w:spacing w:after="0"/>
              <w:rPr>
                <w:b/>
                <w:sz w:val="20"/>
                <w:szCs w:val="20"/>
              </w:rPr>
            </w:pPr>
          </w:p>
        </w:tc>
        <w:tc>
          <w:tcPr>
            <w:tcW w:w="779" w:type="pct"/>
            <w:tcBorders>
              <w:top w:val="single" w:sz="4" w:space="0" w:color="auto"/>
              <w:bottom w:val="single" w:sz="4" w:space="0" w:color="auto"/>
            </w:tcBorders>
            <w:shd w:val="clear" w:color="auto" w:fill="auto"/>
            <w:vAlign w:val="center"/>
          </w:tcPr>
          <w:p w:rsidR="00DF0D52" w:rsidRPr="00BC659E" w:rsidRDefault="00DF0D52" w:rsidP="00DF0D52">
            <w:pPr>
              <w:spacing w:after="0"/>
              <w:rPr>
                <w:b/>
                <w:sz w:val="20"/>
                <w:szCs w:val="20"/>
              </w:rPr>
            </w:pPr>
            <w:r w:rsidRPr="00BC659E">
              <w:rPr>
                <w:b/>
                <w:sz w:val="20"/>
                <w:szCs w:val="20"/>
              </w:rPr>
              <w:t>Efeito Época</w:t>
            </w:r>
          </w:p>
          <w:p w:rsidR="00DF0D52" w:rsidRPr="00BC659E" w:rsidRDefault="00DF0D52" w:rsidP="00DF0D52">
            <w:pPr>
              <w:spacing w:after="0"/>
              <w:rPr>
                <w:b/>
                <w:sz w:val="20"/>
                <w:szCs w:val="20"/>
              </w:rPr>
            </w:pPr>
            <w:r w:rsidRPr="00BC659E">
              <w:rPr>
                <w:b/>
                <w:sz w:val="20"/>
                <w:szCs w:val="20"/>
              </w:rPr>
              <w:t>(ano de 2009)</w:t>
            </w:r>
          </w:p>
        </w:tc>
        <w:tc>
          <w:tcPr>
            <w:tcW w:w="764" w:type="pct"/>
            <w:tcBorders>
              <w:top w:val="single" w:sz="4" w:space="0" w:color="auto"/>
              <w:bottom w:val="single" w:sz="4" w:space="0" w:color="auto"/>
            </w:tcBorders>
            <w:shd w:val="clear" w:color="auto" w:fill="auto"/>
            <w:vAlign w:val="center"/>
          </w:tcPr>
          <w:p w:rsidR="00DF0D52" w:rsidRPr="00BC659E" w:rsidRDefault="00DF0D52" w:rsidP="00DF0D52">
            <w:pPr>
              <w:spacing w:after="0"/>
              <w:rPr>
                <w:b/>
                <w:sz w:val="20"/>
                <w:szCs w:val="20"/>
              </w:rPr>
            </w:pPr>
            <w:r w:rsidRPr="00BC659E">
              <w:rPr>
                <w:b/>
                <w:sz w:val="20"/>
                <w:szCs w:val="20"/>
              </w:rPr>
              <w:t>Tratamento</w:t>
            </w:r>
          </w:p>
        </w:tc>
        <w:tc>
          <w:tcPr>
            <w:tcW w:w="586" w:type="pct"/>
            <w:tcBorders>
              <w:top w:val="single" w:sz="4" w:space="0" w:color="auto"/>
              <w:bottom w:val="single" w:sz="4" w:space="0" w:color="auto"/>
            </w:tcBorders>
            <w:shd w:val="clear" w:color="auto" w:fill="auto"/>
            <w:vAlign w:val="center"/>
          </w:tcPr>
          <w:p w:rsidR="00DF0D52" w:rsidRPr="00BC659E" w:rsidRDefault="00DF0D52" w:rsidP="00DF0D52">
            <w:pPr>
              <w:spacing w:after="0"/>
              <w:rPr>
                <w:b/>
                <w:sz w:val="20"/>
                <w:szCs w:val="20"/>
              </w:rPr>
            </w:pPr>
            <w:r>
              <w:rPr>
                <w:b/>
                <w:sz w:val="20"/>
                <w:szCs w:val="20"/>
              </w:rPr>
              <w:t>Severidade</w:t>
            </w:r>
            <w:r w:rsidRPr="00BC659E">
              <w:rPr>
                <w:b/>
                <w:sz w:val="20"/>
                <w:szCs w:val="20"/>
              </w:rPr>
              <w:t xml:space="preserve"> (%)</w:t>
            </w:r>
          </w:p>
        </w:tc>
        <w:tc>
          <w:tcPr>
            <w:tcW w:w="100" w:type="pct"/>
            <w:tcBorders>
              <w:top w:val="single" w:sz="4" w:space="0" w:color="auto"/>
              <w:bottom w:val="single" w:sz="4" w:space="0" w:color="auto"/>
            </w:tcBorders>
            <w:shd w:val="clear" w:color="auto" w:fill="auto"/>
            <w:vAlign w:val="center"/>
          </w:tcPr>
          <w:p w:rsidR="00DF0D52" w:rsidRPr="00BC659E" w:rsidRDefault="00DF0D52" w:rsidP="00DF0D52">
            <w:pPr>
              <w:spacing w:after="0"/>
              <w:rPr>
                <w:b/>
                <w:sz w:val="20"/>
                <w:szCs w:val="20"/>
              </w:rPr>
            </w:pPr>
          </w:p>
        </w:tc>
        <w:tc>
          <w:tcPr>
            <w:tcW w:w="100" w:type="pct"/>
            <w:tcBorders>
              <w:top w:val="single" w:sz="4" w:space="0" w:color="auto"/>
              <w:bottom w:val="single" w:sz="4" w:space="0" w:color="auto"/>
            </w:tcBorders>
            <w:shd w:val="clear" w:color="auto" w:fill="auto"/>
            <w:vAlign w:val="center"/>
          </w:tcPr>
          <w:p w:rsidR="00DF0D52" w:rsidRPr="00BC659E" w:rsidRDefault="00DF0D52" w:rsidP="00DF0D52">
            <w:pPr>
              <w:spacing w:after="0"/>
              <w:rPr>
                <w:b/>
                <w:sz w:val="20"/>
                <w:szCs w:val="20"/>
              </w:rPr>
            </w:pPr>
          </w:p>
        </w:tc>
        <w:tc>
          <w:tcPr>
            <w:tcW w:w="95" w:type="pct"/>
            <w:tcBorders>
              <w:top w:val="single" w:sz="4" w:space="0" w:color="auto"/>
              <w:bottom w:val="single" w:sz="4" w:space="0" w:color="auto"/>
            </w:tcBorders>
            <w:shd w:val="clear" w:color="auto" w:fill="auto"/>
            <w:vAlign w:val="center"/>
          </w:tcPr>
          <w:p w:rsidR="00DF0D52" w:rsidRPr="00BC659E" w:rsidRDefault="00DF0D52" w:rsidP="00DF0D52">
            <w:pPr>
              <w:spacing w:after="0"/>
              <w:rPr>
                <w:b/>
                <w:sz w:val="20"/>
                <w:szCs w:val="20"/>
              </w:rPr>
            </w:pPr>
          </w:p>
        </w:tc>
        <w:tc>
          <w:tcPr>
            <w:tcW w:w="99" w:type="pct"/>
            <w:tcBorders>
              <w:top w:val="single" w:sz="4" w:space="0" w:color="auto"/>
              <w:bottom w:val="single" w:sz="4" w:space="0" w:color="auto"/>
            </w:tcBorders>
            <w:shd w:val="clear" w:color="auto" w:fill="auto"/>
            <w:vAlign w:val="center"/>
          </w:tcPr>
          <w:p w:rsidR="00DF0D52" w:rsidRPr="00BC659E" w:rsidRDefault="00DF0D52" w:rsidP="00DF0D52">
            <w:pPr>
              <w:spacing w:after="0"/>
              <w:rPr>
                <w:b/>
                <w:sz w:val="20"/>
                <w:szCs w:val="20"/>
              </w:rPr>
            </w:pPr>
          </w:p>
        </w:tc>
      </w:tr>
      <w:tr w:rsidR="00D11E5C" w:rsidRPr="00DF0D52" w:rsidTr="00D11E5C">
        <w:trPr>
          <w:cantSplit/>
        </w:trPr>
        <w:tc>
          <w:tcPr>
            <w:tcW w:w="740" w:type="pct"/>
            <w:tcBorders>
              <w:top w:val="single" w:sz="4" w:space="0" w:color="auto"/>
            </w:tcBorders>
            <w:shd w:val="clear" w:color="auto" w:fill="auto"/>
            <w:noWrap/>
            <w:vAlign w:val="center"/>
          </w:tcPr>
          <w:p w:rsidR="00DF0D52" w:rsidRDefault="00083ED9" w:rsidP="00AC2EEE">
            <w:pPr>
              <w:spacing w:after="0"/>
              <w:jc w:val="left"/>
              <w:rPr>
                <w:color w:val="000000"/>
                <w:sz w:val="20"/>
                <w:szCs w:val="20"/>
              </w:rPr>
            </w:pPr>
            <w:r w:rsidRPr="004570EB">
              <w:rPr>
                <w:sz w:val="20"/>
                <w:szCs w:val="20"/>
              </w:rPr>
              <w:t xml:space="preserve">Est. fenol. </w:t>
            </w:r>
            <w:r>
              <w:rPr>
                <w:sz w:val="20"/>
                <w:szCs w:val="20"/>
              </w:rPr>
              <w:t>D/E</w:t>
            </w:r>
          </w:p>
        </w:tc>
        <w:tc>
          <w:tcPr>
            <w:tcW w:w="819" w:type="pct"/>
            <w:gridSpan w:val="2"/>
            <w:tcBorders>
              <w:top w:val="single" w:sz="4" w:space="0" w:color="auto"/>
            </w:tcBorders>
            <w:shd w:val="clear" w:color="auto" w:fill="auto"/>
            <w:noWrap/>
            <w:vAlign w:val="center"/>
          </w:tcPr>
          <w:p w:rsidR="00DF0D52" w:rsidRDefault="00AC2EEE" w:rsidP="00DF0D52">
            <w:pPr>
              <w:spacing w:after="0"/>
              <w:jc w:val="right"/>
              <w:rPr>
                <w:color w:val="000000"/>
                <w:sz w:val="20"/>
                <w:szCs w:val="20"/>
              </w:rPr>
            </w:pPr>
            <w:r w:rsidRPr="00AC7E06">
              <w:rPr>
                <w:color w:val="000000"/>
                <w:sz w:val="20"/>
                <w:szCs w:val="20"/>
              </w:rPr>
              <w:t>tebuconazol</w:t>
            </w:r>
          </w:p>
        </w:tc>
        <w:tc>
          <w:tcPr>
            <w:tcW w:w="586" w:type="pct"/>
            <w:tcBorders>
              <w:top w:val="single" w:sz="4" w:space="0" w:color="auto"/>
            </w:tcBorders>
            <w:shd w:val="clear" w:color="auto" w:fill="auto"/>
            <w:noWrap/>
            <w:vAlign w:val="center"/>
          </w:tcPr>
          <w:p w:rsidR="00DF0D52" w:rsidRDefault="00DF0D52" w:rsidP="00DF0D52">
            <w:pPr>
              <w:spacing w:after="0"/>
              <w:jc w:val="right"/>
              <w:rPr>
                <w:color w:val="000000"/>
                <w:sz w:val="20"/>
                <w:szCs w:val="20"/>
              </w:rPr>
            </w:pPr>
            <w:r>
              <w:rPr>
                <w:color w:val="000000"/>
                <w:sz w:val="20"/>
                <w:szCs w:val="20"/>
              </w:rPr>
              <w:t>9,9</w:t>
            </w:r>
          </w:p>
        </w:tc>
        <w:tc>
          <w:tcPr>
            <w:tcW w:w="128" w:type="pct"/>
            <w:tcBorders>
              <w:top w:val="single" w:sz="4" w:space="0" w:color="auto"/>
            </w:tcBorders>
            <w:shd w:val="clear" w:color="auto" w:fill="auto"/>
            <w:noWrap/>
            <w:vAlign w:val="center"/>
          </w:tcPr>
          <w:p w:rsidR="00DF0D52" w:rsidRPr="00DF0D52" w:rsidRDefault="00DF0D52" w:rsidP="00D11E5C">
            <w:pPr>
              <w:spacing w:after="0"/>
              <w:jc w:val="left"/>
              <w:rPr>
                <w:b/>
                <w:sz w:val="20"/>
                <w:szCs w:val="20"/>
              </w:rPr>
            </w:pPr>
            <w:r w:rsidRPr="00DF0D52">
              <w:rPr>
                <w:b/>
                <w:sz w:val="20"/>
                <w:szCs w:val="20"/>
              </w:rPr>
              <w:t>a</w:t>
            </w:r>
          </w:p>
        </w:tc>
        <w:tc>
          <w:tcPr>
            <w:tcW w:w="102" w:type="pct"/>
            <w:tcBorders>
              <w:top w:val="single" w:sz="4" w:space="0" w:color="auto"/>
            </w:tcBorders>
            <w:shd w:val="clear" w:color="auto" w:fill="auto"/>
            <w:noWrap/>
            <w:vAlign w:val="center"/>
          </w:tcPr>
          <w:p w:rsidR="00DF0D52" w:rsidRPr="00DF0D52" w:rsidRDefault="00DF0D52" w:rsidP="00D11E5C">
            <w:pPr>
              <w:spacing w:after="0"/>
              <w:jc w:val="left"/>
              <w:rPr>
                <w:b/>
                <w:color w:val="000000"/>
                <w:sz w:val="20"/>
                <w:szCs w:val="20"/>
              </w:rPr>
            </w:pPr>
            <w:r w:rsidRPr="00DF0D52">
              <w:rPr>
                <w:b/>
                <w:color w:val="000000"/>
                <w:sz w:val="20"/>
                <w:szCs w:val="20"/>
              </w:rPr>
              <w:t>b</w:t>
            </w:r>
          </w:p>
        </w:tc>
        <w:tc>
          <w:tcPr>
            <w:tcW w:w="102" w:type="pct"/>
            <w:shd w:val="clear" w:color="auto" w:fill="auto"/>
            <w:noWrap/>
            <w:vAlign w:val="center"/>
          </w:tcPr>
          <w:p w:rsidR="00DF0D52" w:rsidRPr="00AC7E06" w:rsidRDefault="00DF0D52" w:rsidP="00DF0D52">
            <w:pPr>
              <w:spacing w:after="0"/>
              <w:rPr>
                <w:sz w:val="20"/>
                <w:szCs w:val="20"/>
              </w:rPr>
            </w:pPr>
          </w:p>
        </w:tc>
        <w:tc>
          <w:tcPr>
            <w:tcW w:w="779" w:type="pct"/>
            <w:tcBorders>
              <w:top w:val="single" w:sz="4" w:space="0" w:color="auto"/>
            </w:tcBorders>
            <w:shd w:val="clear" w:color="auto" w:fill="auto"/>
            <w:vAlign w:val="center"/>
          </w:tcPr>
          <w:p w:rsidR="00DF0D52" w:rsidRPr="00AC7E06" w:rsidRDefault="00DF0D52" w:rsidP="00DF0D52">
            <w:pPr>
              <w:spacing w:after="0"/>
              <w:rPr>
                <w:sz w:val="20"/>
                <w:szCs w:val="20"/>
              </w:rPr>
            </w:pPr>
            <w:r>
              <w:rPr>
                <w:sz w:val="20"/>
                <w:szCs w:val="20"/>
              </w:rPr>
              <w:t>Poda</w:t>
            </w:r>
          </w:p>
        </w:tc>
        <w:tc>
          <w:tcPr>
            <w:tcW w:w="764" w:type="pct"/>
            <w:tcBorders>
              <w:top w:val="single" w:sz="4" w:space="0" w:color="auto"/>
            </w:tcBorders>
            <w:shd w:val="clear" w:color="auto" w:fill="auto"/>
            <w:vAlign w:val="center"/>
          </w:tcPr>
          <w:p w:rsidR="00DF0D52" w:rsidRPr="00AC7E06" w:rsidRDefault="00DF0D52" w:rsidP="00DF0D52">
            <w:pPr>
              <w:spacing w:after="0"/>
              <w:rPr>
                <w:sz w:val="20"/>
                <w:szCs w:val="20"/>
              </w:rPr>
            </w:pPr>
            <w:r w:rsidRPr="00AC7E06">
              <w:rPr>
                <w:color w:val="000000"/>
                <w:sz w:val="20"/>
                <w:szCs w:val="20"/>
              </w:rPr>
              <w:t>oxicloreto de cobre</w:t>
            </w:r>
          </w:p>
        </w:tc>
        <w:tc>
          <w:tcPr>
            <w:tcW w:w="586" w:type="pct"/>
            <w:tcBorders>
              <w:top w:val="single" w:sz="4" w:space="0" w:color="auto"/>
            </w:tcBorders>
            <w:shd w:val="clear" w:color="auto" w:fill="auto"/>
            <w:vAlign w:val="center"/>
          </w:tcPr>
          <w:p w:rsidR="00DF0D52" w:rsidRPr="00AC7E06" w:rsidRDefault="00DF0D52" w:rsidP="00DF0D52">
            <w:pPr>
              <w:spacing w:after="0"/>
              <w:jc w:val="right"/>
              <w:rPr>
                <w:sz w:val="20"/>
                <w:szCs w:val="20"/>
              </w:rPr>
            </w:pPr>
            <w:r w:rsidRPr="00AC7E06">
              <w:rPr>
                <w:sz w:val="20"/>
                <w:szCs w:val="20"/>
              </w:rPr>
              <w:t>14,9</w:t>
            </w:r>
          </w:p>
        </w:tc>
        <w:tc>
          <w:tcPr>
            <w:tcW w:w="100" w:type="pct"/>
            <w:tcBorders>
              <w:top w:val="single" w:sz="4" w:space="0" w:color="auto"/>
            </w:tcBorders>
            <w:shd w:val="clear" w:color="auto" w:fill="auto"/>
            <w:vAlign w:val="center"/>
          </w:tcPr>
          <w:p w:rsidR="00DF0D52" w:rsidRPr="00DF0D52" w:rsidRDefault="00DF0D52" w:rsidP="00DF0D52">
            <w:pPr>
              <w:spacing w:after="0"/>
              <w:rPr>
                <w:b/>
                <w:sz w:val="20"/>
                <w:szCs w:val="20"/>
              </w:rPr>
            </w:pPr>
            <w:r w:rsidRPr="00DF0D52">
              <w:rPr>
                <w:b/>
                <w:sz w:val="20"/>
                <w:szCs w:val="20"/>
              </w:rPr>
              <w:t>a</w:t>
            </w:r>
          </w:p>
        </w:tc>
        <w:tc>
          <w:tcPr>
            <w:tcW w:w="100" w:type="pct"/>
            <w:tcBorders>
              <w:top w:val="single" w:sz="4" w:space="0" w:color="auto"/>
            </w:tcBorders>
            <w:shd w:val="clear" w:color="auto" w:fill="auto"/>
            <w:vAlign w:val="center"/>
          </w:tcPr>
          <w:p w:rsidR="00DF0D52" w:rsidRPr="00DF0D52" w:rsidRDefault="00DF0D52" w:rsidP="00DF0D52">
            <w:pPr>
              <w:spacing w:after="0"/>
              <w:rPr>
                <w:b/>
                <w:sz w:val="20"/>
                <w:szCs w:val="20"/>
              </w:rPr>
            </w:pPr>
            <w:r w:rsidRPr="00DF0D52">
              <w:rPr>
                <w:b/>
                <w:sz w:val="20"/>
                <w:szCs w:val="20"/>
              </w:rPr>
              <w:t> </w:t>
            </w:r>
          </w:p>
        </w:tc>
        <w:tc>
          <w:tcPr>
            <w:tcW w:w="95" w:type="pct"/>
            <w:tcBorders>
              <w:top w:val="single" w:sz="4" w:space="0" w:color="auto"/>
            </w:tcBorders>
            <w:shd w:val="clear" w:color="auto" w:fill="auto"/>
            <w:vAlign w:val="center"/>
          </w:tcPr>
          <w:p w:rsidR="00DF0D52" w:rsidRPr="00DF0D52" w:rsidRDefault="00DF0D52" w:rsidP="00DF0D52">
            <w:pPr>
              <w:spacing w:after="0"/>
              <w:rPr>
                <w:b/>
                <w:sz w:val="20"/>
                <w:szCs w:val="20"/>
              </w:rPr>
            </w:pPr>
            <w:r w:rsidRPr="00DF0D52">
              <w:rPr>
                <w:b/>
                <w:sz w:val="20"/>
                <w:szCs w:val="20"/>
              </w:rPr>
              <w:t> </w:t>
            </w:r>
          </w:p>
        </w:tc>
        <w:tc>
          <w:tcPr>
            <w:tcW w:w="99" w:type="pct"/>
            <w:tcBorders>
              <w:top w:val="single" w:sz="4" w:space="0" w:color="auto"/>
            </w:tcBorders>
            <w:shd w:val="clear" w:color="auto" w:fill="auto"/>
            <w:vAlign w:val="center"/>
          </w:tcPr>
          <w:p w:rsidR="00DF0D52" w:rsidRPr="00DF0D52" w:rsidRDefault="00DF0D52" w:rsidP="00DF0D52">
            <w:pPr>
              <w:spacing w:after="0"/>
              <w:rPr>
                <w:b/>
                <w:sz w:val="20"/>
                <w:szCs w:val="20"/>
              </w:rPr>
            </w:pPr>
          </w:p>
        </w:tc>
      </w:tr>
      <w:tr w:rsidR="00D11E5C" w:rsidRPr="00DF0D52" w:rsidTr="00D11E5C">
        <w:trPr>
          <w:cantSplit/>
        </w:trPr>
        <w:tc>
          <w:tcPr>
            <w:tcW w:w="740" w:type="pct"/>
            <w:shd w:val="clear" w:color="auto" w:fill="auto"/>
            <w:noWrap/>
            <w:vAlign w:val="center"/>
          </w:tcPr>
          <w:p w:rsidR="00DF0D52" w:rsidRDefault="00DF0D52" w:rsidP="00AC2EEE">
            <w:pPr>
              <w:spacing w:after="0"/>
              <w:jc w:val="left"/>
              <w:rPr>
                <w:color w:val="000000"/>
                <w:sz w:val="20"/>
                <w:szCs w:val="20"/>
              </w:rPr>
            </w:pPr>
            <w:r>
              <w:rPr>
                <w:color w:val="000000"/>
                <w:sz w:val="20"/>
                <w:szCs w:val="20"/>
              </w:rPr>
              <w:t>Poda</w:t>
            </w:r>
          </w:p>
        </w:tc>
        <w:tc>
          <w:tcPr>
            <w:tcW w:w="819" w:type="pct"/>
            <w:gridSpan w:val="2"/>
            <w:shd w:val="clear" w:color="auto" w:fill="auto"/>
            <w:noWrap/>
            <w:vAlign w:val="center"/>
          </w:tcPr>
          <w:p w:rsidR="00DF0D52" w:rsidRDefault="00AC2EEE" w:rsidP="00DF0D52">
            <w:pPr>
              <w:spacing w:after="0"/>
              <w:jc w:val="right"/>
              <w:rPr>
                <w:color w:val="000000"/>
                <w:sz w:val="20"/>
                <w:szCs w:val="20"/>
              </w:rPr>
            </w:pPr>
            <w:r w:rsidRPr="00AC7E06">
              <w:rPr>
                <w:color w:val="000000"/>
                <w:sz w:val="20"/>
                <w:szCs w:val="20"/>
              </w:rPr>
              <w:t>azoxistrobina</w:t>
            </w:r>
          </w:p>
        </w:tc>
        <w:tc>
          <w:tcPr>
            <w:tcW w:w="586" w:type="pct"/>
            <w:shd w:val="clear" w:color="auto" w:fill="auto"/>
            <w:noWrap/>
            <w:vAlign w:val="center"/>
          </w:tcPr>
          <w:p w:rsidR="00DF0D52" w:rsidRDefault="00DF0D52" w:rsidP="00DF0D52">
            <w:pPr>
              <w:spacing w:after="0"/>
              <w:jc w:val="right"/>
              <w:rPr>
                <w:color w:val="000000"/>
                <w:sz w:val="20"/>
                <w:szCs w:val="20"/>
              </w:rPr>
            </w:pPr>
            <w:r>
              <w:rPr>
                <w:color w:val="000000"/>
                <w:sz w:val="20"/>
                <w:szCs w:val="20"/>
              </w:rPr>
              <w:t>10,0</w:t>
            </w:r>
          </w:p>
        </w:tc>
        <w:tc>
          <w:tcPr>
            <w:tcW w:w="128" w:type="pct"/>
            <w:shd w:val="clear" w:color="auto" w:fill="auto"/>
            <w:noWrap/>
            <w:vAlign w:val="center"/>
          </w:tcPr>
          <w:p w:rsidR="00DF0D52" w:rsidRPr="00DF0D52" w:rsidRDefault="00DF0D52" w:rsidP="00D11E5C">
            <w:pPr>
              <w:spacing w:after="0"/>
              <w:jc w:val="left"/>
              <w:rPr>
                <w:b/>
                <w:sz w:val="20"/>
                <w:szCs w:val="20"/>
              </w:rPr>
            </w:pPr>
            <w:r w:rsidRPr="00DF0D52">
              <w:rPr>
                <w:b/>
                <w:sz w:val="20"/>
                <w:szCs w:val="20"/>
              </w:rPr>
              <w:t>a</w:t>
            </w:r>
          </w:p>
        </w:tc>
        <w:tc>
          <w:tcPr>
            <w:tcW w:w="102" w:type="pct"/>
            <w:shd w:val="clear" w:color="auto" w:fill="auto"/>
            <w:noWrap/>
            <w:vAlign w:val="center"/>
          </w:tcPr>
          <w:p w:rsidR="00DF0D52" w:rsidRPr="00DF0D52" w:rsidRDefault="00DF0D52" w:rsidP="00D11E5C">
            <w:pPr>
              <w:spacing w:after="0"/>
              <w:jc w:val="left"/>
              <w:rPr>
                <w:b/>
              </w:rPr>
            </w:pPr>
          </w:p>
        </w:tc>
        <w:tc>
          <w:tcPr>
            <w:tcW w:w="102" w:type="pct"/>
            <w:shd w:val="clear" w:color="auto" w:fill="auto"/>
            <w:noWrap/>
            <w:vAlign w:val="center"/>
          </w:tcPr>
          <w:p w:rsidR="00DF0D52" w:rsidRPr="00AC7E06" w:rsidRDefault="00DF0D52" w:rsidP="00DF0D52">
            <w:pPr>
              <w:spacing w:after="0"/>
              <w:rPr>
                <w:sz w:val="20"/>
                <w:szCs w:val="20"/>
              </w:rPr>
            </w:pPr>
          </w:p>
        </w:tc>
        <w:tc>
          <w:tcPr>
            <w:tcW w:w="779" w:type="pct"/>
            <w:shd w:val="clear" w:color="auto" w:fill="auto"/>
            <w:vAlign w:val="center"/>
          </w:tcPr>
          <w:p w:rsidR="00DF0D52" w:rsidRPr="00AC7E06" w:rsidRDefault="00DF0D52" w:rsidP="00DF0D52">
            <w:pPr>
              <w:spacing w:after="0"/>
              <w:rPr>
                <w:sz w:val="20"/>
                <w:szCs w:val="20"/>
              </w:rPr>
            </w:pPr>
            <w:r w:rsidRPr="004570EB">
              <w:rPr>
                <w:sz w:val="20"/>
                <w:szCs w:val="20"/>
              </w:rPr>
              <w:t xml:space="preserve">Est. fenol. </w:t>
            </w:r>
            <w:r w:rsidR="00B46DCB">
              <w:rPr>
                <w:sz w:val="20"/>
                <w:szCs w:val="20"/>
              </w:rPr>
              <w:t>D</w:t>
            </w:r>
            <w:r w:rsidR="00083ED9">
              <w:rPr>
                <w:sz w:val="20"/>
                <w:szCs w:val="20"/>
              </w:rPr>
              <w:t>/</w:t>
            </w:r>
            <w:r w:rsidR="00B46DCB">
              <w:rPr>
                <w:sz w:val="20"/>
                <w:szCs w:val="20"/>
              </w:rPr>
              <w:t>E</w:t>
            </w:r>
          </w:p>
        </w:tc>
        <w:tc>
          <w:tcPr>
            <w:tcW w:w="764" w:type="pct"/>
            <w:shd w:val="clear" w:color="auto" w:fill="auto"/>
            <w:vAlign w:val="center"/>
          </w:tcPr>
          <w:p w:rsidR="00DF0D52" w:rsidRPr="00AC7E06" w:rsidRDefault="00DF0D52" w:rsidP="00DF0D52">
            <w:pPr>
              <w:spacing w:after="0"/>
              <w:rPr>
                <w:sz w:val="20"/>
                <w:szCs w:val="20"/>
              </w:rPr>
            </w:pPr>
            <w:r w:rsidRPr="00AC7E06">
              <w:rPr>
                <w:color w:val="000000"/>
                <w:sz w:val="20"/>
                <w:szCs w:val="20"/>
              </w:rPr>
              <w:t>ciprodinil+fludioxonil</w:t>
            </w:r>
          </w:p>
        </w:tc>
        <w:tc>
          <w:tcPr>
            <w:tcW w:w="586" w:type="pct"/>
            <w:shd w:val="clear" w:color="auto" w:fill="auto"/>
            <w:vAlign w:val="center"/>
          </w:tcPr>
          <w:p w:rsidR="00DF0D52" w:rsidRPr="00AC7E06" w:rsidRDefault="00DF0D52" w:rsidP="00DF0D52">
            <w:pPr>
              <w:spacing w:after="0"/>
              <w:jc w:val="right"/>
              <w:rPr>
                <w:sz w:val="20"/>
                <w:szCs w:val="20"/>
              </w:rPr>
            </w:pPr>
            <w:r w:rsidRPr="00AC7E06">
              <w:rPr>
                <w:sz w:val="20"/>
                <w:szCs w:val="20"/>
              </w:rPr>
              <w:t>15,0</w:t>
            </w:r>
          </w:p>
        </w:tc>
        <w:tc>
          <w:tcPr>
            <w:tcW w:w="100" w:type="pct"/>
            <w:shd w:val="clear" w:color="auto" w:fill="auto"/>
            <w:vAlign w:val="center"/>
          </w:tcPr>
          <w:p w:rsidR="00DF0D52" w:rsidRPr="00DF0D52" w:rsidRDefault="00DF0D52" w:rsidP="00DF0D52">
            <w:pPr>
              <w:spacing w:after="0"/>
              <w:rPr>
                <w:b/>
                <w:sz w:val="20"/>
                <w:szCs w:val="20"/>
              </w:rPr>
            </w:pPr>
            <w:r w:rsidRPr="00DF0D52">
              <w:rPr>
                <w:b/>
                <w:sz w:val="20"/>
                <w:szCs w:val="20"/>
              </w:rPr>
              <w:t>a</w:t>
            </w:r>
          </w:p>
        </w:tc>
        <w:tc>
          <w:tcPr>
            <w:tcW w:w="100" w:type="pct"/>
            <w:shd w:val="clear" w:color="auto" w:fill="auto"/>
            <w:vAlign w:val="center"/>
          </w:tcPr>
          <w:p w:rsidR="00DF0D52" w:rsidRPr="00DF0D52" w:rsidRDefault="00DF0D52" w:rsidP="00DF0D52">
            <w:pPr>
              <w:spacing w:after="0"/>
              <w:rPr>
                <w:b/>
                <w:sz w:val="20"/>
                <w:szCs w:val="20"/>
              </w:rPr>
            </w:pPr>
            <w:r w:rsidRPr="00DF0D52">
              <w:rPr>
                <w:b/>
                <w:sz w:val="20"/>
                <w:szCs w:val="20"/>
              </w:rPr>
              <w:t> </w:t>
            </w:r>
          </w:p>
        </w:tc>
        <w:tc>
          <w:tcPr>
            <w:tcW w:w="95" w:type="pct"/>
            <w:shd w:val="clear" w:color="auto" w:fill="auto"/>
            <w:vAlign w:val="center"/>
          </w:tcPr>
          <w:p w:rsidR="00DF0D52" w:rsidRPr="00DF0D52" w:rsidRDefault="00DF0D52" w:rsidP="00DF0D52">
            <w:pPr>
              <w:spacing w:after="0"/>
              <w:rPr>
                <w:b/>
                <w:sz w:val="20"/>
                <w:szCs w:val="20"/>
              </w:rPr>
            </w:pPr>
            <w:r w:rsidRPr="00DF0D52">
              <w:rPr>
                <w:b/>
                <w:sz w:val="20"/>
                <w:szCs w:val="20"/>
              </w:rPr>
              <w:t> </w:t>
            </w:r>
          </w:p>
        </w:tc>
        <w:tc>
          <w:tcPr>
            <w:tcW w:w="99" w:type="pct"/>
            <w:shd w:val="clear" w:color="auto" w:fill="auto"/>
            <w:vAlign w:val="center"/>
          </w:tcPr>
          <w:p w:rsidR="00DF0D52" w:rsidRPr="00DF0D52" w:rsidRDefault="00DF0D52" w:rsidP="00DF0D52">
            <w:pPr>
              <w:spacing w:after="0"/>
              <w:rPr>
                <w:b/>
                <w:sz w:val="20"/>
                <w:szCs w:val="20"/>
              </w:rPr>
            </w:pPr>
          </w:p>
        </w:tc>
      </w:tr>
      <w:tr w:rsidR="00D11E5C" w:rsidRPr="00DF0D52" w:rsidTr="00D11E5C">
        <w:trPr>
          <w:cantSplit/>
        </w:trPr>
        <w:tc>
          <w:tcPr>
            <w:tcW w:w="740" w:type="pct"/>
            <w:shd w:val="clear" w:color="auto" w:fill="auto"/>
            <w:noWrap/>
            <w:vAlign w:val="center"/>
          </w:tcPr>
          <w:p w:rsidR="00DF0D52" w:rsidRDefault="00083ED9" w:rsidP="00AC2EEE">
            <w:pPr>
              <w:spacing w:after="0"/>
              <w:jc w:val="left"/>
              <w:rPr>
                <w:color w:val="000000"/>
                <w:sz w:val="20"/>
                <w:szCs w:val="20"/>
              </w:rPr>
            </w:pPr>
            <w:r w:rsidRPr="004570EB">
              <w:rPr>
                <w:sz w:val="20"/>
                <w:szCs w:val="20"/>
              </w:rPr>
              <w:t xml:space="preserve">Est. fenol. </w:t>
            </w:r>
            <w:r>
              <w:rPr>
                <w:sz w:val="20"/>
                <w:szCs w:val="20"/>
              </w:rPr>
              <w:t>D/E</w:t>
            </w:r>
          </w:p>
        </w:tc>
        <w:tc>
          <w:tcPr>
            <w:tcW w:w="819" w:type="pct"/>
            <w:gridSpan w:val="2"/>
            <w:shd w:val="clear" w:color="auto" w:fill="auto"/>
            <w:noWrap/>
            <w:vAlign w:val="center"/>
          </w:tcPr>
          <w:p w:rsidR="00DF0D52" w:rsidRDefault="00AC2EEE" w:rsidP="00DF0D52">
            <w:pPr>
              <w:spacing w:after="0"/>
              <w:jc w:val="right"/>
              <w:rPr>
                <w:color w:val="000000"/>
                <w:sz w:val="20"/>
                <w:szCs w:val="20"/>
              </w:rPr>
            </w:pPr>
            <w:r w:rsidRPr="00AC7E06">
              <w:rPr>
                <w:color w:val="000000"/>
                <w:sz w:val="20"/>
                <w:szCs w:val="20"/>
              </w:rPr>
              <w:t>difenoconazol</w:t>
            </w:r>
          </w:p>
        </w:tc>
        <w:tc>
          <w:tcPr>
            <w:tcW w:w="586" w:type="pct"/>
            <w:shd w:val="clear" w:color="auto" w:fill="auto"/>
            <w:noWrap/>
            <w:vAlign w:val="center"/>
          </w:tcPr>
          <w:p w:rsidR="00DF0D52" w:rsidRDefault="00DF0D52" w:rsidP="00DF0D52">
            <w:pPr>
              <w:spacing w:after="0"/>
              <w:jc w:val="right"/>
              <w:rPr>
                <w:color w:val="000000"/>
                <w:sz w:val="20"/>
                <w:szCs w:val="20"/>
              </w:rPr>
            </w:pPr>
            <w:r>
              <w:rPr>
                <w:color w:val="000000"/>
                <w:sz w:val="20"/>
                <w:szCs w:val="20"/>
              </w:rPr>
              <w:t>12,6</w:t>
            </w:r>
          </w:p>
        </w:tc>
        <w:tc>
          <w:tcPr>
            <w:tcW w:w="128" w:type="pct"/>
            <w:shd w:val="clear" w:color="auto" w:fill="auto"/>
            <w:noWrap/>
            <w:vAlign w:val="center"/>
          </w:tcPr>
          <w:p w:rsidR="00DF0D52" w:rsidRPr="00DF0D52" w:rsidRDefault="00DF0D52" w:rsidP="00D11E5C">
            <w:pPr>
              <w:spacing w:after="0"/>
              <w:jc w:val="left"/>
              <w:rPr>
                <w:b/>
                <w:sz w:val="20"/>
                <w:szCs w:val="20"/>
              </w:rPr>
            </w:pPr>
            <w:r w:rsidRPr="00DF0D52">
              <w:rPr>
                <w:b/>
                <w:sz w:val="20"/>
                <w:szCs w:val="20"/>
              </w:rPr>
              <w:t>a</w:t>
            </w:r>
          </w:p>
        </w:tc>
        <w:tc>
          <w:tcPr>
            <w:tcW w:w="102" w:type="pct"/>
            <w:shd w:val="clear" w:color="auto" w:fill="auto"/>
            <w:noWrap/>
            <w:vAlign w:val="center"/>
          </w:tcPr>
          <w:p w:rsidR="00DF0D52" w:rsidRPr="00DF0D52" w:rsidRDefault="00DF0D52" w:rsidP="00D11E5C">
            <w:pPr>
              <w:spacing w:after="0"/>
              <w:jc w:val="left"/>
              <w:rPr>
                <w:b/>
                <w:color w:val="000000"/>
                <w:sz w:val="20"/>
                <w:szCs w:val="20"/>
              </w:rPr>
            </w:pPr>
            <w:r w:rsidRPr="00DF0D52">
              <w:rPr>
                <w:b/>
                <w:color w:val="000000"/>
                <w:sz w:val="20"/>
                <w:szCs w:val="20"/>
              </w:rPr>
              <w:t>b</w:t>
            </w:r>
          </w:p>
        </w:tc>
        <w:tc>
          <w:tcPr>
            <w:tcW w:w="102" w:type="pct"/>
            <w:shd w:val="clear" w:color="auto" w:fill="auto"/>
            <w:noWrap/>
            <w:vAlign w:val="center"/>
          </w:tcPr>
          <w:p w:rsidR="00DF0D52" w:rsidRPr="00AC7E06" w:rsidRDefault="00DF0D52" w:rsidP="00DF0D52">
            <w:pPr>
              <w:spacing w:after="0"/>
              <w:rPr>
                <w:sz w:val="20"/>
                <w:szCs w:val="20"/>
              </w:rPr>
            </w:pPr>
          </w:p>
        </w:tc>
        <w:tc>
          <w:tcPr>
            <w:tcW w:w="779" w:type="pct"/>
            <w:shd w:val="clear" w:color="auto" w:fill="auto"/>
            <w:vAlign w:val="center"/>
          </w:tcPr>
          <w:p w:rsidR="00DF0D52" w:rsidRPr="00AC7E06" w:rsidRDefault="00DF0D52" w:rsidP="00DF0D52">
            <w:pPr>
              <w:spacing w:after="0"/>
              <w:rPr>
                <w:sz w:val="20"/>
                <w:szCs w:val="20"/>
              </w:rPr>
            </w:pPr>
            <w:r>
              <w:rPr>
                <w:sz w:val="20"/>
                <w:szCs w:val="20"/>
              </w:rPr>
              <w:t>Poda</w:t>
            </w:r>
            <w:r w:rsidRPr="00AC7E06">
              <w:rPr>
                <w:sz w:val="20"/>
                <w:szCs w:val="20"/>
              </w:rPr>
              <w:t xml:space="preserve"> +</w:t>
            </w:r>
            <w:r w:rsidRPr="004570EB">
              <w:rPr>
                <w:sz w:val="20"/>
                <w:szCs w:val="20"/>
              </w:rPr>
              <w:t xml:space="preserve"> </w:t>
            </w:r>
            <w:r>
              <w:rPr>
                <w:sz w:val="20"/>
                <w:szCs w:val="20"/>
              </w:rPr>
              <w:t>e</w:t>
            </w:r>
            <w:r w:rsidRPr="004570EB">
              <w:rPr>
                <w:sz w:val="20"/>
                <w:szCs w:val="20"/>
              </w:rPr>
              <w:t xml:space="preserve">st. fenol. </w:t>
            </w:r>
            <w:r w:rsidR="00B46DCB">
              <w:rPr>
                <w:sz w:val="20"/>
                <w:szCs w:val="20"/>
              </w:rPr>
              <w:t>D</w:t>
            </w:r>
            <w:r w:rsidR="00083ED9">
              <w:rPr>
                <w:sz w:val="20"/>
                <w:szCs w:val="20"/>
              </w:rPr>
              <w:t>/</w:t>
            </w:r>
            <w:r w:rsidR="00B46DCB">
              <w:rPr>
                <w:sz w:val="20"/>
                <w:szCs w:val="20"/>
              </w:rPr>
              <w:t>E</w:t>
            </w:r>
          </w:p>
        </w:tc>
        <w:tc>
          <w:tcPr>
            <w:tcW w:w="764" w:type="pct"/>
            <w:shd w:val="clear" w:color="auto" w:fill="auto"/>
            <w:vAlign w:val="center"/>
          </w:tcPr>
          <w:p w:rsidR="00DF0D52" w:rsidRPr="00AC7E06" w:rsidRDefault="00DF0D52" w:rsidP="00DF0D52">
            <w:pPr>
              <w:spacing w:after="0"/>
              <w:rPr>
                <w:sz w:val="20"/>
                <w:szCs w:val="20"/>
              </w:rPr>
            </w:pPr>
            <w:r w:rsidRPr="00AC7E06">
              <w:rPr>
                <w:color w:val="000000"/>
                <w:sz w:val="20"/>
                <w:szCs w:val="20"/>
              </w:rPr>
              <w:t>ciprodinil+fludioxonil</w:t>
            </w:r>
          </w:p>
        </w:tc>
        <w:tc>
          <w:tcPr>
            <w:tcW w:w="586" w:type="pct"/>
            <w:shd w:val="clear" w:color="auto" w:fill="auto"/>
            <w:vAlign w:val="center"/>
          </w:tcPr>
          <w:p w:rsidR="00DF0D52" w:rsidRPr="00AC7E06" w:rsidRDefault="00DF0D52" w:rsidP="00DF0D52">
            <w:pPr>
              <w:spacing w:after="0"/>
              <w:jc w:val="right"/>
              <w:rPr>
                <w:sz w:val="20"/>
                <w:szCs w:val="20"/>
              </w:rPr>
            </w:pPr>
            <w:r w:rsidRPr="00AC7E06">
              <w:rPr>
                <w:sz w:val="20"/>
                <w:szCs w:val="20"/>
              </w:rPr>
              <w:t>20,7</w:t>
            </w:r>
          </w:p>
        </w:tc>
        <w:tc>
          <w:tcPr>
            <w:tcW w:w="100" w:type="pct"/>
            <w:shd w:val="clear" w:color="auto" w:fill="auto"/>
            <w:vAlign w:val="center"/>
          </w:tcPr>
          <w:p w:rsidR="00DF0D52" w:rsidRPr="00DF0D52" w:rsidRDefault="00DF0D52" w:rsidP="00DF0D52">
            <w:pPr>
              <w:spacing w:after="0"/>
              <w:rPr>
                <w:b/>
                <w:sz w:val="20"/>
                <w:szCs w:val="20"/>
              </w:rPr>
            </w:pPr>
            <w:r w:rsidRPr="00DF0D52">
              <w:rPr>
                <w:b/>
                <w:sz w:val="20"/>
                <w:szCs w:val="20"/>
              </w:rPr>
              <w:t>a</w:t>
            </w:r>
          </w:p>
        </w:tc>
        <w:tc>
          <w:tcPr>
            <w:tcW w:w="100" w:type="pct"/>
            <w:shd w:val="clear" w:color="auto" w:fill="auto"/>
            <w:vAlign w:val="center"/>
          </w:tcPr>
          <w:p w:rsidR="00DF0D52" w:rsidRPr="00DF0D52" w:rsidRDefault="00DF0D52" w:rsidP="00DF0D52">
            <w:pPr>
              <w:spacing w:after="0"/>
              <w:rPr>
                <w:b/>
                <w:sz w:val="20"/>
                <w:szCs w:val="20"/>
              </w:rPr>
            </w:pPr>
            <w:r w:rsidRPr="00DF0D52">
              <w:rPr>
                <w:b/>
                <w:sz w:val="20"/>
                <w:szCs w:val="20"/>
              </w:rPr>
              <w:t>b</w:t>
            </w:r>
          </w:p>
        </w:tc>
        <w:tc>
          <w:tcPr>
            <w:tcW w:w="95" w:type="pct"/>
            <w:shd w:val="clear" w:color="auto" w:fill="auto"/>
            <w:vAlign w:val="center"/>
          </w:tcPr>
          <w:p w:rsidR="00DF0D52" w:rsidRPr="00DF0D52" w:rsidRDefault="00DF0D52" w:rsidP="00DF0D52">
            <w:pPr>
              <w:spacing w:after="0"/>
              <w:rPr>
                <w:b/>
                <w:sz w:val="20"/>
                <w:szCs w:val="20"/>
              </w:rPr>
            </w:pPr>
            <w:r w:rsidRPr="00DF0D52">
              <w:rPr>
                <w:b/>
                <w:sz w:val="20"/>
                <w:szCs w:val="20"/>
              </w:rPr>
              <w:t> </w:t>
            </w:r>
          </w:p>
        </w:tc>
        <w:tc>
          <w:tcPr>
            <w:tcW w:w="99" w:type="pct"/>
            <w:shd w:val="clear" w:color="auto" w:fill="auto"/>
            <w:vAlign w:val="center"/>
          </w:tcPr>
          <w:p w:rsidR="00DF0D52" w:rsidRPr="00DF0D52" w:rsidRDefault="00DF0D52" w:rsidP="00DF0D52">
            <w:pPr>
              <w:spacing w:after="0"/>
              <w:rPr>
                <w:b/>
                <w:sz w:val="20"/>
                <w:szCs w:val="20"/>
              </w:rPr>
            </w:pPr>
          </w:p>
        </w:tc>
      </w:tr>
      <w:tr w:rsidR="00D11E5C" w:rsidRPr="00DF0D52" w:rsidTr="00D11E5C">
        <w:trPr>
          <w:cantSplit/>
        </w:trPr>
        <w:tc>
          <w:tcPr>
            <w:tcW w:w="740" w:type="pct"/>
            <w:shd w:val="clear" w:color="auto" w:fill="auto"/>
            <w:noWrap/>
            <w:vAlign w:val="center"/>
          </w:tcPr>
          <w:p w:rsidR="00DF0D52" w:rsidRDefault="00DF0D52" w:rsidP="00AC2EEE">
            <w:pPr>
              <w:spacing w:after="0"/>
              <w:jc w:val="left"/>
              <w:rPr>
                <w:color w:val="000000"/>
                <w:sz w:val="20"/>
                <w:szCs w:val="20"/>
              </w:rPr>
            </w:pPr>
            <w:r>
              <w:rPr>
                <w:color w:val="000000"/>
                <w:sz w:val="20"/>
                <w:szCs w:val="20"/>
              </w:rPr>
              <w:t>Poda</w:t>
            </w:r>
          </w:p>
        </w:tc>
        <w:tc>
          <w:tcPr>
            <w:tcW w:w="819" w:type="pct"/>
            <w:gridSpan w:val="2"/>
            <w:shd w:val="clear" w:color="auto" w:fill="auto"/>
            <w:noWrap/>
            <w:vAlign w:val="center"/>
          </w:tcPr>
          <w:p w:rsidR="00DF0D52" w:rsidRDefault="00AC2EEE" w:rsidP="00DF0D52">
            <w:pPr>
              <w:spacing w:after="0"/>
              <w:jc w:val="right"/>
              <w:rPr>
                <w:color w:val="000000"/>
                <w:sz w:val="20"/>
                <w:szCs w:val="20"/>
              </w:rPr>
            </w:pPr>
            <w:r w:rsidRPr="00AC7E06">
              <w:rPr>
                <w:color w:val="000000"/>
                <w:sz w:val="20"/>
                <w:szCs w:val="20"/>
              </w:rPr>
              <w:t>ciprodinil+fludioxonil</w:t>
            </w:r>
          </w:p>
        </w:tc>
        <w:tc>
          <w:tcPr>
            <w:tcW w:w="586" w:type="pct"/>
            <w:shd w:val="clear" w:color="auto" w:fill="auto"/>
            <w:noWrap/>
            <w:vAlign w:val="center"/>
          </w:tcPr>
          <w:p w:rsidR="00DF0D52" w:rsidRDefault="00DF0D52" w:rsidP="00DF0D52">
            <w:pPr>
              <w:spacing w:after="0"/>
              <w:jc w:val="right"/>
              <w:rPr>
                <w:color w:val="000000"/>
                <w:sz w:val="20"/>
                <w:szCs w:val="20"/>
              </w:rPr>
            </w:pPr>
            <w:r>
              <w:rPr>
                <w:color w:val="000000"/>
                <w:sz w:val="20"/>
                <w:szCs w:val="20"/>
              </w:rPr>
              <w:t>13,0</w:t>
            </w:r>
          </w:p>
        </w:tc>
        <w:tc>
          <w:tcPr>
            <w:tcW w:w="128" w:type="pct"/>
            <w:shd w:val="clear" w:color="auto" w:fill="auto"/>
            <w:noWrap/>
            <w:vAlign w:val="center"/>
          </w:tcPr>
          <w:p w:rsidR="00DF0D52" w:rsidRPr="00DF0D52" w:rsidRDefault="00DF0D52" w:rsidP="00D11E5C">
            <w:pPr>
              <w:spacing w:after="0"/>
              <w:jc w:val="left"/>
              <w:rPr>
                <w:b/>
                <w:sz w:val="20"/>
                <w:szCs w:val="20"/>
              </w:rPr>
            </w:pPr>
            <w:r w:rsidRPr="00DF0D52">
              <w:rPr>
                <w:b/>
                <w:sz w:val="20"/>
                <w:szCs w:val="20"/>
              </w:rPr>
              <w:t>a</w:t>
            </w:r>
          </w:p>
        </w:tc>
        <w:tc>
          <w:tcPr>
            <w:tcW w:w="102" w:type="pct"/>
            <w:shd w:val="clear" w:color="auto" w:fill="auto"/>
            <w:noWrap/>
            <w:vAlign w:val="center"/>
          </w:tcPr>
          <w:p w:rsidR="00DF0D52" w:rsidRPr="00DF0D52" w:rsidRDefault="00DF0D52" w:rsidP="00D11E5C">
            <w:pPr>
              <w:spacing w:after="0"/>
              <w:jc w:val="left"/>
              <w:rPr>
                <w:b/>
                <w:color w:val="000000"/>
                <w:sz w:val="20"/>
                <w:szCs w:val="20"/>
              </w:rPr>
            </w:pPr>
            <w:r w:rsidRPr="00DF0D52">
              <w:rPr>
                <w:b/>
                <w:color w:val="000000"/>
                <w:sz w:val="20"/>
                <w:szCs w:val="20"/>
              </w:rPr>
              <w:t>b</w:t>
            </w:r>
          </w:p>
        </w:tc>
        <w:tc>
          <w:tcPr>
            <w:tcW w:w="102" w:type="pct"/>
            <w:shd w:val="clear" w:color="auto" w:fill="auto"/>
            <w:noWrap/>
            <w:vAlign w:val="center"/>
          </w:tcPr>
          <w:p w:rsidR="00DF0D52" w:rsidRPr="00AC7E06" w:rsidRDefault="00DF0D52" w:rsidP="00DF0D52">
            <w:pPr>
              <w:spacing w:after="0"/>
              <w:rPr>
                <w:sz w:val="20"/>
                <w:szCs w:val="20"/>
              </w:rPr>
            </w:pPr>
          </w:p>
        </w:tc>
        <w:tc>
          <w:tcPr>
            <w:tcW w:w="779" w:type="pct"/>
            <w:shd w:val="clear" w:color="auto" w:fill="auto"/>
            <w:vAlign w:val="center"/>
          </w:tcPr>
          <w:p w:rsidR="00DF0D52" w:rsidRPr="00AC7E06" w:rsidRDefault="00DF0D52" w:rsidP="00DF0D52">
            <w:pPr>
              <w:spacing w:after="0"/>
              <w:rPr>
                <w:sz w:val="20"/>
                <w:szCs w:val="20"/>
              </w:rPr>
            </w:pPr>
            <w:r>
              <w:rPr>
                <w:sz w:val="20"/>
                <w:szCs w:val="20"/>
              </w:rPr>
              <w:t>Poda</w:t>
            </w:r>
            <w:r w:rsidRPr="00AC7E06">
              <w:rPr>
                <w:sz w:val="20"/>
                <w:szCs w:val="20"/>
              </w:rPr>
              <w:t xml:space="preserve"> +</w:t>
            </w:r>
            <w:r w:rsidRPr="004570EB">
              <w:rPr>
                <w:sz w:val="20"/>
                <w:szCs w:val="20"/>
              </w:rPr>
              <w:t xml:space="preserve"> </w:t>
            </w:r>
            <w:r>
              <w:rPr>
                <w:sz w:val="20"/>
                <w:szCs w:val="20"/>
              </w:rPr>
              <w:t>e</w:t>
            </w:r>
            <w:r w:rsidRPr="004570EB">
              <w:rPr>
                <w:sz w:val="20"/>
                <w:szCs w:val="20"/>
              </w:rPr>
              <w:t xml:space="preserve">st. fenol. </w:t>
            </w:r>
            <w:r w:rsidR="00B46DCB">
              <w:rPr>
                <w:sz w:val="20"/>
                <w:szCs w:val="20"/>
              </w:rPr>
              <w:t>D</w:t>
            </w:r>
            <w:r w:rsidR="00083ED9">
              <w:rPr>
                <w:sz w:val="20"/>
                <w:szCs w:val="20"/>
              </w:rPr>
              <w:t>/</w:t>
            </w:r>
            <w:r w:rsidR="00B46DCB">
              <w:rPr>
                <w:sz w:val="20"/>
                <w:szCs w:val="20"/>
              </w:rPr>
              <w:t>E</w:t>
            </w:r>
          </w:p>
        </w:tc>
        <w:tc>
          <w:tcPr>
            <w:tcW w:w="764" w:type="pct"/>
            <w:shd w:val="clear" w:color="auto" w:fill="auto"/>
            <w:vAlign w:val="center"/>
          </w:tcPr>
          <w:p w:rsidR="00DF0D52" w:rsidRPr="00AC7E06" w:rsidRDefault="00DF0D52" w:rsidP="00DF0D52">
            <w:pPr>
              <w:spacing w:after="0"/>
              <w:rPr>
                <w:sz w:val="20"/>
                <w:szCs w:val="20"/>
              </w:rPr>
            </w:pPr>
            <w:r w:rsidRPr="00AC7E06">
              <w:rPr>
                <w:color w:val="000000"/>
                <w:sz w:val="20"/>
                <w:szCs w:val="20"/>
              </w:rPr>
              <w:t>difenoconazol</w:t>
            </w:r>
          </w:p>
        </w:tc>
        <w:tc>
          <w:tcPr>
            <w:tcW w:w="586" w:type="pct"/>
            <w:shd w:val="clear" w:color="auto" w:fill="auto"/>
            <w:vAlign w:val="center"/>
          </w:tcPr>
          <w:p w:rsidR="00DF0D52" w:rsidRPr="00AC7E06" w:rsidRDefault="00DF0D52" w:rsidP="00DF0D52">
            <w:pPr>
              <w:spacing w:after="0"/>
              <w:jc w:val="right"/>
              <w:rPr>
                <w:sz w:val="20"/>
                <w:szCs w:val="20"/>
              </w:rPr>
            </w:pPr>
            <w:r w:rsidRPr="00AC7E06">
              <w:rPr>
                <w:sz w:val="20"/>
                <w:szCs w:val="20"/>
              </w:rPr>
              <w:t>22,3</w:t>
            </w:r>
          </w:p>
        </w:tc>
        <w:tc>
          <w:tcPr>
            <w:tcW w:w="100" w:type="pct"/>
            <w:shd w:val="clear" w:color="auto" w:fill="auto"/>
            <w:vAlign w:val="center"/>
          </w:tcPr>
          <w:p w:rsidR="00DF0D52" w:rsidRPr="00DF0D52" w:rsidRDefault="00DF0D52" w:rsidP="00DF0D52">
            <w:pPr>
              <w:spacing w:after="0"/>
              <w:rPr>
                <w:b/>
                <w:sz w:val="20"/>
                <w:szCs w:val="20"/>
              </w:rPr>
            </w:pPr>
            <w:r w:rsidRPr="00DF0D52">
              <w:rPr>
                <w:b/>
                <w:sz w:val="20"/>
                <w:szCs w:val="20"/>
              </w:rPr>
              <w:t>a</w:t>
            </w:r>
          </w:p>
        </w:tc>
        <w:tc>
          <w:tcPr>
            <w:tcW w:w="100" w:type="pct"/>
            <w:shd w:val="clear" w:color="auto" w:fill="auto"/>
            <w:vAlign w:val="center"/>
          </w:tcPr>
          <w:p w:rsidR="00DF0D52" w:rsidRPr="00DF0D52" w:rsidRDefault="00DF0D52" w:rsidP="00DF0D52">
            <w:pPr>
              <w:spacing w:after="0"/>
              <w:rPr>
                <w:b/>
                <w:sz w:val="20"/>
                <w:szCs w:val="20"/>
              </w:rPr>
            </w:pPr>
            <w:r w:rsidRPr="00DF0D52">
              <w:rPr>
                <w:b/>
                <w:sz w:val="20"/>
                <w:szCs w:val="20"/>
              </w:rPr>
              <w:t>b</w:t>
            </w:r>
          </w:p>
        </w:tc>
        <w:tc>
          <w:tcPr>
            <w:tcW w:w="95" w:type="pct"/>
            <w:shd w:val="clear" w:color="auto" w:fill="auto"/>
            <w:vAlign w:val="center"/>
          </w:tcPr>
          <w:p w:rsidR="00DF0D52" w:rsidRPr="00DF0D52" w:rsidRDefault="00DF0D52" w:rsidP="00DF0D52">
            <w:pPr>
              <w:spacing w:after="0"/>
              <w:rPr>
                <w:b/>
                <w:sz w:val="20"/>
                <w:szCs w:val="20"/>
              </w:rPr>
            </w:pPr>
            <w:r w:rsidRPr="00DF0D52">
              <w:rPr>
                <w:b/>
                <w:sz w:val="20"/>
                <w:szCs w:val="20"/>
              </w:rPr>
              <w:t> </w:t>
            </w:r>
          </w:p>
        </w:tc>
        <w:tc>
          <w:tcPr>
            <w:tcW w:w="99" w:type="pct"/>
            <w:shd w:val="clear" w:color="auto" w:fill="auto"/>
            <w:vAlign w:val="center"/>
          </w:tcPr>
          <w:p w:rsidR="00DF0D52" w:rsidRPr="00DF0D52" w:rsidRDefault="00DF0D52" w:rsidP="00DF0D52">
            <w:pPr>
              <w:spacing w:after="0"/>
              <w:rPr>
                <w:b/>
                <w:sz w:val="20"/>
                <w:szCs w:val="20"/>
              </w:rPr>
            </w:pPr>
          </w:p>
        </w:tc>
      </w:tr>
      <w:tr w:rsidR="00D11E5C" w:rsidRPr="00DF0D52" w:rsidTr="00D11E5C">
        <w:trPr>
          <w:cantSplit/>
        </w:trPr>
        <w:tc>
          <w:tcPr>
            <w:tcW w:w="740" w:type="pct"/>
            <w:shd w:val="clear" w:color="auto" w:fill="auto"/>
            <w:noWrap/>
            <w:vAlign w:val="center"/>
          </w:tcPr>
          <w:p w:rsidR="00DF0D52" w:rsidRDefault="00083ED9" w:rsidP="00AC2EEE">
            <w:pPr>
              <w:spacing w:after="0"/>
              <w:jc w:val="left"/>
              <w:rPr>
                <w:color w:val="000000"/>
                <w:sz w:val="20"/>
                <w:szCs w:val="20"/>
              </w:rPr>
            </w:pPr>
            <w:r>
              <w:rPr>
                <w:color w:val="000000"/>
                <w:sz w:val="20"/>
                <w:szCs w:val="20"/>
              </w:rPr>
              <w:t xml:space="preserve">Poda + </w:t>
            </w:r>
            <w:r w:rsidRPr="004570EB">
              <w:rPr>
                <w:sz w:val="20"/>
                <w:szCs w:val="20"/>
              </w:rPr>
              <w:t xml:space="preserve">Est. fenol. </w:t>
            </w:r>
            <w:r>
              <w:rPr>
                <w:sz w:val="20"/>
                <w:szCs w:val="20"/>
              </w:rPr>
              <w:t>D/E</w:t>
            </w:r>
          </w:p>
        </w:tc>
        <w:tc>
          <w:tcPr>
            <w:tcW w:w="819" w:type="pct"/>
            <w:gridSpan w:val="2"/>
            <w:shd w:val="clear" w:color="auto" w:fill="auto"/>
            <w:noWrap/>
            <w:vAlign w:val="center"/>
          </w:tcPr>
          <w:p w:rsidR="00DF0D52" w:rsidRDefault="00AC2EEE" w:rsidP="00DF0D52">
            <w:pPr>
              <w:spacing w:after="0"/>
              <w:jc w:val="right"/>
              <w:rPr>
                <w:color w:val="000000"/>
                <w:sz w:val="20"/>
                <w:szCs w:val="20"/>
              </w:rPr>
            </w:pPr>
            <w:r w:rsidRPr="00AC7E06">
              <w:rPr>
                <w:color w:val="000000"/>
                <w:sz w:val="20"/>
                <w:szCs w:val="20"/>
              </w:rPr>
              <w:t>difenoconazol</w:t>
            </w:r>
          </w:p>
        </w:tc>
        <w:tc>
          <w:tcPr>
            <w:tcW w:w="586" w:type="pct"/>
            <w:shd w:val="clear" w:color="auto" w:fill="auto"/>
            <w:noWrap/>
            <w:vAlign w:val="center"/>
          </w:tcPr>
          <w:p w:rsidR="00DF0D52" w:rsidRDefault="00DF0D52" w:rsidP="00DF0D52">
            <w:pPr>
              <w:spacing w:after="0"/>
              <w:jc w:val="right"/>
              <w:rPr>
                <w:color w:val="000000"/>
                <w:sz w:val="20"/>
                <w:szCs w:val="20"/>
              </w:rPr>
            </w:pPr>
            <w:r>
              <w:rPr>
                <w:color w:val="000000"/>
                <w:sz w:val="20"/>
                <w:szCs w:val="20"/>
              </w:rPr>
              <w:t>14,4</w:t>
            </w:r>
          </w:p>
        </w:tc>
        <w:tc>
          <w:tcPr>
            <w:tcW w:w="128" w:type="pct"/>
            <w:shd w:val="clear" w:color="auto" w:fill="auto"/>
            <w:noWrap/>
            <w:vAlign w:val="center"/>
          </w:tcPr>
          <w:p w:rsidR="00DF0D52" w:rsidRPr="00DF0D52" w:rsidRDefault="00DF0D52" w:rsidP="00D11E5C">
            <w:pPr>
              <w:spacing w:after="0"/>
              <w:jc w:val="left"/>
              <w:rPr>
                <w:b/>
                <w:sz w:val="20"/>
                <w:szCs w:val="20"/>
              </w:rPr>
            </w:pPr>
            <w:r w:rsidRPr="00DF0D52">
              <w:rPr>
                <w:b/>
                <w:sz w:val="20"/>
                <w:szCs w:val="20"/>
              </w:rPr>
              <w:t>a</w:t>
            </w:r>
          </w:p>
        </w:tc>
        <w:tc>
          <w:tcPr>
            <w:tcW w:w="102" w:type="pct"/>
            <w:shd w:val="clear" w:color="auto" w:fill="auto"/>
            <w:noWrap/>
            <w:vAlign w:val="center"/>
          </w:tcPr>
          <w:p w:rsidR="00DF0D52" w:rsidRPr="00DF0D52" w:rsidRDefault="00DF0D52" w:rsidP="00D11E5C">
            <w:pPr>
              <w:spacing w:after="0"/>
              <w:jc w:val="left"/>
              <w:rPr>
                <w:b/>
                <w:color w:val="000000"/>
                <w:sz w:val="20"/>
                <w:szCs w:val="20"/>
              </w:rPr>
            </w:pPr>
            <w:r w:rsidRPr="00DF0D52">
              <w:rPr>
                <w:b/>
                <w:color w:val="000000"/>
                <w:sz w:val="20"/>
                <w:szCs w:val="20"/>
              </w:rPr>
              <w:t>b</w:t>
            </w:r>
          </w:p>
        </w:tc>
        <w:tc>
          <w:tcPr>
            <w:tcW w:w="102" w:type="pct"/>
            <w:shd w:val="clear" w:color="auto" w:fill="auto"/>
            <w:noWrap/>
            <w:vAlign w:val="center"/>
          </w:tcPr>
          <w:p w:rsidR="00DF0D52" w:rsidRPr="00AC7E06" w:rsidRDefault="00DF0D52" w:rsidP="00DF0D52">
            <w:pPr>
              <w:spacing w:after="0"/>
              <w:rPr>
                <w:sz w:val="20"/>
                <w:szCs w:val="20"/>
              </w:rPr>
            </w:pPr>
          </w:p>
        </w:tc>
        <w:tc>
          <w:tcPr>
            <w:tcW w:w="779" w:type="pct"/>
            <w:shd w:val="clear" w:color="auto" w:fill="auto"/>
            <w:vAlign w:val="center"/>
          </w:tcPr>
          <w:p w:rsidR="00DF0D52" w:rsidRPr="00AC7E06" w:rsidRDefault="00DF0D52" w:rsidP="00DF0D52">
            <w:pPr>
              <w:spacing w:after="0"/>
              <w:rPr>
                <w:sz w:val="20"/>
                <w:szCs w:val="20"/>
              </w:rPr>
            </w:pPr>
            <w:r w:rsidRPr="004570EB">
              <w:rPr>
                <w:sz w:val="20"/>
                <w:szCs w:val="20"/>
              </w:rPr>
              <w:t xml:space="preserve">Est. fenol. </w:t>
            </w:r>
            <w:r w:rsidR="00B46DCB">
              <w:rPr>
                <w:sz w:val="20"/>
                <w:szCs w:val="20"/>
              </w:rPr>
              <w:t>D</w:t>
            </w:r>
            <w:r w:rsidR="00083ED9">
              <w:rPr>
                <w:sz w:val="20"/>
                <w:szCs w:val="20"/>
              </w:rPr>
              <w:t>/</w:t>
            </w:r>
            <w:r w:rsidR="00B46DCB">
              <w:rPr>
                <w:sz w:val="20"/>
                <w:szCs w:val="20"/>
              </w:rPr>
              <w:t>E</w:t>
            </w:r>
          </w:p>
        </w:tc>
        <w:tc>
          <w:tcPr>
            <w:tcW w:w="764" w:type="pct"/>
            <w:shd w:val="clear" w:color="auto" w:fill="auto"/>
            <w:vAlign w:val="center"/>
          </w:tcPr>
          <w:p w:rsidR="00DF0D52" w:rsidRPr="00AC7E06" w:rsidRDefault="00DF0D52" w:rsidP="00DF0D52">
            <w:pPr>
              <w:spacing w:after="0"/>
              <w:rPr>
                <w:sz w:val="20"/>
                <w:szCs w:val="20"/>
              </w:rPr>
            </w:pPr>
            <w:r w:rsidRPr="00AC7E06">
              <w:rPr>
                <w:color w:val="000000"/>
                <w:sz w:val="20"/>
                <w:szCs w:val="20"/>
              </w:rPr>
              <w:t>tebuconazol</w:t>
            </w:r>
          </w:p>
        </w:tc>
        <w:tc>
          <w:tcPr>
            <w:tcW w:w="586" w:type="pct"/>
            <w:shd w:val="clear" w:color="auto" w:fill="auto"/>
            <w:vAlign w:val="center"/>
          </w:tcPr>
          <w:p w:rsidR="00DF0D52" w:rsidRPr="00AC7E06" w:rsidRDefault="00DF0D52" w:rsidP="00DF0D52">
            <w:pPr>
              <w:spacing w:after="0"/>
              <w:jc w:val="right"/>
              <w:rPr>
                <w:sz w:val="20"/>
                <w:szCs w:val="20"/>
              </w:rPr>
            </w:pPr>
            <w:r w:rsidRPr="00AC7E06">
              <w:rPr>
                <w:sz w:val="20"/>
                <w:szCs w:val="20"/>
              </w:rPr>
              <w:t>23,8</w:t>
            </w:r>
          </w:p>
        </w:tc>
        <w:tc>
          <w:tcPr>
            <w:tcW w:w="100" w:type="pct"/>
            <w:shd w:val="clear" w:color="auto" w:fill="auto"/>
            <w:vAlign w:val="center"/>
          </w:tcPr>
          <w:p w:rsidR="00DF0D52" w:rsidRPr="00DF0D52" w:rsidRDefault="00DF0D52" w:rsidP="00DF0D52">
            <w:pPr>
              <w:spacing w:after="0"/>
              <w:rPr>
                <w:b/>
                <w:sz w:val="20"/>
                <w:szCs w:val="20"/>
              </w:rPr>
            </w:pPr>
            <w:r w:rsidRPr="00DF0D52">
              <w:rPr>
                <w:b/>
                <w:sz w:val="20"/>
                <w:szCs w:val="20"/>
              </w:rPr>
              <w:t>a</w:t>
            </w:r>
          </w:p>
        </w:tc>
        <w:tc>
          <w:tcPr>
            <w:tcW w:w="100" w:type="pct"/>
            <w:shd w:val="clear" w:color="auto" w:fill="auto"/>
            <w:vAlign w:val="center"/>
          </w:tcPr>
          <w:p w:rsidR="00DF0D52" w:rsidRPr="00DF0D52" w:rsidRDefault="00DF0D52" w:rsidP="00DF0D52">
            <w:pPr>
              <w:spacing w:after="0"/>
              <w:rPr>
                <w:b/>
                <w:sz w:val="20"/>
                <w:szCs w:val="20"/>
              </w:rPr>
            </w:pPr>
            <w:r w:rsidRPr="00DF0D52">
              <w:rPr>
                <w:b/>
                <w:sz w:val="20"/>
                <w:szCs w:val="20"/>
              </w:rPr>
              <w:t>b</w:t>
            </w:r>
          </w:p>
        </w:tc>
        <w:tc>
          <w:tcPr>
            <w:tcW w:w="95" w:type="pct"/>
            <w:shd w:val="clear" w:color="auto" w:fill="auto"/>
            <w:vAlign w:val="center"/>
          </w:tcPr>
          <w:p w:rsidR="00DF0D52" w:rsidRPr="00DF0D52" w:rsidRDefault="00DF0D52" w:rsidP="00DF0D52">
            <w:pPr>
              <w:spacing w:after="0"/>
              <w:rPr>
                <w:b/>
                <w:sz w:val="20"/>
                <w:szCs w:val="20"/>
              </w:rPr>
            </w:pPr>
            <w:r w:rsidRPr="00DF0D52">
              <w:rPr>
                <w:b/>
                <w:sz w:val="20"/>
                <w:szCs w:val="20"/>
              </w:rPr>
              <w:t>c</w:t>
            </w:r>
          </w:p>
        </w:tc>
        <w:tc>
          <w:tcPr>
            <w:tcW w:w="99" w:type="pct"/>
            <w:shd w:val="clear" w:color="auto" w:fill="auto"/>
            <w:vAlign w:val="center"/>
          </w:tcPr>
          <w:p w:rsidR="00DF0D52" w:rsidRPr="00DF0D52" w:rsidRDefault="00DF0D52" w:rsidP="00DF0D52">
            <w:pPr>
              <w:spacing w:after="0"/>
              <w:rPr>
                <w:b/>
                <w:sz w:val="20"/>
                <w:szCs w:val="20"/>
              </w:rPr>
            </w:pPr>
          </w:p>
        </w:tc>
      </w:tr>
      <w:tr w:rsidR="00D11E5C" w:rsidRPr="00DF0D52" w:rsidTr="00D11E5C">
        <w:trPr>
          <w:cantSplit/>
        </w:trPr>
        <w:tc>
          <w:tcPr>
            <w:tcW w:w="740" w:type="pct"/>
            <w:shd w:val="clear" w:color="auto" w:fill="auto"/>
            <w:noWrap/>
            <w:vAlign w:val="center"/>
          </w:tcPr>
          <w:p w:rsidR="00DF0D52" w:rsidRDefault="00083ED9" w:rsidP="00AC2EEE">
            <w:pPr>
              <w:spacing w:after="0"/>
              <w:jc w:val="left"/>
              <w:rPr>
                <w:color w:val="000000"/>
                <w:sz w:val="20"/>
                <w:szCs w:val="20"/>
              </w:rPr>
            </w:pPr>
            <w:r>
              <w:rPr>
                <w:color w:val="000000"/>
                <w:sz w:val="20"/>
                <w:szCs w:val="20"/>
              </w:rPr>
              <w:t xml:space="preserve">Poda + </w:t>
            </w:r>
            <w:r w:rsidRPr="004570EB">
              <w:rPr>
                <w:sz w:val="20"/>
                <w:szCs w:val="20"/>
              </w:rPr>
              <w:t xml:space="preserve">Est. fenol. </w:t>
            </w:r>
            <w:r>
              <w:rPr>
                <w:sz w:val="20"/>
                <w:szCs w:val="20"/>
              </w:rPr>
              <w:t>D/E</w:t>
            </w:r>
          </w:p>
        </w:tc>
        <w:tc>
          <w:tcPr>
            <w:tcW w:w="819" w:type="pct"/>
            <w:gridSpan w:val="2"/>
            <w:shd w:val="clear" w:color="auto" w:fill="auto"/>
            <w:noWrap/>
            <w:vAlign w:val="center"/>
          </w:tcPr>
          <w:p w:rsidR="00DF0D52" w:rsidRDefault="00AC2EEE" w:rsidP="00DF0D52">
            <w:pPr>
              <w:spacing w:after="0"/>
              <w:jc w:val="right"/>
              <w:rPr>
                <w:color w:val="000000"/>
                <w:sz w:val="20"/>
                <w:szCs w:val="20"/>
              </w:rPr>
            </w:pPr>
            <w:r w:rsidRPr="00AC7E06">
              <w:rPr>
                <w:color w:val="000000"/>
                <w:sz w:val="20"/>
                <w:szCs w:val="20"/>
              </w:rPr>
              <w:t>oxicloreto de cobre</w:t>
            </w:r>
          </w:p>
        </w:tc>
        <w:tc>
          <w:tcPr>
            <w:tcW w:w="586" w:type="pct"/>
            <w:shd w:val="clear" w:color="auto" w:fill="auto"/>
            <w:noWrap/>
            <w:vAlign w:val="center"/>
          </w:tcPr>
          <w:p w:rsidR="00DF0D52" w:rsidRDefault="00DF0D52" w:rsidP="00DF0D52">
            <w:pPr>
              <w:spacing w:after="0"/>
              <w:jc w:val="right"/>
              <w:rPr>
                <w:color w:val="000000"/>
                <w:sz w:val="20"/>
                <w:szCs w:val="20"/>
              </w:rPr>
            </w:pPr>
            <w:r>
              <w:rPr>
                <w:color w:val="000000"/>
                <w:sz w:val="20"/>
                <w:szCs w:val="20"/>
              </w:rPr>
              <w:t>15,7</w:t>
            </w:r>
          </w:p>
        </w:tc>
        <w:tc>
          <w:tcPr>
            <w:tcW w:w="128" w:type="pct"/>
            <w:shd w:val="clear" w:color="auto" w:fill="auto"/>
            <w:noWrap/>
            <w:vAlign w:val="center"/>
          </w:tcPr>
          <w:p w:rsidR="00DF0D52" w:rsidRPr="00DF0D52" w:rsidRDefault="00DF0D52" w:rsidP="00D11E5C">
            <w:pPr>
              <w:spacing w:after="0"/>
              <w:jc w:val="left"/>
              <w:rPr>
                <w:b/>
                <w:sz w:val="20"/>
                <w:szCs w:val="20"/>
              </w:rPr>
            </w:pPr>
            <w:r w:rsidRPr="00DF0D52">
              <w:rPr>
                <w:b/>
                <w:sz w:val="20"/>
                <w:szCs w:val="20"/>
              </w:rPr>
              <w:t>a</w:t>
            </w:r>
          </w:p>
        </w:tc>
        <w:tc>
          <w:tcPr>
            <w:tcW w:w="102" w:type="pct"/>
            <w:shd w:val="clear" w:color="auto" w:fill="auto"/>
            <w:noWrap/>
            <w:vAlign w:val="center"/>
          </w:tcPr>
          <w:p w:rsidR="00DF0D52" w:rsidRPr="00DF0D52" w:rsidRDefault="00DF0D52" w:rsidP="00D11E5C">
            <w:pPr>
              <w:spacing w:after="0"/>
              <w:jc w:val="left"/>
              <w:rPr>
                <w:b/>
                <w:color w:val="000000"/>
                <w:sz w:val="20"/>
                <w:szCs w:val="20"/>
              </w:rPr>
            </w:pPr>
            <w:r w:rsidRPr="00DF0D52">
              <w:rPr>
                <w:b/>
                <w:color w:val="000000"/>
                <w:sz w:val="20"/>
                <w:szCs w:val="20"/>
              </w:rPr>
              <w:t>b</w:t>
            </w:r>
          </w:p>
        </w:tc>
        <w:tc>
          <w:tcPr>
            <w:tcW w:w="102" w:type="pct"/>
            <w:shd w:val="clear" w:color="auto" w:fill="auto"/>
            <w:noWrap/>
            <w:vAlign w:val="center"/>
          </w:tcPr>
          <w:p w:rsidR="00DF0D52" w:rsidRPr="00AC7E06" w:rsidRDefault="00DF0D52" w:rsidP="00DF0D52">
            <w:pPr>
              <w:spacing w:after="0"/>
              <w:rPr>
                <w:sz w:val="20"/>
                <w:szCs w:val="20"/>
              </w:rPr>
            </w:pPr>
          </w:p>
        </w:tc>
        <w:tc>
          <w:tcPr>
            <w:tcW w:w="779" w:type="pct"/>
            <w:shd w:val="clear" w:color="auto" w:fill="auto"/>
            <w:vAlign w:val="center"/>
          </w:tcPr>
          <w:p w:rsidR="00DF0D52" w:rsidRPr="00AC7E06" w:rsidRDefault="00DF0D52" w:rsidP="00DF0D52">
            <w:pPr>
              <w:spacing w:after="0"/>
              <w:rPr>
                <w:sz w:val="20"/>
                <w:szCs w:val="20"/>
              </w:rPr>
            </w:pPr>
            <w:r>
              <w:rPr>
                <w:sz w:val="20"/>
                <w:szCs w:val="20"/>
              </w:rPr>
              <w:t>Poda</w:t>
            </w:r>
            <w:r w:rsidRPr="00AC7E06">
              <w:rPr>
                <w:sz w:val="20"/>
                <w:szCs w:val="20"/>
              </w:rPr>
              <w:t xml:space="preserve"> +</w:t>
            </w:r>
            <w:r w:rsidRPr="004570EB">
              <w:rPr>
                <w:sz w:val="20"/>
                <w:szCs w:val="20"/>
              </w:rPr>
              <w:t xml:space="preserve"> </w:t>
            </w:r>
            <w:r>
              <w:rPr>
                <w:sz w:val="20"/>
                <w:szCs w:val="20"/>
              </w:rPr>
              <w:t>e</w:t>
            </w:r>
            <w:r w:rsidRPr="004570EB">
              <w:rPr>
                <w:sz w:val="20"/>
                <w:szCs w:val="20"/>
              </w:rPr>
              <w:t xml:space="preserve">st. fenol. </w:t>
            </w:r>
            <w:r w:rsidR="00B46DCB">
              <w:rPr>
                <w:sz w:val="20"/>
                <w:szCs w:val="20"/>
              </w:rPr>
              <w:t>D</w:t>
            </w:r>
            <w:r w:rsidR="00083ED9">
              <w:rPr>
                <w:sz w:val="20"/>
                <w:szCs w:val="20"/>
              </w:rPr>
              <w:t>/</w:t>
            </w:r>
            <w:r w:rsidR="00B46DCB">
              <w:rPr>
                <w:sz w:val="20"/>
                <w:szCs w:val="20"/>
              </w:rPr>
              <w:t>E</w:t>
            </w:r>
          </w:p>
        </w:tc>
        <w:tc>
          <w:tcPr>
            <w:tcW w:w="764" w:type="pct"/>
            <w:shd w:val="clear" w:color="auto" w:fill="auto"/>
            <w:vAlign w:val="center"/>
          </w:tcPr>
          <w:p w:rsidR="00DF0D52" w:rsidRPr="00AC7E06" w:rsidRDefault="00DF0D52" w:rsidP="00DF0D52">
            <w:pPr>
              <w:spacing w:after="0"/>
              <w:rPr>
                <w:sz w:val="20"/>
                <w:szCs w:val="20"/>
              </w:rPr>
            </w:pPr>
            <w:r w:rsidRPr="00AC7E06">
              <w:rPr>
                <w:color w:val="000000"/>
                <w:sz w:val="20"/>
                <w:szCs w:val="20"/>
              </w:rPr>
              <w:t>tebuconazol</w:t>
            </w:r>
          </w:p>
        </w:tc>
        <w:tc>
          <w:tcPr>
            <w:tcW w:w="586" w:type="pct"/>
            <w:shd w:val="clear" w:color="auto" w:fill="auto"/>
            <w:vAlign w:val="center"/>
          </w:tcPr>
          <w:p w:rsidR="00DF0D52" w:rsidRPr="00AC7E06" w:rsidRDefault="00DF0D52" w:rsidP="00DF0D52">
            <w:pPr>
              <w:spacing w:after="0"/>
              <w:jc w:val="right"/>
              <w:rPr>
                <w:sz w:val="20"/>
                <w:szCs w:val="20"/>
              </w:rPr>
            </w:pPr>
            <w:r w:rsidRPr="00AC7E06">
              <w:rPr>
                <w:sz w:val="20"/>
                <w:szCs w:val="20"/>
              </w:rPr>
              <w:t>24,7</w:t>
            </w:r>
          </w:p>
        </w:tc>
        <w:tc>
          <w:tcPr>
            <w:tcW w:w="100" w:type="pct"/>
            <w:shd w:val="clear" w:color="auto" w:fill="auto"/>
            <w:vAlign w:val="center"/>
          </w:tcPr>
          <w:p w:rsidR="00DF0D52" w:rsidRPr="00DF0D52" w:rsidRDefault="00DF0D52" w:rsidP="00DF0D52">
            <w:pPr>
              <w:spacing w:after="0"/>
              <w:rPr>
                <w:b/>
                <w:sz w:val="20"/>
                <w:szCs w:val="20"/>
              </w:rPr>
            </w:pPr>
            <w:r w:rsidRPr="00DF0D52">
              <w:rPr>
                <w:b/>
                <w:sz w:val="20"/>
                <w:szCs w:val="20"/>
              </w:rPr>
              <w:t>a</w:t>
            </w:r>
          </w:p>
        </w:tc>
        <w:tc>
          <w:tcPr>
            <w:tcW w:w="100" w:type="pct"/>
            <w:shd w:val="clear" w:color="auto" w:fill="auto"/>
            <w:vAlign w:val="center"/>
          </w:tcPr>
          <w:p w:rsidR="00DF0D52" w:rsidRPr="00DF0D52" w:rsidRDefault="00DF0D52" w:rsidP="00DF0D52">
            <w:pPr>
              <w:spacing w:after="0"/>
              <w:rPr>
                <w:b/>
                <w:sz w:val="20"/>
                <w:szCs w:val="20"/>
              </w:rPr>
            </w:pPr>
            <w:r w:rsidRPr="00DF0D52">
              <w:rPr>
                <w:b/>
                <w:sz w:val="20"/>
                <w:szCs w:val="20"/>
              </w:rPr>
              <w:t>b</w:t>
            </w:r>
          </w:p>
        </w:tc>
        <w:tc>
          <w:tcPr>
            <w:tcW w:w="95" w:type="pct"/>
            <w:shd w:val="clear" w:color="auto" w:fill="auto"/>
            <w:vAlign w:val="center"/>
          </w:tcPr>
          <w:p w:rsidR="00DF0D52" w:rsidRPr="00DF0D52" w:rsidRDefault="00DF0D52" w:rsidP="00DF0D52">
            <w:pPr>
              <w:spacing w:after="0"/>
              <w:rPr>
                <w:b/>
                <w:sz w:val="20"/>
                <w:szCs w:val="20"/>
              </w:rPr>
            </w:pPr>
            <w:r w:rsidRPr="00DF0D52">
              <w:rPr>
                <w:b/>
                <w:sz w:val="20"/>
                <w:szCs w:val="20"/>
              </w:rPr>
              <w:t>c</w:t>
            </w:r>
          </w:p>
        </w:tc>
        <w:tc>
          <w:tcPr>
            <w:tcW w:w="99" w:type="pct"/>
            <w:shd w:val="clear" w:color="auto" w:fill="auto"/>
            <w:vAlign w:val="center"/>
          </w:tcPr>
          <w:p w:rsidR="00DF0D52" w:rsidRPr="00DF0D52" w:rsidRDefault="00DF0D52" w:rsidP="00DF0D52">
            <w:pPr>
              <w:spacing w:after="0"/>
              <w:rPr>
                <w:b/>
                <w:sz w:val="20"/>
                <w:szCs w:val="20"/>
              </w:rPr>
            </w:pPr>
          </w:p>
        </w:tc>
      </w:tr>
      <w:tr w:rsidR="00D11E5C" w:rsidRPr="00DF0D52" w:rsidTr="00D11E5C">
        <w:trPr>
          <w:cantSplit/>
        </w:trPr>
        <w:tc>
          <w:tcPr>
            <w:tcW w:w="740" w:type="pct"/>
            <w:shd w:val="clear" w:color="auto" w:fill="auto"/>
            <w:noWrap/>
            <w:vAlign w:val="center"/>
          </w:tcPr>
          <w:p w:rsidR="00DF0D52" w:rsidRDefault="00083ED9" w:rsidP="00AC2EEE">
            <w:pPr>
              <w:spacing w:after="0"/>
              <w:jc w:val="left"/>
              <w:rPr>
                <w:color w:val="000000"/>
                <w:sz w:val="20"/>
                <w:szCs w:val="20"/>
              </w:rPr>
            </w:pPr>
            <w:r w:rsidRPr="004570EB">
              <w:rPr>
                <w:sz w:val="20"/>
                <w:szCs w:val="20"/>
              </w:rPr>
              <w:t xml:space="preserve">Est. fenol. </w:t>
            </w:r>
            <w:r>
              <w:rPr>
                <w:sz w:val="20"/>
                <w:szCs w:val="20"/>
              </w:rPr>
              <w:t>D/E</w:t>
            </w:r>
          </w:p>
        </w:tc>
        <w:tc>
          <w:tcPr>
            <w:tcW w:w="819" w:type="pct"/>
            <w:gridSpan w:val="2"/>
            <w:shd w:val="clear" w:color="auto" w:fill="auto"/>
            <w:noWrap/>
            <w:vAlign w:val="center"/>
          </w:tcPr>
          <w:p w:rsidR="00DF0D52" w:rsidRDefault="00AC2EEE" w:rsidP="00DF0D52">
            <w:pPr>
              <w:spacing w:after="0"/>
              <w:jc w:val="right"/>
              <w:rPr>
                <w:color w:val="000000"/>
                <w:sz w:val="20"/>
                <w:szCs w:val="20"/>
              </w:rPr>
            </w:pPr>
            <w:r w:rsidRPr="00AC7E06">
              <w:rPr>
                <w:color w:val="000000"/>
                <w:sz w:val="20"/>
                <w:szCs w:val="20"/>
              </w:rPr>
              <w:t>ciprodinil+fludioxonil</w:t>
            </w:r>
          </w:p>
        </w:tc>
        <w:tc>
          <w:tcPr>
            <w:tcW w:w="586" w:type="pct"/>
            <w:shd w:val="clear" w:color="auto" w:fill="auto"/>
            <w:noWrap/>
            <w:vAlign w:val="center"/>
          </w:tcPr>
          <w:p w:rsidR="00DF0D52" w:rsidRDefault="00DF0D52" w:rsidP="00DF0D52">
            <w:pPr>
              <w:spacing w:after="0"/>
              <w:jc w:val="right"/>
              <w:rPr>
                <w:color w:val="000000"/>
                <w:sz w:val="20"/>
                <w:szCs w:val="20"/>
              </w:rPr>
            </w:pPr>
            <w:r>
              <w:rPr>
                <w:color w:val="000000"/>
                <w:sz w:val="20"/>
                <w:szCs w:val="20"/>
              </w:rPr>
              <w:t>16,0</w:t>
            </w:r>
          </w:p>
        </w:tc>
        <w:tc>
          <w:tcPr>
            <w:tcW w:w="128" w:type="pct"/>
            <w:shd w:val="clear" w:color="auto" w:fill="auto"/>
            <w:noWrap/>
            <w:vAlign w:val="center"/>
          </w:tcPr>
          <w:p w:rsidR="00DF0D52" w:rsidRPr="00DF0D52" w:rsidRDefault="00DF0D52" w:rsidP="00D11E5C">
            <w:pPr>
              <w:spacing w:after="0"/>
              <w:jc w:val="left"/>
              <w:rPr>
                <w:b/>
                <w:sz w:val="20"/>
                <w:szCs w:val="20"/>
              </w:rPr>
            </w:pPr>
            <w:r w:rsidRPr="00DF0D52">
              <w:rPr>
                <w:b/>
                <w:sz w:val="20"/>
                <w:szCs w:val="20"/>
              </w:rPr>
              <w:t>a</w:t>
            </w:r>
          </w:p>
        </w:tc>
        <w:tc>
          <w:tcPr>
            <w:tcW w:w="102" w:type="pct"/>
            <w:shd w:val="clear" w:color="auto" w:fill="auto"/>
            <w:noWrap/>
            <w:vAlign w:val="center"/>
          </w:tcPr>
          <w:p w:rsidR="00DF0D52" w:rsidRPr="00DF0D52" w:rsidRDefault="00DF0D52" w:rsidP="00D11E5C">
            <w:pPr>
              <w:spacing w:after="0"/>
              <w:jc w:val="left"/>
              <w:rPr>
                <w:b/>
                <w:color w:val="000000"/>
                <w:sz w:val="20"/>
                <w:szCs w:val="20"/>
              </w:rPr>
            </w:pPr>
            <w:r w:rsidRPr="00DF0D52">
              <w:rPr>
                <w:b/>
                <w:color w:val="000000"/>
                <w:sz w:val="20"/>
                <w:szCs w:val="20"/>
              </w:rPr>
              <w:t>b</w:t>
            </w:r>
          </w:p>
        </w:tc>
        <w:tc>
          <w:tcPr>
            <w:tcW w:w="102" w:type="pct"/>
            <w:shd w:val="clear" w:color="auto" w:fill="auto"/>
            <w:noWrap/>
            <w:vAlign w:val="center"/>
          </w:tcPr>
          <w:p w:rsidR="00DF0D52" w:rsidRPr="00AC7E06" w:rsidRDefault="00DF0D52" w:rsidP="00DF0D52">
            <w:pPr>
              <w:spacing w:after="0"/>
              <w:rPr>
                <w:sz w:val="20"/>
                <w:szCs w:val="20"/>
              </w:rPr>
            </w:pPr>
          </w:p>
        </w:tc>
        <w:tc>
          <w:tcPr>
            <w:tcW w:w="779" w:type="pct"/>
            <w:shd w:val="clear" w:color="auto" w:fill="auto"/>
            <w:vAlign w:val="center"/>
          </w:tcPr>
          <w:p w:rsidR="00DF0D52" w:rsidRPr="00AC7E06" w:rsidRDefault="00DF0D52" w:rsidP="00DF0D52">
            <w:pPr>
              <w:spacing w:after="0"/>
              <w:rPr>
                <w:sz w:val="20"/>
                <w:szCs w:val="20"/>
              </w:rPr>
            </w:pPr>
            <w:r w:rsidRPr="004570EB">
              <w:rPr>
                <w:sz w:val="20"/>
                <w:szCs w:val="20"/>
              </w:rPr>
              <w:t xml:space="preserve">Est. fenol. </w:t>
            </w:r>
            <w:r w:rsidR="00B46DCB">
              <w:rPr>
                <w:sz w:val="20"/>
                <w:szCs w:val="20"/>
              </w:rPr>
              <w:t>D</w:t>
            </w:r>
            <w:r w:rsidR="00083ED9">
              <w:rPr>
                <w:sz w:val="20"/>
                <w:szCs w:val="20"/>
              </w:rPr>
              <w:t>/</w:t>
            </w:r>
            <w:r w:rsidR="00B46DCB">
              <w:rPr>
                <w:sz w:val="20"/>
                <w:szCs w:val="20"/>
              </w:rPr>
              <w:t>E</w:t>
            </w:r>
          </w:p>
        </w:tc>
        <w:tc>
          <w:tcPr>
            <w:tcW w:w="764" w:type="pct"/>
            <w:shd w:val="clear" w:color="auto" w:fill="auto"/>
            <w:vAlign w:val="center"/>
          </w:tcPr>
          <w:p w:rsidR="00DF0D52" w:rsidRPr="00AC7E06" w:rsidRDefault="00DF0D52" w:rsidP="00DF0D52">
            <w:pPr>
              <w:spacing w:after="0"/>
              <w:rPr>
                <w:sz w:val="20"/>
                <w:szCs w:val="20"/>
              </w:rPr>
            </w:pPr>
            <w:r w:rsidRPr="00AC7E06">
              <w:rPr>
                <w:color w:val="000000"/>
                <w:sz w:val="20"/>
                <w:szCs w:val="20"/>
              </w:rPr>
              <w:t>difenoconazol</w:t>
            </w:r>
          </w:p>
        </w:tc>
        <w:tc>
          <w:tcPr>
            <w:tcW w:w="586" w:type="pct"/>
            <w:shd w:val="clear" w:color="auto" w:fill="auto"/>
            <w:vAlign w:val="center"/>
          </w:tcPr>
          <w:p w:rsidR="00DF0D52" w:rsidRPr="00AC7E06" w:rsidRDefault="00DF0D52" w:rsidP="00DF0D52">
            <w:pPr>
              <w:spacing w:after="0"/>
              <w:jc w:val="right"/>
              <w:rPr>
                <w:sz w:val="20"/>
                <w:szCs w:val="20"/>
              </w:rPr>
            </w:pPr>
            <w:r w:rsidRPr="00AC7E06">
              <w:rPr>
                <w:sz w:val="20"/>
                <w:szCs w:val="20"/>
              </w:rPr>
              <w:t>28,0</w:t>
            </w:r>
          </w:p>
        </w:tc>
        <w:tc>
          <w:tcPr>
            <w:tcW w:w="100" w:type="pct"/>
            <w:shd w:val="clear" w:color="auto" w:fill="auto"/>
            <w:vAlign w:val="center"/>
          </w:tcPr>
          <w:p w:rsidR="00DF0D52" w:rsidRPr="00DF0D52" w:rsidRDefault="00DF0D52" w:rsidP="00DF0D52">
            <w:pPr>
              <w:spacing w:after="0"/>
              <w:rPr>
                <w:b/>
                <w:sz w:val="20"/>
                <w:szCs w:val="20"/>
              </w:rPr>
            </w:pPr>
            <w:r w:rsidRPr="00DF0D52">
              <w:rPr>
                <w:b/>
                <w:sz w:val="20"/>
                <w:szCs w:val="20"/>
              </w:rPr>
              <w:t>a</w:t>
            </w:r>
          </w:p>
        </w:tc>
        <w:tc>
          <w:tcPr>
            <w:tcW w:w="100" w:type="pct"/>
            <w:shd w:val="clear" w:color="auto" w:fill="auto"/>
            <w:vAlign w:val="center"/>
          </w:tcPr>
          <w:p w:rsidR="00DF0D52" w:rsidRPr="00DF0D52" w:rsidRDefault="00DF0D52" w:rsidP="00DF0D52">
            <w:pPr>
              <w:spacing w:after="0"/>
              <w:rPr>
                <w:b/>
                <w:sz w:val="20"/>
                <w:szCs w:val="20"/>
              </w:rPr>
            </w:pPr>
            <w:r w:rsidRPr="00DF0D52">
              <w:rPr>
                <w:b/>
                <w:sz w:val="20"/>
                <w:szCs w:val="20"/>
              </w:rPr>
              <w:t>b</w:t>
            </w:r>
          </w:p>
        </w:tc>
        <w:tc>
          <w:tcPr>
            <w:tcW w:w="95" w:type="pct"/>
            <w:shd w:val="clear" w:color="auto" w:fill="auto"/>
            <w:vAlign w:val="center"/>
          </w:tcPr>
          <w:p w:rsidR="00DF0D52" w:rsidRPr="00DF0D52" w:rsidRDefault="00DF0D52" w:rsidP="00DF0D52">
            <w:pPr>
              <w:spacing w:after="0"/>
              <w:rPr>
                <w:b/>
                <w:sz w:val="20"/>
                <w:szCs w:val="20"/>
              </w:rPr>
            </w:pPr>
            <w:r w:rsidRPr="00DF0D52">
              <w:rPr>
                <w:b/>
                <w:sz w:val="20"/>
                <w:szCs w:val="20"/>
              </w:rPr>
              <w:t>c</w:t>
            </w:r>
          </w:p>
        </w:tc>
        <w:tc>
          <w:tcPr>
            <w:tcW w:w="99" w:type="pct"/>
            <w:shd w:val="clear" w:color="auto" w:fill="auto"/>
            <w:vAlign w:val="center"/>
          </w:tcPr>
          <w:p w:rsidR="00DF0D52" w:rsidRPr="00DF0D52" w:rsidRDefault="00DF0D52" w:rsidP="00DF0D52">
            <w:pPr>
              <w:spacing w:after="0"/>
              <w:rPr>
                <w:b/>
                <w:sz w:val="20"/>
                <w:szCs w:val="20"/>
              </w:rPr>
            </w:pPr>
          </w:p>
        </w:tc>
      </w:tr>
      <w:tr w:rsidR="00D11E5C" w:rsidRPr="00DF0D52" w:rsidTr="00D11E5C">
        <w:trPr>
          <w:cantSplit/>
        </w:trPr>
        <w:tc>
          <w:tcPr>
            <w:tcW w:w="740" w:type="pct"/>
            <w:shd w:val="clear" w:color="auto" w:fill="auto"/>
            <w:noWrap/>
            <w:vAlign w:val="center"/>
          </w:tcPr>
          <w:p w:rsidR="00DF0D52" w:rsidRDefault="00DF0D52" w:rsidP="00AC2EEE">
            <w:pPr>
              <w:spacing w:after="0"/>
              <w:jc w:val="left"/>
              <w:rPr>
                <w:color w:val="000000"/>
                <w:sz w:val="20"/>
                <w:szCs w:val="20"/>
              </w:rPr>
            </w:pPr>
            <w:r>
              <w:rPr>
                <w:color w:val="000000"/>
                <w:sz w:val="20"/>
                <w:szCs w:val="20"/>
              </w:rPr>
              <w:t>Poda</w:t>
            </w:r>
          </w:p>
        </w:tc>
        <w:tc>
          <w:tcPr>
            <w:tcW w:w="819" w:type="pct"/>
            <w:gridSpan w:val="2"/>
            <w:shd w:val="clear" w:color="auto" w:fill="auto"/>
            <w:noWrap/>
            <w:vAlign w:val="center"/>
          </w:tcPr>
          <w:p w:rsidR="00DF0D52" w:rsidRDefault="00AC2EEE" w:rsidP="00DF0D52">
            <w:pPr>
              <w:spacing w:after="0"/>
              <w:jc w:val="right"/>
              <w:rPr>
                <w:color w:val="000000"/>
                <w:sz w:val="20"/>
                <w:szCs w:val="20"/>
              </w:rPr>
            </w:pPr>
            <w:r w:rsidRPr="00AC7E06">
              <w:rPr>
                <w:color w:val="000000"/>
                <w:sz w:val="20"/>
                <w:szCs w:val="20"/>
              </w:rPr>
              <w:t>difenoconazol</w:t>
            </w:r>
          </w:p>
        </w:tc>
        <w:tc>
          <w:tcPr>
            <w:tcW w:w="586" w:type="pct"/>
            <w:shd w:val="clear" w:color="auto" w:fill="auto"/>
            <w:noWrap/>
            <w:vAlign w:val="center"/>
          </w:tcPr>
          <w:p w:rsidR="00DF0D52" w:rsidRDefault="00DF0D52" w:rsidP="00DF0D52">
            <w:pPr>
              <w:spacing w:after="0"/>
              <w:jc w:val="right"/>
              <w:rPr>
                <w:color w:val="000000"/>
                <w:sz w:val="20"/>
                <w:szCs w:val="20"/>
              </w:rPr>
            </w:pPr>
            <w:r>
              <w:rPr>
                <w:color w:val="000000"/>
                <w:sz w:val="20"/>
                <w:szCs w:val="20"/>
              </w:rPr>
              <w:t>19,6</w:t>
            </w:r>
          </w:p>
        </w:tc>
        <w:tc>
          <w:tcPr>
            <w:tcW w:w="128" w:type="pct"/>
            <w:shd w:val="clear" w:color="auto" w:fill="auto"/>
            <w:noWrap/>
            <w:vAlign w:val="center"/>
          </w:tcPr>
          <w:p w:rsidR="00DF0D52" w:rsidRPr="00DF0D52" w:rsidRDefault="00DF0D52" w:rsidP="00D11E5C">
            <w:pPr>
              <w:spacing w:after="0"/>
              <w:jc w:val="left"/>
              <w:rPr>
                <w:b/>
                <w:sz w:val="20"/>
                <w:szCs w:val="20"/>
              </w:rPr>
            </w:pPr>
            <w:r w:rsidRPr="00DF0D52">
              <w:rPr>
                <w:b/>
                <w:sz w:val="20"/>
                <w:szCs w:val="20"/>
              </w:rPr>
              <w:t>a</w:t>
            </w:r>
          </w:p>
        </w:tc>
        <w:tc>
          <w:tcPr>
            <w:tcW w:w="102" w:type="pct"/>
            <w:shd w:val="clear" w:color="auto" w:fill="auto"/>
            <w:noWrap/>
            <w:vAlign w:val="center"/>
          </w:tcPr>
          <w:p w:rsidR="00DF0D52" w:rsidRPr="00DF0D52" w:rsidRDefault="00DF0D52" w:rsidP="00D11E5C">
            <w:pPr>
              <w:spacing w:after="0"/>
              <w:jc w:val="left"/>
              <w:rPr>
                <w:b/>
                <w:color w:val="000000"/>
                <w:sz w:val="20"/>
                <w:szCs w:val="20"/>
              </w:rPr>
            </w:pPr>
            <w:r w:rsidRPr="00DF0D52">
              <w:rPr>
                <w:b/>
                <w:color w:val="000000"/>
                <w:sz w:val="20"/>
                <w:szCs w:val="20"/>
              </w:rPr>
              <w:t>b</w:t>
            </w:r>
          </w:p>
        </w:tc>
        <w:tc>
          <w:tcPr>
            <w:tcW w:w="102" w:type="pct"/>
            <w:shd w:val="clear" w:color="auto" w:fill="auto"/>
            <w:noWrap/>
            <w:vAlign w:val="center"/>
          </w:tcPr>
          <w:p w:rsidR="00DF0D52" w:rsidRPr="00AC7E06" w:rsidRDefault="00DF0D52" w:rsidP="00DF0D52">
            <w:pPr>
              <w:spacing w:after="0"/>
              <w:rPr>
                <w:sz w:val="20"/>
                <w:szCs w:val="20"/>
              </w:rPr>
            </w:pPr>
          </w:p>
        </w:tc>
        <w:tc>
          <w:tcPr>
            <w:tcW w:w="779" w:type="pct"/>
            <w:shd w:val="clear" w:color="auto" w:fill="auto"/>
            <w:vAlign w:val="center"/>
          </w:tcPr>
          <w:p w:rsidR="00DF0D52" w:rsidRPr="00AC7E06" w:rsidRDefault="00DF0D52" w:rsidP="00DF0D52">
            <w:pPr>
              <w:spacing w:after="0"/>
              <w:rPr>
                <w:sz w:val="20"/>
                <w:szCs w:val="20"/>
              </w:rPr>
            </w:pPr>
            <w:r>
              <w:rPr>
                <w:sz w:val="20"/>
                <w:szCs w:val="20"/>
              </w:rPr>
              <w:t>Poda</w:t>
            </w:r>
            <w:r w:rsidRPr="00AC7E06">
              <w:rPr>
                <w:sz w:val="20"/>
                <w:szCs w:val="20"/>
              </w:rPr>
              <w:t xml:space="preserve"> +</w:t>
            </w:r>
            <w:r w:rsidRPr="004570EB">
              <w:rPr>
                <w:sz w:val="20"/>
                <w:szCs w:val="20"/>
              </w:rPr>
              <w:t xml:space="preserve"> </w:t>
            </w:r>
            <w:r>
              <w:rPr>
                <w:sz w:val="20"/>
                <w:szCs w:val="20"/>
              </w:rPr>
              <w:t>e</w:t>
            </w:r>
            <w:r w:rsidRPr="004570EB">
              <w:rPr>
                <w:sz w:val="20"/>
                <w:szCs w:val="20"/>
              </w:rPr>
              <w:t xml:space="preserve">st. fenol. </w:t>
            </w:r>
            <w:r w:rsidR="00B46DCB">
              <w:rPr>
                <w:sz w:val="20"/>
                <w:szCs w:val="20"/>
              </w:rPr>
              <w:t>D</w:t>
            </w:r>
            <w:r w:rsidR="00083ED9">
              <w:rPr>
                <w:sz w:val="20"/>
                <w:szCs w:val="20"/>
              </w:rPr>
              <w:t>/</w:t>
            </w:r>
            <w:r w:rsidR="00B46DCB">
              <w:rPr>
                <w:sz w:val="20"/>
                <w:szCs w:val="20"/>
              </w:rPr>
              <w:t>E</w:t>
            </w:r>
          </w:p>
        </w:tc>
        <w:tc>
          <w:tcPr>
            <w:tcW w:w="764" w:type="pct"/>
            <w:shd w:val="clear" w:color="auto" w:fill="auto"/>
            <w:vAlign w:val="center"/>
          </w:tcPr>
          <w:p w:rsidR="00DF0D52" w:rsidRPr="00AC7E06" w:rsidRDefault="00DF0D52" w:rsidP="00DF0D52">
            <w:pPr>
              <w:spacing w:after="0"/>
              <w:rPr>
                <w:sz w:val="20"/>
                <w:szCs w:val="20"/>
              </w:rPr>
            </w:pPr>
            <w:r w:rsidRPr="00AC7E06">
              <w:rPr>
                <w:color w:val="000000"/>
                <w:sz w:val="20"/>
                <w:szCs w:val="20"/>
              </w:rPr>
              <w:t>oxicloreto de cobre</w:t>
            </w:r>
          </w:p>
        </w:tc>
        <w:tc>
          <w:tcPr>
            <w:tcW w:w="586" w:type="pct"/>
            <w:shd w:val="clear" w:color="auto" w:fill="auto"/>
            <w:vAlign w:val="center"/>
          </w:tcPr>
          <w:p w:rsidR="00DF0D52" w:rsidRPr="00AC7E06" w:rsidRDefault="00DF0D52" w:rsidP="00DF0D52">
            <w:pPr>
              <w:spacing w:after="0"/>
              <w:jc w:val="right"/>
              <w:rPr>
                <w:sz w:val="20"/>
                <w:szCs w:val="20"/>
              </w:rPr>
            </w:pPr>
            <w:r w:rsidRPr="00AC7E06">
              <w:rPr>
                <w:sz w:val="20"/>
                <w:szCs w:val="20"/>
              </w:rPr>
              <w:t>30,2</w:t>
            </w:r>
          </w:p>
        </w:tc>
        <w:tc>
          <w:tcPr>
            <w:tcW w:w="100" w:type="pct"/>
            <w:shd w:val="clear" w:color="auto" w:fill="auto"/>
            <w:vAlign w:val="center"/>
          </w:tcPr>
          <w:p w:rsidR="00DF0D52" w:rsidRPr="00DF0D52" w:rsidRDefault="00DF0D52" w:rsidP="00DF0D52">
            <w:pPr>
              <w:spacing w:after="0"/>
              <w:rPr>
                <w:b/>
                <w:sz w:val="20"/>
                <w:szCs w:val="20"/>
              </w:rPr>
            </w:pPr>
            <w:r w:rsidRPr="00DF0D52">
              <w:rPr>
                <w:b/>
                <w:sz w:val="20"/>
                <w:szCs w:val="20"/>
              </w:rPr>
              <w:t>a</w:t>
            </w:r>
          </w:p>
        </w:tc>
        <w:tc>
          <w:tcPr>
            <w:tcW w:w="100" w:type="pct"/>
            <w:shd w:val="clear" w:color="auto" w:fill="auto"/>
            <w:vAlign w:val="center"/>
          </w:tcPr>
          <w:p w:rsidR="00DF0D52" w:rsidRPr="00DF0D52" w:rsidRDefault="00DF0D52" w:rsidP="00DF0D52">
            <w:pPr>
              <w:spacing w:after="0"/>
              <w:rPr>
                <w:b/>
                <w:sz w:val="20"/>
                <w:szCs w:val="20"/>
              </w:rPr>
            </w:pPr>
            <w:r w:rsidRPr="00DF0D52">
              <w:rPr>
                <w:b/>
                <w:sz w:val="20"/>
                <w:szCs w:val="20"/>
              </w:rPr>
              <w:t>b</w:t>
            </w:r>
          </w:p>
        </w:tc>
        <w:tc>
          <w:tcPr>
            <w:tcW w:w="95" w:type="pct"/>
            <w:shd w:val="clear" w:color="auto" w:fill="auto"/>
            <w:vAlign w:val="center"/>
          </w:tcPr>
          <w:p w:rsidR="00DF0D52" w:rsidRPr="00DF0D52" w:rsidRDefault="00DF0D52" w:rsidP="00DF0D52">
            <w:pPr>
              <w:spacing w:after="0"/>
              <w:rPr>
                <w:b/>
                <w:sz w:val="20"/>
                <w:szCs w:val="20"/>
              </w:rPr>
            </w:pPr>
            <w:r w:rsidRPr="00DF0D52">
              <w:rPr>
                <w:b/>
                <w:sz w:val="20"/>
                <w:szCs w:val="20"/>
              </w:rPr>
              <w:t>c</w:t>
            </w:r>
          </w:p>
        </w:tc>
        <w:tc>
          <w:tcPr>
            <w:tcW w:w="99" w:type="pct"/>
            <w:shd w:val="clear" w:color="auto" w:fill="auto"/>
            <w:vAlign w:val="center"/>
          </w:tcPr>
          <w:p w:rsidR="00DF0D52" w:rsidRPr="00DF0D52" w:rsidRDefault="00DF0D52" w:rsidP="00DF0D52">
            <w:pPr>
              <w:spacing w:after="0"/>
              <w:rPr>
                <w:b/>
                <w:sz w:val="20"/>
                <w:szCs w:val="20"/>
              </w:rPr>
            </w:pPr>
            <w:r w:rsidRPr="00DF0D52">
              <w:rPr>
                <w:b/>
                <w:sz w:val="20"/>
                <w:szCs w:val="20"/>
              </w:rPr>
              <w:t>d</w:t>
            </w:r>
          </w:p>
        </w:tc>
      </w:tr>
      <w:tr w:rsidR="00D11E5C" w:rsidRPr="00DF0D52" w:rsidTr="00D11E5C">
        <w:trPr>
          <w:cantSplit/>
        </w:trPr>
        <w:tc>
          <w:tcPr>
            <w:tcW w:w="740" w:type="pct"/>
            <w:shd w:val="clear" w:color="auto" w:fill="auto"/>
            <w:noWrap/>
            <w:vAlign w:val="center"/>
          </w:tcPr>
          <w:p w:rsidR="00DF0D52" w:rsidRDefault="00DF0D52" w:rsidP="00AC2EEE">
            <w:pPr>
              <w:spacing w:after="0"/>
              <w:jc w:val="left"/>
              <w:rPr>
                <w:color w:val="000000"/>
                <w:sz w:val="20"/>
                <w:szCs w:val="20"/>
              </w:rPr>
            </w:pPr>
            <w:r>
              <w:rPr>
                <w:color w:val="000000"/>
                <w:sz w:val="20"/>
                <w:szCs w:val="20"/>
              </w:rPr>
              <w:t>Poda</w:t>
            </w:r>
          </w:p>
        </w:tc>
        <w:tc>
          <w:tcPr>
            <w:tcW w:w="819" w:type="pct"/>
            <w:gridSpan w:val="2"/>
            <w:shd w:val="clear" w:color="auto" w:fill="auto"/>
            <w:noWrap/>
            <w:vAlign w:val="center"/>
          </w:tcPr>
          <w:p w:rsidR="00DF0D52" w:rsidRDefault="00AC2EEE" w:rsidP="00DF0D52">
            <w:pPr>
              <w:spacing w:after="0"/>
              <w:jc w:val="right"/>
              <w:rPr>
                <w:color w:val="000000"/>
                <w:sz w:val="20"/>
                <w:szCs w:val="20"/>
              </w:rPr>
            </w:pPr>
            <w:r w:rsidRPr="00AC7E06">
              <w:rPr>
                <w:color w:val="000000"/>
                <w:sz w:val="20"/>
                <w:szCs w:val="20"/>
              </w:rPr>
              <w:t>oxicloreto de cobre</w:t>
            </w:r>
          </w:p>
        </w:tc>
        <w:tc>
          <w:tcPr>
            <w:tcW w:w="586" w:type="pct"/>
            <w:shd w:val="clear" w:color="auto" w:fill="auto"/>
            <w:noWrap/>
            <w:vAlign w:val="center"/>
          </w:tcPr>
          <w:p w:rsidR="00DF0D52" w:rsidRDefault="00DF0D52" w:rsidP="00DF0D52">
            <w:pPr>
              <w:spacing w:after="0"/>
              <w:jc w:val="right"/>
              <w:rPr>
                <w:color w:val="000000"/>
                <w:sz w:val="20"/>
                <w:szCs w:val="20"/>
              </w:rPr>
            </w:pPr>
            <w:r>
              <w:rPr>
                <w:color w:val="000000"/>
                <w:sz w:val="20"/>
                <w:szCs w:val="20"/>
              </w:rPr>
              <w:t>19,8</w:t>
            </w:r>
          </w:p>
        </w:tc>
        <w:tc>
          <w:tcPr>
            <w:tcW w:w="128" w:type="pct"/>
            <w:shd w:val="clear" w:color="auto" w:fill="auto"/>
            <w:noWrap/>
            <w:vAlign w:val="center"/>
          </w:tcPr>
          <w:p w:rsidR="00DF0D52" w:rsidRPr="00DF0D52" w:rsidRDefault="00DF0D52" w:rsidP="00D11E5C">
            <w:pPr>
              <w:spacing w:after="0"/>
              <w:jc w:val="left"/>
              <w:rPr>
                <w:b/>
                <w:sz w:val="20"/>
                <w:szCs w:val="20"/>
              </w:rPr>
            </w:pPr>
            <w:r w:rsidRPr="00DF0D52">
              <w:rPr>
                <w:b/>
                <w:sz w:val="20"/>
                <w:szCs w:val="20"/>
              </w:rPr>
              <w:t>a</w:t>
            </w:r>
          </w:p>
        </w:tc>
        <w:tc>
          <w:tcPr>
            <w:tcW w:w="102" w:type="pct"/>
            <w:shd w:val="clear" w:color="auto" w:fill="auto"/>
            <w:noWrap/>
            <w:vAlign w:val="center"/>
          </w:tcPr>
          <w:p w:rsidR="00DF0D52" w:rsidRPr="00DF0D52" w:rsidRDefault="00DF0D52" w:rsidP="00D11E5C">
            <w:pPr>
              <w:spacing w:after="0"/>
              <w:jc w:val="left"/>
              <w:rPr>
                <w:b/>
                <w:color w:val="000000"/>
                <w:sz w:val="20"/>
                <w:szCs w:val="20"/>
              </w:rPr>
            </w:pPr>
            <w:r w:rsidRPr="00DF0D52">
              <w:rPr>
                <w:b/>
                <w:color w:val="000000"/>
                <w:sz w:val="20"/>
                <w:szCs w:val="20"/>
              </w:rPr>
              <w:t>b</w:t>
            </w:r>
          </w:p>
        </w:tc>
        <w:tc>
          <w:tcPr>
            <w:tcW w:w="102" w:type="pct"/>
            <w:shd w:val="clear" w:color="auto" w:fill="auto"/>
            <w:noWrap/>
            <w:vAlign w:val="center"/>
          </w:tcPr>
          <w:p w:rsidR="00DF0D52" w:rsidRPr="00AC7E06" w:rsidRDefault="00DF0D52" w:rsidP="00DF0D52">
            <w:pPr>
              <w:spacing w:after="0"/>
              <w:rPr>
                <w:sz w:val="20"/>
                <w:szCs w:val="20"/>
              </w:rPr>
            </w:pPr>
          </w:p>
        </w:tc>
        <w:tc>
          <w:tcPr>
            <w:tcW w:w="779" w:type="pct"/>
            <w:shd w:val="clear" w:color="auto" w:fill="auto"/>
            <w:vAlign w:val="center"/>
          </w:tcPr>
          <w:p w:rsidR="00DF0D52" w:rsidRPr="00AC7E06" w:rsidRDefault="00DF0D52" w:rsidP="00DF0D52">
            <w:pPr>
              <w:spacing w:after="0"/>
              <w:rPr>
                <w:sz w:val="20"/>
                <w:szCs w:val="20"/>
              </w:rPr>
            </w:pPr>
            <w:r>
              <w:rPr>
                <w:sz w:val="20"/>
                <w:szCs w:val="20"/>
              </w:rPr>
              <w:t>Poda</w:t>
            </w:r>
          </w:p>
        </w:tc>
        <w:tc>
          <w:tcPr>
            <w:tcW w:w="764" w:type="pct"/>
            <w:shd w:val="clear" w:color="auto" w:fill="auto"/>
            <w:vAlign w:val="center"/>
          </w:tcPr>
          <w:p w:rsidR="00DF0D52" w:rsidRPr="00AC7E06" w:rsidRDefault="00DF0D52" w:rsidP="00DF0D52">
            <w:pPr>
              <w:spacing w:after="0"/>
              <w:rPr>
                <w:sz w:val="20"/>
                <w:szCs w:val="20"/>
              </w:rPr>
            </w:pPr>
            <w:r w:rsidRPr="00AC7E06">
              <w:rPr>
                <w:color w:val="000000"/>
                <w:sz w:val="20"/>
                <w:szCs w:val="20"/>
              </w:rPr>
              <w:t>difenoconazol</w:t>
            </w:r>
          </w:p>
        </w:tc>
        <w:tc>
          <w:tcPr>
            <w:tcW w:w="586" w:type="pct"/>
            <w:shd w:val="clear" w:color="auto" w:fill="auto"/>
            <w:vAlign w:val="center"/>
          </w:tcPr>
          <w:p w:rsidR="00DF0D52" w:rsidRPr="00AC7E06" w:rsidRDefault="00DF0D52" w:rsidP="00DF0D52">
            <w:pPr>
              <w:spacing w:after="0"/>
              <w:jc w:val="right"/>
              <w:rPr>
                <w:sz w:val="20"/>
                <w:szCs w:val="20"/>
              </w:rPr>
            </w:pPr>
            <w:r w:rsidRPr="00AC7E06">
              <w:rPr>
                <w:sz w:val="20"/>
                <w:szCs w:val="20"/>
              </w:rPr>
              <w:t>31,3</w:t>
            </w:r>
          </w:p>
        </w:tc>
        <w:tc>
          <w:tcPr>
            <w:tcW w:w="100" w:type="pct"/>
            <w:shd w:val="clear" w:color="auto" w:fill="auto"/>
            <w:vAlign w:val="center"/>
          </w:tcPr>
          <w:p w:rsidR="00DF0D52" w:rsidRPr="00DF0D52" w:rsidRDefault="00DF0D52" w:rsidP="00DF0D52">
            <w:pPr>
              <w:spacing w:after="0"/>
              <w:rPr>
                <w:b/>
                <w:sz w:val="20"/>
                <w:szCs w:val="20"/>
              </w:rPr>
            </w:pPr>
            <w:r w:rsidRPr="00DF0D52">
              <w:rPr>
                <w:b/>
                <w:sz w:val="20"/>
                <w:szCs w:val="20"/>
              </w:rPr>
              <w:t>a</w:t>
            </w:r>
          </w:p>
        </w:tc>
        <w:tc>
          <w:tcPr>
            <w:tcW w:w="100" w:type="pct"/>
            <w:shd w:val="clear" w:color="auto" w:fill="auto"/>
            <w:vAlign w:val="center"/>
          </w:tcPr>
          <w:p w:rsidR="00DF0D52" w:rsidRPr="00DF0D52" w:rsidRDefault="00DF0D52" w:rsidP="00DF0D52">
            <w:pPr>
              <w:spacing w:after="0"/>
              <w:rPr>
                <w:b/>
                <w:sz w:val="20"/>
                <w:szCs w:val="20"/>
              </w:rPr>
            </w:pPr>
            <w:r w:rsidRPr="00DF0D52">
              <w:rPr>
                <w:b/>
                <w:sz w:val="20"/>
                <w:szCs w:val="20"/>
              </w:rPr>
              <w:t>b</w:t>
            </w:r>
          </w:p>
        </w:tc>
        <w:tc>
          <w:tcPr>
            <w:tcW w:w="95" w:type="pct"/>
            <w:shd w:val="clear" w:color="auto" w:fill="auto"/>
            <w:vAlign w:val="center"/>
          </w:tcPr>
          <w:p w:rsidR="00DF0D52" w:rsidRPr="00DF0D52" w:rsidRDefault="00DF0D52" w:rsidP="00DF0D52">
            <w:pPr>
              <w:spacing w:after="0"/>
              <w:rPr>
                <w:b/>
                <w:sz w:val="20"/>
                <w:szCs w:val="20"/>
              </w:rPr>
            </w:pPr>
            <w:r w:rsidRPr="00DF0D52">
              <w:rPr>
                <w:b/>
                <w:sz w:val="20"/>
                <w:szCs w:val="20"/>
              </w:rPr>
              <w:t>c</w:t>
            </w:r>
          </w:p>
        </w:tc>
        <w:tc>
          <w:tcPr>
            <w:tcW w:w="99" w:type="pct"/>
            <w:shd w:val="clear" w:color="auto" w:fill="auto"/>
            <w:vAlign w:val="center"/>
          </w:tcPr>
          <w:p w:rsidR="00DF0D52" w:rsidRPr="00DF0D52" w:rsidRDefault="00DF0D52" w:rsidP="00DF0D52">
            <w:pPr>
              <w:spacing w:after="0"/>
              <w:rPr>
                <w:b/>
                <w:sz w:val="20"/>
                <w:szCs w:val="20"/>
              </w:rPr>
            </w:pPr>
            <w:r w:rsidRPr="00DF0D52">
              <w:rPr>
                <w:b/>
                <w:sz w:val="20"/>
                <w:szCs w:val="20"/>
              </w:rPr>
              <w:t>d</w:t>
            </w:r>
          </w:p>
        </w:tc>
      </w:tr>
      <w:tr w:rsidR="00D11E5C" w:rsidRPr="00DF0D52" w:rsidTr="00D11E5C">
        <w:trPr>
          <w:cantSplit/>
        </w:trPr>
        <w:tc>
          <w:tcPr>
            <w:tcW w:w="740" w:type="pct"/>
            <w:shd w:val="clear" w:color="auto" w:fill="auto"/>
            <w:noWrap/>
            <w:vAlign w:val="center"/>
          </w:tcPr>
          <w:p w:rsidR="00DF0D52" w:rsidRDefault="00083ED9" w:rsidP="00AC2EEE">
            <w:pPr>
              <w:spacing w:after="0"/>
              <w:jc w:val="left"/>
              <w:rPr>
                <w:color w:val="000000"/>
                <w:sz w:val="20"/>
                <w:szCs w:val="20"/>
              </w:rPr>
            </w:pPr>
            <w:r w:rsidRPr="004570EB">
              <w:rPr>
                <w:sz w:val="20"/>
                <w:szCs w:val="20"/>
              </w:rPr>
              <w:t xml:space="preserve">Est. fenol. </w:t>
            </w:r>
            <w:r>
              <w:rPr>
                <w:sz w:val="20"/>
                <w:szCs w:val="20"/>
              </w:rPr>
              <w:t>D/E</w:t>
            </w:r>
          </w:p>
        </w:tc>
        <w:tc>
          <w:tcPr>
            <w:tcW w:w="819" w:type="pct"/>
            <w:gridSpan w:val="2"/>
            <w:shd w:val="clear" w:color="auto" w:fill="auto"/>
            <w:noWrap/>
            <w:vAlign w:val="center"/>
          </w:tcPr>
          <w:p w:rsidR="00DF0D52" w:rsidRDefault="00AC2EEE" w:rsidP="00DF0D52">
            <w:pPr>
              <w:spacing w:after="0"/>
              <w:jc w:val="right"/>
              <w:rPr>
                <w:color w:val="000000"/>
                <w:sz w:val="20"/>
                <w:szCs w:val="20"/>
              </w:rPr>
            </w:pPr>
            <w:r w:rsidRPr="00AC7E06">
              <w:rPr>
                <w:color w:val="000000"/>
                <w:sz w:val="20"/>
                <w:szCs w:val="20"/>
              </w:rPr>
              <w:t>oxicloreto de cobre</w:t>
            </w:r>
          </w:p>
        </w:tc>
        <w:tc>
          <w:tcPr>
            <w:tcW w:w="586" w:type="pct"/>
            <w:shd w:val="clear" w:color="auto" w:fill="auto"/>
            <w:noWrap/>
            <w:vAlign w:val="center"/>
          </w:tcPr>
          <w:p w:rsidR="00DF0D52" w:rsidRDefault="00DF0D52" w:rsidP="00DF0D52">
            <w:pPr>
              <w:spacing w:after="0"/>
              <w:jc w:val="right"/>
              <w:rPr>
                <w:color w:val="000000"/>
                <w:sz w:val="20"/>
                <w:szCs w:val="20"/>
              </w:rPr>
            </w:pPr>
            <w:r>
              <w:rPr>
                <w:color w:val="000000"/>
                <w:sz w:val="20"/>
                <w:szCs w:val="20"/>
              </w:rPr>
              <w:t>21,6</w:t>
            </w:r>
          </w:p>
        </w:tc>
        <w:tc>
          <w:tcPr>
            <w:tcW w:w="128" w:type="pct"/>
            <w:shd w:val="clear" w:color="auto" w:fill="auto"/>
            <w:noWrap/>
            <w:vAlign w:val="center"/>
          </w:tcPr>
          <w:p w:rsidR="00DF0D52" w:rsidRPr="00DF0D52" w:rsidRDefault="00DF0D52" w:rsidP="00D11E5C">
            <w:pPr>
              <w:spacing w:after="0"/>
              <w:jc w:val="left"/>
              <w:rPr>
                <w:b/>
                <w:sz w:val="20"/>
                <w:szCs w:val="20"/>
              </w:rPr>
            </w:pPr>
            <w:r w:rsidRPr="00DF0D52">
              <w:rPr>
                <w:b/>
                <w:sz w:val="20"/>
                <w:szCs w:val="20"/>
              </w:rPr>
              <w:t>a</w:t>
            </w:r>
          </w:p>
        </w:tc>
        <w:tc>
          <w:tcPr>
            <w:tcW w:w="102" w:type="pct"/>
            <w:shd w:val="clear" w:color="auto" w:fill="auto"/>
            <w:noWrap/>
            <w:vAlign w:val="center"/>
          </w:tcPr>
          <w:p w:rsidR="00DF0D52" w:rsidRPr="00DF0D52" w:rsidRDefault="00DF0D52" w:rsidP="00D11E5C">
            <w:pPr>
              <w:spacing w:after="0"/>
              <w:jc w:val="left"/>
              <w:rPr>
                <w:b/>
                <w:color w:val="000000"/>
                <w:sz w:val="20"/>
                <w:szCs w:val="20"/>
              </w:rPr>
            </w:pPr>
            <w:r w:rsidRPr="00DF0D52">
              <w:rPr>
                <w:b/>
                <w:color w:val="000000"/>
                <w:sz w:val="20"/>
                <w:szCs w:val="20"/>
              </w:rPr>
              <w:t>b</w:t>
            </w:r>
          </w:p>
        </w:tc>
        <w:tc>
          <w:tcPr>
            <w:tcW w:w="102" w:type="pct"/>
            <w:shd w:val="clear" w:color="auto" w:fill="auto"/>
            <w:noWrap/>
            <w:vAlign w:val="center"/>
          </w:tcPr>
          <w:p w:rsidR="00DF0D52" w:rsidRPr="00AC7E06" w:rsidRDefault="00DF0D52" w:rsidP="00DF0D52">
            <w:pPr>
              <w:spacing w:after="0"/>
              <w:rPr>
                <w:sz w:val="20"/>
                <w:szCs w:val="20"/>
              </w:rPr>
            </w:pPr>
          </w:p>
        </w:tc>
        <w:tc>
          <w:tcPr>
            <w:tcW w:w="779" w:type="pct"/>
            <w:shd w:val="clear" w:color="auto" w:fill="auto"/>
            <w:vAlign w:val="center"/>
          </w:tcPr>
          <w:p w:rsidR="00DF0D52" w:rsidRPr="00AC7E06" w:rsidRDefault="00DF0D52" w:rsidP="00DF0D52">
            <w:pPr>
              <w:spacing w:after="0"/>
              <w:rPr>
                <w:sz w:val="20"/>
                <w:szCs w:val="20"/>
              </w:rPr>
            </w:pPr>
            <w:r w:rsidRPr="004570EB">
              <w:rPr>
                <w:sz w:val="20"/>
                <w:szCs w:val="20"/>
              </w:rPr>
              <w:t xml:space="preserve">Est. fenol. </w:t>
            </w:r>
            <w:r w:rsidR="00B46DCB">
              <w:rPr>
                <w:sz w:val="20"/>
                <w:szCs w:val="20"/>
              </w:rPr>
              <w:t>D</w:t>
            </w:r>
            <w:r w:rsidR="00083ED9">
              <w:rPr>
                <w:sz w:val="20"/>
                <w:szCs w:val="20"/>
              </w:rPr>
              <w:t>/</w:t>
            </w:r>
            <w:r w:rsidR="00B46DCB">
              <w:rPr>
                <w:sz w:val="20"/>
                <w:szCs w:val="20"/>
              </w:rPr>
              <w:t>E</w:t>
            </w:r>
          </w:p>
        </w:tc>
        <w:tc>
          <w:tcPr>
            <w:tcW w:w="764" w:type="pct"/>
            <w:shd w:val="clear" w:color="auto" w:fill="auto"/>
            <w:vAlign w:val="center"/>
          </w:tcPr>
          <w:p w:rsidR="00DF0D52" w:rsidRPr="00AC7E06" w:rsidRDefault="00DF0D52" w:rsidP="00DF0D52">
            <w:pPr>
              <w:spacing w:after="0"/>
              <w:rPr>
                <w:sz w:val="20"/>
                <w:szCs w:val="20"/>
              </w:rPr>
            </w:pPr>
            <w:r w:rsidRPr="00AC7E06">
              <w:rPr>
                <w:color w:val="000000"/>
                <w:sz w:val="20"/>
                <w:szCs w:val="20"/>
              </w:rPr>
              <w:t>oxicloreto de cobre</w:t>
            </w:r>
          </w:p>
        </w:tc>
        <w:tc>
          <w:tcPr>
            <w:tcW w:w="586" w:type="pct"/>
            <w:shd w:val="clear" w:color="auto" w:fill="auto"/>
            <w:vAlign w:val="center"/>
          </w:tcPr>
          <w:p w:rsidR="00DF0D52" w:rsidRPr="00AC7E06" w:rsidRDefault="00DF0D52" w:rsidP="00DF0D52">
            <w:pPr>
              <w:spacing w:after="0"/>
              <w:jc w:val="right"/>
              <w:rPr>
                <w:sz w:val="20"/>
                <w:szCs w:val="20"/>
              </w:rPr>
            </w:pPr>
            <w:r w:rsidRPr="00AC7E06">
              <w:rPr>
                <w:sz w:val="20"/>
                <w:szCs w:val="20"/>
              </w:rPr>
              <w:t>32,0</w:t>
            </w:r>
          </w:p>
        </w:tc>
        <w:tc>
          <w:tcPr>
            <w:tcW w:w="100" w:type="pct"/>
            <w:shd w:val="clear" w:color="auto" w:fill="auto"/>
            <w:vAlign w:val="center"/>
          </w:tcPr>
          <w:p w:rsidR="00DF0D52" w:rsidRPr="00DF0D52" w:rsidRDefault="00DF0D52" w:rsidP="00DF0D52">
            <w:pPr>
              <w:spacing w:after="0"/>
              <w:rPr>
                <w:b/>
                <w:sz w:val="20"/>
                <w:szCs w:val="20"/>
              </w:rPr>
            </w:pPr>
            <w:r w:rsidRPr="00DF0D52">
              <w:rPr>
                <w:b/>
                <w:sz w:val="20"/>
                <w:szCs w:val="20"/>
              </w:rPr>
              <w:t>a</w:t>
            </w:r>
          </w:p>
        </w:tc>
        <w:tc>
          <w:tcPr>
            <w:tcW w:w="100" w:type="pct"/>
            <w:shd w:val="clear" w:color="auto" w:fill="auto"/>
            <w:vAlign w:val="center"/>
          </w:tcPr>
          <w:p w:rsidR="00DF0D52" w:rsidRPr="00DF0D52" w:rsidRDefault="00DF0D52" w:rsidP="00DF0D52">
            <w:pPr>
              <w:spacing w:after="0"/>
              <w:rPr>
                <w:b/>
                <w:sz w:val="20"/>
                <w:szCs w:val="20"/>
              </w:rPr>
            </w:pPr>
            <w:r w:rsidRPr="00DF0D52">
              <w:rPr>
                <w:b/>
                <w:sz w:val="20"/>
                <w:szCs w:val="20"/>
              </w:rPr>
              <w:t>b</w:t>
            </w:r>
          </w:p>
        </w:tc>
        <w:tc>
          <w:tcPr>
            <w:tcW w:w="95" w:type="pct"/>
            <w:shd w:val="clear" w:color="auto" w:fill="auto"/>
            <w:vAlign w:val="center"/>
          </w:tcPr>
          <w:p w:rsidR="00DF0D52" w:rsidRPr="00DF0D52" w:rsidRDefault="00DF0D52" w:rsidP="00DF0D52">
            <w:pPr>
              <w:spacing w:after="0"/>
              <w:rPr>
                <w:b/>
                <w:sz w:val="20"/>
                <w:szCs w:val="20"/>
              </w:rPr>
            </w:pPr>
            <w:r w:rsidRPr="00DF0D52">
              <w:rPr>
                <w:b/>
                <w:sz w:val="20"/>
                <w:szCs w:val="20"/>
              </w:rPr>
              <w:t>c</w:t>
            </w:r>
          </w:p>
        </w:tc>
        <w:tc>
          <w:tcPr>
            <w:tcW w:w="99" w:type="pct"/>
            <w:shd w:val="clear" w:color="auto" w:fill="auto"/>
            <w:vAlign w:val="center"/>
          </w:tcPr>
          <w:p w:rsidR="00DF0D52" w:rsidRPr="00DF0D52" w:rsidRDefault="00DF0D52" w:rsidP="00DF0D52">
            <w:pPr>
              <w:spacing w:after="0"/>
              <w:rPr>
                <w:b/>
                <w:sz w:val="20"/>
                <w:szCs w:val="20"/>
              </w:rPr>
            </w:pPr>
            <w:r w:rsidRPr="00DF0D52">
              <w:rPr>
                <w:b/>
                <w:sz w:val="20"/>
                <w:szCs w:val="20"/>
              </w:rPr>
              <w:t>d</w:t>
            </w:r>
          </w:p>
        </w:tc>
      </w:tr>
      <w:tr w:rsidR="00D11E5C" w:rsidRPr="00DF0D52" w:rsidTr="00D11E5C">
        <w:trPr>
          <w:cantSplit/>
        </w:trPr>
        <w:tc>
          <w:tcPr>
            <w:tcW w:w="740" w:type="pct"/>
            <w:shd w:val="clear" w:color="auto" w:fill="auto"/>
            <w:noWrap/>
            <w:vAlign w:val="center"/>
          </w:tcPr>
          <w:p w:rsidR="00DF0D52" w:rsidRDefault="00DF0D52" w:rsidP="00AC2EEE">
            <w:pPr>
              <w:spacing w:after="0"/>
              <w:jc w:val="left"/>
              <w:rPr>
                <w:color w:val="000000"/>
                <w:sz w:val="20"/>
                <w:szCs w:val="20"/>
              </w:rPr>
            </w:pPr>
            <w:r>
              <w:rPr>
                <w:color w:val="000000"/>
                <w:sz w:val="20"/>
                <w:szCs w:val="20"/>
              </w:rPr>
              <w:t xml:space="preserve">Poda + </w:t>
            </w:r>
            <w:r w:rsidR="00083ED9" w:rsidRPr="004570EB">
              <w:rPr>
                <w:sz w:val="20"/>
                <w:szCs w:val="20"/>
              </w:rPr>
              <w:t xml:space="preserve">Est. fenol. </w:t>
            </w:r>
            <w:r w:rsidR="00083ED9">
              <w:rPr>
                <w:sz w:val="20"/>
                <w:szCs w:val="20"/>
              </w:rPr>
              <w:t>D/E</w:t>
            </w:r>
          </w:p>
        </w:tc>
        <w:tc>
          <w:tcPr>
            <w:tcW w:w="819" w:type="pct"/>
            <w:gridSpan w:val="2"/>
            <w:shd w:val="clear" w:color="auto" w:fill="auto"/>
            <w:noWrap/>
            <w:vAlign w:val="center"/>
          </w:tcPr>
          <w:p w:rsidR="00DF0D52" w:rsidRDefault="00AC2EEE" w:rsidP="00DF0D52">
            <w:pPr>
              <w:spacing w:after="0"/>
              <w:jc w:val="right"/>
              <w:rPr>
                <w:color w:val="000000"/>
                <w:sz w:val="20"/>
                <w:szCs w:val="20"/>
              </w:rPr>
            </w:pPr>
            <w:r w:rsidRPr="00AC7E06">
              <w:rPr>
                <w:color w:val="000000"/>
                <w:sz w:val="20"/>
                <w:szCs w:val="20"/>
              </w:rPr>
              <w:t>ciprodinil+fludioxonil</w:t>
            </w:r>
          </w:p>
        </w:tc>
        <w:tc>
          <w:tcPr>
            <w:tcW w:w="586" w:type="pct"/>
            <w:shd w:val="clear" w:color="auto" w:fill="auto"/>
            <w:noWrap/>
            <w:vAlign w:val="center"/>
          </w:tcPr>
          <w:p w:rsidR="00DF0D52" w:rsidRDefault="00DF0D52" w:rsidP="00DF0D52">
            <w:pPr>
              <w:spacing w:after="0"/>
              <w:jc w:val="right"/>
              <w:rPr>
                <w:color w:val="000000"/>
                <w:sz w:val="20"/>
                <w:szCs w:val="20"/>
              </w:rPr>
            </w:pPr>
            <w:r>
              <w:rPr>
                <w:color w:val="000000"/>
                <w:sz w:val="20"/>
                <w:szCs w:val="20"/>
              </w:rPr>
              <w:t>21,8</w:t>
            </w:r>
          </w:p>
        </w:tc>
        <w:tc>
          <w:tcPr>
            <w:tcW w:w="128" w:type="pct"/>
            <w:shd w:val="clear" w:color="auto" w:fill="auto"/>
            <w:noWrap/>
            <w:vAlign w:val="center"/>
          </w:tcPr>
          <w:p w:rsidR="00DF0D52" w:rsidRPr="00DF0D52" w:rsidRDefault="00DF0D52" w:rsidP="00D11E5C">
            <w:pPr>
              <w:spacing w:after="0"/>
              <w:jc w:val="left"/>
              <w:rPr>
                <w:b/>
                <w:sz w:val="20"/>
                <w:szCs w:val="20"/>
              </w:rPr>
            </w:pPr>
            <w:r w:rsidRPr="00DF0D52">
              <w:rPr>
                <w:b/>
                <w:sz w:val="20"/>
                <w:szCs w:val="20"/>
              </w:rPr>
              <w:t>a</w:t>
            </w:r>
          </w:p>
        </w:tc>
        <w:tc>
          <w:tcPr>
            <w:tcW w:w="102" w:type="pct"/>
            <w:shd w:val="clear" w:color="auto" w:fill="auto"/>
            <w:noWrap/>
            <w:vAlign w:val="center"/>
          </w:tcPr>
          <w:p w:rsidR="00DF0D52" w:rsidRPr="00DF0D52" w:rsidRDefault="00DF0D52" w:rsidP="00D11E5C">
            <w:pPr>
              <w:spacing w:after="0"/>
              <w:jc w:val="left"/>
              <w:rPr>
                <w:b/>
                <w:color w:val="000000"/>
                <w:sz w:val="20"/>
                <w:szCs w:val="20"/>
              </w:rPr>
            </w:pPr>
            <w:r w:rsidRPr="00DF0D52">
              <w:rPr>
                <w:b/>
                <w:color w:val="000000"/>
                <w:sz w:val="20"/>
                <w:szCs w:val="20"/>
              </w:rPr>
              <w:t>b</w:t>
            </w:r>
          </w:p>
        </w:tc>
        <w:tc>
          <w:tcPr>
            <w:tcW w:w="102" w:type="pct"/>
            <w:shd w:val="clear" w:color="auto" w:fill="auto"/>
            <w:noWrap/>
            <w:vAlign w:val="center"/>
          </w:tcPr>
          <w:p w:rsidR="00DF0D52" w:rsidRPr="00AC7E06" w:rsidRDefault="00DF0D52" w:rsidP="00DF0D52">
            <w:pPr>
              <w:spacing w:after="0"/>
              <w:rPr>
                <w:sz w:val="20"/>
                <w:szCs w:val="20"/>
              </w:rPr>
            </w:pPr>
          </w:p>
        </w:tc>
        <w:tc>
          <w:tcPr>
            <w:tcW w:w="779" w:type="pct"/>
            <w:shd w:val="clear" w:color="auto" w:fill="auto"/>
            <w:vAlign w:val="center"/>
          </w:tcPr>
          <w:p w:rsidR="00DF0D52" w:rsidRPr="00AC7E06" w:rsidRDefault="00DF0D52" w:rsidP="00DF0D52">
            <w:pPr>
              <w:spacing w:after="0"/>
              <w:rPr>
                <w:sz w:val="20"/>
                <w:szCs w:val="20"/>
              </w:rPr>
            </w:pPr>
            <w:r>
              <w:rPr>
                <w:sz w:val="20"/>
                <w:szCs w:val="20"/>
              </w:rPr>
              <w:t>Poda</w:t>
            </w:r>
          </w:p>
        </w:tc>
        <w:tc>
          <w:tcPr>
            <w:tcW w:w="764" w:type="pct"/>
            <w:shd w:val="clear" w:color="auto" w:fill="auto"/>
            <w:vAlign w:val="center"/>
          </w:tcPr>
          <w:p w:rsidR="00DF0D52" w:rsidRPr="00AC7E06" w:rsidRDefault="00DF0D52" w:rsidP="00DF0D52">
            <w:pPr>
              <w:spacing w:after="0"/>
              <w:rPr>
                <w:sz w:val="20"/>
                <w:szCs w:val="20"/>
              </w:rPr>
            </w:pPr>
            <w:r w:rsidRPr="00AC7E06">
              <w:rPr>
                <w:color w:val="000000"/>
                <w:sz w:val="20"/>
                <w:szCs w:val="20"/>
              </w:rPr>
              <w:t>ciprodinil+fludioxonil</w:t>
            </w:r>
          </w:p>
        </w:tc>
        <w:tc>
          <w:tcPr>
            <w:tcW w:w="586" w:type="pct"/>
            <w:shd w:val="clear" w:color="auto" w:fill="auto"/>
            <w:vAlign w:val="center"/>
          </w:tcPr>
          <w:p w:rsidR="00DF0D52" w:rsidRPr="00AC7E06" w:rsidRDefault="00DF0D52" w:rsidP="00DF0D52">
            <w:pPr>
              <w:spacing w:after="0"/>
              <w:jc w:val="right"/>
              <w:rPr>
                <w:sz w:val="20"/>
                <w:szCs w:val="20"/>
              </w:rPr>
            </w:pPr>
            <w:r w:rsidRPr="00AC7E06">
              <w:rPr>
                <w:sz w:val="20"/>
                <w:szCs w:val="20"/>
              </w:rPr>
              <w:t>33,6</w:t>
            </w:r>
          </w:p>
        </w:tc>
        <w:tc>
          <w:tcPr>
            <w:tcW w:w="100" w:type="pct"/>
            <w:shd w:val="clear" w:color="auto" w:fill="auto"/>
            <w:vAlign w:val="center"/>
          </w:tcPr>
          <w:p w:rsidR="00DF0D52" w:rsidRPr="00DF0D52" w:rsidRDefault="00DF0D52" w:rsidP="00DF0D52">
            <w:pPr>
              <w:spacing w:after="0"/>
              <w:rPr>
                <w:b/>
                <w:sz w:val="20"/>
                <w:szCs w:val="20"/>
              </w:rPr>
            </w:pPr>
            <w:r w:rsidRPr="00DF0D52">
              <w:rPr>
                <w:b/>
                <w:sz w:val="20"/>
                <w:szCs w:val="20"/>
              </w:rPr>
              <w:t> </w:t>
            </w:r>
          </w:p>
        </w:tc>
        <w:tc>
          <w:tcPr>
            <w:tcW w:w="100" w:type="pct"/>
            <w:shd w:val="clear" w:color="auto" w:fill="auto"/>
            <w:vAlign w:val="center"/>
          </w:tcPr>
          <w:p w:rsidR="00DF0D52" w:rsidRPr="00DF0D52" w:rsidRDefault="00DF0D52" w:rsidP="00DF0D52">
            <w:pPr>
              <w:spacing w:after="0"/>
              <w:rPr>
                <w:b/>
                <w:sz w:val="20"/>
                <w:szCs w:val="20"/>
              </w:rPr>
            </w:pPr>
            <w:r w:rsidRPr="00DF0D52">
              <w:rPr>
                <w:b/>
                <w:sz w:val="20"/>
                <w:szCs w:val="20"/>
              </w:rPr>
              <w:t>b</w:t>
            </w:r>
          </w:p>
        </w:tc>
        <w:tc>
          <w:tcPr>
            <w:tcW w:w="95" w:type="pct"/>
            <w:shd w:val="clear" w:color="auto" w:fill="auto"/>
            <w:vAlign w:val="center"/>
          </w:tcPr>
          <w:p w:rsidR="00DF0D52" w:rsidRPr="00DF0D52" w:rsidRDefault="00DF0D52" w:rsidP="00DF0D52">
            <w:pPr>
              <w:spacing w:after="0"/>
              <w:rPr>
                <w:b/>
                <w:sz w:val="20"/>
                <w:szCs w:val="20"/>
              </w:rPr>
            </w:pPr>
            <w:r w:rsidRPr="00DF0D52">
              <w:rPr>
                <w:b/>
                <w:sz w:val="20"/>
                <w:szCs w:val="20"/>
              </w:rPr>
              <w:t>c</w:t>
            </w:r>
          </w:p>
        </w:tc>
        <w:tc>
          <w:tcPr>
            <w:tcW w:w="99" w:type="pct"/>
            <w:shd w:val="clear" w:color="auto" w:fill="auto"/>
            <w:vAlign w:val="center"/>
          </w:tcPr>
          <w:p w:rsidR="00DF0D52" w:rsidRPr="00DF0D52" w:rsidRDefault="00DF0D52" w:rsidP="00DF0D52">
            <w:pPr>
              <w:spacing w:after="0"/>
              <w:rPr>
                <w:b/>
                <w:sz w:val="20"/>
                <w:szCs w:val="20"/>
              </w:rPr>
            </w:pPr>
            <w:r w:rsidRPr="00DF0D52">
              <w:rPr>
                <w:b/>
                <w:sz w:val="20"/>
                <w:szCs w:val="20"/>
              </w:rPr>
              <w:t>d</w:t>
            </w:r>
          </w:p>
        </w:tc>
      </w:tr>
      <w:tr w:rsidR="00D11E5C" w:rsidRPr="00DF0D52" w:rsidTr="00D11E5C">
        <w:trPr>
          <w:cantSplit/>
        </w:trPr>
        <w:tc>
          <w:tcPr>
            <w:tcW w:w="740" w:type="pct"/>
            <w:shd w:val="clear" w:color="auto" w:fill="auto"/>
            <w:noWrap/>
            <w:vAlign w:val="center"/>
          </w:tcPr>
          <w:p w:rsidR="00DF0D52" w:rsidRDefault="00DF0D52" w:rsidP="00AC2EEE">
            <w:pPr>
              <w:spacing w:after="0"/>
              <w:jc w:val="left"/>
              <w:rPr>
                <w:color w:val="000000"/>
                <w:sz w:val="20"/>
                <w:szCs w:val="20"/>
              </w:rPr>
            </w:pPr>
            <w:r>
              <w:rPr>
                <w:color w:val="000000"/>
                <w:sz w:val="20"/>
                <w:szCs w:val="20"/>
              </w:rPr>
              <w:t xml:space="preserve">Poda + </w:t>
            </w:r>
            <w:r w:rsidR="00083ED9" w:rsidRPr="004570EB">
              <w:rPr>
                <w:sz w:val="20"/>
                <w:szCs w:val="20"/>
              </w:rPr>
              <w:t xml:space="preserve">Est. fenol. </w:t>
            </w:r>
            <w:r w:rsidR="00083ED9">
              <w:rPr>
                <w:sz w:val="20"/>
                <w:szCs w:val="20"/>
              </w:rPr>
              <w:t>D/E</w:t>
            </w:r>
          </w:p>
        </w:tc>
        <w:tc>
          <w:tcPr>
            <w:tcW w:w="819" w:type="pct"/>
            <w:gridSpan w:val="2"/>
            <w:shd w:val="clear" w:color="auto" w:fill="auto"/>
            <w:noWrap/>
            <w:vAlign w:val="center"/>
          </w:tcPr>
          <w:p w:rsidR="00DF0D52" w:rsidRDefault="00AC2EEE" w:rsidP="00DF0D52">
            <w:pPr>
              <w:spacing w:after="0"/>
              <w:jc w:val="right"/>
              <w:rPr>
                <w:color w:val="000000"/>
                <w:sz w:val="20"/>
                <w:szCs w:val="20"/>
              </w:rPr>
            </w:pPr>
            <w:r w:rsidRPr="00AC7E06">
              <w:rPr>
                <w:color w:val="000000"/>
                <w:sz w:val="20"/>
                <w:szCs w:val="20"/>
              </w:rPr>
              <w:t>tebuconazol</w:t>
            </w:r>
          </w:p>
        </w:tc>
        <w:tc>
          <w:tcPr>
            <w:tcW w:w="586" w:type="pct"/>
            <w:shd w:val="clear" w:color="auto" w:fill="auto"/>
            <w:noWrap/>
            <w:vAlign w:val="center"/>
          </w:tcPr>
          <w:p w:rsidR="00DF0D52" w:rsidRDefault="00DF0D52" w:rsidP="00DF0D52">
            <w:pPr>
              <w:spacing w:after="0"/>
              <w:jc w:val="right"/>
              <w:rPr>
                <w:color w:val="000000"/>
                <w:sz w:val="20"/>
                <w:szCs w:val="20"/>
              </w:rPr>
            </w:pPr>
            <w:r>
              <w:rPr>
                <w:color w:val="000000"/>
                <w:sz w:val="20"/>
                <w:szCs w:val="20"/>
              </w:rPr>
              <w:t>23,8</w:t>
            </w:r>
          </w:p>
        </w:tc>
        <w:tc>
          <w:tcPr>
            <w:tcW w:w="128" w:type="pct"/>
            <w:shd w:val="clear" w:color="auto" w:fill="auto"/>
            <w:noWrap/>
            <w:vAlign w:val="center"/>
          </w:tcPr>
          <w:p w:rsidR="00DF0D52" w:rsidRPr="00DF0D52" w:rsidRDefault="00DF0D52" w:rsidP="00D11E5C">
            <w:pPr>
              <w:spacing w:after="0"/>
              <w:jc w:val="left"/>
              <w:rPr>
                <w:b/>
                <w:sz w:val="20"/>
                <w:szCs w:val="20"/>
              </w:rPr>
            </w:pPr>
            <w:r w:rsidRPr="00DF0D52">
              <w:rPr>
                <w:b/>
                <w:sz w:val="20"/>
                <w:szCs w:val="20"/>
              </w:rPr>
              <w:t>a</w:t>
            </w:r>
          </w:p>
        </w:tc>
        <w:tc>
          <w:tcPr>
            <w:tcW w:w="102" w:type="pct"/>
            <w:shd w:val="clear" w:color="auto" w:fill="auto"/>
            <w:noWrap/>
            <w:vAlign w:val="center"/>
          </w:tcPr>
          <w:p w:rsidR="00DF0D52" w:rsidRPr="00DF0D52" w:rsidRDefault="00DF0D52" w:rsidP="00D11E5C">
            <w:pPr>
              <w:spacing w:after="0"/>
              <w:jc w:val="left"/>
              <w:rPr>
                <w:b/>
                <w:color w:val="000000"/>
                <w:sz w:val="20"/>
                <w:szCs w:val="20"/>
              </w:rPr>
            </w:pPr>
            <w:r w:rsidRPr="00DF0D52">
              <w:rPr>
                <w:b/>
                <w:color w:val="000000"/>
                <w:sz w:val="20"/>
                <w:szCs w:val="20"/>
              </w:rPr>
              <w:t>b</w:t>
            </w:r>
          </w:p>
        </w:tc>
        <w:tc>
          <w:tcPr>
            <w:tcW w:w="102" w:type="pct"/>
            <w:shd w:val="clear" w:color="auto" w:fill="auto"/>
            <w:noWrap/>
            <w:vAlign w:val="center"/>
          </w:tcPr>
          <w:p w:rsidR="00DF0D52" w:rsidRPr="00AC7E06" w:rsidRDefault="00DF0D52" w:rsidP="00DF0D52">
            <w:pPr>
              <w:spacing w:after="0"/>
              <w:rPr>
                <w:sz w:val="20"/>
                <w:szCs w:val="20"/>
              </w:rPr>
            </w:pPr>
          </w:p>
        </w:tc>
        <w:tc>
          <w:tcPr>
            <w:tcW w:w="779" w:type="pct"/>
            <w:shd w:val="clear" w:color="auto" w:fill="auto"/>
            <w:vAlign w:val="center"/>
          </w:tcPr>
          <w:p w:rsidR="00DF0D52" w:rsidRPr="00AC7E06" w:rsidRDefault="00DF0D52" w:rsidP="00DF0D52">
            <w:pPr>
              <w:spacing w:after="0"/>
              <w:rPr>
                <w:sz w:val="20"/>
                <w:szCs w:val="20"/>
              </w:rPr>
            </w:pPr>
            <w:r w:rsidRPr="004570EB">
              <w:rPr>
                <w:sz w:val="20"/>
                <w:szCs w:val="20"/>
              </w:rPr>
              <w:t xml:space="preserve">Est. fenol. </w:t>
            </w:r>
            <w:r w:rsidR="00B46DCB">
              <w:rPr>
                <w:sz w:val="20"/>
                <w:szCs w:val="20"/>
              </w:rPr>
              <w:t>D</w:t>
            </w:r>
            <w:r w:rsidR="00083ED9">
              <w:rPr>
                <w:sz w:val="20"/>
                <w:szCs w:val="20"/>
              </w:rPr>
              <w:t>/</w:t>
            </w:r>
            <w:r w:rsidR="00B46DCB">
              <w:rPr>
                <w:sz w:val="20"/>
                <w:szCs w:val="20"/>
              </w:rPr>
              <w:t>E</w:t>
            </w:r>
          </w:p>
        </w:tc>
        <w:tc>
          <w:tcPr>
            <w:tcW w:w="764" w:type="pct"/>
            <w:shd w:val="clear" w:color="auto" w:fill="auto"/>
            <w:vAlign w:val="center"/>
          </w:tcPr>
          <w:p w:rsidR="00DF0D52" w:rsidRPr="00AC7E06" w:rsidRDefault="00DF0D52" w:rsidP="00DF0D52">
            <w:pPr>
              <w:spacing w:after="0"/>
              <w:rPr>
                <w:sz w:val="20"/>
                <w:szCs w:val="20"/>
              </w:rPr>
            </w:pPr>
            <w:r w:rsidRPr="00AC7E06">
              <w:rPr>
                <w:color w:val="000000"/>
                <w:sz w:val="20"/>
                <w:szCs w:val="20"/>
              </w:rPr>
              <w:t>azoxistrobina</w:t>
            </w:r>
          </w:p>
        </w:tc>
        <w:tc>
          <w:tcPr>
            <w:tcW w:w="586" w:type="pct"/>
            <w:shd w:val="clear" w:color="auto" w:fill="auto"/>
            <w:vAlign w:val="center"/>
          </w:tcPr>
          <w:p w:rsidR="00DF0D52" w:rsidRPr="00AC7E06" w:rsidRDefault="00DF0D52" w:rsidP="00DF0D52">
            <w:pPr>
              <w:spacing w:after="0"/>
              <w:jc w:val="right"/>
              <w:rPr>
                <w:sz w:val="20"/>
                <w:szCs w:val="20"/>
              </w:rPr>
            </w:pPr>
            <w:r w:rsidRPr="00AC7E06">
              <w:rPr>
                <w:sz w:val="20"/>
                <w:szCs w:val="20"/>
              </w:rPr>
              <w:t>33,8</w:t>
            </w:r>
          </w:p>
        </w:tc>
        <w:tc>
          <w:tcPr>
            <w:tcW w:w="100" w:type="pct"/>
            <w:shd w:val="clear" w:color="auto" w:fill="auto"/>
            <w:vAlign w:val="center"/>
          </w:tcPr>
          <w:p w:rsidR="00DF0D52" w:rsidRPr="00DF0D52" w:rsidRDefault="00DF0D52" w:rsidP="00DF0D52">
            <w:pPr>
              <w:spacing w:after="0"/>
              <w:rPr>
                <w:b/>
                <w:sz w:val="20"/>
                <w:szCs w:val="20"/>
              </w:rPr>
            </w:pPr>
            <w:r w:rsidRPr="00DF0D52">
              <w:rPr>
                <w:b/>
                <w:sz w:val="20"/>
                <w:szCs w:val="20"/>
              </w:rPr>
              <w:t> </w:t>
            </w:r>
          </w:p>
        </w:tc>
        <w:tc>
          <w:tcPr>
            <w:tcW w:w="100" w:type="pct"/>
            <w:shd w:val="clear" w:color="auto" w:fill="auto"/>
            <w:vAlign w:val="center"/>
          </w:tcPr>
          <w:p w:rsidR="00DF0D52" w:rsidRPr="00DF0D52" w:rsidRDefault="00DF0D52" w:rsidP="00DF0D52">
            <w:pPr>
              <w:spacing w:after="0"/>
              <w:rPr>
                <w:b/>
                <w:sz w:val="20"/>
                <w:szCs w:val="20"/>
              </w:rPr>
            </w:pPr>
            <w:r w:rsidRPr="00DF0D52">
              <w:rPr>
                <w:b/>
                <w:sz w:val="20"/>
                <w:szCs w:val="20"/>
              </w:rPr>
              <w:t>b</w:t>
            </w:r>
          </w:p>
        </w:tc>
        <w:tc>
          <w:tcPr>
            <w:tcW w:w="95" w:type="pct"/>
            <w:shd w:val="clear" w:color="auto" w:fill="auto"/>
            <w:vAlign w:val="center"/>
          </w:tcPr>
          <w:p w:rsidR="00DF0D52" w:rsidRPr="00DF0D52" w:rsidRDefault="00DF0D52" w:rsidP="00DF0D52">
            <w:pPr>
              <w:spacing w:after="0"/>
              <w:rPr>
                <w:b/>
                <w:sz w:val="20"/>
                <w:szCs w:val="20"/>
              </w:rPr>
            </w:pPr>
            <w:r w:rsidRPr="00DF0D52">
              <w:rPr>
                <w:b/>
                <w:sz w:val="20"/>
                <w:szCs w:val="20"/>
              </w:rPr>
              <w:t>c</w:t>
            </w:r>
          </w:p>
        </w:tc>
        <w:tc>
          <w:tcPr>
            <w:tcW w:w="99" w:type="pct"/>
            <w:shd w:val="clear" w:color="auto" w:fill="auto"/>
            <w:vAlign w:val="center"/>
          </w:tcPr>
          <w:p w:rsidR="00DF0D52" w:rsidRPr="00DF0D52" w:rsidRDefault="00DF0D52" w:rsidP="00DF0D52">
            <w:pPr>
              <w:spacing w:after="0"/>
              <w:rPr>
                <w:b/>
                <w:sz w:val="20"/>
                <w:szCs w:val="20"/>
              </w:rPr>
            </w:pPr>
            <w:r w:rsidRPr="00DF0D52">
              <w:rPr>
                <w:b/>
                <w:sz w:val="20"/>
                <w:szCs w:val="20"/>
              </w:rPr>
              <w:t>d</w:t>
            </w:r>
          </w:p>
        </w:tc>
      </w:tr>
      <w:tr w:rsidR="00D11E5C" w:rsidRPr="00DF0D52" w:rsidTr="00D11E5C">
        <w:trPr>
          <w:cantSplit/>
        </w:trPr>
        <w:tc>
          <w:tcPr>
            <w:tcW w:w="740" w:type="pct"/>
            <w:shd w:val="clear" w:color="auto" w:fill="auto"/>
            <w:noWrap/>
            <w:vAlign w:val="center"/>
          </w:tcPr>
          <w:p w:rsidR="00DF0D52" w:rsidRDefault="00DF0D52" w:rsidP="00AC2EEE">
            <w:pPr>
              <w:spacing w:after="0"/>
              <w:jc w:val="left"/>
              <w:rPr>
                <w:color w:val="000000"/>
                <w:sz w:val="20"/>
                <w:szCs w:val="20"/>
              </w:rPr>
            </w:pPr>
            <w:r>
              <w:rPr>
                <w:color w:val="000000"/>
                <w:sz w:val="20"/>
                <w:szCs w:val="20"/>
              </w:rPr>
              <w:t>Poda</w:t>
            </w:r>
          </w:p>
        </w:tc>
        <w:tc>
          <w:tcPr>
            <w:tcW w:w="819" w:type="pct"/>
            <w:gridSpan w:val="2"/>
            <w:shd w:val="clear" w:color="auto" w:fill="auto"/>
            <w:noWrap/>
            <w:vAlign w:val="center"/>
          </w:tcPr>
          <w:p w:rsidR="00DF0D52" w:rsidRDefault="00AC2EEE" w:rsidP="00DF0D52">
            <w:pPr>
              <w:spacing w:after="0"/>
              <w:jc w:val="right"/>
              <w:rPr>
                <w:color w:val="000000"/>
                <w:sz w:val="20"/>
                <w:szCs w:val="20"/>
              </w:rPr>
            </w:pPr>
            <w:r w:rsidRPr="00AC7E06">
              <w:rPr>
                <w:color w:val="000000"/>
                <w:sz w:val="20"/>
                <w:szCs w:val="20"/>
              </w:rPr>
              <w:t>tebuconazol</w:t>
            </w:r>
          </w:p>
        </w:tc>
        <w:tc>
          <w:tcPr>
            <w:tcW w:w="586" w:type="pct"/>
            <w:shd w:val="clear" w:color="auto" w:fill="auto"/>
            <w:noWrap/>
            <w:vAlign w:val="center"/>
          </w:tcPr>
          <w:p w:rsidR="00DF0D52" w:rsidRDefault="00DF0D52" w:rsidP="00DF0D52">
            <w:pPr>
              <w:spacing w:after="0"/>
              <w:jc w:val="right"/>
              <w:rPr>
                <w:color w:val="000000"/>
                <w:sz w:val="20"/>
                <w:szCs w:val="20"/>
              </w:rPr>
            </w:pPr>
            <w:r>
              <w:rPr>
                <w:color w:val="000000"/>
                <w:sz w:val="20"/>
                <w:szCs w:val="20"/>
              </w:rPr>
              <w:t>23,9</w:t>
            </w:r>
          </w:p>
        </w:tc>
        <w:tc>
          <w:tcPr>
            <w:tcW w:w="128" w:type="pct"/>
            <w:shd w:val="clear" w:color="auto" w:fill="auto"/>
            <w:noWrap/>
            <w:vAlign w:val="center"/>
          </w:tcPr>
          <w:p w:rsidR="00DF0D52" w:rsidRPr="00DF0D52" w:rsidRDefault="00DF0D52" w:rsidP="00D11E5C">
            <w:pPr>
              <w:spacing w:after="0"/>
              <w:jc w:val="left"/>
              <w:rPr>
                <w:b/>
                <w:sz w:val="20"/>
                <w:szCs w:val="20"/>
              </w:rPr>
            </w:pPr>
            <w:r w:rsidRPr="00DF0D52">
              <w:rPr>
                <w:b/>
                <w:sz w:val="20"/>
                <w:szCs w:val="20"/>
              </w:rPr>
              <w:t>a</w:t>
            </w:r>
          </w:p>
        </w:tc>
        <w:tc>
          <w:tcPr>
            <w:tcW w:w="102" w:type="pct"/>
            <w:shd w:val="clear" w:color="auto" w:fill="auto"/>
            <w:noWrap/>
            <w:vAlign w:val="center"/>
          </w:tcPr>
          <w:p w:rsidR="00DF0D52" w:rsidRPr="00DF0D52" w:rsidRDefault="00DF0D52" w:rsidP="00D11E5C">
            <w:pPr>
              <w:spacing w:after="0"/>
              <w:jc w:val="left"/>
              <w:rPr>
                <w:b/>
                <w:color w:val="000000"/>
                <w:sz w:val="20"/>
                <w:szCs w:val="20"/>
              </w:rPr>
            </w:pPr>
            <w:r w:rsidRPr="00DF0D52">
              <w:rPr>
                <w:b/>
                <w:color w:val="000000"/>
                <w:sz w:val="20"/>
                <w:szCs w:val="20"/>
              </w:rPr>
              <w:t>b</w:t>
            </w:r>
          </w:p>
        </w:tc>
        <w:tc>
          <w:tcPr>
            <w:tcW w:w="102" w:type="pct"/>
            <w:shd w:val="clear" w:color="auto" w:fill="auto"/>
            <w:noWrap/>
            <w:vAlign w:val="center"/>
          </w:tcPr>
          <w:p w:rsidR="00DF0D52" w:rsidRPr="00AC7E06" w:rsidRDefault="00DF0D52" w:rsidP="00DF0D52">
            <w:pPr>
              <w:spacing w:after="0"/>
              <w:rPr>
                <w:sz w:val="20"/>
                <w:szCs w:val="20"/>
              </w:rPr>
            </w:pPr>
          </w:p>
        </w:tc>
        <w:tc>
          <w:tcPr>
            <w:tcW w:w="779" w:type="pct"/>
            <w:shd w:val="clear" w:color="auto" w:fill="auto"/>
            <w:vAlign w:val="center"/>
          </w:tcPr>
          <w:p w:rsidR="00DF0D52" w:rsidRPr="00AC7E06" w:rsidRDefault="00083ED9" w:rsidP="00DF0D52">
            <w:pPr>
              <w:spacing w:after="0"/>
              <w:rPr>
                <w:sz w:val="20"/>
                <w:szCs w:val="20"/>
              </w:rPr>
            </w:pPr>
            <w:r>
              <w:rPr>
                <w:sz w:val="20"/>
                <w:szCs w:val="20"/>
              </w:rPr>
              <w:t>Poda</w:t>
            </w:r>
          </w:p>
        </w:tc>
        <w:tc>
          <w:tcPr>
            <w:tcW w:w="764" w:type="pct"/>
            <w:shd w:val="clear" w:color="auto" w:fill="auto"/>
            <w:vAlign w:val="center"/>
          </w:tcPr>
          <w:p w:rsidR="00DF0D52" w:rsidRPr="00AC7E06" w:rsidRDefault="00DF0D52" w:rsidP="00DF0D52">
            <w:pPr>
              <w:spacing w:after="0"/>
              <w:rPr>
                <w:sz w:val="20"/>
                <w:szCs w:val="20"/>
              </w:rPr>
            </w:pPr>
            <w:r w:rsidRPr="00AC7E06">
              <w:rPr>
                <w:color w:val="000000"/>
                <w:sz w:val="20"/>
                <w:szCs w:val="20"/>
              </w:rPr>
              <w:t>tebuconazol</w:t>
            </w:r>
          </w:p>
        </w:tc>
        <w:tc>
          <w:tcPr>
            <w:tcW w:w="586" w:type="pct"/>
            <w:shd w:val="clear" w:color="auto" w:fill="auto"/>
            <w:vAlign w:val="center"/>
          </w:tcPr>
          <w:p w:rsidR="00DF0D52" w:rsidRPr="00AC7E06" w:rsidRDefault="00DF0D52" w:rsidP="00DF0D52">
            <w:pPr>
              <w:spacing w:after="0"/>
              <w:jc w:val="right"/>
              <w:rPr>
                <w:sz w:val="20"/>
                <w:szCs w:val="20"/>
              </w:rPr>
            </w:pPr>
            <w:r w:rsidRPr="00AC7E06">
              <w:rPr>
                <w:sz w:val="20"/>
                <w:szCs w:val="20"/>
              </w:rPr>
              <w:t>36,6</w:t>
            </w:r>
          </w:p>
        </w:tc>
        <w:tc>
          <w:tcPr>
            <w:tcW w:w="100" w:type="pct"/>
            <w:shd w:val="clear" w:color="auto" w:fill="auto"/>
            <w:vAlign w:val="center"/>
          </w:tcPr>
          <w:p w:rsidR="00DF0D52" w:rsidRPr="00DF0D52" w:rsidRDefault="00DF0D52" w:rsidP="00DF0D52">
            <w:pPr>
              <w:spacing w:after="0"/>
              <w:rPr>
                <w:b/>
                <w:sz w:val="20"/>
                <w:szCs w:val="20"/>
              </w:rPr>
            </w:pPr>
            <w:r w:rsidRPr="00DF0D52">
              <w:rPr>
                <w:b/>
                <w:sz w:val="20"/>
                <w:szCs w:val="20"/>
              </w:rPr>
              <w:t> </w:t>
            </w:r>
          </w:p>
        </w:tc>
        <w:tc>
          <w:tcPr>
            <w:tcW w:w="100" w:type="pct"/>
            <w:shd w:val="clear" w:color="auto" w:fill="auto"/>
            <w:vAlign w:val="center"/>
          </w:tcPr>
          <w:p w:rsidR="00DF0D52" w:rsidRPr="00DF0D52" w:rsidRDefault="00DF0D52" w:rsidP="00DF0D52">
            <w:pPr>
              <w:spacing w:after="0"/>
              <w:rPr>
                <w:b/>
                <w:sz w:val="20"/>
                <w:szCs w:val="20"/>
              </w:rPr>
            </w:pPr>
            <w:r w:rsidRPr="00DF0D52">
              <w:rPr>
                <w:b/>
                <w:sz w:val="20"/>
                <w:szCs w:val="20"/>
              </w:rPr>
              <w:t>b</w:t>
            </w:r>
          </w:p>
        </w:tc>
        <w:tc>
          <w:tcPr>
            <w:tcW w:w="95" w:type="pct"/>
            <w:shd w:val="clear" w:color="auto" w:fill="auto"/>
            <w:vAlign w:val="center"/>
          </w:tcPr>
          <w:p w:rsidR="00DF0D52" w:rsidRPr="00DF0D52" w:rsidRDefault="00DF0D52" w:rsidP="00DF0D52">
            <w:pPr>
              <w:spacing w:after="0"/>
              <w:rPr>
                <w:b/>
                <w:sz w:val="20"/>
                <w:szCs w:val="20"/>
              </w:rPr>
            </w:pPr>
            <w:r w:rsidRPr="00DF0D52">
              <w:rPr>
                <w:b/>
                <w:sz w:val="20"/>
                <w:szCs w:val="20"/>
              </w:rPr>
              <w:t>c</w:t>
            </w:r>
          </w:p>
        </w:tc>
        <w:tc>
          <w:tcPr>
            <w:tcW w:w="99" w:type="pct"/>
            <w:shd w:val="clear" w:color="auto" w:fill="auto"/>
            <w:vAlign w:val="center"/>
          </w:tcPr>
          <w:p w:rsidR="00DF0D52" w:rsidRPr="00DF0D52" w:rsidRDefault="00DF0D52" w:rsidP="00DF0D52">
            <w:pPr>
              <w:spacing w:after="0"/>
              <w:rPr>
                <w:b/>
                <w:sz w:val="20"/>
                <w:szCs w:val="20"/>
              </w:rPr>
            </w:pPr>
            <w:r w:rsidRPr="00DF0D52">
              <w:rPr>
                <w:b/>
                <w:sz w:val="20"/>
                <w:szCs w:val="20"/>
              </w:rPr>
              <w:t>d</w:t>
            </w:r>
          </w:p>
        </w:tc>
      </w:tr>
      <w:tr w:rsidR="00D11E5C" w:rsidRPr="00DF0D52" w:rsidTr="00D11E5C">
        <w:trPr>
          <w:cantSplit/>
        </w:trPr>
        <w:tc>
          <w:tcPr>
            <w:tcW w:w="740" w:type="pct"/>
            <w:shd w:val="clear" w:color="auto" w:fill="auto"/>
            <w:noWrap/>
            <w:vAlign w:val="center"/>
          </w:tcPr>
          <w:p w:rsidR="00DF0D52" w:rsidRDefault="00DF0D52" w:rsidP="00AC2EEE">
            <w:pPr>
              <w:spacing w:after="0"/>
              <w:jc w:val="left"/>
              <w:rPr>
                <w:color w:val="000000"/>
                <w:sz w:val="20"/>
                <w:szCs w:val="20"/>
              </w:rPr>
            </w:pPr>
            <w:r>
              <w:rPr>
                <w:color w:val="000000"/>
                <w:sz w:val="20"/>
                <w:szCs w:val="20"/>
              </w:rPr>
              <w:t xml:space="preserve">Poda + </w:t>
            </w:r>
            <w:r w:rsidR="00083ED9" w:rsidRPr="004570EB">
              <w:rPr>
                <w:sz w:val="20"/>
                <w:szCs w:val="20"/>
              </w:rPr>
              <w:t xml:space="preserve">Est. fenol. </w:t>
            </w:r>
            <w:r w:rsidR="00083ED9">
              <w:rPr>
                <w:sz w:val="20"/>
                <w:szCs w:val="20"/>
              </w:rPr>
              <w:t>D/E</w:t>
            </w:r>
          </w:p>
        </w:tc>
        <w:tc>
          <w:tcPr>
            <w:tcW w:w="819" w:type="pct"/>
            <w:gridSpan w:val="2"/>
            <w:shd w:val="clear" w:color="auto" w:fill="auto"/>
            <w:noWrap/>
            <w:vAlign w:val="center"/>
          </w:tcPr>
          <w:p w:rsidR="00DF0D52" w:rsidRDefault="00AC2EEE" w:rsidP="00DF0D52">
            <w:pPr>
              <w:spacing w:after="0"/>
              <w:jc w:val="right"/>
              <w:rPr>
                <w:color w:val="000000"/>
                <w:sz w:val="20"/>
                <w:szCs w:val="20"/>
              </w:rPr>
            </w:pPr>
            <w:r w:rsidRPr="00AC7E06">
              <w:rPr>
                <w:color w:val="000000"/>
                <w:sz w:val="20"/>
                <w:szCs w:val="20"/>
              </w:rPr>
              <w:t>azoxistrobina</w:t>
            </w:r>
          </w:p>
        </w:tc>
        <w:tc>
          <w:tcPr>
            <w:tcW w:w="586" w:type="pct"/>
            <w:shd w:val="clear" w:color="auto" w:fill="auto"/>
            <w:noWrap/>
            <w:vAlign w:val="center"/>
          </w:tcPr>
          <w:p w:rsidR="00DF0D52" w:rsidRDefault="00DF0D52" w:rsidP="00DF0D52">
            <w:pPr>
              <w:spacing w:after="0"/>
              <w:jc w:val="right"/>
              <w:rPr>
                <w:color w:val="000000"/>
                <w:sz w:val="20"/>
                <w:szCs w:val="20"/>
              </w:rPr>
            </w:pPr>
            <w:r>
              <w:rPr>
                <w:color w:val="000000"/>
                <w:sz w:val="20"/>
                <w:szCs w:val="20"/>
              </w:rPr>
              <w:t>25,0</w:t>
            </w:r>
          </w:p>
        </w:tc>
        <w:tc>
          <w:tcPr>
            <w:tcW w:w="128" w:type="pct"/>
            <w:shd w:val="clear" w:color="auto" w:fill="auto"/>
            <w:noWrap/>
            <w:vAlign w:val="center"/>
          </w:tcPr>
          <w:p w:rsidR="00DF0D52" w:rsidRPr="00DF0D52" w:rsidRDefault="00DF0D52" w:rsidP="00D11E5C">
            <w:pPr>
              <w:spacing w:after="0"/>
              <w:jc w:val="left"/>
              <w:rPr>
                <w:b/>
                <w:sz w:val="20"/>
                <w:szCs w:val="20"/>
              </w:rPr>
            </w:pPr>
            <w:r w:rsidRPr="00DF0D52">
              <w:rPr>
                <w:b/>
                <w:sz w:val="20"/>
                <w:szCs w:val="20"/>
              </w:rPr>
              <w:t>a</w:t>
            </w:r>
          </w:p>
        </w:tc>
        <w:tc>
          <w:tcPr>
            <w:tcW w:w="102" w:type="pct"/>
            <w:shd w:val="clear" w:color="auto" w:fill="auto"/>
            <w:noWrap/>
            <w:vAlign w:val="center"/>
          </w:tcPr>
          <w:p w:rsidR="00DF0D52" w:rsidRPr="00DF0D52" w:rsidRDefault="00DF0D52" w:rsidP="00D11E5C">
            <w:pPr>
              <w:spacing w:after="0"/>
              <w:jc w:val="left"/>
              <w:rPr>
                <w:b/>
                <w:color w:val="000000"/>
                <w:sz w:val="20"/>
                <w:szCs w:val="20"/>
              </w:rPr>
            </w:pPr>
            <w:r w:rsidRPr="00DF0D52">
              <w:rPr>
                <w:b/>
                <w:color w:val="000000"/>
                <w:sz w:val="20"/>
                <w:szCs w:val="20"/>
              </w:rPr>
              <w:t>b</w:t>
            </w:r>
          </w:p>
        </w:tc>
        <w:tc>
          <w:tcPr>
            <w:tcW w:w="102" w:type="pct"/>
            <w:shd w:val="clear" w:color="auto" w:fill="auto"/>
            <w:noWrap/>
            <w:vAlign w:val="center"/>
          </w:tcPr>
          <w:p w:rsidR="00DF0D52" w:rsidRPr="00AC7E06" w:rsidRDefault="00DF0D52" w:rsidP="00DF0D52">
            <w:pPr>
              <w:spacing w:after="0"/>
              <w:rPr>
                <w:sz w:val="20"/>
                <w:szCs w:val="20"/>
              </w:rPr>
            </w:pPr>
          </w:p>
        </w:tc>
        <w:tc>
          <w:tcPr>
            <w:tcW w:w="779" w:type="pct"/>
            <w:shd w:val="clear" w:color="auto" w:fill="auto"/>
            <w:vAlign w:val="center"/>
          </w:tcPr>
          <w:p w:rsidR="00DF0D52" w:rsidRPr="00AC7E06" w:rsidRDefault="00083ED9" w:rsidP="00DF0D52">
            <w:pPr>
              <w:spacing w:after="0"/>
              <w:rPr>
                <w:sz w:val="20"/>
                <w:szCs w:val="20"/>
              </w:rPr>
            </w:pPr>
            <w:r>
              <w:rPr>
                <w:sz w:val="20"/>
                <w:szCs w:val="20"/>
              </w:rPr>
              <w:t>Poda</w:t>
            </w:r>
            <w:r w:rsidR="00DF0D52" w:rsidRPr="00AC7E06">
              <w:rPr>
                <w:sz w:val="20"/>
                <w:szCs w:val="20"/>
              </w:rPr>
              <w:t>+</w:t>
            </w:r>
            <w:r w:rsidR="00DF0D52">
              <w:rPr>
                <w:sz w:val="20"/>
                <w:szCs w:val="20"/>
              </w:rPr>
              <w:t xml:space="preserve"> e</w:t>
            </w:r>
            <w:r w:rsidR="00DF0D52" w:rsidRPr="004570EB">
              <w:rPr>
                <w:sz w:val="20"/>
                <w:szCs w:val="20"/>
              </w:rPr>
              <w:t xml:space="preserve">st. fenol. </w:t>
            </w:r>
            <w:r w:rsidR="00B46DCB">
              <w:rPr>
                <w:sz w:val="20"/>
                <w:szCs w:val="20"/>
              </w:rPr>
              <w:t>D</w:t>
            </w:r>
            <w:r>
              <w:rPr>
                <w:sz w:val="20"/>
                <w:szCs w:val="20"/>
              </w:rPr>
              <w:t>/</w:t>
            </w:r>
            <w:r w:rsidR="00B46DCB">
              <w:rPr>
                <w:sz w:val="20"/>
                <w:szCs w:val="20"/>
              </w:rPr>
              <w:t>E</w:t>
            </w:r>
          </w:p>
        </w:tc>
        <w:tc>
          <w:tcPr>
            <w:tcW w:w="764" w:type="pct"/>
            <w:shd w:val="clear" w:color="auto" w:fill="auto"/>
            <w:vAlign w:val="center"/>
          </w:tcPr>
          <w:p w:rsidR="00DF0D52" w:rsidRPr="00AC7E06" w:rsidRDefault="00DF0D52" w:rsidP="00DF0D52">
            <w:pPr>
              <w:spacing w:after="0"/>
              <w:rPr>
                <w:sz w:val="20"/>
                <w:szCs w:val="20"/>
              </w:rPr>
            </w:pPr>
            <w:r w:rsidRPr="00AC7E06">
              <w:rPr>
                <w:color w:val="000000"/>
                <w:sz w:val="20"/>
                <w:szCs w:val="20"/>
              </w:rPr>
              <w:t>azoxistrobina</w:t>
            </w:r>
          </w:p>
        </w:tc>
        <w:tc>
          <w:tcPr>
            <w:tcW w:w="586" w:type="pct"/>
            <w:shd w:val="clear" w:color="auto" w:fill="auto"/>
            <w:vAlign w:val="center"/>
          </w:tcPr>
          <w:p w:rsidR="00DF0D52" w:rsidRPr="00AC7E06" w:rsidRDefault="00DF0D52" w:rsidP="00DF0D52">
            <w:pPr>
              <w:spacing w:after="0"/>
              <w:jc w:val="right"/>
              <w:rPr>
                <w:sz w:val="20"/>
                <w:szCs w:val="20"/>
              </w:rPr>
            </w:pPr>
            <w:r w:rsidRPr="00AC7E06">
              <w:rPr>
                <w:sz w:val="20"/>
                <w:szCs w:val="20"/>
              </w:rPr>
              <w:t>36,6</w:t>
            </w:r>
          </w:p>
        </w:tc>
        <w:tc>
          <w:tcPr>
            <w:tcW w:w="100" w:type="pct"/>
            <w:shd w:val="clear" w:color="auto" w:fill="auto"/>
            <w:vAlign w:val="center"/>
          </w:tcPr>
          <w:p w:rsidR="00DF0D52" w:rsidRPr="00DF0D52" w:rsidRDefault="00DF0D52" w:rsidP="00DF0D52">
            <w:pPr>
              <w:spacing w:after="0"/>
              <w:rPr>
                <w:b/>
                <w:sz w:val="20"/>
                <w:szCs w:val="20"/>
              </w:rPr>
            </w:pPr>
            <w:r w:rsidRPr="00DF0D52">
              <w:rPr>
                <w:b/>
                <w:sz w:val="20"/>
                <w:szCs w:val="20"/>
              </w:rPr>
              <w:t> </w:t>
            </w:r>
          </w:p>
        </w:tc>
        <w:tc>
          <w:tcPr>
            <w:tcW w:w="100" w:type="pct"/>
            <w:shd w:val="clear" w:color="auto" w:fill="auto"/>
            <w:vAlign w:val="center"/>
          </w:tcPr>
          <w:p w:rsidR="00DF0D52" w:rsidRPr="00DF0D52" w:rsidRDefault="00DF0D52" w:rsidP="00DF0D52">
            <w:pPr>
              <w:spacing w:after="0"/>
              <w:rPr>
                <w:b/>
                <w:sz w:val="20"/>
                <w:szCs w:val="20"/>
              </w:rPr>
            </w:pPr>
            <w:r w:rsidRPr="00DF0D52">
              <w:rPr>
                <w:b/>
                <w:sz w:val="20"/>
                <w:szCs w:val="20"/>
              </w:rPr>
              <w:t>b</w:t>
            </w:r>
          </w:p>
        </w:tc>
        <w:tc>
          <w:tcPr>
            <w:tcW w:w="95" w:type="pct"/>
            <w:shd w:val="clear" w:color="auto" w:fill="auto"/>
            <w:vAlign w:val="center"/>
          </w:tcPr>
          <w:p w:rsidR="00DF0D52" w:rsidRPr="00DF0D52" w:rsidRDefault="00DF0D52" w:rsidP="00DF0D52">
            <w:pPr>
              <w:spacing w:after="0"/>
              <w:rPr>
                <w:b/>
                <w:sz w:val="20"/>
                <w:szCs w:val="20"/>
              </w:rPr>
            </w:pPr>
            <w:r w:rsidRPr="00DF0D52">
              <w:rPr>
                <w:b/>
                <w:sz w:val="20"/>
                <w:szCs w:val="20"/>
              </w:rPr>
              <w:t>c</w:t>
            </w:r>
          </w:p>
        </w:tc>
        <w:tc>
          <w:tcPr>
            <w:tcW w:w="99" w:type="pct"/>
            <w:shd w:val="clear" w:color="auto" w:fill="auto"/>
            <w:vAlign w:val="center"/>
          </w:tcPr>
          <w:p w:rsidR="00DF0D52" w:rsidRPr="00DF0D52" w:rsidRDefault="00DF0D52" w:rsidP="00DF0D52">
            <w:pPr>
              <w:spacing w:after="0"/>
              <w:rPr>
                <w:b/>
                <w:sz w:val="20"/>
                <w:szCs w:val="20"/>
              </w:rPr>
            </w:pPr>
            <w:r w:rsidRPr="00DF0D52">
              <w:rPr>
                <w:b/>
                <w:sz w:val="20"/>
                <w:szCs w:val="20"/>
              </w:rPr>
              <w:t>d</w:t>
            </w:r>
          </w:p>
        </w:tc>
      </w:tr>
      <w:tr w:rsidR="00D11E5C" w:rsidRPr="00DF0D52" w:rsidTr="00D11E5C">
        <w:trPr>
          <w:cantSplit/>
        </w:trPr>
        <w:tc>
          <w:tcPr>
            <w:tcW w:w="740" w:type="pct"/>
            <w:shd w:val="clear" w:color="auto" w:fill="auto"/>
            <w:noWrap/>
            <w:vAlign w:val="center"/>
          </w:tcPr>
          <w:p w:rsidR="00DF0D52" w:rsidRDefault="00083ED9" w:rsidP="00AC2EEE">
            <w:pPr>
              <w:spacing w:after="0"/>
              <w:jc w:val="left"/>
              <w:rPr>
                <w:color w:val="000000"/>
                <w:sz w:val="20"/>
                <w:szCs w:val="20"/>
              </w:rPr>
            </w:pPr>
            <w:r w:rsidRPr="004570EB">
              <w:rPr>
                <w:sz w:val="20"/>
                <w:szCs w:val="20"/>
              </w:rPr>
              <w:t xml:space="preserve">Est. fenol. </w:t>
            </w:r>
            <w:r>
              <w:rPr>
                <w:sz w:val="20"/>
                <w:szCs w:val="20"/>
              </w:rPr>
              <w:t>D/E</w:t>
            </w:r>
          </w:p>
        </w:tc>
        <w:tc>
          <w:tcPr>
            <w:tcW w:w="819" w:type="pct"/>
            <w:gridSpan w:val="2"/>
            <w:shd w:val="clear" w:color="auto" w:fill="auto"/>
            <w:noWrap/>
            <w:vAlign w:val="center"/>
          </w:tcPr>
          <w:p w:rsidR="00DF0D52" w:rsidRDefault="00AC2EEE" w:rsidP="00DF0D52">
            <w:pPr>
              <w:spacing w:after="0"/>
              <w:jc w:val="right"/>
              <w:rPr>
                <w:color w:val="000000"/>
                <w:sz w:val="20"/>
                <w:szCs w:val="20"/>
              </w:rPr>
            </w:pPr>
            <w:r w:rsidRPr="00AC7E06">
              <w:rPr>
                <w:color w:val="000000"/>
                <w:sz w:val="20"/>
                <w:szCs w:val="20"/>
              </w:rPr>
              <w:t>azoxistrobina</w:t>
            </w:r>
          </w:p>
        </w:tc>
        <w:tc>
          <w:tcPr>
            <w:tcW w:w="586" w:type="pct"/>
            <w:shd w:val="clear" w:color="auto" w:fill="auto"/>
            <w:noWrap/>
            <w:vAlign w:val="center"/>
          </w:tcPr>
          <w:p w:rsidR="00DF0D52" w:rsidRDefault="00DF0D52" w:rsidP="00DF0D52">
            <w:pPr>
              <w:spacing w:after="0"/>
              <w:jc w:val="right"/>
              <w:rPr>
                <w:color w:val="000000"/>
                <w:sz w:val="20"/>
                <w:szCs w:val="20"/>
              </w:rPr>
            </w:pPr>
            <w:r>
              <w:rPr>
                <w:color w:val="000000"/>
                <w:sz w:val="20"/>
                <w:szCs w:val="20"/>
              </w:rPr>
              <w:t>25,7</w:t>
            </w:r>
          </w:p>
        </w:tc>
        <w:tc>
          <w:tcPr>
            <w:tcW w:w="128" w:type="pct"/>
            <w:shd w:val="clear" w:color="auto" w:fill="auto"/>
            <w:noWrap/>
            <w:vAlign w:val="center"/>
          </w:tcPr>
          <w:p w:rsidR="00DF0D52" w:rsidRPr="00DF0D52" w:rsidRDefault="00DF0D52" w:rsidP="00D11E5C">
            <w:pPr>
              <w:spacing w:after="0"/>
              <w:jc w:val="left"/>
              <w:rPr>
                <w:b/>
                <w:sz w:val="20"/>
                <w:szCs w:val="20"/>
              </w:rPr>
            </w:pPr>
            <w:r w:rsidRPr="00DF0D52">
              <w:rPr>
                <w:b/>
                <w:sz w:val="20"/>
                <w:szCs w:val="20"/>
              </w:rPr>
              <w:t>a</w:t>
            </w:r>
          </w:p>
        </w:tc>
        <w:tc>
          <w:tcPr>
            <w:tcW w:w="102" w:type="pct"/>
            <w:shd w:val="clear" w:color="auto" w:fill="auto"/>
            <w:noWrap/>
            <w:vAlign w:val="center"/>
          </w:tcPr>
          <w:p w:rsidR="00DF0D52" w:rsidRPr="00DF0D52" w:rsidRDefault="00DF0D52" w:rsidP="00D11E5C">
            <w:pPr>
              <w:spacing w:after="0"/>
              <w:jc w:val="left"/>
              <w:rPr>
                <w:b/>
                <w:color w:val="000000"/>
                <w:sz w:val="20"/>
                <w:szCs w:val="20"/>
              </w:rPr>
            </w:pPr>
            <w:r w:rsidRPr="00DF0D52">
              <w:rPr>
                <w:b/>
                <w:color w:val="000000"/>
                <w:sz w:val="20"/>
                <w:szCs w:val="20"/>
              </w:rPr>
              <w:t>b</w:t>
            </w:r>
          </w:p>
        </w:tc>
        <w:tc>
          <w:tcPr>
            <w:tcW w:w="102" w:type="pct"/>
            <w:shd w:val="clear" w:color="auto" w:fill="auto"/>
            <w:noWrap/>
            <w:vAlign w:val="center"/>
          </w:tcPr>
          <w:p w:rsidR="00DF0D52" w:rsidRPr="00AC7E06" w:rsidRDefault="00DF0D52" w:rsidP="00DF0D52">
            <w:pPr>
              <w:spacing w:after="0"/>
              <w:rPr>
                <w:sz w:val="20"/>
                <w:szCs w:val="20"/>
              </w:rPr>
            </w:pPr>
          </w:p>
        </w:tc>
        <w:tc>
          <w:tcPr>
            <w:tcW w:w="779" w:type="pct"/>
            <w:shd w:val="clear" w:color="auto" w:fill="auto"/>
            <w:vAlign w:val="center"/>
          </w:tcPr>
          <w:p w:rsidR="00DF0D52" w:rsidRPr="00AC7E06" w:rsidRDefault="00083ED9" w:rsidP="00DF0D52">
            <w:pPr>
              <w:spacing w:after="0"/>
              <w:rPr>
                <w:sz w:val="20"/>
                <w:szCs w:val="20"/>
              </w:rPr>
            </w:pPr>
            <w:r>
              <w:rPr>
                <w:sz w:val="20"/>
                <w:szCs w:val="20"/>
              </w:rPr>
              <w:t>Poda</w:t>
            </w:r>
          </w:p>
        </w:tc>
        <w:tc>
          <w:tcPr>
            <w:tcW w:w="764" w:type="pct"/>
            <w:shd w:val="clear" w:color="auto" w:fill="auto"/>
            <w:vAlign w:val="center"/>
          </w:tcPr>
          <w:p w:rsidR="00DF0D52" w:rsidRPr="00AC7E06" w:rsidRDefault="00DF0D52" w:rsidP="00DF0D52">
            <w:pPr>
              <w:spacing w:after="0"/>
              <w:rPr>
                <w:sz w:val="20"/>
                <w:szCs w:val="20"/>
              </w:rPr>
            </w:pPr>
            <w:r w:rsidRPr="00AC7E06">
              <w:rPr>
                <w:sz w:val="20"/>
                <w:szCs w:val="20"/>
              </w:rPr>
              <w:t>água</w:t>
            </w:r>
          </w:p>
        </w:tc>
        <w:tc>
          <w:tcPr>
            <w:tcW w:w="586" w:type="pct"/>
            <w:shd w:val="clear" w:color="auto" w:fill="auto"/>
            <w:vAlign w:val="center"/>
          </w:tcPr>
          <w:p w:rsidR="00DF0D52" w:rsidRPr="00AC7E06" w:rsidRDefault="00DF0D52" w:rsidP="00DF0D52">
            <w:pPr>
              <w:spacing w:after="0"/>
              <w:jc w:val="right"/>
              <w:rPr>
                <w:sz w:val="20"/>
                <w:szCs w:val="20"/>
              </w:rPr>
            </w:pPr>
            <w:r w:rsidRPr="00AC7E06">
              <w:rPr>
                <w:sz w:val="20"/>
                <w:szCs w:val="20"/>
              </w:rPr>
              <w:t>40,3</w:t>
            </w:r>
          </w:p>
        </w:tc>
        <w:tc>
          <w:tcPr>
            <w:tcW w:w="100" w:type="pct"/>
            <w:shd w:val="clear" w:color="auto" w:fill="auto"/>
            <w:vAlign w:val="center"/>
          </w:tcPr>
          <w:p w:rsidR="00DF0D52" w:rsidRPr="00DF0D52" w:rsidRDefault="00DF0D52" w:rsidP="00DF0D52">
            <w:pPr>
              <w:spacing w:after="0"/>
              <w:rPr>
                <w:b/>
                <w:sz w:val="20"/>
                <w:szCs w:val="20"/>
              </w:rPr>
            </w:pPr>
          </w:p>
        </w:tc>
        <w:tc>
          <w:tcPr>
            <w:tcW w:w="100" w:type="pct"/>
            <w:shd w:val="clear" w:color="auto" w:fill="auto"/>
            <w:vAlign w:val="center"/>
          </w:tcPr>
          <w:p w:rsidR="00DF0D52" w:rsidRPr="00DF0D52" w:rsidRDefault="00DF0D52" w:rsidP="00DF0D52">
            <w:pPr>
              <w:spacing w:after="0"/>
              <w:rPr>
                <w:b/>
                <w:sz w:val="20"/>
                <w:szCs w:val="20"/>
              </w:rPr>
            </w:pPr>
          </w:p>
        </w:tc>
        <w:tc>
          <w:tcPr>
            <w:tcW w:w="95" w:type="pct"/>
            <w:shd w:val="clear" w:color="auto" w:fill="auto"/>
            <w:vAlign w:val="center"/>
          </w:tcPr>
          <w:p w:rsidR="00DF0D52" w:rsidRPr="00DF0D52" w:rsidRDefault="00DF0D52" w:rsidP="00DF0D52">
            <w:pPr>
              <w:spacing w:after="0"/>
              <w:rPr>
                <w:b/>
                <w:sz w:val="20"/>
                <w:szCs w:val="20"/>
              </w:rPr>
            </w:pPr>
            <w:r w:rsidRPr="00DF0D52">
              <w:rPr>
                <w:b/>
                <w:sz w:val="20"/>
                <w:szCs w:val="20"/>
              </w:rPr>
              <w:t>c</w:t>
            </w:r>
          </w:p>
        </w:tc>
        <w:tc>
          <w:tcPr>
            <w:tcW w:w="99" w:type="pct"/>
            <w:shd w:val="clear" w:color="auto" w:fill="auto"/>
            <w:vAlign w:val="center"/>
          </w:tcPr>
          <w:p w:rsidR="00DF0D52" w:rsidRPr="00DF0D52" w:rsidRDefault="00DF0D52" w:rsidP="00DF0D52">
            <w:pPr>
              <w:spacing w:after="0"/>
              <w:rPr>
                <w:b/>
                <w:sz w:val="20"/>
                <w:szCs w:val="20"/>
              </w:rPr>
            </w:pPr>
            <w:r w:rsidRPr="00DF0D52">
              <w:rPr>
                <w:b/>
                <w:sz w:val="20"/>
                <w:szCs w:val="20"/>
              </w:rPr>
              <w:t>d</w:t>
            </w:r>
          </w:p>
        </w:tc>
      </w:tr>
      <w:tr w:rsidR="00D11E5C" w:rsidRPr="00DF0D52" w:rsidTr="00D11E5C">
        <w:trPr>
          <w:cantSplit/>
        </w:trPr>
        <w:tc>
          <w:tcPr>
            <w:tcW w:w="740" w:type="pct"/>
            <w:shd w:val="clear" w:color="auto" w:fill="auto"/>
            <w:noWrap/>
            <w:vAlign w:val="center"/>
          </w:tcPr>
          <w:p w:rsidR="00DF0D52" w:rsidRDefault="00DF0D52" w:rsidP="00AC2EEE">
            <w:pPr>
              <w:spacing w:after="0"/>
              <w:jc w:val="left"/>
              <w:rPr>
                <w:color w:val="000000"/>
                <w:sz w:val="20"/>
                <w:szCs w:val="20"/>
              </w:rPr>
            </w:pPr>
            <w:r>
              <w:rPr>
                <w:color w:val="000000"/>
                <w:sz w:val="20"/>
                <w:szCs w:val="20"/>
              </w:rPr>
              <w:t xml:space="preserve">Poda + </w:t>
            </w:r>
            <w:r w:rsidR="00083ED9" w:rsidRPr="004570EB">
              <w:rPr>
                <w:sz w:val="20"/>
                <w:szCs w:val="20"/>
              </w:rPr>
              <w:t xml:space="preserve">Est. fenol. </w:t>
            </w:r>
            <w:r w:rsidR="00083ED9">
              <w:rPr>
                <w:sz w:val="20"/>
                <w:szCs w:val="20"/>
              </w:rPr>
              <w:t>D/E</w:t>
            </w:r>
          </w:p>
        </w:tc>
        <w:tc>
          <w:tcPr>
            <w:tcW w:w="819" w:type="pct"/>
            <w:gridSpan w:val="2"/>
            <w:shd w:val="clear" w:color="auto" w:fill="auto"/>
            <w:noWrap/>
            <w:vAlign w:val="center"/>
          </w:tcPr>
          <w:p w:rsidR="00DF0D52" w:rsidRDefault="00DF0D52" w:rsidP="00DF0D52">
            <w:pPr>
              <w:spacing w:after="0"/>
              <w:jc w:val="right"/>
              <w:rPr>
                <w:color w:val="000000"/>
                <w:sz w:val="20"/>
                <w:szCs w:val="20"/>
              </w:rPr>
            </w:pPr>
            <w:r>
              <w:rPr>
                <w:color w:val="000000"/>
                <w:sz w:val="20"/>
                <w:szCs w:val="20"/>
              </w:rPr>
              <w:t>água</w:t>
            </w:r>
          </w:p>
        </w:tc>
        <w:tc>
          <w:tcPr>
            <w:tcW w:w="586" w:type="pct"/>
            <w:shd w:val="clear" w:color="auto" w:fill="auto"/>
            <w:noWrap/>
            <w:vAlign w:val="center"/>
          </w:tcPr>
          <w:p w:rsidR="00DF0D52" w:rsidRDefault="00DF0D52" w:rsidP="00DF0D52">
            <w:pPr>
              <w:spacing w:after="0"/>
              <w:jc w:val="right"/>
              <w:rPr>
                <w:color w:val="000000"/>
                <w:sz w:val="20"/>
                <w:szCs w:val="20"/>
              </w:rPr>
            </w:pPr>
            <w:r>
              <w:rPr>
                <w:color w:val="000000"/>
                <w:sz w:val="20"/>
                <w:szCs w:val="20"/>
              </w:rPr>
              <w:t>26,6</w:t>
            </w:r>
          </w:p>
        </w:tc>
        <w:tc>
          <w:tcPr>
            <w:tcW w:w="128" w:type="pct"/>
            <w:shd w:val="clear" w:color="auto" w:fill="auto"/>
            <w:noWrap/>
            <w:vAlign w:val="center"/>
          </w:tcPr>
          <w:p w:rsidR="00DF0D52" w:rsidRPr="00DF0D52" w:rsidRDefault="00DF0D52" w:rsidP="00D11E5C">
            <w:pPr>
              <w:spacing w:after="0"/>
              <w:jc w:val="left"/>
              <w:rPr>
                <w:b/>
                <w:sz w:val="20"/>
                <w:szCs w:val="20"/>
              </w:rPr>
            </w:pPr>
            <w:r w:rsidRPr="00DF0D52">
              <w:rPr>
                <w:b/>
                <w:sz w:val="20"/>
                <w:szCs w:val="20"/>
              </w:rPr>
              <w:t>a</w:t>
            </w:r>
          </w:p>
        </w:tc>
        <w:tc>
          <w:tcPr>
            <w:tcW w:w="102" w:type="pct"/>
            <w:shd w:val="clear" w:color="auto" w:fill="auto"/>
            <w:noWrap/>
            <w:vAlign w:val="center"/>
          </w:tcPr>
          <w:p w:rsidR="00DF0D52" w:rsidRPr="00DF0D52" w:rsidRDefault="00DF0D52" w:rsidP="00D11E5C">
            <w:pPr>
              <w:spacing w:after="0"/>
              <w:jc w:val="left"/>
              <w:rPr>
                <w:b/>
                <w:color w:val="000000"/>
                <w:sz w:val="20"/>
                <w:szCs w:val="20"/>
              </w:rPr>
            </w:pPr>
            <w:r w:rsidRPr="00DF0D52">
              <w:rPr>
                <w:b/>
                <w:color w:val="000000"/>
                <w:sz w:val="20"/>
                <w:szCs w:val="20"/>
              </w:rPr>
              <w:t>b</w:t>
            </w:r>
          </w:p>
        </w:tc>
        <w:tc>
          <w:tcPr>
            <w:tcW w:w="102" w:type="pct"/>
            <w:shd w:val="clear" w:color="auto" w:fill="auto"/>
            <w:noWrap/>
            <w:vAlign w:val="center"/>
          </w:tcPr>
          <w:p w:rsidR="00DF0D52" w:rsidRPr="00AC7E06" w:rsidRDefault="00DF0D52" w:rsidP="00DF0D52">
            <w:pPr>
              <w:spacing w:after="0"/>
              <w:rPr>
                <w:sz w:val="20"/>
                <w:szCs w:val="20"/>
              </w:rPr>
            </w:pPr>
          </w:p>
        </w:tc>
        <w:tc>
          <w:tcPr>
            <w:tcW w:w="779" w:type="pct"/>
            <w:shd w:val="clear" w:color="auto" w:fill="auto"/>
            <w:vAlign w:val="center"/>
          </w:tcPr>
          <w:p w:rsidR="00DF0D52" w:rsidRPr="00AC7E06" w:rsidRDefault="00083ED9" w:rsidP="00DF0D52">
            <w:pPr>
              <w:spacing w:after="0"/>
              <w:rPr>
                <w:sz w:val="20"/>
                <w:szCs w:val="20"/>
              </w:rPr>
            </w:pPr>
            <w:r>
              <w:rPr>
                <w:sz w:val="20"/>
                <w:szCs w:val="20"/>
              </w:rPr>
              <w:t>Poda</w:t>
            </w:r>
          </w:p>
        </w:tc>
        <w:tc>
          <w:tcPr>
            <w:tcW w:w="764" w:type="pct"/>
            <w:shd w:val="clear" w:color="auto" w:fill="auto"/>
            <w:vAlign w:val="center"/>
          </w:tcPr>
          <w:p w:rsidR="00DF0D52" w:rsidRPr="00AC7E06" w:rsidRDefault="00DF0D52" w:rsidP="00DF0D52">
            <w:pPr>
              <w:spacing w:after="0"/>
              <w:rPr>
                <w:sz w:val="20"/>
                <w:szCs w:val="20"/>
              </w:rPr>
            </w:pPr>
            <w:r w:rsidRPr="00AC7E06">
              <w:rPr>
                <w:color w:val="000000"/>
                <w:sz w:val="20"/>
                <w:szCs w:val="20"/>
              </w:rPr>
              <w:t>azoxistrobina</w:t>
            </w:r>
          </w:p>
        </w:tc>
        <w:tc>
          <w:tcPr>
            <w:tcW w:w="586" w:type="pct"/>
            <w:shd w:val="clear" w:color="auto" w:fill="auto"/>
            <w:vAlign w:val="center"/>
          </w:tcPr>
          <w:p w:rsidR="00DF0D52" w:rsidRPr="00AC7E06" w:rsidRDefault="00DF0D52" w:rsidP="00DF0D52">
            <w:pPr>
              <w:spacing w:after="0"/>
              <w:jc w:val="right"/>
              <w:rPr>
                <w:sz w:val="20"/>
                <w:szCs w:val="20"/>
              </w:rPr>
            </w:pPr>
            <w:r w:rsidRPr="00AC7E06">
              <w:rPr>
                <w:sz w:val="20"/>
                <w:szCs w:val="20"/>
              </w:rPr>
              <w:t>41,4</w:t>
            </w:r>
          </w:p>
        </w:tc>
        <w:tc>
          <w:tcPr>
            <w:tcW w:w="100" w:type="pct"/>
            <w:shd w:val="clear" w:color="auto" w:fill="auto"/>
            <w:vAlign w:val="center"/>
          </w:tcPr>
          <w:p w:rsidR="00DF0D52" w:rsidRPr="00DF0D52" w:rsidRDefault="00DF0D52" w:rsidP="00DF0D52">
            <w:pPr>
              <w:spacing w:after="0"/>
              <w:rPr>
                <w:b/>
                <w:sz w:val="20"/>
                <w:szCs w:val="20"/>
              </w:rPr>
            </w:pPr>
          </w:p>
        </w:tc>
        <w:tc>
          <w:tcPr>
            <w:tcW w:w="100" w:type="pct"/>
            <w:shd w:val="clear" w:color="auto" w:fill="auto"/>
            <w:vAlign w:val="center"/>
          </w:tcPr>
          <w:p w:rsidR="00DF0D52" w:rsidRPr="00DF0D52" w:rsidRDefault="00DF0D52" w:rsidP="00DF0D52">
            <w:pPr>
              <w:spacing w:after="0"/>
              <w:rPr>
                <w:b/>
                <w:sz w:val="20"/>
                <w:szCs w:val="20"/>
              </w:rPr>
            </w:pPr>
          </w:p>
        </w:tc>
        <w:tc>
          <w:tcPr>
            <w:tcW w:w="95" w:type="pct"/>
            <w:shd w:val="clear" w:color="auto" w:fill="auto"/>
            <w:vAlign w:val="center"/>
          </w:tcPr>
          <w:p w:rsidR="00DF0D52" w:rsidRPr="00DF0D52" w:rsidRDefault="00DF0D52" w:rsidP="00DF0D52">
            <w:pPr>
              <w:spacing w:after="0"/>
              <w:rPr>
                <w:b/>
                <w:sz w:val="20"/>
                <w:szCs w:val="20"/>
              </w:rPr>
            </w:pPr>
            <w:r w:rsidRPr="00DF0D52">
              <w:rPr>
                <w:b/>
                <w:sz w:val="20"/>
                <w:szCs w:val="20"/>
              </w:rPr>
              <w:t>c</w:t>
            </w:r>
          </w:p>
        </w:tc>
        <w:tc>
          <w:tcPr>
            <w:tcW w:w="99" w:type="pct"/>
            <w:shd w:val="clear" w:color="auto" w:fill="auto"/>
            <w:vAlign w:val="center"/>
          </w:tcPr>
          <w:p w:rsidR="00DF0D52" w:rsidRPr="00DF0D52" w:rsidRDefault="00DF0D52" w:rsidP="00DF0D52">
            <w:pPr>
              <w:spacing w:after="0"/>
              <w:rPr>
                <w:b/>
                <w:sz w:val="20"/>
                <w:szCs w:val="20"/>
              </w:rPr>
            </w:pPr>
            <w:r w:rsidRPr="00DF0D52">
              <w:rPr>
                <w:b/>
                <w:sz w:val="20"/>
                <w:szCs w:val="20"/>
              </w:rPr>
              <w:t>d</w:t>
            </w:r>
          </w:p>
        </w:tc>
      </w:tr>
      <w:tr w:rsidR="00D11E5C" w:rsidRPr="00DF0D52" w:rsidTr="00D11E5C">
        <w:trPr>
          <w:cantSplit/>
        </w:trPr>
        <w:tc>
          <w:tcPr>
            <w:tcW w:w="740" w:type="pct"/>
            <w:shd w:val="clear" w:color="auto" w:fill="auto"/>
            <w:noWrap/>
            <w:vAlign w:val="center"/>
          </w:tcPr>
          <w:p w:rsidR="00DF0D52" w:rsidRDefault="00083ED9" w:rsidP="00AC2EEE">
            <w:pPr>
              <w:spacing w:after="0"/>
              <w:jc w:val="left"/>
              <w:rPr>
                <w:color w:val="000000"/>
                <w:sz w:val="20"/>
                <w:szCs w:val="20"/>
              </w:rPr>
            </w:pPr>
            <w:r w:rsidRPr="004570EB">
              <w:rPr>
                <w:sz w:val="20"/>
                <w:szCs w:val="20"/>
              </w:rPr>
              <w:t xml:space="preserve">Est. fenol. </w:t>
            </w:r>
            <w:r>
              <w:rPr>
                <w:sz w:val="20"/>
                <w:szCs w:val="20"/>
              </w:rPr>
              <w:t>D/E</w:t>
            </w:r>
          </w:p>
        </w:tc>
        <w:tc>
          <w:tcPr>
            <w:tcW w:w="819" w:type="pct"/>
            <w:gridSpan w:val="2"/>
            <w:shd w:val="clear" w:color="auto" w:fill="auto"/>
            <w:noWrap/>
            <w:vAlign w:val="center"/>
          </w:tcPr>
          <w:p w:rsidR="00DF0D52" w:rsidRDefault="00DF0D52" w:rsidP="00DF0D52">
            <w:pPr>
              <w:spacing w:after="0"/>
              <w:jc w:val="right"/>
              <w:rPr>
                <w:color w:val="000000"/>
                <w:sz w:val="20"/>
                <w:szCs w:val="20"/>
              </w:rPr>
            </w:pPr>
            <w:r>
              <w:rPr>
                <w:color w:val="000000"/>
                <w:sz w:val="20"/>
                <w:szCs w:val="20"/>
              </w:rPr>
              <w:t>água</w:t>
            </w:r>
          </w:p>
        </w:tc>
        <w:tc>
          <w:tcPr>
            <w:tcW w:w="586" w:type="pct"/>
            <w:shd w:val="clear" w:color="auto" w:fill="auto"/>
            <w:noWrap/>
            <w:vAlign w:val="center"/>
          </w:tcPr>
          <w:p w:rsidR="00DF0D52" w:rsidRDefault="00DF0D52" w:rsidP="00DF0D52">
            <w:pPr>
              <w:spacing w:after="0"/>
              <w:jc w:val="right"/>
              <w:rPr>
                <w:color w:val="000000"/>
                <w:sz w:val="20"/>
                <w:szCs w:val="20"/>
              </w:rPr>
            </w:pPr>
            <w:r>
              <w:rPr>
                <w:color w:val="000000"/>
                <w:sz w:val="20"/>
                <w:szCs w:val="20"/>
              </w:rPr>
              <w:t>30,5</w:t>
            </w:r>
          </w:p>
        </w:tc>
        <w:tc>
          <w:tcPr>
            <w:tcW w:w="128" w:type="pct"/>
            <w:shd w:val="clear" w:color="auto" w:fill="auto"/>
            <w:noWrap/>
            <w:vAlign w:val="center"/>
          </w:tcPr>
          <w:p w:rsidR="00DF0D52" w:rsidRPr="00DF0D52" w:rsidRDefault="00DF0D52" w:rsidP="00D11E5C">
            <w:pPr>
              <w:spacing w:after="0"/>
              <w:jc w:val="left"/>
              <w:rPr>
                <w:b/>
                <w:sz w:val="20"/>
                <w:szCs w:val="20"/>
              </w:rPr>
            </w:pPr>
            <w:r w:rsidRPr="00DF0D52">
              <w:rPr>
                <w:b/>
                <w:sz w:val="20"/>
                <w:szCs w:val="20"/>
              </w:rPr>
              <w:t>a</w:t>
            </w:r>
          </w:p>
        </w:tc>
        <w:tc>
          <w:tcPr>
            <w:tcW w:w="102" w:type="pct"/>
            <w:shd w:val="clear" w:color="auto" w:fill="auto"/>
            <w:noWrap/>
            <w:vAlign w:val="center"/>
          </w:tcPr>
          <w:p w:rsidR="00DF0D52" w:rsidRPr="00DF0D52" w:rsidRDefault="00DF0D52" w:rsidP="00D11E5C">
            <w:pPr>
              <w:spacing w:after="0"/>
              <w:jc w:val="left"/>
              <w:rPr>
                <w:b/>
                <w:color w:val="000000"/>
                <w:sz w:val="20"/>
                <w:szCs w:val="20"/>
              </w:rPr>
            </w:pPr>
            <w:r w:rsidRPr="00DF0D52">
              <w:rPr>
                <w:b/>
                <w:color w:val="000000"/>
                <w:sz w:val="20"/>
                <w:szCs w:val="20"/>
              </w:rPr>
              <w:t>b</w:t>
            </w:r>
          </w:p>
        </w:tc>
        <w:tc>
          <w:tcPr>
            <w:tcW w:w="102" w:type="pct"/>
            <w:shd w:val="clear" w:color="auto" w:fill="auto"/>
            <w:noWrap/>
            <w:vAlign w:val="center"/>
          </w:tcPr>
          <w:p w:rsidR="00DF0D52" w:rsidRPr="00AC7E06" w:rsidRDefault="00DF0D52" w:rsidP="00DF0D52">
            <w:pPr>
              <w:spacing w:after="0"/>
              <w:rPr>
                <w:sz w:val="20"/>
                <w:szCs w:val="20"/>
              </w:rPr>
            </w:pPr>
          </w:p>
        </w:tc>
        <w:tc>
          <w:tcPr>
            <w:tcW w:w="779" w:type="pct"/>
            <w:shd w:val="clear" w:color="auto" w:fill="auto"/>
            <w:vAlign w:val="center"/>
          </w:tcPr>
          <w:p w:rsidR="00DF0D52" w:rsidRPr="00AC7E06" w:rsidRDefault="00083ED9" w:rsidP="00DF0D52">
            <w:pPr>
              <w:spacing w:after="0"/>
              <w:rPr>
                <w:sz w:val="20"/>
                <w:szCs w:val="20"/>
              </w:rPr>
            </w:pPr>
            <w:r>
              <w:rPr>
                <w:sz w:val="20"/>
                <w:szCs w:val="20"/>
              </w:rPr>
              <w:t>Poda</w:t>
            </w:r>
            <w:r w:rsidR="00DF0D52" w:rsidRPr="00AC7E06">
              <w:rPr>
                <w:sz w:val="20"/>
                <w:szCs w:val="20"/>
              </w:rPr>
              <w:t>+</w:t>
            </w:r>
            <w:r w:rsidR="00DF0D52">
              <w:rPr>
                <w:sz w:val="20"/>
                <w:szCs w:val="20"/>
              </w:rPr>
              <w:t xml:space="preserve"> e</w:t>
            </w:r>
            <w:r w:rsidR="00DF0D52" w:rsidRPr="004570EB">
              <w:rPr>
                <w:sz w:val="20"/>
                <w:szCs w:val="20"/>
              </w:rPr>
              <w:t xml:space="preserve">st. fenol. </w:t>
            </w:r>
            <w:r w:rsidR="00B46DCB">
              <w:rPr>
                <w:sz w:val="20"/>
                <w:szCs w:val="20"/>
              </w:rPr>
              <w:t>D</w:t>
            </w:r>
            <w:r>
              <w:rPr>
                <w:sz w:val="20"/>
                <w:szCs w:val="20"/>
              </w:rPr>
              <w:t>/</w:t>
            </w:r>
            <w:r w:rsidR="00B46DCB">
              <w:rPr>
                <w:sz w:val="20"/>
                <w:szCs w:val="20"/>
              </w:rPr>
              <w:t>E</w:t>
            </w:r>
          </w:p>
        </w:tc>
        <w:tc>
          <w:tcPr>
            <w:tcW w:w="764" w:type="pct"/>
            <w:shd w:val="clear" w:color="auto" w:fill="auto"/>
            <w:vAlign w:val="center"/>
          </w:tcPr>
          <w:p w:rsidR="00DF0D52" w:rsidRPr="00AC7E06" w:rsidRDefault="00DF0D52" w:rsidP="00DF0D52">
            <w:pPr>
              <w:spacing w:after="0"/>
              <w:rPr>
                <w:sz w:val="20"/>
                <w:szCs w:val="20"/>
              </w:rPr>
            </w:pPr>
            <w:r w:rsidRPr="00AC7E06">
              <w:rPr>
                <w:sz w:val="20"/>
                <w:szCs w:val="20"/>
              </w:rPr>
              <w:t>água</w:t>
            </w:r>
          </w:p>
        </w:tc>
        <w:tc>
          <w:tcPr>
            <w:tcW w:w="586" w:type="pct"/>
            <w:shd w:val="clear" w:color="auto" w:fill="auto"/>
            <w:vAlign w:val="center"/>
          </w:tcPr>
          <w:p w:rsidR="00DF0D52" w:rsidRPr="00AC7E06" w:rsidRDefault="00DF0D52" w:rsidP="00DF0D52">
            <w:pPr>
              <w:spacing w:after="0"/>
              <w:jc w:val="right"/>
              <w:rPr>
                <w:sz w:val="20"/>
                <w:szCs w:val="20"/>
              </w:rPr>
            </w:pPr>
            <w:r w:rsidRPr="00AC7E06">
              <w:rPr>
                <w:sz w:val="20"/>
                <w:szCs w:val="20"/>
              </w:rPr>
              <w:t>46,8</w:t>
            </w:r>
          </w:p>
        </w:tc>
        <w:tc>
          <w:tcPr>
            <w:tcW w:w="100" w:type="pct"/>
            <w:shd w:val="clear" w:color="auto" w:fill="auto"/>
            <w:vAlign w:val="center"/>
          </w:tcPr>
          <w:p w:rsidR="00DF0D52" w:rsidRPr="00DF0D52" w:rsidRDefault="00DF0D52" w:rsidP="00DF0D52">
            <w:pPr>
              <w:spacing w:after="0"/>
              <w:rPr>
                <w:b/>
                <w:sz w:val="20"/>
                <w:szCs w:val="20"/>
              </w:rPr>
            </w:pPr>
          </w:p>
        </w:tc>
        <w:tc>
          <w:tcPr>
            <w:tcW w:w="100" w:type="pct"/>
            <w:shd w:val="clear" w:color="auto" w:fill="auto"/>
            <w:vAlign w:val="center"/>
          </w:tcPr>
          <w:p w:rsidR="00DF0D52" w:rsidRPr="00DF0D52" w:rsidRDefault="00DF0D52" w:rsidP="00DF0D52">
            <w:pPr>
              <w:spacing w:after="0"/>
              <w:rPr>
                <w:b/>
                <w:sz w:val="20"/>
                <w:szCs w:val="20"/>
              </w:rPr>
            </w:pPr>
          </w:p>
        </w:tc>
        <w:tc>
          <w:tcPr>
            <w:tcW w:w="95" w:type="pct"/>
            <w:shd w:val="clear" w:color="auto" w:fill="auto"/>
            <w:vAlign w:val="center"/>
          </w:tcPr>
          <w:p w:rsidR="00DF0D52" w:rsidRPr="00DF0D52" w:rsidRDefault="00DF0D52" w:rsidP="00DF0D52">
            <w:pPr>
              <w:spacing w:after="0"/>
              <w:rPr>
                <w:b/>
                <w:sz w:val="20"/>
                <w:szCs w:val="20"/>
              </w:rPr>
            </w:pPr>
            <w:r w:rsidRPr="00DF0D52">
              <w:rPr>
                <w:b/>
                <w:sz w:val="20"/>
                <w:szCs w:val="20"/>
              </w:rPr>
              <w:t>c</w:t>
            </w:r>
          </w:p>
        </w:tc>
        <w:tc>
          <w:tcPr>
            <w:tcW w:w="99" w:type="pct"/>
            <w:shd w:val="clear" w:color="auto" w:fill="auto"/>
            <w:vAlign w:val="center"/>
          </w:tcPr>
          <w:p w:rsidR="00DF0D52" w:rsidRPr="00DF0D52" w:rsidRDefault="00DF0D52" w:rsidP="00DF0D52">
            <w:pPr>
              <w:spacing w:after="0"/>
              <w:rPr>
                <w:b/>
                <w:sz w:val="20"/>
                <w:szCs w:val="20"/>
              </w:rPr>
            </w:pPr>
            <w:r w:rsidRPr="00DF0D52">
              <w:rPr>
                <w:b/>
                <w:sz w:val="20"/>
                <w:szCs w:val="20"/>
              </w:rPr>
              <w:t>d</w:t>
            </w:r>
          </w:p>
        </w:tc>
      </w:tr>
      <w:tr w:rsidR="00D11E5C" w:rsidRPr="00DF0D52" w:rsidTr="00D11E5C">
        <w:trPr>
          <w:cantSplit/>
        </w:trPr>
        <w:tc>
          <w:tcPr>
            <w:tcW w:w="740" w:type="pct"/>
            <w:tcBorders>
              <w:bottom w:val="single" w:sz="4" w:space="0" w:color="auto"/>
            </w:tcBorders>
            <w:shd w:val="clear" w:color="auto" w:fill="auto"/>
            <w:noWrap/>
            <w:vAlign w:val="center"/>
          </w:tcPr>
          <w:p w:rsidR="00DF0D52" w:rsidRDefault="00DF0D52" w:rsidP="00AC2EEE">
            <w:pPr>
              <w:spacing w:after="0"/>
              <w:jc w:val="left"/>
              <w:rPr>
                <w:color w:val="000000"/>
                <w:sz w:val="20"/>
                <w:szCs w:val="20"/>
              </w:rPr>
            </w:pPr>
            <w:r>
              <w:rPr>
                <w:color w:val="000000"/>
                <w:sz w:val="20"/>
                <w:szCs w:val="20"/>
              </w:rPr>
              <w:t>Poda</w:t>
            </w:r>
          </w:p>
        </w:tc>
        <w:tc>
          <w:tcPr>
            <w:tcW w:w="819" w:type="pct"/>
            <w:gridSpan w:val="2"/>
            <w:tcBorders>
              <w:bottom w:val="single" w:sz="4" w:space="0" w:color="auto"/>
            </w:tcBorders>
            <w:shd w:val="clear" w:color="auto" w:fill="auto"/>
            <w:noWrap/>
            <w:vAlign w:val="center"/>
          </w:tcPr>
          <w:p w:rsidR="00DF0D52" w:rsidRDefault="00DF0D52" w:rsidP="00DF0D52">
            <w:pPr>
              <w:spacing w:after="0"/>
              <w:jc w:val="right"/>
              <w:rPr>
                <w:color w:val="000000"/>
                <w:sz w:val="20"/>
                <w:szCs w:val="20"/>
              </w:rPr>
            </w:pPr>
            <w:r>
              <w:rPr>
                <w:color w:val="000000"/>
                <w:sz w:val="20"/>
                <w:szCs w:val="20"/>
              </w:rPr>
              <w:t>água</w:t>
            </w:r>
          </w:p>
        </w:tc>
        <w:tc>
          <w:tcPr>
            <w:tcW w:w="586" w:type="pct"/>
            <w:tcBorders>
              <w:bottom w:val="single" w:sz="4" w:space="0" w:color="auto"/>
            </w:tcBorders>
            <w:shd w:val="clear" w:color="auto" w:fill="auto"/>
            <w:noWrap/>
            <w:vAlign w:val="center"/>
          </w:tcPr>
          <w:p w:rsidR="00DF0D52" w:rsidRDefault="00DF0D52" w:rsidP="00DF0D52">
            <w:pPr>
              <w:spacing w:after="0"/>
              <w:jc w:val="right"/>
              <w:rPr>
                <w:color w:val="000000"/>
                <w:sz w:val="20"/>
                <w:szCs w:val="20"/>
              </w:rPr>
            </w:pPr>
            <w:r>
              <w:rPr>
                <w:color w:val="000000"/>
                <w:sz w:val="20"/>
                <w:szCs w:val="20"/>
              </w:rPr>
              <w:t>32,0</w:t>
            </w:r>
          </w:p>
        </w:tc>
        <w:tc>
          <w:tcPr>
            <w:tcW w:w="128" w:type="pct"/>
            <w:tcBorders>
              <w:bottom w:val="single" w:sz="4" w:space="0" w:color="auto"/>
            </w:tcBorders>
            <w:shd w:val="clear" w:color="auto" w:fill="auto"/>
            <w:noWrap/>
            <w:vAlign w:val="center"/>
          </w:tcPr>
          <w:p w:rsidR="00DF0D52" w:rsidRPr="00DF0D52" w:rsidRDefault="00DF0D52" w:rsidP="00D11E5C">
            <w:pPr>
              <w:spacing w:after="0"/>
              <w:jc w:val="left"/>
              <w:rPr>
                <w:b/>
                <w:color w:val="000000"/>
                <w:sz w:val="20"/>
                <w:szCs w:val="20"/>
              </w:rPr>
            </w:pPr>
          </w:p>
        </w:tc>
        <w:tc>
          <w:tcPr>
            <w:tcW w:w="102" w:type="pct"/>
            <w:tcBorders>
              <w:bottom w:val="single" w:sz="4" w:space="0" w:color="auto"/>
            </w:tcBorders>
            <w:shd w:val="clear" w:color="auto" w:fill="auto"/>
            <w:noWrap/>
            <w:vAlign w:val="center"/>
          </w:tcPr>
          <w:p w:rsidR="00DF0D52" w:rsidRPr="00DF0D52" w:rsidRDefault="00DF0D52" w:rsidP="00D11E5C">
            <w:pPr>
              <w:spacing w:after="0"/>
              <w:jc w:val="left"/>
              <w:rPr>
                <w:b/>
                <w:color w:val="000000"/>
                <w:sz w:val="20"/>
                <w:szCs w:val="20"/>
              </w:rPr>
            </w:pPr>
            <w:r w:rsidRPr="00DF0D52">
              <w:rPr>
                <w:b/>
                <w:color w:val="000000"/>
                <w:sz w:val="20"/>
                <w:szCs w:val="20"/>
              </w:rPr>
              <w:t>b</w:t>
            </w:r>
          </w:p>
        </w:tc>
        <w:tc>
          <w:tcPr>
            <w:tcW w:w="102" w:type="pct"/>
            <w:shd w:val="clear" w:color="auto" w:fill="auto"/>
            <w:noWrap/>
            <w:vAlign w:val="center"/>
          </w:tcPr>
          <w:p w:rsidR="00DF0D52" w:rsidRPr="00AC7E06" w:rsidRDefault="00DF0D52" w:rsidP="00DF0D52">
            <w:pPr>
              <w:spacing w:after="0"/>
              <w:rPr>
                <w:sz w:val="20"/>
                <w:szCs w:val="20"/>
              </w:rPr>
            </w:pPr>
          </w:p>
        </w:tc>
        <w:tc>
          <w:tcPr>
            <w:tcW w:w="779" w:type="pct"/>
            <w:tcBorders>
              <w:bottom w:val="single" w:sz="4" w:space="0" w:color="auto"/>
            </w:tcBorders>
            <w:shd w:val="clear" w:color="auto" w:fill="auto"/>
            <w:vAlign w:val="center"/>
          </w:tcPr>
          <w:p w:rsidR="00DF0D52" w:rsidRPr="00AC7E06" w:rsidRDefault="00083ED9" w:rsidP="00DF0D52">
            <w:pPr>
              <w:spacing w:after="0"/>
              <w:rPr>
                <w:sz w:val="20"/>
                <w:szCs w:val="20"/>
              </w:rPr>
            </w:pPr>
            <w:r w:rsidRPr="004570EB">
              <w:rPr>
                <w:sz w:val="20"/>
                <w:szCs w:val="20"/>
              </w:rPr>
              <w:t xml:space="preserve">Est. fenol. </w:t>
            </w:r>
            <w:r>
              <w:rPr>
                <w:sz w:val="20"/>
                <w:szCs w:val="20"/>
              </w:rPr>
              <w:t>D/E</w:t>
            </w:r>
          </w:p>
        </w:tc>
        <w:tc>
          <w:tcPr>
            <w:tcW w:w="764" w:type="pct"/>
            <w:tcBorders>
              <w:bottom w:val="single" w:sz="4" w:space="0" w:color="auto"/>
            </w:tcBorders>
            <w:shd w:val="clear" w:color="auto" w:fill="auto"/>
            <w:vAlign w:val="center"/>
          </w:tcPr>
          <w:p w:rsidR="00DF0D52" w:rsidRPr="00AC7E06" w:rsidRDefault="00DF0D52" w:rsidP="00DF0D52">
            <w:pPr>
              <w:spacing w:after="0"/>
              <w:rPr>
                <w:sz w:val="20"/>
                <w:szCs w:val="20"/>
              </w:rPr>
            </w:pPr>
            <w:r w:rsidRPr="00AC7E06">
              <w:rPr>
                <w:sz w:val="20"/>
                <w:szCs w:val="20"/>
              </w:rPr>
              <w:t>água</w:t>
            </w:r>
          </w:p>
        </w:tc>
        <w:tc>
          <w:tcPr>
            <w:tcW w:w="586" w:type="pct"/>
            <w:tcBorders>
              <w:bottom w:val="single" w:sz="4" w:space="0" w:color="auto"/>
            </w:tcBorders>
            <w:shd w:val="clear" w:color="auto" w:fill="auto"/>
            <w:vAlign w:val="center"/>
          </w:tcPr>
          <w:p w:rsidR="00DF0D52" w:rsidRPr="00AC7E06" w:rsidRDefault="00DF0D52" w:rsidP="00DF0D52">
            <w:pPr>
              <w:spacing w:after="0"/>
              <w:jc w:val="right"/>
              <w:rPr>
                <w:sz w:val="20"/>
                <w:szCs w:val="20"/>
              </w:rPr>
            </w:pPr>
            <w:r w:rsidRPr="00AC7E06">
              <w:rPr>
                <w:sz w:val="20"/>
                <w:szCs w:val="20"/>
              </w:rPr>
              <w:t>47,8</w:t>
            </w:r>
          </w:p>
        </w:tc>
        <w:tc>
          <w:tcPr>
            <w:tcW w:w="100" w:type="pct"/>
            <w:tcBorders>
              <w:bottom w:val="single" w:sz="4" w:space="0" w:color="auto"/>
            </w:tcBorders>
            <w:shd w:val="clear" w:color="auto" w:fill="auto"/>
            <w:vAlign w:val="center"/>
          </w:tcPr>
          <w:p w:rsidR="00DF0D52" w:rsidRPr="00DF0D52" w:rsidRDefault="00DF0D52" w:rsidP="00DF0D52">
            <w:pPr>
              <w:spacing w:after="0"/>
              <w:rPr>
                <w:b/>
                <w:sz w:val="20"/>
                <w:szCs w:val="20"/>
              </w:rPr>
            </w:pPr>
          </w:p>
        </w:tc>
        <w:tc>
          <w:tcPr>
            <w:tcW w:w="100" w:type="pct"/>
            <w:tcBorders>
              <w:bottom w:val="single" w:sz="4" w:space="0" w:color="auto"/>
            </w:tcBorders>
            <w:shd w:val="clear" w:color="auto" w:fill="auto"/>
            <w:vAlign w:val="center"/>
          </w:tcPr>
          <w:p w:rsidR="00DF0D52" w:rsidRPr="00DF0D52" w:rsidRDefault="00DF0D52" w:rsidP="00DF0D52">
            <w:pPr>
              <w:spacing w:after="0"/>
              <w:rPr>
                <w:b/>
                <w:sz w:val="20"/>
                <w:szCs w:val="20"/>
              </w:rPr>
            </w:pPr>
          </w:p>
        </w:tc>
        <w:tc>
          <w:tcPr>
            <w:tcW w:w="95" w:type="pct"/>
            <w:tcBorders>
              <w:bottom w:val="single" w:sz="4" w:space="0" w:color="auto"/>
            </w:tcBorders>
            <w:shd w:val="clear" w:color="auto" w:fill="auto"/>
            <w:vAlign w:val="center"/>
          </w:tcPr>
          <w:p w:rsidR="00DF0D52" w:rsidRPr="00DF0D52" w:rsidRDefault="00DF0D52" w:rsidP="00DF0D52">
            <w:pPr>
              <w:spacing w:after="0"/>
              <w:rPr>
                <w:b/>
                <w:sz w:val="20"/>
                <w:szCs w:val="20"/>
              </w:rPr>
            </w:pPr>
          </w:p>
        </w:tc>
        <w:tc>
          <w:tcPr>
            <w:tcW w:w="99" w:type="pct"/>
            <w:tcBorders>
              <w:bottom w:val="single" w:sz="4" w:space="0" w:color="auto"/>
            </w:tcBorders>
            <w:shd w:val="clear" w:color="auto" w:fill="auto"/>
            <w:vAlign w:val="center"/>
          </w:tcPr>
          <w:p w:rsidR="00DF0D52" w:rsidRPr="00DF0D52" w:rsidRDefault="00DF0D52" w:rsidP="00DF0D52">
            <w:pPr>
              <w:spacing w:after="0"/>
              <w:rPr>
                <w:b/>
                <w:sz w:val="20"/>
                <w:szCs w:val="20"/>
              </w:rPr>
            </w:pPr>
            <w:r w:rsidRPr="00DF0D52">
              <w:rPr>
                <w:b/>
                <w:sz w:val="20"/>
                <w:szCs w:val="20"/>
              </w:rPr>
              <w:t>d</w:t>
            </w:r>
          </w:p>
        </w:tc>
      </w:tr>
    </w:tbl>
    <w:p w:rsidR="00080373" w:rsidRDefault="00080373" w:rsidP="00DF0D52">
      <w:pPr>
        <w:spacing w:after="0"/>
      </w:pPr>
    </w:p>
    <w:p w:rsidR="00080373" w:rsidRPr="00080373" w:rsidRDefault="00080373" w:rsidP="00DF0D52">
      <w:pPr>
        <w:spacing w:after="0"/>
        <w:sectPr w:rsidR="00080373" w:rsidRPr="00080373" w:rsidSect="00277AB0">
          <w:pgSz w:w="16838" w:h="11906" w:orient="landscape"/>
          <w:pgMar w:top="1418" w:right="1418" w:bottom="1418" w:left="1418" w:header="709" w:footer="709" w:gutter="0"/>
          <w:cols w:space="708"/>
          <w:docGrid w:linePitch="360"/>
        </w:sectPr>
      </w:pPr>
    </w:p>
    <w:p w:rsidR="00597BE2" w:rsidRDefault="0072156F" w:rsidP="0072156F">
      <w:pPr>
        <w:pStyle w:val="Ttulo1"/>
      </w:pPr>
      <w:bookmarkStart w:id="80" w:name="_Toc264890312"/>
      <w:r w:rsidRPr="0072156F">
        <w:lastRenderedPageBreak/>
        <w:t>Conclusões</w:t>
      </w:r>
      <w:bookmarkEnd w:id="80"/>
    </w:p>
    <w:p w:rsidR="00537A57" w:rsidRDefault="008A5E69" w:rsidP="008A5E69">
      <w:r>
        <w:t xml:space="preserve">A análise epidemiológica de </w:t>
      </w:r>
      <w:r w:rsidR="00016F11" w:rsidRPr="00016F11">
        <w:rPr>
          <w:i/>
        </w:rPr>
        <w:t>Botryosphaeria</w:t>
      </w:r>
      <w:r w:rsidRPr="008A5E69">
        <w:t>ceae na parcela em estudo, efec</w:t>
      </w:r>
      <w:r w:rsidR="00AE3551">
        <w:t xml:space="preserve">tuada ao longo de um ano e meio </w:t>
      </w:r>
      <w:r w:rsidRPr="008A5E69">
        <w:t>(Jan</w:t>
      </w:r>
      <w:r w:rsidR="00F02BF9">
        <w:t>.</w:t>
      </w:r>
      <w:r w:rsidRPr="008A5E69">
        <w:t xml:space="preserve"> 2008 a Jun</w:t>
      </w:r>
      <w:r w:rsidR="00F02BF9">
        <w:t xml:space="preserve">. </w:t>
      </w:r>
      <w:r w:rsidRPr="008A5E69">
        <w:t>2009</w:t>
      </w:r>
      <w:r w:rsidRPr="007D027C">
        <w:t>)</w:t>
      </w:r>
      <w:r w:rsidR="00B27274" w:rsidRPr="007D027C">
        <w:t xml:space="preserve"> evidenciou</w:t>
      </w:r>
      <w:r w:rsidRPr="007D027C">
        <w:t xml:space="preserve"> </w:t>
      </w:r>
      <w:r w:rsidR="009D4B3A" w:rsidRPr="007D027C">
        <w:t xml:space="preserve">que </w:t>
      </w:r>
      <w:r w:rsidR="00537A57" w:rsidRPr="007D027C">
        <w:t>a captura</w:t>
      </w:r>
      <w:r w:rsidR="00537A57">
        <w:t xml:space="preserve"> de esporos </w:t>
      </w:r>
      <w:r w:rsidR="00016F11" w:rsidRPr="00016F11">
        <w:rPr>
          <w:i/>
        </w:rPr>
        <w:t>Botryosphaeria</w:t>
      </w:r>
      <w:r w:rsidR="00537A57" w:rsidRPr="008A5E69">
        <w:t>ceae</w:t>
      </w:r>
      <w:r w:rsidR="00537A57">
        <w:t xml:space="preserve"> é determinada pela ocorrên</w:t>
      </w:r>
      <w:r w:rsidR="00AE3551">
        <w:t>cia de períodos de precipitação,</w:t>
      </w:r>
      <w:r w:rsidR="00537A57">
        <w:t xml:space="preserve"> sendo a via aérea</w:t>
      </w:r>
      <w:r w:rsidR="00483A59">
        <w:t>,</w:t>
      </w:r>
      <w:r w:rsidR="00537A57">
        <w:t xml:space="preserve"> uma das formas de dispersão de esporos.</w:t>
      </w:r>
    </w:p>
    <w:p w:rsidR="00483A59" w:rsidRDefault="00537A57" w:rsidP="00AE3551">
      <w:r w:rsidRPr="007D027C">
        <w:t xml:space="preserve">Estes resultados realçam a </w:t>
      </w:r>
      <w:r w:rsidR="00AE3551" w:rsidRPr="007D027C">
        <w:t xml:space="preserve">grande </w:t>
      </w:r>
      <w:r w:rsidRPr="007D027C">
        <w:t xml:space="preserve">importância </w:t>
      </w:r>
      <w:r w:rsidR="00AE3551" w:rsidRPr="007D027C">
        <w:t xml:space="preserve">do período </w:t>
      </w:r>
      <w:r w:rsidR="00C73336" w:rsidRPr="007D027C">
        <w:t>em que normalmente ocorre</w:t>
      </w:r>
      <w:r w:rsidR="00AE3551" w:rsidRPr="007D027C">
        <w:t xml:space="preserve"> precipitação</w:t>
      </w:r>
      <w:r w:rsidR="00C73336" w:rsidRPr="007D027C">
        <w:t xml:space="preserve"> </w:t>
      </w:r>
      <w:r w:rsidR="00AE3551" w:rsidRPr="007D027C">
        <w:t>(</w:t>
      </w:r>
      <w:r w:rsidR="00C73336" w:rsidRPr="007D027C">
        <w:t xml:space="preserve">Inverno e </w:t>
      </w:r>
      <w:r w:rsidR="00AE3551" w:rsidRPr="007D027C">
        <w:t>princípio</w:t>
      </w:r>
      <w:r w:rsidR="00C73336" w:rsidRPr="007D027C">
        <w:t xml:space="preserve"> da Primavera</w:t>
      </w:r>
      <w:r w:rsidR="00AE3551" w:rsidRPr="007D027C">
        <w:t>)</w:t>
      </w:r>
      <w:r w:rsidR="00C73336" w:rsidRPr="007D027C">
        <w:t xml:space="preserve"> e</w:t>
      </w:r>
      <w:r w:rsidR="00AE3551" w:rsidRPr="007D027C">
        <w:t>m</w:t>
      </w:r>
      <w:r w:rsidR="00C73336" w:rsidRPr="007D027C">
        <w:t xml:space="preserve"> </w:t>
      </w:r>
      <w:r w:rsidR="00AE3551" w:rsidRPr="007D027C">
        <w:t>simultâneo com</w:t>
      </w:r>
      <w:r w:rsidR="00C73336" w:rsidRPr="007D027C">
        <w:t xml:space="preserve"> a elevada susceptibilidade das feridas da poda e dos primeiros estados fenológicos do ciclo vegetativo.</w:t>
      </w:r>
    </w:p>
    <w:p w:rsidR="00483A59" w:rsidRDefault="00483A59" w:rsidP="00483A59">
      <w:r>
        <w:t xml:space="preserve">No ensaio de campo contra </w:t>
      </w:r>
      <w:r w:rsidRPr="00512B11">
        <w:t xml:space="preserve">o “black dead arm” e de </w:t>
      </w:r>
      <w:r>
        <w:t>escoriose da videira, alguns resultados apurados são ainda inconclusivos necessitando de ser comprovados nos próximos anos do ensaio. O</w:t>
      </w:r>
      <w:r>
        <w:rPr>
          <w:sz w:val="24"/>
        </w:rPr>
        <w:t>correu</w:t>
      </w:r>
      <w:r w:rsidRPr="007516FB">
        <w:rPr>
          <w:sz w:val="24"/>
        </w:rPr>
        <w:t xml:space="preserve"> uma</w:t>
      </w:r>
      <w:r w:rsidRPr="007516FB">
        <w:t xml:space="preserve"> tendência para que o tratamento no estado fenológico D/E seja o que maior redução cau</w:t>
      </w:r>
      <w:r>
        <w:t xml:space="preserve">sa nas incidências das doenças e </w:t>
      </w:r>
      <w:r w:rsidRPr="007516FB">
        <w:t>os três fungicidas mais eficazes foram o difenoconazol, tebuconazol e o oxicloreto de cobre. Quanto ao efeito conjunto da época de aplicação e do tratamento f</w:t>
      </w:r>
      <w:r>
        <w:t>ungicida, os resultados obtidos</w:t>
      </w:r>
      <w:r w:rsidRPr="007516FB">
        <w:t xml:space="preserve"> são ainda </w:t>
      </w:r>
      <w:r>
        <w:t>incipientes</w:t>
      </w:r>
      <w:r w:rsidRPr="007516FB">
        <w:t xml:space="preserve">. </w:t>
      </w:r>
    </w:p>
    <w:p w:rsidR="00554179" w:rsidRDefault="00483A59" w:rsidP="00483A59">
      <w:r w:rsidRPr="007516FB">
        <w:t>Quanto à</w:t>
      </w:r>
      <w:r>
        <w:t xml:space="preserve"> severidade das doenças concluiu</w:t>
      </w:r>
      <w:r w:rsidRPr="007516FB">
        <w:t>-se que</w:t>
      </w:r>
      <w:r>
        <w:t xml:space="preserve"> não se extraiu</w:t>
      </w:r>
      <w:r w:rsidRPr="007516FB">
        <w:t xml:space="preserve"> qualquer variação positiva com a realização de dois tratamentos á vinha sendo necessário confirmar este resultado no terceiro ano de ensaio. Relativamente ao efeito do tratamento (fungicida) verificou-se que o difenoconazol, o ciprodinil+fludioxonil e o oxicloreto de cobre foram os que</w:t>
      </w:r>
      <w:r>
        <w:t>,</w:t>
      </w:r>
      <w:r w:rsidRPr="007516FB">
        <w:t xml:space="preserve"> maior eficácia demonstraram na redução da severidade das doenças. </w:t>
      </w:r>
    </w:p>
    <w:p w:rsidR="00483A59" w:rsidRDefault="00483A59" w:rsidP="00483A59">
      <w:r w:rsidRPr="007516FB">
        <w:t>Relativamente ao efeito conjunto da época de aplic</w:t>
      </w:r>
      <w:r w:rsidR="00DF18CF">
        <w:t xml:space="preserve">ação e do tratamento fungicida verificou-se, </w:t>
      </w:r>
      <w:r w:rsidRPr="007516FB">
        <w:t xml:space="preserve">em 2009, </w:t>
      </w:r>
      <w:r w:rsidR="00DF18CF">
        <w:t xml:space="preserve">que </w:t>
      </w:r>
      <w:r w:rsidRPr="007516FB">
        <w:t>o oxicloreto de cobre aplicado à poda, o ciprodinil+fludioxonil aplicado à poda e no estado fenológico D/E ou apenas no estado fenológico D/E e o difenoconazol aplicado à poda e no estado fenológico D/E foram os tratamentos que mais significativamente reduziram a severidade das doenças.</w:t>
      </w:r>
    </w:p>
    <w:p w:rsidR="00537A57" w:rsidRDefault="00DF18CF" w:rsidP="008A5E69">
      <w:r>
        <w:t xml:space="preserve">Como proposta de estudos futuros, e tendo em conta os resultados do presente trabalho, sugere-se a continuidade do ensaio de campo contra a </w:t>
      </w:r>
      <w:r w:rsidR="00016F11" w:rsidRPr="00016F11">
        <w:rPr>
          <w:i/>
        </w:rPr>
        <w:t>Botryosphaeria</w:t>
      </w:r>
      <w:r w:rsidR="00F02BF9">
        <w:t>ceae</w:t>
      </w:r>
      <w:r>
        <w:t xml:space="preserve"> e </w:t>
      </w:r>
      <w:r w:rsidRPr="00DF18CF">
        <w:rPr>
          <w:i/>
        </w:rPr>
        <w:t>Phomopsis viticola</w:t>
      </w:r>
      <w:r>
        <w:t xml:space="preserve"> c</w:t>
      </w:r>
      <w:r w:rsidR="00983896">
        <w:t>om vista ao apuramento de resultados</w:t>
      </w:r>
      <w:r w:rsidR="00F02BF9">
        <w:t xml:space="preserve"> mais robusto</w:t>
      </w:r>
      <w:r>
        <w:t>s.</w:t>
      </w:r>
    </w:p>
    <w:p w:rsidR="00DF18CF" w:rsidRDefault="00DF18CF" w:rsidP="008A5E69">
      <w:r>
        <w:t>Sugere-se ainda um estudo mais detalhada que relacione as condições meteorológicas, a captura de esporos, o período de incubação das doenças e a existência de correlações entre estes parâmetros</w:t>
      </w:r>
      <w:r w:rsidR="00F02BF9">
        <w:t xml:space="preserve"> de forma a esclarecer aspectos relativos à epidemiologia de </w:t>
      </w:r>
      <w:r w:rsidR="00016F11" w:rsidRPr="00016F11">
        <w:rPr>
          <w:i/>
        </w:rPr>
        <w:t>Botryosphaeria</w:t>
      </w:r>
      <w:r w:rsidR="00F02BF9">
        <w:t>ceae</w:t>
      </w:r>
      <w:r>
        <w:t>.</w:t>
      </w:r>
    </w:p>
    <w:p w:rsidR="009D2BFD" w:rsidRDefault="009D2BFD" w:rsidP="008A5E69"/>
    <w:p w:rsidR="009D2BFD" w:rsidRDefault="009D2BFD" w:rsidP="009D2BFD">
      <w:pPr>
        <w:pStyle w:val="Ttulo1"/>
        <w:rPr>
          <w:lang w:val="en-US"/>
        </w:rPr>
      </w:pPr>
      <w:bookmarkStart w:id="81" w:name="_Toc264890313"/>
      <w:r>
        <w:rPr>
          <w:lang w:val="en-US"/>
        </w:rPr>
        <w:lastRenderedPageBreak/>
        <w:t>Bibliografia</w:t>
      </w:r>
      <w:bookmarkEnd w:id="81"/>
    </w:p>
    <w:p w:rsidR="000A6E4F" w:rsidRPr="00682354" w:rsidRDefault="00B62490" w:rsidP="000A6E4F">
      <w:pPr>
        <w:autoSpaceDE w:val="0"/>
        <w:autoSpaceDN w:val="0"/>
        <w:adjustRightInd w:val="0"/>
        <w:spacing w:after="0" w:line="240" w:lineRule="auto"/>
        <w:rPr>
          <w:sz w:val="20"/>
          <w:szCs w:val="20"/>
        </w:rPr>
      </w:pPr>
      <w:r>
        <w:rPr>
          <w:sz w:val="20"/>
          <w:szCs w:val="20"/>
          <w:lang w:val="en-US"/>
        </w:rPr>
        <w:t>Ahimera, N.,</w:t>
      </w:r>
      <w:r w:rsidR="000A6E4F" w:rsidRPr="00682354">
        <w:rPr>
          <w:sz w:val="20"/>
          <w:szCs w:val="20"/>
          <w:lang w:val="en-US"/>
        </w:rPr>
        <w:t xml:space="preserve"> Driever, G.F., Michailides, T.J. 2003. Relationships among propagule numbers of </w:t>
      </w:r>
      <w:r w:rsidR="000A6E4F" w:rsidRPr="00682354">
        <w:rPr>
          <w:i/>
          <w:iCs/>
          <w:sz w:val="20"/>
          <w:szCs w:val="20"/>
          <w:lang w:val="en-US"/>
        </w:rPr>
        <w:t>Botryosphaeria</w:t>
      </w:r>
      <w:r w:rsidR="000A6E4F" w:rsidRPr="00682354">
        <w:rPr>
          <w:sz w:val="20"/>
          <w:szCs w:val="20"/>
          <w:lang w:val="en-US"/>
        </w:rPr>
        <w:t xml:space="preserve"> </w:t>
      </w:r>
      <w:r w:rsidR="000A6E4F" w:rsidRPr="00682354">
        <w:rPr>
          <w:i/>
          <w:iCs/>
          <w:sz w:val="20"/>
          <w:szCs w:val="20"/>
          <w:lang w:val="en-US"/>
        </w:rPr>
        <w:t>dothidea</w:t>
      </w:r>
      <w:r w:rsidR="000A6E4F" w:rsidRPr="00682354">
        <w:rPr>
          <w:sz w:val="20"/>
          <w:szCs w:val="20"/>
          <w:lang w:val="en-US"/>
        </w:rPr>
        <w:t xml:space="preserve">, latent infections, and severity of panicle and shoot blight in pistachio orchards. </w:t>
      </w:r>
      <w:r w:rsidR="000A6E4F" w:rsidRPr="00682354">
        <w:rPr>
          <w:i/>
          <w:iCs/>
          <w:sz w:val="20"/>
          <w:szCs w:val="20"/>
        </w:rPr>
        <w:t xml:space="preserve">Plant Disease </w:t>
      </w:r>
      <w:r w:rsidR="000A6E4F" w:rsidRPr="00682354">
        <w:rPr>
          <w:sz w:val="20"/>
          <w:szCs w:val="20"/>
        </w:rPr>
        <w:t xml:space="preserve">87: 846-853. </w:t>
      </w:r>
    </w:p>
    <w:p w:rsidR="000A6E4F" w:rsidRPr="00682354" w:rsidRDefault="000A6E4F" w:rsidP="000A6E4F">
      <w:pPr>
        <w:autoSpaceDE w:val="0"/>
        <w:autoSpaceDN w:val="0"/>
        <w:adjustRightInd w:val="0"/>
        <w:spacing w:after="0" w:line="240" w:lineRule="auto"/>
        <w:rPr>
          <w:sz w:val="20"/>
          <w:szCs w:val="20"/>
        </w:rPr>
      </w:pPr>
    </w:p>
    <w:p w:rsidR="000A6E4F" w:rsidRPr="00682354" w:rsidRDefault="000A6E4F" w:rsidP="000A6E4F">
      <w:pPr>
        <w:autoSpaceDE w:val="0"/>
        <w:autoSpaceDN w:val="0"/>
        <w:adjustRightInd w:val="0"/>
        <w:spacing w:after="0" w:line="240" w:lineRule="auto"/>
        <w:rPr>
          <w:sz w:val="20"/>
          <w:szCs w:val="20"/>
        </w:rPr>
      </w:pPr>
      <w:r w:rsidRPr="00682354">
        <w:rPr>
          <w:sz w:val="20"/>
          <w:szCs w:val="20"/>
        </w:rPr>
        <w:t xml:space="preserve">Amaro, P., Aboim-Inglez, M., Freitas, J. 2004. Escoriose. In </w:t>
      </w:r>
      <w:r w:rsidRPr="00682354">
        <w:rPr>
          <w:i/>
          <w:sz w:val="20"/>
          <w:szCs w:val="20"/>
        </w:rPr>
        <w:t>Manual Técnico de Protecção Integrada da Vinha na Região Norte</w:t>
      </w:r>
      <w:r w:rsidRPr="00682354">
        <w:rPr>
          <w:sz w:val="20"/>
          <w:szCs w:val="20"/>
        </w:rPr>
        <w:t>. 2.ª ed., Ministério da Agricultura, do Desenvolvimento Rural e das Pescas, 88-91.</w:t>
      </w:r>
    </w:p>
    <w:p w:rsidR="000A6E4F" w:rsidRPr="00682354" w:rsidRDefault="000A6E4F" w:rsidP="000A6E4F">
      <w:pPr>
        <w:autoSpaceDE w:val="0"/>
        <w:autoSpaceDN w:val="0"/>
        <w:adjustRightInd w:val="0"/>
        <w:spacing w:after="0" w:line="240" w:lineRule="auto"/>
        <w:rPr>
          <w:sz w:val="20"/>
          <w:szCs w:val="20"/>
        </w:rPr>
      </w:pPr>
    </w:p>
    <w:p w:rsidR="000A6E4F" w:rsidRPr="00682354" w:rsidRDefault="000A6E4F" w:rsidP="000A6E4F">
      <w:pPr>
        <w:autoSpaceDE w:val="0"/>
        <w:autoSpaceDN w:val="0"/>
        <w:adjustRightInd w:val="0"/>
        <w:spacing w:after="0" w:line="240" w:lineRule="auto"/>
        <w:rPr>
          <w:sz w:val="20"/>
          <w:szCs w:val="20"/>
        </w:rPr>
      </w:pPr>
      <w:r w:rsidRPr="00682354">
        <w:rPr>
          <w:sz w:val="20"/>
          <w:szCs w:val="20"/>
        </w:rPr>
        <w:t xml:space="preserve">Armengol, J., Vincent, A., Torné, L., García-Figueres, F., García-Jiménez, J. 2001. </w:t>
      </w:r>
      <w:r w:rsidRPr="00682354">
        <w:rPr>
          <w:sz w:val="20"/>
          <w:szCs w:val="20"/>
          <w:lang w:val="en-US"/>
        </w:rPr>
        <w:t xml:space="preserve">Fungi associated with esca and grapevine declines in Spain: a three-year survey. </w:t>
      </w:r>
      <w:r w:rsidRPr="00682354">
        <w:rPr>
          <w:i/>
          <w:iCs/>
          <w:sz w:val="20"/>
          <w:szCs w:val="20"/>
        </w:rPr>
        <w:t xml:space="preserve">Phytopathologia Mediterrânea </w:t>
      </w:r>
      <w:r w:rsidRPr="00682354">
        <w:rPr>
          <w:sz w:val="20"/>
          <w:szCs w:val="20"/>
        </w:rPr>
        <w:t>40: S325-S329.</w:t>
      </w:r>
    </w:p>
    <w:p w:rsidR="000A6E4F" w:rsidRPr="00682354" w:rsidRDefault="000A6E4F" w:rsidP="000A6E4F">
      <w:pPr>
        <w:autoSpaceDE w:val="0"/>
        <w:autoSpaceDN w:val="0"/>
        <w:adjustRightInd w:val="0"/>
        <w:spacing w:after="0" w:line="240" w:lineRule="auto"/>
        <w:rPr>
          <w:sz w:val="20"/>
          <w:szCs w:val="20"/>
        </w:rPr>
      </w:pPr>
    </w:p>
    <w:p w:rsidR="000A6E4F" w:rsidRPr="00682354" w:rsidRDefault="000A6E4F" w:rsidP="000A6E4F">
      <w:pPr>
        <w:pStyle w:val="NormalWeb"/>
        <w:spacing w:before="0" w:beforeAutospacing="0" w:after="0" w:afterAutospacing="0"/>
        <w:rPr>
          <w:rFonts w:ascii="Arial" w:hAnsi="Arial"/>
          <w:sz w:val="20"/>
          <w:szCs w:val="20"/>
          <w:lang w:val="en-US"/>
        </w:rPr>
      </w:pPr>
      <w:r w:rsidRPr="00682354">
        <w:rPr>
          <w:rFonts w:ascii="Arial" w:hAnsi="Arial"/>
          <w:sz w:val="20"/>
          <w:szCs w:val="20"/>
        </w:rPr>
        <w:t xml:space="preserve">Aroca, A., García-Figueres, F., Bracamonte, L., Luque, J., Raposo, R. </w:t>
      </w:r>
      <w:smartTag w:uri="urn:schemas-microsoft-com:office:smarttags" w:element="metricconverter">
        <w:smartTagPr>
          <w:attr w:name="ProductID" w:val="2006. A"/>
        </w:smartTagPr>
        <w:r w:rsidRPr="00682354">
          <w:rPr>
            <w:rFonts w:ascii="Arial" w:hAnsi="Arial"/>
            <w:sz w:val="20"/>
            <w:szCs w:val="20"/>
          </w:rPr>
          <w:t xml:space="preserve">2006. </w:t>
        </w:r>
        <w:r w:rsidRPr="00682354">
          <w:rPr>
            <w:rFonts w:ascii="Arial" w:hAnsi="Arial"/>
            <w:sz w:val="20"/>
            <w:szCs w:val="20"/>
            <w:lang w:val="en-GB"/>
          </w:rPr>
          <w:t>A</w:t>
        </w:r>
      </w:smartTag>
      <w:r w:rsidRPr="00682354">
        <w:rPr>
          <w:rFonts w:ascii="Arial" w:hAnsi="Arial"/>
          <w:sz w:val="20"/>
          <w:szCs w:val="20"/>
          <w:lang w:val="en-GB"/>
        </w:rPr>
        <w:t xml:space="preserve"> survey of trunk disease pathogens within rootstocks of grapevines in Spain.</w:t>
      </w:r>
      <w:r w:rsidRPr="00682354">
        <w:rPr>
          <w:rFonts w:ascii="Arial" w:hAnsi="Arial"/>
          <w:sz w:val="20"/>
          <w:szCs w:val="20"/>
          <w:lang w:val="en-US"/>
        </w:rPr>
        <w:t xml:space="preserve"> </w:t>
      </w:r>
      <w:r w:rsidRPr="00682354">
        <w:rPr>
          <w:rFonts w:ascii="Arial" w:hAnsi="Arial"/>
          <w:i/>
          <w:sz w:val="20"/>
          <w:szCs w:val="20"/>
          <w:lang w:val="en-US"/>
        </w:rPr>
        <w:t>European Journal Plant Pathology</w:t>
      </w:r>
      <w:r w:rsidRPr="00682354">
        <w:rPr>
          <w:rFonts w:ascii="Arial" w:hAnsi="Arial"/>
          <w:sz w:val="20"/>
          <w:szCs w:val="20"/>
          <w:lang w:val="en-US"/>
        </w:rPr>
        <w:t xml:space="preserve"> 115:195–202.</w:t>
      </w:r>
    </w:p>
    <w:p w:rsidR="000A6E4F" w:rsidRPr="00682354" w:rsidRDefault="000A6E4F" w:rsidP="000A6E4F">
      <w:pPr>
        <w:pStyle w:val="NormalWeb"/>
        <w:rPr>
          <w:rFonts w:ascii="Arial" w:hAnsi="Arial"/>
          <w:sz w:val="20"/>
          <w:szCs w:val="20"/>
          <w:lang w:val="de-DE"/>
        </w:rPr>
      </w:pPr>
      <w:r w:rsidRPr="00682354">
        <w:rPr>
          <w:rFonts w:ascii="Arial" w:hAnsi="Arial"/>
          <w:sz w:val="20"/>
          <w:szCs w:val="20"/>
          <w:lang w:val="en-US"/>
        </w:rPr>
        <w:t>Barr, M.E. 1987. Prodromus to class Loculoascomycetes. Published by the author, Amherst, Massachusetts, USA, 168pp.</w:t>
      </w:r>
    </w:p>
    <w:p w:rsidR="000A6E4F" w:rsidRPr="00682354" w:rsidRDefault="000A6E4F" w:rsidP="000A6E4F">
      <w:pPr>
        <w:autoSpaceDE w:val="0"/>
        <w:autoSpaceDN w:val="0"/>
        <w:adjustRightInd w:val="0"/>
        <w:spacing w:after="0" w:line="240" w:lineRule="auto"/>
        <w:rPr>
          <w:sz w:val="20"/>
          <w:szCs w:val="20"/>
          <w:lang w:val="en-US" w:eastAsia="pt-PT"/>
        </w:rPr>
      </w:pPr>
      <w:r w:rsidRPr="00682354">
        <w:rPr>
          <w:sz w:val="20"/>
          <w:szCs w:val="20"/>
          <w:lang w:val="de-DE" w:eastAsia="pt-PT"/>
        </w:rPr>
        <w:t xml:space="preserve">Barr, M.E. 1972. </w:t>
      </w:r>
      <w:r w:rsidRPr="00682354">
        <w:rPr>
          <w:sz w:val="20"/>
          <w:szCs w:val="20"/>
          <w:lang w:val="en-US" w:eastAsia="pt-PT"/>
        </w:rPr>
        <w:t xml:space="preserve">Preliminary studies on the </w:t>
      </w:r>
      <w:r w:rsidRPr="00682354">
        <w:rPr>
          <w:i/>
          <w:sz w:val="20"/>
          <w:szCs w:val="20"/>
          <w:lang w:val="en-US" w:eastAsia="pt-PT"/>
        </w:rPr>
        <w:t>Dothideales</w:t>
      </w:r>
      <w:r w:rsidRPr="00682354">
        <w:rPr>
          <w:sz w:val="20"/>
          <w:szCs w:val="20"/>
          <w:lang w:val="en-US" w:eastAsia="pt-PT"/>
        </w:rPr>
        <w:t xml:space="preserve"> in temperate North America. Contributions from the University of Michigan Herbarium. 9: 523-638</w:t>
      </w:r>
    </w:p>
    <w:p w:rsidR="000A6E4F" w:rsidRPr="00682354" w:rsidRDefault="000A6E4F" w:rsidP="000A6E4F">
      <w:pPr>
        <w:autoSpaceDE w:val="0"/>
        <w:autoSpaceDN w:val="0"/>
        <w:adjustRightInd w:val="0"/>
        <w:spacing w:after="0" w:line="240" w:lineRule="auto"/>
        <w:rPr>
          <w:sz w:val="20"/>
          <w:szCs w:val="20"/>
          <w:lang w:val="en-US" w:eastAsia="pt-PT"/>
        </w:rPr>
      </w:pPr>
    </w:p>
    <w:p w:rsidR="00533D89" w:rsidRPr="00682354" w:rsidRDefault="00533D89" w:rsidP="00533D89">
      <w:pPr>
        <w:autoSpaceDE w:val="0"/>
        <w:autoSpaceDN w:val="0"/>
        <w:adjustRightInd w:val="0"/>
        <w:spacing w:after="0" w:line="240" w:lineRule="auto"/>
        <w:rPr>
          <w:sz w:val="20"/>
          <w:szCs w:val="20"/>
          <w:lang w:eastAsia="pt-PT"/>
        </w:rPr>
      </w:pPr>
      <w:r w:rsidRPr="00682354">
        <w:rPr>
          <w:sz w:val="20"/>
          <w:szCs w:val="20"/>
          <w:lang w:val="en-US"/>
        </w:rPr>
        <w:t>Bayer CropScience Portugal</w:t>
      </w:r>
      <w:r w:rsidR="0007468F" w:rsidRPr="00682354">
        <w:rPr>
          <w:sz w:val="20"/>
          <w:szCs w:val="20"/>
          <w:lang w:val="en-US"/>
        </w:rPr>
        <w:t xml:space="preserve"> (2009).</w:t>
      </w:r>
      <w:r w:rsidRPr="00682354">
        <w:rPr>
          <w:sz w:val="20"/>
          <w:szCs w:val="20"/>
          <w:lang w:val="en-US"/>
        </w:rPr>
        <w:t xml:space="preserve"> </w:t>
      </w:r>
      <w:r w:rsidR="0007468F" w:rsidRPr="00682354">
        <w:rPr>
          <w:sz w:val="20"/>
          <w:szCs w:val="20"/>
          <w:lang w:val="en-US"/>
        </w:rPr>
        <w:t xml:space="preserve"> </w:t>
      </w:r>
      <w:r w:rsidRPr="00682354">
        <w:rPr>
          <w:sz w:val="20"/>
          <w:szCs w:val="20"/>
        </w:rPr>
        <w:t xml:space="preserve">A Escoriose da Videira. </w:t>
      </w:r>
      <w:r w:rsidR="0007468F" w:rsidRPr="00682354">
        <w:rPr>
          <w:sz w:val="20"/>
          <w:szCs w:val="20"/>
          <w:lang w:eastAsia="pt-PT"/>
        </w:rPr>
        <w:t xml:space="preserve">Acedido em 10 de Agosto de 2009, em: </w:t>
      </w:r>
      <w:r w:rsidRPr="00682354">
        <w:rPr>
          <w:sz w:val="20"/>
          <w:szCs w:val="20"/>
          <w:lang w:eastAsia="pt-PT"/>
        </w:rPr>
        <w:t xml:space="preserve">http://www.bayercropscience.pt/internet/empresa/artigo.asp?menu=80&amp;id_artigo=315&amp;seccao=63. </w:t>
      </w:r>
    </w:p>
    <w:p w:rsidR="00533D89" w:rsidRPr="00682354" w:rsidRDefault="00533D89" w:rsidP="00533D89">
      <w:pPr>
        <w:autoSpaceDE w:val="0"/>
        <w:autoSpaceDN w:val="0"/>
        <w:adjustRightInd w:val="0"/>
        <w:spacing w:after="0" w:line="240" w:lineRule="auto"/>
        <w:rPr>
          <w:sz w:val="20"/>
          <w:szCs w:val="20"/>
        </w:rPr>
      </w:pPr>
    </w:p>
    <w:p w:rsidR="000A6E4F" w:rsidRPr="00682354" w:rsidRDefault="000A6E4F" w:rsidP="000A6E4F">
      <w:pPr>
        <w:autoSpaceDE w:val="0"/>
        <w:autoSpaceDN w:val="0"/>
        <w:adjustRightInd w:val="0"/>
        <w:spacing w:after="0" w:line="240" w:lineRule="auto"/>
        <w:rPr>
          <w:sz w:val="20"/>
          <w:szCs w:val="20"/>
          <w:lang w:val="en-US"/>
        </w:rPr>
      </w:pPr>
      <w:r w:rsidRPr="00682354">
        <w:rPr>
          <w:sz w:val="20"/>
          <w:szCs w:val="20"/>
          <w:lang w:val="en-US"/>
        </w:rPr>
        <w:t xml:space="preserve">Bester, W., Crous, P.W., Fourie, P.H. 2007. Evaluation of fungicides as potential grapevine pruning wound protectants against </w:t>
      </w:r>
      <w:r w:rsidRPr="00682354">
        <w:rPr>
          <w:i/>
          <w:iCs/>
          <w:sz w:val="20"/>
          <w:szCs w:val="20"/>
          <w:lang w:val="en-US"/>
        </w:rPr>
        <w:t xml:space="preserve">Botryosphaeria </w:t>
      </w:r>
      <w:r w:rsidRPr="00682354">
        <w:rPr>
          <w:sz w:val="20"/>
          <w:szCs w:val="20"/>
          <w:lang w:val="en-US"/>
        </w:rPr>
        <w:t xml:space="preserve">species. </w:t>
      </w:r>
      <w:r w:rsidRPr="00682354">
        <w:rPr>
          <w:i/>
          <w:iCs/>
          <w:sz w:val="20"/>
          <w:szCs w:val="20"/>
          <w:lang w:val="en-US"/>
        </w:rPr>
        <w:t xml:space="preserve">Australasian Plant Pathology </w:t>
      </w:r>
      <w:r w:rsidRPr="00682354">
        <w:rPr>
          <w:sz w:val="20"/>
          <w:szCs w:val="20"/>
          <w:lang w:val="en-US"/>
        </w:rPr>
        <w:t>36: 73-77.</w:t>
      </w:r>
    </w:p>
    <w:p w:rsidR="000A6E4F" w:rsidRPr="00682354" w:rsidRDefault="000A6E4F" w:rsidP="000A6E4F">
      <w:pPr>
        <w:autoSpaceDE w:val="0"/>
        <w:autoSpaceDN w:val="0"/>
        <w:adjustRightInd w:val="0"/>
        <w:spacing w:after="0" w:line="240" w:lineRule="auto"/>
        <w:rPr>
          <w:sz w:val="20"/>
          <w:szCs w:val="20"/>
          <w:lang w:val="en-US" w:eastAsia="pt-PT"/>
        </w:rPr>
      </w:pPr>
    </w:p>
    <w:p w:rsidR="000A6E4F" w:rsidRPr="00682354" w:rsidRDefault="000A6E4F" w:rsidP="000A6E4F">
      <w:pPr>
        <w:autoSpaceDE w:val="0"/>
        <w:autoSpaceDN w:val="0"/>
        <w:adjustRightInd w:val="0"/>
        <w:spacing w:after="0" w:line="240" w:lineRule="auto"/>
        <w:rPr>
          <w:sz w:val="20"/>
          <w:szCs w:val="20"/>
          <w:lang w:val="en-US" w:eastAsia="pt-PT"/>
        </w:rPr>
      </w:pPr>
      <w:r w:rsidRPr="00682354">
        <w:rPr>
          <w:sz w:val="20"/>
          <w:szCs w:val="20"/>
          <w:lang w:val="en-US" w:eastAsia="pt-PT"/>
        </w:rPr>
        <w:t xml:space="preserve">Bester, W., Fourie, P.H. 2005. Fungicide sensitivity of selected </w:t>
      </w:r>
      <w:r w:rsidRPr="00682354">
        <w:rPr>
          <w:i/>
          <w:iCs/>
          <w:sz w:val="20"/>
          <w:szCs w:val="20"/>
          <w:lang w:val="en-US" w:eastAsia="pt-PT"/>
        </w:rPr>
        <w:t xml:space="preserve">Botryosphaeria </w:t>
      </w:r>
      <w:r w:rsidRPr="00682354">
        <w:rPr>
          <w:sz w:val="20"/>
          <w:szCs w:val="20"/>
          <w:lang w:val="en-US" w:eastAsia="pt-PT"/>
        </w:rPr>
        <w:t xml:space="preserve">species from grapevine. </w:t>
      </w:r>
      <w:r w:rsidRPr="00682354">
        <w:rPr>
          <w:i/>
          <w:iCs/>
          <w:sz w:val="20"/>
          <w:szCs w:val="20"/>
          <w:lang w:val="en-US" w:eastAsia="pt-PT"/>
        </w:rPr>
        <w:t>Phytopathologia</w:t>
      </w:r>
      <w:r w:rsidRPr="00682354">
        <w:rPr>
          <w:sz w:val="20"/>
          <w:szCs w:val="20"/>
          <w:lang w:val="en-US" w:eastAsia="pt-PT"/>
        </w:rPr>
        <w:t xml:space="preserve"> </w:t>
      </w:r>
      <w:r w:rsidRPr="00682354">
        <w:rPr>
          <w:i/>
          <w:iCs/>
          <w:sz w:val="20"/>
          <w:szCs w:val="20"/>
          <w:lang w:val="en-US" w:eastAsia="pt-PT"/>
        </w:rPr>
        <w:t xml:space="preserve">Mediterranea </w:t>
      </w:r>
      <w:r w:rsidRPr="00682354">
        <w:rPr>
          <w:sz w:val="20"/>
          <w:szCs w:val="20"/>
          <w:lang w:val="en-US" w:eastAsia="pt-PT"/>
        </w:rPr>
        <w:t>44:119-119.</w:t>
      </w:r>
    </w:p>
    <w:p w:rsidR="000A6E4F" w:rsidRPr="00682354" w:rsidRDefault="000A6E4F" w:rsidP="000A6E4F">
      <w:pPr>
        <w:autoSpaceDE w:val="0"/>
        <w:autoSpaceDN w:val="0"/>
        <w:adjustRightInd w:val="0"/>
        <w:spacing w:after="0" w:line="240" w:lineRule="auto"/>
        <w:rPr>
          <w:sz w:val="20"/>
          <w:szCs w:val="20"/>
          <w:lang w:val="en-US" w:eastAsia="pt-PT"/>
        </w:rPr>
      </w:pPr>
    </w:p>
    <w:p w:rsidR="000A6E4F" w:rsidRPr="00682354" w:rsidRDefault="000A6E4F" w:rsidP="000A6E4F">
      <w:pPr>
        <w:autoSpaceDE w:val="0"/>
        <w:autoSpaceDN w:val="0"/>
        <w:adjustRightInd w:val="0"/>
        <w:spacing w:after="0" w:line="240" w:lineRule="auto"/>
        <w:rPr>
          <w:sz w:val="20"/>
          <w:szCs w:val="20"/>
          <w:lang w:val="en-US" w:eastAsia="pt-PT"/>
        </w:rPr>
      </w:pPr>
      <w:r w:rsidRPr="00682354">
        <w:rPr>
          <w:sz w:val="20"/>
          <w:szCs w:val="20"/>
          <w:lang w:val="en-US" w:eastAsia="pt-PT"/>
        </w:rPr>
        <w:t xml:space="preserve">Boyer, J.S. 1995. Biochemical and biophysical aspects of water deficits and the predisposition to disease. </w:t>
      </w:r>
      <w:r w:rsidRPr="00682354">
        <w:rPr>
          <w:i/>
          <w:sz w:val="20"/>
          <w:szCs w:val="20"/>
          <w:lang w:val="en-US" w:eastAsia="pt-PT"/>
        </w:rPr>
        <w:t>Annual Review of  Phytopathology</w:t>
      </w:r>
      <w:r w:rsidRPr="00682354">
        <w:rPr>
          <w:sz w:val="20"/>
          <w:szCs w:val="20"/>
          <w:lang w:val="en-US" w:eastAsia="pt-PT"/>
        </w:rPr>
        <w:t xml:space="preserve"> 33:251–274.</w:t>
      </w:r>
    </w:p>
    <w:p w:rsidR="000A6E4F" w:rsidRPr="00682354" w:rsidRDefault="000A6E4F" w:rsidP="000A6E4F">
      <w:pPr>
        <w:autoSpaceDE w:val="0"/>
        <w:autoSpaceDN w:val="0"/>
        <w:adjustRightInd w:val="0"/>
        <w:spacing w:after="0" w:line="240" w:lineRule="auto"/>
        <w:rPr>
          <w:sz w:val="20"/>
          <w:szCs w:val="20"/>
          <w:lang w:val="en-US" w:eastAsia="pt-PT"/>
        </w:rPr>
      </w:pPr>
    </w:p>
    <w:p w:rsidR="000A6E4F" w:rsidRPr="00682354" w:rsidRDefault="000A6E4F" w:rsidP="000A6E4F">
      <w:pPr>
        <w:pStyle w:val="NormalWeb"/>
        <w:spacing w:before="0" w:beforeAutospacing="0" w:after="0" w:afterAutospacing="0"/>
        <w:rPr>
          <w:rFonts w:ascii="Arial" w:hAnsi="Arial"/>
          <w:sz w:val="20"/>
          <w:szCs w:val="20"/>
          <w:lang w:val="en-US"/>
        </w:rPr>
      </w:pPr>
      <w:r w:rsidRPr="00682354">
        <w:rPr>
          <w:rFonts w:ascii="Arial" w:hAnsi="Arial"/>
          <w:sz w:val="20"/>
          <w:szCs w:val="20"/>
          <w:lang w:val="en-US"/>
        </w:rPr>
        <w:t xml:space="preserve">Brown-Rytlewski D.E., McManus, P.S. 2000. Virulence of </w:t>
      </w:r>
      <w:r w:rsidRPr="00682354">
        <w:rPr>
          <w:rFonts w:ascii="Arial" w:hAnsi="Arial"/>
          <w:i/>
          <w:iCs/>
          <w:sz w:val="20"/>
          <w:szCs w:val="20"/>
          <w:lang w:val="en-US"/>
        </w:rPr>
        <w:t xml:space="preserve">Botryosphaeria dothidea </w:t>
      </w:r>
      <w:r w:rsidRPr="00682354">
        <w:rPr>
          <w:rFonts w:ascii="Arial" w:hAnsi="Arial"/>
          <w:sz w:val="20"/>
          <w:szCs w:val="20"/>
          <w:lang w:val="en-US"/>
        </w:rPr>
        <w:t xml:space="preserve">and </w:t>
      </w:r>
      <w:r w:rsidRPr="00682354">
        <w:rPr>
          <w:rFonts w:ascii="Arial" w:hAnsi="Arial"/>
          <w:i/>
          <w:iCs/>
          <w:sz w:val="20"/>
          <w:szCs w:val="20"/>
          <w:lang w:val="en-US"/>
        </w:rPr>
        <w:t>Botryosphaeria obtusa</w:t>
      </w:r>
      <w:r w:rsidRPr="00682354">
        <w:rPr>
          <w:rFonts w:ascii="Arial" w:hAnsi="Arial"/>
          <w:i/>
          <w:sz w:val="20"/>
          <w:szCs w:val="20"/>
          <w:lang w:val="en-US"/>
        </w:rPr>
        <w:t xml:space="preserve"> </w:t>
      </w:r>
      <w:r w:rsidRPr="00682354">
        <w:rPr>
          <w:rFonts w:ascii="Arial" w:hAnsi="Arial"/>
          <w:sz w:val="20"/>
          <w:szCs w:val="20"/>
          <w:lang w:val="en-US"/>
        </w:rPr>
        <w:t>on apple and management of stem cankers with fungicides.</w:t>
      </w:r>
      <w:r w:rsidRPr="00682354">
        <w:rPr>
          <w:rFonts w:ascii="Arial" w:hAnsi="Arial"/>
          <w:i/>
          <w:iCs/>
          <w:sz w:val="20"/>
          <w:szCs w:val="20"/>
          <w:lang w:val="en-US"/>
        </w:rPr>
        <w:t xml:space="preserve"> Plant Disease </w:t>
      </w:r>
      <w:r w:rsidRPr="00682354">
        <w:rPr>
          <w:rFonts w:ascii="Arial" w:hAnsi="Arial"/>
          <w:sz w:val="20"/>
          <w:szCs w:val="20"/>
          <w:lang w:val="en-US"/>
        </w:rPr>
        <w:t>84: 1031–1037.</w:t>
      </w:r>
    </w:p>
    <w:p w:rsidR="000A6E4F" w:rsidRPr="00682354" w:rsidRDefault="000A6E4F" w:rsidP="000A6E4F">
      <w:pPr>
        <w:pStyle w:val="NormalWeb"/>
        <w:rPr>
          <w:rFonts w:ascii="Arial" w:hAnsi="Arial"/>
          <w:sz w:val="20"/>
          <w:szCs w:val="20"/>
          <w:lang w:val="en-US"/>
        </w:rPr>
      </w:pPr>
      <w:r w:rsidRPr="00682354">
        <w:rPr>
          <w:rFonts w:ascii="Arial" w:hAnsi="Arial"/>
          <w:sz w:val="20"/>
          <w:szCs w:val="20"/>
          <w:lang w:val="en-US"/>
        </w:rPr>
        <w:t xml:space="preserve">Bugaret, Y. 1984. </w:t>
      </w:r>
      <w:r w:rsidRPr="00682354">
        <w:rPr>
          <w:rFonts w:ascii="Arial" w:hAnsi="Arial"/>
          <w:i/>
          <w:sz w:val="20"/>
          <w:szCs w:val="20"/>
          <w:lang w:val="en-US"/>
        </w:rPr>
        <w:t xml:space="preserve">L’Excoriose de la vigne: Recherches sur le </w:t>
      </w:r>
      <w:r w:rsidRPr="00682354">
        <w:rPr>
          <w:rFonts w:ascii="Arial" w:hAnsi="Arial"/>
          <w:i/>
          <w:iCs/>
          <w:sz w:val="20"/>
          <w:szCs w:val="20"/>
          <w:lang w:val="en-US"/>
        </w:rPr>
        <w:t>Phomopsis viticola</w:t>
      </w:r>
      <w:r w:rsidRPr="00682354">
        <w:rPr>
          <w:rFonts w:ascii="Arial" w:hAnsi="Arial"/>
          <w:i/>
          <w:sz w:val="20"/>
          <w:szCs w:val="20"/>
          <w:lang w:val="en-US"/>
        </w:rPr>
        <w:t xml:space="preserve"> Sacc., nouvelles possibilities de lutte</w:t>
      </w:r>
      <w:r w:rsidRPr="00682354">
        <w:rPr>
          <w:rFonts w:ascii="Arial" w:hAnsi="Arial"/>
          <w:sz w:val="20"/>
          <w:szCs w:val="20"/>
          <w:lang w:val="en-US"/>
        </w:rPr>
        <w:t>. Ph.D. thesis. University of Bordeaux, France, 163pp.</w:t>
      </w:r>
    </w:p>
    <w:p w:rsidR="000A6E4F" w:rsidRPr="00682354" w:rsidRDefault="000A6E4F" w:rsidP="000A6E4F">
      <w:pPr>
        <w:pStyle w:val="NormalWeb"/>
        <w:rPr>
          <w:rFonts w:ascii="Arial" w:hAnsi="Arial"/>
          <w:sz w:val="20"/>
          <w:szCs w:val="20"/>
          <w:lang w:val="it-IT"/>
        </w:rPr>
      </w:pPr>
      <w:r w:rsidRPr="00682354">
        <w:rPr>
          <w:rFonts w:ascii="Arial" w:hAnsi="Arial"/>
          <w:sz w:val="20"/>
          <w:szCs w:val="20"/>
          <w:lang w:val="en-US"/>
        </w:rPr>
        <w:t xml:space="preserve">Castillo-Pando, M., Somers, A., Green, C.D., Priest, M, Sriskathades, M. 2001. Fungi associated with a dieback of Semillon grapevines in the Hunter Valley of New South Wales. </w:t>
      </w:r>
      <w:r w:rsidRPr="00682354">
        <w:rPr>
          <w:rFonts w:ascii="Arial" w:hAnsi="Arial"/>
          <w:i/>
          <w:iCs/>
          <w:sz w:val="20"/>
          <w:szCs w:val="20"/>
          <w:lang w:val="it-IT"/>
        </w:rPr>
        <w:t xml:space="preserve">Australasian Plant Pathology </w:t>
      </w:r>
      <w:r w:rsidRPr="00682354">
        <w:rPr>
          <w:rFonts w:ascii="Arial" w:hAnsi="Arial"/>
          <w:sz w:val="20"/>
          <w:szCs w:val="20"/>
          <w:lang w:val="it-IT"/>
        </w:rPr>
        <w:t>30: 59-63.</w:t>
      </w:r>
    </w:p>
    <w:p w:rsidR="000A6E4F" w:rsidRPr="00682354" w:rsidRDefault="000A6E4F" w:rsidP="000A6E4F">
      <w:pPr>
        <w:autoSpaceDE w:val="0"/>
        <w:autoSpaceDN w:val="0"/>
        <w:adjustRightInd w:val="0"/>
        <w:spacing w:after="0" w:line="240" w:lineRule="auto"/>
        <w:rPr>
          <w:sz w:val="20"/>
          <w:szCs w:val="20"/>
          <w:lang w:val="en-US"/>
        </w:rPr>
      </w:pPr>
      <w:r w:rsidRPr="00682354">
        <w:rPr>
          <w:sz w:val="20"/>
          <w:szCs w:val="20"/>
          <w:lang w:val="it-IT"/>
        </w:rPr>
        <w:t xml:space="preserve">Cesati, V., De Notaris, G. 1863. Schema di classificazione degli sferiacei italici aschigeri piu’ o meno appartenenti al genere </w:t>
      </w:r>
      <w:r w:rsidRPr="00682354">
        <w:rPr>
          <w:i/>
          <w:iCs/>
          <w:sz w:val="20"/>
          <w:szCs w:val="20"/>
          <w:lang w:val="it-IT"/>
        </w:rPr>
        <w:t xml:space="preserve">Sphaeria </w:t>
      </w:r>
      <w:r w:rsidRPr="00682354">
        <w:rPr>
          <w:sz w:val="20"/>
          <w:szCs w:val="20"/>
          <w:lang w:val="it-IT"/>
        </w:rPr>
        <w:t xml:space="preserve">nell’antico significato attribuitoglide Persoon. </w:t>
      </w:r>
      <w:r w:rsidRPr="00682354">
        <w:rPr>
          <w:sz w:val="20"/>
          <w:szCs w:val="20"/>
          <w:lang w:val="en-US"/>
        </w:rPr>
        <w:t>Comment Soc Crittog Ital 1 4:177–240.</w:t>
      </w:r>
    </w:p>
    <w:p w:rsidR="000A6E4F" w:rsidRPr="00682354" w:rsidRDefault="000A6E4F" w:rsidP="000A6E4F">
      <w:pPr>
        <w:autoSpaceDE w:val="0"/>
        <w:autoSpaceDN w:val="0"/>
        <w:adjustRightInd w:val="0"/>
        <w:spacing w:after="0" w:line="240" w:lineRule="auto"/>
        <w:rPr>
          <w:sz w:val="20"/>
          <w:szCs w:val="20"/>
          <w:lang w:val="en-US"/>
        </w:rPr>
      </w:pPr>
    </w:p>
    <w:p w:rsidR="000A6E4F" w:rsidRPr="00682354" w:rsidRDefault="000A6E4F" w:rsidP="000A6E4F">
      <w:pPr>
        <w:autoSpaceDE w:val="0"/>
        <w:autoSpaceDN w:val="0"/>
        <w:adjustRightInd w:val="0"/>
        <w:spacing w:after="0" w:line="240" w:lineRule="auto"/>
        <w:rPr>
          <w:sz w:val="20"/>
          <w:szCs w:val="20"/>
          <w:lang w:val="en-US"/>
        </w:rPr>
      </w:pPr>
      <w:r w:rsidRPr="00682354">
        <w:rPr>
          <w:sz w:val="20"/>
          <w:szCs w:val="20"/>
          <w:lang w:val="en-US"/>
        </w:rPr>
        <w:t xml:space="preserve">Chamberlain, G.C., Willison, R.S., Townsend, D.J.I., de Ronde, J.H. 1964. Two fungi associated with the dead-arm disease of grapes. </w:t>
      </w:r>
      <w:r w:rsidRPr="00682354">
        <w:rPr>
          <w:i/>
          <w:iCs/>
          <w:sz w:val="20"/>
          <w:szCs w:val="20"/>
          <w:lang w:val="en-US"/>
        </w:rPr>
        <w:t xml:space="preserve">Canadian Journal of Botany </w:t>
      </w:r>
      <w:r w:rsidRPr="00682354">
        <w:rPr>
          <w:sz w:val="20"/>
          <w:szCs w:val="20"/>
          <w:lang w:val="en-US"/>
        </w:rPr>
        <w:t xml:space="preserve">42: 351-355. </w:t>
      </w:r>
    </w:p>
    <w:p w:rsidR="000A6E4F" w:rsidRPr="00682354" w:rsidRDefault="000A6E4F" w:rsidP="000A6E4F">
      <w:pPr>
        <w:autoSpaceDE w:val="0"/>
        <w:autoSpaceDN w:val="0"/>
        <w:adjustRightInd w:val="0"/>
        <w:spacing w:after="0" w:line="240" w:lineRule="auto"/>
        <w:rPr>
          <w:sz w:val="20"/>
          <w:szCs w:val="20"/>
          <w:lang w:val="en-US"/>
        </w:rPr>
      </w:pPr>
    </w:p>
    <w:p w:rsidR="000A6E4F" w:rsidRPr="00682354" w:rsidRDefault="000A6E4F" w:rsidP="000A6E4F">
      <w:pPr>
        <w:autoSpaceDE w:val="0"/>
        <w:autoSpaceDN w:val="0"/>
        <w:adjustRightInd w:val="0"/>
        <w:spacing w:after="0" w:line="240" w:lineRule="auto"/>
        <w:rPr>
          <w:sz w:val="20"/>
          <w:szCs w:val="20"/>
          <w:lang w:val="en-US"/>
        </w:rPr>
      </w:pPr>
      <w:r w:rsidRPr="00682354">
        <w:rPr>
          <w:sz w:val="20"/>
          <w:szCs w:val="20"/>
          <w:lang w:val="en-US"/>
        </w:rPr>
        <w:t xml:space="preserve">Chen, W.Q., Morgan, D.P., Felts, D., Michailides, T.J. 2003. Antagonism of </w:t>
      </w:r>
      <w:r w:rsidRPr="00682354">
        <w:rPr>
          <w:i/>
          <w:iCs/>
          <w:sz w:val="20"/>
          <w:szCs w:val="20"/>
          <w:lang w:val="en-US"/>
        </w:rPr>
        <w:t xml:space="preserve">Paenibacillus lentimorbus </w:t>
      </w:r>
      <w:r w:rsidRPr="00682354">
        <w:rPr>
          <w:sz w:val="20"/>
          <w:szCs w:val="20"/>
          <w:lang w:val="en-US"/>
        </w:rPr>
        <w:t xml:space="preserve">to </w:t>
      </w:r>
      <w:r w:rsidRPr="00682354">
        <w:rPr>
          <w:i/>
          <w:iCs/>
          <w:sz w:val="20"/>
          <w:szCs w:val="20"/>
          <w:lang w:val="en-US"/>
        </w:rPr>
        <w:t xml:space="preserve">Botryosphaeria dothidea </w:t>
      </w:r>
      <w:r w:rsidRPr="00682354">
        <w:rPr>
          <w:sz w:val="20"/>
          <w:szCs w:val="20"/>
          <w:lang w:val="en-US"/>
        </w:rPr>
        <w:t xml:space="preserve">and biological control of panicle and shoot blight of pistachio. </w:t>
      </w:r>
      <w:r w:rsidRPr="00682354">
        <w:rPr>
          <w:i/>
          <w:iCs/>
          <w:sz w:val="20"/>
          <w:szCs w:val="20"/>
          <w:lang w:val="en-US"/>
        </w:rPr>
        <w:t xml:space="preserve">Plant Disease </w:t>
      </w:r>
      <w:r w:rsidRPr="00682354">
        <w:rPr>
          <w:sz w:val="20"/>
          <w:szCs w:val="20"/>
          <w:lang w:val="en-US"/>
        </w:rPr>
        <w:t xml:space="preserve">87:359-365 </w:t>
      </w:r>
    </w:p>
    <w:p w:rsidR="000A6E4F" w:rsidRPr="00682354" w:rsidRDefault="000A6E4F" w:rsidP="000A6E4F">
      <w:pPr>
        <w:autoSpaceDE w:val="0"/>
        <w:autoSpaceDN w:val="0"/>
        <w:adjustRightInd w:val="0"/>
        <w:spacing w:after="0" w:line="240" w:lineRule="auto"/>
        <w:rPr>
          <w:sz w:val="20"/>
          <w:szCs w:val="20"/>
          <w:lang w:val="en-US"/>
        </w:rPr>
      </w:pPr>
    </w:p>
    <w:p w:rsidR="000A6E4F" w:rsidRPr="00682354" w:rsidRDefault="000A6E4F" w:rsidP="000A6E4F">
      <w:pPr>
        <w:autoSpaceDE w:val="0"/>
        <w:autoSpaceDN w:val="0"/>
        <w:adjustRightInd w:val="0"/>
        <w:spacing w:after="0" w:line="240" w:lineRule="auto"/>
        <w:rPr>
          <w:sz w:val="20"/>
          <w:szCs w:val="20"/>
          <w:lang w:val="it-IT"/>
        </w:rPr>
      </w:pPr>
      <w:r w:rsidRPr="00682354">
        <w:rPr>
          <w:sz w:val="20"/>
          <w:szCs w:val="20"/>
          <w:lang w:val="en-US"/>
        </w:rPr>
        <w:lastRenderedPageBreak/>
        <w:t xml:space="preserve">Copes, W.E., Hendrix, Jr. 2004. Effect of temperature on sporulation of </w:t>
      </w:r>
      <w:r w:rsidRPr="00682354">
        <w:rPr>
          <w:i/>
          <w:iCs/>
          <w:sz w:val="20"/>
          <w:szCs w:val="20"/>
          <w:lang w:val="en-US"/>
        </w:rPr>
        <w:t>Botryosphaeria dothidea</w:t>
      </w:r>
      <w:r w:rsidRPr="00682354">
        <w:rPr>
          <w:sz w:val="20"/>
          <w:szCs w:val="20"/>
          <w:lang w:val="en-US"/>
        </w:rPr>
        <w:t xml:space="preserve">, </w:t>
      </w:r>
      <w:r w:rsidRPr="00682354">
        <w:rPr>
          <w:i/>
          <w:iCs/>
          <w:sz w:val="20"/>
          <w:szCs w:val="20"/>
          <w:lang w:val="en-US"/>
        </w:rPr>
        <w:t xml:space="preserve">B. obtusa </w:t>
      </w:r>
      <w:r w:rsidRPr="00682354">
        <w:rPr>
          <w:sz w:val="20"/>
          <w:szCs w:val="20"/>
          <w:lang w:val="en-US"/>
        </w:rPr>
        <w:t xml:space="preserve">and </w:t>
      </w:r>
      <w:r w:rsidRPr="00682354">
        <w:rPr>
          <w:i/>
          <w:iCs/>
          <w:sz w:val="20"/>
          <w:szCs w:val="20"/>
          <w:lang w:val="en-US"/>
        </w:rPr>
        <w:t>B. rhodina</w:t>
      </w:r>
      <w:r w:rsidRPr="00682354">
        <w:rPr>
          <w:sz w:val="20"/>
          <w:szCs w:val="20"/>
          <w:lang w:val="en-US"/>
        </w:rPr>
        <w:t xml:space="preserve">. </w:t>
      </w:r>
      <w:r w:rsidRPr="00682354">
        <w:rPr>
          <w:i/>
          <w:iCs/>
          <w:sz w:val="20"/>
          <w:szCs w:val="20"/>
          <w:lang w:val="it-IT"/>
        </w:rPr>
        <w:t xml:space="preserve">Plant Disease </w:t>
      </w:r>
      <w:r w:rsidRPr="00682354">
        <w:rPr>
          <w:sz w:val="20"/>
          <w:szCs w:val="20"/>
          <w:lang w:val="it-IT"/>
        </w:rPr>
        <w:t xml:space="preserve">88: 292-296. </w:t>
      </w:r>
    </w:p>
    <w:p w:rsidR="000A6E4F" w:rsidRPr="00682354" w:rsidRDefault="000A6E4F" w:rsidP="000A6E4F">
      <w:pPr>
        <w:autoSpaceDE w:val="0"/>
        <w:autoSpaceDN w:val="0"/>
        <w:adjustRightInd w:val="0"/>
        <w:spacing w:after="0" w:line="240" w:lineRule="auto"/>
        <w:rPr>
          <w:sz w:val="20"/>
          <w:szCs w:val="20"/>
          <w:lang w:val="it-IT"/>
        </w:rPr>
      </w:pPr>
    </w:p>
    <w:p w:rsidR="000A6E4F" w:rsidRPr="00682354" w:rsidRDefault="000A6E4F" w:rsidP="000A6E4F">
      <w:pPr>
        <w:autoSpaceDE w:val="0"/>
        <w:autoSpaceDN w:val="0"/>
        <w:adjustRightInd w:val="0"/>
        <w:spacing w:after="0" w:line="240" w:lineRule="auto"/>
        <w:rPr>
          <w:sz w:val="20"/>
          <w:szCs w:val="20"/>
          <w:lang w:val="it-IT" w:eastAsia="pt-PT"/>
        </w:rPr>
      </w:pPr>
      <w:r w:rsidRPr="00682354">
        <w:rPr>
          <w:sz w:val="20"/>
          <w:szCs w:val="20"/>
          <w:lang w:val="it-IT" w:eastAsia="pt-PT"/>
        </w:rPr>
        <w:t xml:space="preserve">Cristinzio, G. 1978. Gravi attacchi di </w:t>
      </w:r>
      <w:r w:rsidRPr="00682354">
        <w:rPr>
          <w:i/>
          <w:iCs/>
          <w:sz w:val="20"/>
          <w:szCs w:val="20"/>
          <w:lang w:val="it-IT" w:eastAsia="pt-PT"/>
        </w:rPr>
        <w:t xml:space="preserve">Botryosphaeria obtusa </w:t>
      </w:r>
      <w:r w:rsidRPr="00682354">
        <w:rPr>
          <w:sz w:val="20"/>
          <w:szCs w:val="20"/>
          <w:lang w:val="it-IT" w:eastAsia="pt-PT"/>
        </w:rPr>
        <w:t xml:space="preserve">su vite in provincial di Insernia. </w:t>
      </w:r>
      <w:r w:rsidRPr="00682354">
        <w:rPr>
          <w:i/>
          <w:iCs/>
          <w:sz w:val="20"/>
          <w:szCs w:val="20"/>
          <w:lang w:val="it-IT" w:eastAsia="pt-PT"/>
        </w:rPr>
        <w:t xml:space="preserve">Informatore Fitopatologico </w:t>
      </w:r>
      <w:r w:rsidRPr="00682354">
        <w:rPr>
          <w:sz w:val="20"/>
          <w:szCs w:val="20"/>
          <w:lang w:val="it-IT" w:eastAsia="pt-PT"/>
        </w:rPr>
        <w:t xml:space="preserve">6: 21-23. </w:t>
      </w:r>
    </w:p>
    <w:p w:rsidR="000A6E4F" w:rsidRPr="00682354" w:rsidRDefault="000A6E4F" w:rsidP="000A6E4F">
      <w:pPr>
        <w:autoSpaceDE w:val="0"/>
        <w:autoSpaceDN w:val="0"/>
        <w:adjustRightInd w:val="0"/>
        <w:spacing w:after="0" w:line="240" w:lineRule="auto"/>
        <w:rPr>
          <w:sz w:val="20"/>
          <w:szCs w:val="20"/>
          <w:lang w:val="it-IT" w:eastAsia="pt-PT"/>
        </w:rPr>
      </w:pPr>
    </w:p>
    <w:p w:rsidR="000A6E4F" w:rsidRPr="00B8770E" w:rsidRDefault="000A6E4F" w:rsidP="000A6E4F">
      <w:pPr>
        <w:autoSpaceDE w:val="0"/>
        <w:autoSpaceDN w:val="0"/>
        <w:adjustRightInd w:val="0"/>
        <w:spacing w:after="0" w:line="240" w:lineRule="auto"/>
        <w:rPr>
          <w:sz w:val="20"/>
          <w:szCs w:val="20"/>
          <w:lang w:val="en-US" w:eastAsia="pt-PT"/>
        </w:rPr>
      </w:pPr>
      <w:r w:rsidRPr="00682354">
        <w:rPr>
          <w:sz w:val="20"/>
          <w:szCs w:val="20"/>
          <w:lang w:val="en-US" w:eastAsia="pt-PT"/>
        </w:rPr>
        <w:t xml:space="preserve">Crous, P.W., Palm, ME. 1999. Reassessment of the anamorph genera </w:t>
      </w:r>
      <w:r w:rsidRPr="00682354">
        <w:rPr>
          <w:i/>
          <w:iCs/>
          <w:sz w:val="20"/>
          <w:szCs w:val="20"/>
          <w:lang w:val="en-US" w:eastAsia="pt-PT"/>
        </w:rPr>
        <w:t xml:space="preserve">Botryodiplodia, Dothiorella </w:t>
      </w:r>
      <w:r w:rsidRPr="00682354">
        <w:rPr>
          <w:sz w:val="20"/>
          <w:szCs w:val="20"/>
          <w:lang w:val="en-US" w:eastAsia="pt-PT"/>
        </w:rPr>
        <w:t xml:space="preserve">and </w:t>
      </w:r>
      <w:r w:rsidRPr="00682354">
        <w:rPr>
          <w:i/>
          <w:iCs/>
          <w:sz w:val="20"/>
          <w:szCs w:val="20"/>
          <w:lang w:val="en-US" w:eastAsia="pt-PT"/>
        </w:rPr>
        <w:t xml:space="preserve">Fusicoccum. </w:t>
      </w:r>
      <w:r w:rsidRPr="00B8770E">
        <w:rPr>
          <w:i/>
          <w:sz w:val="20"/>
          <w:szCs w:val="20"/>
          <w:lang w:val="en-US" w:eastAsia="pt-PT"/>
        </w:rPr>
        <w:t>Sydowia</w:t>
      </w:r>
      <w:r w:rsidRPr="00B8770E">
        <w:rPr>
          <w:sz w:val="20"/>
          <w:szCs w:val="20"/>
          <w:lang w:val="en-US" w:eastAsia="pt-PT"/>
        </w:rPr>
        <w:t xml:space="preserve"> 51:167-175.</w:t>
      </w:r>
    </w:p>
    <w:p w:rsidR="000A6E4F" w:rsidRPr="00B8770E" w:rsidRDefault="000A6E4F" w:rsidP="000A6E4F">
      <w:pPr>
        <w:autoSpaceDE w:val="0"/>
        <w:autoSpaceDN w:val="0"/>
        <w:adjustRightInd w:val="0"/>
        <w:spacing w:after="0" w:line="240" w:lineRule="auto"/>
        <w:rPr>
          <w:sz w:val="20"/>
          <w:szCs w:val="20"/>
          <w:lang w:val="en-US" w:eastAsia="pt-PT"/>
        </w:rPr>
      </w:pPr>
    </w:p>
    <w:p w:rsidR="000A6E4F" w:rsidRPr="00682354" w:rsidRDefault="000A6E4F" w:rsidP="000A6E4F">
      <w:pPr>
        <w:autoSpaceDE w:val="0"/>
        <w:autoSpaceDN w:val="0"/>
        <w:adjustRightInd w:val="0"/>
        <w:spacing w:after="0" w:line="240" w:lineRule="auto"/>
        <w:rPr>
          <w:sz w:val="20"/>
          <w:szCs w:val="20"/>
          <w:lang w:val="en-US"/>
        </w:rPr>
      </w:pPr>
      <w:r w:rsidRPr="00682354">
        <w:rPr>
          <w:sz w:val="20"/>
          <w:szCs w:val="20"/>
          <w:lang w:val="en-US" w:eastAsia="pt-PT"/>
        </w:rPr>
        <w:t>Crous, P.W., Phillips, A.J.L., Baxter, A.P. 2000. Phytopathogenic fungi from South Africa. University of Stellenbosch Printers, Stellenbosch, South Africa, 358 pp.</w:t>
      </w:r>
      <w:r w:rsidRPr="00682354">
        <w:rPr>
          <w:sz w:val="20"/>
          <w:szCs w:val="20"/>
          <w:lang w:val="en-US"/>
        </w:rPr>
        <w:t xml:space="preserve"> </w:t>
      </w:r>
    </w:p>
    <w:p w:rsidR="000A6E4F" w:rsidRPr="00682354" w:rsidRDefault="000A6E4F" w:rsidP="000A6E4F">
      <w:pPr>
        <w:autoSpaceDE w:val="0"/>
        <w:autoSpaceDN w:val="0"/>
        <w:adjustRightInd w:val="0"/>
        <w:spacing w:after="0" w:line="240" w:lineRule="auto"/>
        <w:rPr>
          <w:sz w:val="20"/>
          <w:szCs w:val="20"/>
          <w:lang w:val="en-US" w:eastAsia="pt-PT"/>
        </w:rPr>
      </w:pPr>
    </w:p>
    <w:p w:rsidR="000A6E4F" w:rsidRPr="00682354" w:rsidRDefault="000A6E4F" w:rsidP="000A6E4F">
      <w:pPr>
        <w:autoSpaceDE w:val="0"/>
        <w:autoSpaceDN w:val="0"/>
        <w:adjustRightInd w:val="0"/>
        <w:spacing w:after="0" w:line="240" w:lineRule="auto"/>
        <w:rPr>
          <w:sz w:val="20"/>
          <w:szCs w:val="20"/>
          <w:lang w:val="en-US"/>
        </w:rPr>
      </w:pPr>
      <w:r w:rsidRPr="00682354">
        <w:rPr>
          <w:sz w:val="20"/>
          <w:szCs w:val="20"/>
          <w:lang w:val="en-US"/>
        </w:rPr>
        <w:t xml:space="preserve">Crous, P.W., Slippers, B., Wingfield, M.J., Rheeder, J., Marasas, W.F.O., Phillips, A.J.L., Alves, A., Burgess, T., Barber, P., Groenewald, J.Z. 2006. Phylogenetic lineages in the Botryosphaeriaceae. </w:t>
      </w:r>
      <w:r w:rsidRPr="00682354">
        <w:rPr>
          <w:i/>
          <w:iCs/>
          <w:sz w:val="20"/>
          <w:szCs w:val="20"/>
          <w:lang w:val="en-US"/>
        </w:rPr>
        <w:t xml:space="preserve">Studies in Mycology </w:t>
      </w:r>
      <w:r w:rsidRPr="00682354">
        <w:rPr>
          <w:sz w:val="20"/>
          <w:szCs w:val="20"/>
          <w:lang w:val="en-US"/>
        </w:rPr>
        <w:t>55: 235-253.</w:t>
      </w:r>
    </w:p>
    <w:p w:rsidR="000A6E4F" w:rsidRPr="00682354" w:rsidRDefault="000A6E4F" w:rsidP="000A6E4F">
      <w:pPr>
        <w:autoSpaceDE w:val="0"/>
        <w:autoSpaceDN w:val="0"/>
        <w:adjustRightInd w:val="0"/>
        <w:spacing w:after="0" w:line="240" w:lineRule="auto"/>
        <w:rPr>
          <w:sz w:val="20"/>
          <w:szCs w:val="20"/>
          <w:lang w:val="en-US"/>
        </w:rPr>
      </w:pPr>
    </w:p>
    <w:p w:rsidR="000A6E4F" w:rsidRPr="00682354" w:rsidRDefault="000A6E4F" w:rsidP="000A6E4F">
      <w:pPr>
        <w:autoSpaceDE w:val="0"/>
        <w:autoSpaceDN w:val="0"/>
        <w:adjustRightInd w:val="0"/>
        <w:spacing w:after="0" w:line="240" w:lineRule="auto"/>
        <w:rPr>
          <w:b/>
          <w:bCs/>
          <w:i/>
          <w:iCs/>
          <w:sz w:val="20"/>
          <w:szCs w:val="20"/>
          <w:lang w:val="en-US" w:eastAsia="pt-PT"/>
        </w:rPr>
      </w:pPr>
      <w:r w:rsidRPr="00B8770E">
        <w:rPr>
          <w:bCs/>
          <w:iCs/>
          <w:sz w:val="20"/>
          <w:szCs w:val="20"/>
          <w:lang w:val="en-US" w:eastAsia="pt-PT"/>
        </w:rPr>
        <w:t xml:space="preserve">Cucuzza, J. D., Sall, M. A. 1982. </w:t>
      </w:r>
      <w:r w:rsidRPr="00682354">
        <w:rPr>
          <w:bCs/>
          <w:i/>
          <w:iCs/>
          <w:sz w:val="20"/>
          <w:szCs w:val="20"/>
          <w:lang w:val="en-US" w:eastAsia="pt-PT"/>
        </w:rPr>
        <w:t>Phomopsis</w:t>
      </w:r>
      <w:r w:rsidRPr="00682354">
        <w:rPr>
          <w:bCs/>
          <w:iCs/>
          <w:sz w:val="20"/>
          <w:szCs w:val="20"/>
          <w:lang w:val="en-US" w:eastAsia="pt-PT"/>
        </w:rPr>
        <w:t xml:space="preserve"> cane and leaf spot disease of grapevine: Effect of chemical treatments on inoculum level, disease severity, and yield. </w:t>
      </w:r>
      <w:r w:rsidRPr="00682354">
        <w:rPr>
          <w:bCs/>
          <w:i/>
          <w:iCs/>
          <w:sz w:val="20"/>
          <w:szCs w:val="20"/>
          <w:lang w:val="en-US" w:eastAsia="pt-PT"/>
        </w:rPr>
        <w:t>Plant Disease</w:t>
      </w:r>
      <w:r w:rsidRPr="00682354">
        <w:rPr>
          <w:bCs/>
          <w:iCs/>
          <w:sz w:val="20"/>
          <w:szCs w:val="20"/>
          <w:lang w:val="en-US" w:eastAsia="pt-PT"/>
        </w:rPr>
        <w:t xml:space="preserve"> 66:794-797</w:t>
      </w:r>
    </w:p>
    <w:p w:rsidR="000A6E4F" w:rsidRPr="00682354" w:rsidRDefault="000A6E4F" w:rsidP="000A6E4F">
      <w:pPr>
        <w:autoSpaceDE w:val="0"/>
        <w:autoSpaceDN w:val="0"/>
        <w:adjustRightInd w:val="0"/>
        <w:spacing w:after="0" w:line="240" w:lineRule="auto"/>
        <w:rPr>
          <w:b/>
          <w:bCs/>
          <w:i/>
          <w:iCs/>
          <w:sz w:val="20"/>
          <w:szCs w:val="20"/>
          <w:lang w:val="en-US" w:eastAsia="pt-PT"/>
        </w:rPr>
      </w:pPr>
    </w:p>
    <w:p w:rsidR="000A6E4F" w:rsidRPr="00682354" w:rsidRDefault="000A6E4F" w:rsidP="000A6E4F">
      <w:pPr>
        <w:autoSpaceDE w:val="0"/>
        <w:autoSpaceDN w:val="0"/>
        <w:adjustRightInd w:val="0"/>
        <w:spacing w:after="0" w:line="240" w:lineRule="auto"/>
        <w:rPr>
          <w:sz w:val="20"/>
          <w:szCs w:val="20"/>
          <w:lang w:val="en-US"/>
        </w:rPr>
      </w:pPr>
      <w:r w:rsidRPr="00682354">
        <w:rPr>
          <w:sz w:val="20"/>
          <w:szCs w:val="20"/>
          <w:lang w:val="en-US"/>
        </w:rPr>
        <w:t xml:space="preserve">Decoin, M., 2001. Grapevine products: news on withdrawals and restrictions. </w:t>
      </w:r>
      <w:r w:rsidRPr="00682354">
        <w:rPr>
          <w:i/>
          <w:iCs/>
          <w:sz w:val="20"/>
          <w:szCs w:val="20"/>
          <w:lang w:val="en-US"/>
        </w:rPr>
        <w:t xml:space="preserve">Phytoma </w:t>
      </w:r>
      <w:r w:rsidRPr="00682354">
        <w:rPr>
          <w:iCs/>
          <w:sz w:val="20"/>
          <w:szCs w:val="20"/>
          <w:lang w:val="en-US"/>
        </w:rPr>
        <w:t xml:space="preserve">nº </w:t>
      </w:r>
      <w:r w:rsidRPr="00682354">
        <w:rPr>
          <w:sz w:val="20"/>
          <w:szCs w:val="20"/>
          <w:lang w:val="en-US"/>
        </w:rPr>
        <w:t>543: 28-33.</w:t>
      </w:r>
    </w:p>
    <w:p w:rsidR="000A6E4F" w:rsidRPr="00682354" w:rsidRDefault="000A6E4F" w:rsidP="000A6E4F">
      <w:pPr>
        <w:autoSpaceDE w:val="0"/>
        <w:autoSpaceDN w:val="0"/>
        <w:adjustRightInd w:val="0"/>
        <w:spacing w:after="0" w:line="240" w:lineRule="auto"/>
        <w:rPr>
          <w:sz w:val="20"/>
          <w:szCs w:val="20"/>
          <w:lang w:val="en-US"/>
        </w:rPr>
      </w:pPr>
    </w:p>
    <w:p w:rsidR="000A6E4F" w:rsidRPr="00682354" w:rsidRDefault="000A6E4F" w:rsidP="000A6E4F">
      <w:pPr>
        <w:autoSpaceDE w:val="0"/>
        <w:autoSpaceDN w:val="0"/>
        <w:adjustRightInd w:val="0"/>
        <w:spacing w:after="0" w:line="240" w:lineRule="auto"/>
        <w:rPr>
          <w:sz w:val="20"/>
          <w:szCs w:val="20"/>
          <w:lang w:val="en-US"/>
        </w:rPr>
      </w:pPr>
      <w:r w:rsidRPr="00682354">
        <w:rPr>
          <w:sz w:val="20"/>
          <w:szCs w:val="20"/>
          <w:lang w:val="en-US"/>
        </w:rPr>
        <w:t xml:space="preserve">Denman, S., Crous, P.W., Taylor, J.E., Kang, J-C, Pascoe, I., Wingfield, M.J. 2000. An overview of the taxonomic history of </w:t>
      </w:r>
      <w:r w:rsidRPr="00682354">
        <w:rPr>
          <w:i/>
          <w:iCs/>
          <w:sz w:val="20"/>
          <w:szCs w:val="20"/>
          <w:lang w:val="en-US"/>
        </w:rPr>
        <w:t xml:space="preserve">Botryosphaeria, </w:t>
      </w:r>
      <w:r w:rsidRPr="00682354">
        <w:rPr>
          <w:sz w:val="20"/>
          <w:szCs w:val="20"/>
          <w:lang w:val="en-US"/>
        </w:rPr>
        <w:t xml:space="preserve">and a re-evaluation of its anamorphs based on morphology and ITS rDNA phylogeny. </w:t>
      </w:r>
      <w:r w:rsidRPr="00682354">
        <w:rPr>
          <w:i/>
          <w:iCs/>
          <w:sz w:val="20"/>
          <w:szCs w:val="20"/>
          <w:lang w:val="en-US"/>
        </w:rPr>
        <w:t xml:space="preserve">Studies in Mycology </w:t>
      </w:r>
      <w:r w:rsidRPr="00682354">
        <w:rPr>
          <w:sz w:val="20"/>
          <w:szCs w:val="20"/>
          <w:lang w:val="en-US"/>
        </w:rPr>
        <w:t>45:129-140.</w:t>
      </w:r>
    </w:p>
    <w:p w:rsidR="000A6E4F" w:rsidRPr="00682354" w:rsidRDefault="000A6E4F" w:rsidP="000A6E4F">
      <w:pPr>
        <w:autoSpaceDE w:val="0"/>
        <w:autoSpaceDN w:val="0"/>
        <w:adjustRightInd w:val="0"/>
        <w:spacing w:after="0" w:line="240" w:lineRule="auto"/>
        <w:rPr>
          <w:sz w:val="20"/>
          <w:szCs w:val="20"/>
          <w:lang w:val="en-US"/>
        </w:rPr>
      </w:pPr>
    </w:p>
    <w:p w:rsidR="000A6E4F" w:rsidRPr="00682354" w:rsidRDefault="000A6E4F" w:rsidP="000A6E4F">
      <w:pPr>
        <w:autoSpaceDE w:val="0"/>
        <w:autoSpaceDN w:val="0"/>
        <w:adjustRightInd w:val="0"/>
        <w:spacing w:after="0" w:line="240" w:lineRule="auto"/>
        <w:rPr>
          <w:sz w:val="20"/>
          <w:szCs w:val="20"/>
          <w:lang w:eastAsia="pt-PT"/>
        </w:rPr>
      </w:pPr>
      <w:r w:rsidRPr="00682354">
        <w:rPr>
          <w:sz w:val="20"/>
          <w:szCs w:val="20"/>
          <w:lang w:val="en-US" w:eastAsia="pt-PT"/>
        </w:rPr>
        <w:t xml:space="preserve">Denman, S, Crous, P.W., Groenewald, J.G., Slippers, B., Wingfield, B.D., Wingfield, M.J. 2003. Circumscription of </w:t>
      </w:r>
      <w:r w:rsidRPr="00682354">
        <w:rPr>
          <w:i/>
          <w:iCs/>
          <w:sz w:val="20"/>
          <w:szCs w:val="20"/>
          <w:lang w:val="en-US" w:eastAsia="pt-PT"/>
        </w:rPr>
        <w:t>Botryosphaeria</w:t>
      </w:r>
      <w:r w:rsidRPr="00682354">
        <w:rPr>
          <w:sz w:val="20"/>
          <w:szCs w:val="20"/>
          <w:lang w:val="en-US" w:eastAsia="pt-PT"/>
        </w:rPr>
        <w:t xml:space="preserve"> species associated with Proteaceae based on morphology and DNA sequence data. </w:t>
      </w:r>
      <w:r w:rsidRPr="00682354">
        <w:rPr>
          <w:i/>
          <w:sz w:val="20"/>
          <w:szCs w:val="20"/>
          <w:lang w:eastAsia="pt-PT"/>
        </w:rPr>
        <w:t>Mycologia</w:t>
      </w:r>
      <w:r w:rsidRPr="00682354">
        <w:rPr>
          <w:sz w:val="20"/>
          <w:szCs w:val="20"/>
          <w:lang w:eastAsia="pt-PT"/>
        </w:rPr>
        <w:t xml:space="preserve"> 95:294-307.</w:t>
      </w:r>
    </w:p>
    <w:p w:rsidR="000A6E4F" w:rsidRPr="00682354" w:rsidRDefault="000A6E4F" w:rsidP="000A6E4F">
      <w:pPr>
        <w:autoSpaceDE w:val="0"/>
        <w:autoSpaceDN w:val="0"/>
        <w:adjustRightInd w:val="0"/>
        <w:spacing w:after="0" w:line="240" w:lineRule="auto"/>
        <w:rPr>
          <w:sz w:val="20"/>
          <w:szCs w:val="20"/>
          <w:lang w:eastAsia="pt-PT"/>
        </w:rPr>
      </w:pPr>
    </w:p>
    <w:p w:rsidR="000A6E4F" w:rsidRPr="00682354" w:rsidRDefault="000A6E4F" w:rsidP="000A6E4F">
      <w:pPr>
        <w:autoSpaceDE w:val="0"/>
        <w:autoSpaceDN w:val="0"/>
        <w:adjustRightInd w:val="0"/>
        <w:spacing w:after="0" w:line="240" w:lineRule="auto"/>
        <w:rPr>
          <w:sz w:val="20"/>
          <w:szCs w:val="20"/>
          <w:lang w:eastAsia="pt-PT"/>
        </w:rPr>
      </w:pPr>
      <w:r w:rsidRPr="00682354">
        <w:rPr>
          <w:sz w:val="20"/>
          <w:szCs w:val="20"/>
          <w:lang w:eastAsia="pt-PT"/>
        </w:rPr>
        <w:t xml:space="preserve">Dias, M.R. de S., 1980. </w:t>
      </w:r>
      <w:r w:rsidRPr="00682354">
        <w:rPr>
          <w:i/>
          <w:iCs/>
          <w:sz w:val="20"/>
          <w:szCs w:val="20"/>
          <w:lang w:eastAsia="pt-PT"/>
        </w:rPr>
        <w:t xml:space="preserve">Phomopsis viticola </w:t>
      </w:r>
      <w:r w:rsidRPr="00682354">
        <w:rPr>
          <w:sz w:val="20"/>
          <w:szCs w:val="20"/>
          <w:lang w:eastAsia="pt-PT"/>
        </w:rPr>
        <w:t>(Sacc.) Sacc., fungo responsável pela “excoriose” da videira. Proceedings I Congresso Português de Fitiatria em Fitofarmacologia, 15-19 de Dezembro, 1980, Lisboa, Portugal, 175–192.</w:t>
      </w:r>
    </w:p>
    <w:p w:rsidR="00FD6DAD" w:rsidRPr="00682354" w:rsidRDefault="00FD6DAD" w:rsidP="000A6E4F">
      <w:pPr>
        <w:autoSpaceDE w:val="0"/>
        <w:autoSpaceDN w:val="0"/>
        <w:adjustRightInd w:val="0"/>
        <w:spacing w:after="0" w:line="240" w:lineRule="auto"/>
        <w:rPr>
          <w:sz w:val="20"/>
          <w:szCs w:val="20"/>
          <w:lang w:eastAsia="pt-PT"/>
        </w:rPr>
      </w:pPr>
    </w:p>
    <w:p w:rsidR="000A6E4F" w:rsidRPr="00682354" w:rsidRDefault="000A6E4F" w:rsidP="000A6E4F">
      <w:pPr>
        <w:autoSpaceDE w:val="0"/>
        <w:autoSpaceDN w:val="0"/>
        <w:adjustRightInd w:val="0"/>
        <w:spacing w:after="0" w:line="240" w:lineRule="auto"/>
        <w:rPr>
          <w:sz w:val="20"/>
          <w:szCs w:val="20"/>
          <w:lang w:eastAsia="pt-PT"/>
        </w:rPr>
      </w:pPr>
      <w:r w:rsidRPr="00682354">
        <w:rPr>
          <w:sz w:val="20"/>
          <w:szCs w:val="20"/>
          <w:lang w:val="en-US" w:eastAsia="pt-PT"/>
        </w:rPr>
        <w:t xml:space="preserve">Doidge, E.M. 1950. The South African fungi and lichens to the end of 1945. </w:t>
      </w:r>
      <w:r w:rsidRPr="00682354">
        <w:rPr>
          <w:i/>
          <w:sz w:val="20"/>
          <w:szCs w:val="20"/>
          <w:lang w:eastAsia="pt-PT"/>
        </w:rPr>
        <w:t>Bothalia</w:t>
      </w:r>
      <w:r w:rsidRPr="00682354">
        <w:rPr>
          <w:sz w:val="20"/>
          <w:szCs w:val="20"/>
          <w:lang w:eastAsia="pt-PT"/>
        </w:rPr>
        <w:t xml:space="preserve"> 5:1-1094.</w:t>
      </w:r>
    </w:p>
    <w:p w:rsidR="000A6E4F" w:rsidRPr="00682354" w:rsidRDefault="000A6E4F" w:rsidP="000A6E4F">
      <w:pPr>
        <w:autoSpaceDE w:val="0"/>
        <w:autoSpaceDN w:val="0"/>
        <w:adjustRightInd w:val="0"/>
        <w:spacing w:after="0" w:line="240" w:lineRule="auto"/>
        <w:rPr>
          <w:sz w:val="20"/>
          <w:szCs w:val="20"/>
          <w:lang w:eastAsia="pt-PT"/>
        </w:rPr>
      </w:pPr>
    </w:p>
    <w:p w:rsidR="000A6E4F" w:rsidRPr="00682354" w:rsidRDefault="000A6E4F" w:rsidP="000A6E4F">
      <w:pPr>
        <w:autoSpaceDE w:val="0"/>
        <w:autoSpaceDN w:val="0"/>
        <w:adjustRightInd w:val="0"/>
        <w:spacing w:after="0" w:line="240" w:lineRule="auto"/>
        <w:rPr>
          <w:sz w:val="20"/>
          <w:szCs w:val="20"/>
          <w:lang w:val="en-US" w:eastAsia="pt-PT"/>
        </w:rPr>
      </w:pPr>
      <w:r w:rsidRPr="00682354">
        <w:rPr>
          <w:sz w:val="20"/>
          <w:szCs w:val="20"/>
          <w:lang w:eastAsia="pt-PT"/>
        </w:rPr>
        <w:t xml:space="preserve">Dubos, B. 1999. Maladies cryptogamiques de la vigne. Champignons parasites des organes herbacés et du bois de la vigne. </w:t>
      </w:r>
      <w:r w:rsidRPr="00682354">
        <w:rPr>
          <w:sz w:val="20"/>
          <w:szCs w:val="20"/>
          <w:lang w:val="en-US" w:eastAsia="pt-PT"/>
        </w:rPr>
        <w:t xml:space="preserve">Éditions Féret, Bordeaux, 174pp. </w:t>
      </w:r>
    </w:p>
    <w:p w:rsidR="000A6E4F" w:rsidRPr="00682354" w:rsidRDefault="000A6E4F" w:rsidP="000A6E4F">
      <w:pPr>
        <w:autoSpaceDE w:val="0"/>
        <w:autoSpaceDN w:val="0"/>
        <w:adjustRightInd w:val="0"/>
        <w:spacing w:after="0" w:line="240" w:lineRule="auto"/>
        <w:rPr>
          <w:sz w:val="20"/>
          <w:szCs w:val="20"/>
          <w:lang w:val="en-US" w:eastAsia="pt-PT"/>
        </w:rPr>
      </w:pPr>
    </w:p>
    <w:p w:rsidR="000A6E4F" w:rsidRPr="00682354" w:rsidRDefault="000A6E4F" w:rsidP="000A6E4F">
      <w:pPr>
        <w:pStyle w:val="Default"/>
        <w:rPr>
          <w:rFonts w:ascii="Arial" w:hAnsi="Arial" w:cs="Arial"/>
          <w:color w:val="auto"/>
          <w:sz w:val="20"/>
          <w:szCs w:val="20"/>
          <w:lang w:val="en-US"/>
        </w:rPr>
      </w:pPr>
      <w:r w:rsidRPr="00682354">
        <w:rPr>
          <w:rFonts w:ascii="Arial" w:hAnsi="Arial" w:cs="Arial"/>
          <w:color w:val="auto"/>
          <w:sz w:val="20"/>
          <w:szCs w:val="20"/>
          <w:lang w:val="en-US"/>
        </w:rPr>
        <w:t>Ellis, A., Erincik, O. 2008. Phomopsis cane and leaf spot of grape. In</w:t>
      </w:r>
      <w:r w:rsidRPr="00682354">
        <w:rPr>
          <w:rFonts w:ascii="Arial" w:hAnsi="Arial" w:cs="Arial"/>
          <w:i/>
          <w:color w:val="auto"/>
          <w:sz w:val="20"/>
          <w:szCs w:val="20"/>
          <w:lang w:val="en-US"/>
        </w:rPr>
        <w:t xml:space="preserve"> Fact Sheet, Agricultural and Natural Resources</w:t>
      </w:r>
      <w:r w:rsidRPr="00682354">
        <w:rPr>
          <w:rFonts w:ascii="Arial" w:hAnsi="Arial" w:cs="Arial"/>
          <w:color w:val="auto"/>
          <w:sz w:val="20"/>
          <w:szCs w:val="20"/>
          <w:lang w:val="en-US"/>
        </w:rPr>
        <w:t xml:space="preserve">, </w:t>
      </w:r>
      <w:r w:rsidRPr="00682354">
        <w:rPr>
          <w:rFonts w:ascii="Arial" w:hAnsi="Arial" w:cs="Arial"/>
          <w:bCs/>
          <w:color w:val="auto"/>
          <w:sz w:val="20"/>
          <w:szCs w:val="20"/>
          <w:lang w:val="en-US"/>
        </w:rPr>
        <w:t>HYG-3031-08</w:t>
      </w:r>
      <w:r w:rsidRPr="00682354">
        <w:rPr>
          <w:rFonts w:ascii="Arial" w:hAnsi="Arial" w:cs="Arial"/>
          <w:i/>
          <w:color w:val="auto"/>
          <w:sz w:val="20"/>
          <w:szCs w:val="20"/>
          <w:lang w:val="en-US"/>
        </w:rPr>
        <w:t xml:space="preserve">. </w:t>
      </w:r>
      <w:r w:rsidRPr="00682354">
        <w:rPr>
          <w:rFonts w:ascii="Arial" w:hAnsi="Arial" w:cs="Arial"/>
          <w:color w:val="auto"/>
          <w:sz w:val="20"/>
          <w:szCs w:val="20"/>
          <w:lang w:val="en-US"/>
        </w:rPr>
        <w:t>The Ohio State University. Ohio, 3 pp.</w:t>
      </w:r>
    </w:p>
    <w:p w:rsidR="000A6E4F" w:rsidRPr="00682354" w:rsidRDefault="000A6E4F" w:rsidP="000A6E4F">
      <w:pPr>
        <w:autoSpaceDE w:val="0"/>
        <w:autoSpaceDN w:val="0"/>
        <w:adjustRightInd w:val="0"/>
        <w:spacing w:after="0" w:line="240" w:lineRule="auto"/>
        <w:rPr>
          <w:sz w:val="20"/>
          <w:szCs w:val="20"/>
          <w:lang w:val="en-US" w:eastAsia="pt-PT"/>
        </w:rPr>
      </w:pPr>
    </w:p>
    <w:p w:rsidR="000A6E4F" w:rsidRPr="00682354" w:rsidRDefault="000A6E4F" w:rsidP="000A6E4F">
      <w:pPr>
        <w:autoSpaceDE w:val="0"/>
        <w:autoSpaceDN w:val="0"/>
        <w:adjustRightInd w:val="0"/>
        <w:spacing w:after="0" w:line="240" w:lineRule="auto"/>
        <w:rPr>
          <w:bCs/>
          <w:sz w:val="20"/>
          <w:szCs w:val="20"/>
          <w:lang w:val="en-US" w:eastAsia="pt-PT"/>
        </w:rPr>
      </w:pPr>
      <w:r w:rsidRPr="00682354">
        <w:rPr>
          <w:sz w:val="20"/>
          <w:szCs w:val="20"/>
          <w:lang w:val="de-DE" w:eastAsia="pt-PT"/>
        </w:rPr>
        <w:t xml:space="preserve">Epstein, L., Kaur, S., VanderGheynst, J.S. 2008. </w:t>
      </w:r>
      <w:r w:rsidRPr="00682354">
        <w:rPr>
          <w:bCs/>
          <w:i/>
          <w:iCs/>
          <w:sz w:val="20"/>
          <w:szCs w:val="20"/>
          <w:lang w:val="en-US" w:eastAsia="pt-PT"/>
        </w:rPr>
        <w:t>Botryosphaeria</w:t>
      </w:r>
      <w:r w:rsidRPr="00682354">
        <w:rPr>
          <w:bCs/>
          <w:sz w:val="20"/>
          <w:szCs w:val="20"/>
          <w:lang w:val="en-US" w:eastAsia="pt-PT"/>
        </w:rPr>
        <w:t xml:space="preserve">-related dieback and control investigated in noncoastal California grapevines. </w:t>
      </w:r>
      <w:r w:rsidRPr="00682354">
        <w:rPr>
          <w:i/>
          <w:sz w:val="20"/>
          <w:szCs w:val="20"/>
          <w:lang w:val="en-US" w:eastAsia="pt-PT"/>
        </w:rPr>
        <w:t>California agriculture</w:t>
      </w:r>
      <w:r w:rsidRPr="00682354">
        <w:rPr>
          <w:sz w:val="20"/>
          <w:szCs w:val="20"/>
          <w:lang w:val="en-US" w:eastAsia="pt-PT"/>
        </w:rPr>
        <w:t xml:space="preserve"> 62: 161-166.</w:t>
      </w:r>
    </w:p>
    <w:p w:rsidR="000A6E4F" w:rsidRPr="00682354" w:rsidRDefault="000A6E4F" w:rsidP="000A6E4F">
      <w:pPr>
        <w:autoSpaceDE w:val="0"/>
        <w:autoSpaceDN w:val="0"/>
        <w:adjustRightInd w:val="0"/>
        <w:spacing w:after="0" w:line="240" w:lineRule="auto"/>
        <w:rPr>
          <w:sz w:val="20"/>
          <w:szCs w:val="20"/>
          <w:lang w:val="en-US" w:eastAsia="pt-PT"/>
        </w:rPr>
      </w:pPr>
    </w:p>
    <w:p w:rsidR="000A6E4F" w:rsidRPr="00682354" w:rsidRDefault="000A6E4F" w:rsidP="000A6E4F">
      <w:pPr>
        <w:autoSpaceDE w:val="0"/>
        <w:autoSpaceDN w:val="0"/>
        <w:adjustRightInd w:val="0"/>
        <w:spacing w:after="0" w:line="240" w:lineRule="auto"/>
        <w:rPr>
          <w:sz w:val="20"/>
          <w:szCs w:val="20"/>
          <w:lang w:val="en-US" w:eastAsia="pt-PT"/>
        </w:rPr>
      </w:pPr>
      <w:r w:rsidRPr="00682354">
        <w:rPr>
          <w:sz w:val="20"/>
          <w:szCs w:val="20"/>
          <w:lang w:val="en-US" w:eastAsia="pt-PT"/>
        </w:rPr>
        <w:t xml:space="preserve">Erincik, O., Madden, L.V., Ferree, D.C., Ellis, M.A. 2002. Infection of grape berry and rachis tissues by </w:t>
      </w:r>
      <w:r w:rsidRPr="00682354">
        <w:rPr>
          <w:i/>
          <w:iCs/>
          <w:sz w:val="20"/>
          <w:szCs w:val="20"/>
          <w:lang w:val="en-US" w:eastAsia="pt-PT"/>
        </w:rPr>
        <w:t>Phomopsis viticola</w:t>
      </w:r>
      <w:r w:rsidRPr="00682354">
        <w:rPr>
          <w:sz w:val="20"/>
          <w:szCs w:val="20"/>
          <w:lang w:val="en-US" w:eastAsia="pt-PT"/>
        </w:rPr>
        <w:t>. Plant Health Progress doi:10.1094/PHP-2002-0702-01-RS.</w:t>
      </w:r>
    </w:p>
    <w:p w:rsidR="000A6E4F" w:rsidRPr="00682354" w:rsidRDefault="000A6E4F" w:rsidP="000A6E4F">
      <w:pPr>
        <w:autoSpaceDE w:val="0"/>
        <w:autoSpaceDN w:val="0"/>
        <w:adjustRightInd w:val="0"/>
        <w:spacing w:after="0" w:line="240" w:lineRule="auto"/>
        <w:rPr>
          <w:sz w:val="20"/>
          <w:szCs w:val="20"/>
          <w:lang w:val="en-US" w:eastAsia="pt-PT"/>
        </w:rPr>
      </w:pPr>
    </w:p>
    <w:p w:rsidR="000A6E4F" w:rsidRPr="00682354" w:rsidRDefault="000A6E4F" w:rsidP="000A6E4F">
      <w:pPr>
        <w:autoSpaceDE w:val="0"/>
        <w:autoSpaceDN w:val="0"/>
        <w:adjustRightInd w:val="0"/>
        <w:spacing w:after="0" w:line="240" w:lineRule="auto"/>
        <w:rPr>
          <w:sz w:val="20"/>
          <w:szCs w:val="20"/>
          <w:lang w:val="en-US" w:eastAsia="pt-PT"/>
        </w:rPr>
      </w:pPr>
      <w:r w:rsidRPr="00682354">
        <w:rPr>
          <w:sz w:val="20"/>
          <w:szCs w:val="20"/>
          <w:lang w:val="en-US" w:eastAsia="pt-PT"/>
        </w:rPr>
        <w:t xml:space="preserve">Erincik, O., Madden, L.V., Ferree, D.C., Ellis, M.A. 2003. Temperature and wetness-duration requirements for grape leaf and cane infection by </w:t>
      </w:r>
      <w:r w:rsidRPr="00682354">
        <w:rPr>
          <w:i/>
          <w:iCs/>
          <w:sz w:val="20"/>
          <w:szCs w:val="20"/>
          <w:lang w:val="en-US" w:eastAsia="pt-PT"/>
        </w:rPr>
        <w:t>Phomopsis viticola</w:t>
      </w:r>
      <w:r w:rsidRPr="00682354">
        <w:rPr>
          <w:sz w:val="20"/>
          <w:szCs w:val="20"/>
          <w:lang w:val="en-US" w:eastAsia="pt-PT"/>
        </w:rPr>
        <w:t xml:space="preserve">. </w:t>
      </w:r>
      <w:r w:rsidRPr="00682354">
        <w:rPr>
          <w:i/>
          <w:sz w:val="20"/>
          <w:szCs w:val="20"/>
          <w:lang w:val="en-US" w:eastAsia="pt-PT"/>
        </w:rPr>
        <w:t>Plant Disease</w:t>
      </w:r>
      <w:r w:rsidRPr="00682354">
        <w:rPr>
          <w:sz w:val="20"/>
          <w:szCs w:val="20"/>
          <w:lang w:val="en-US" w:eastAsia="pt-PT"/>
        </w:rPr>
        <w:t xml:space="preserve"> 87:832-840.</w:t>
      </w:r>
    </w:p>
    <w:p w:rsidR="000A6E4F" w:rsidRPr="00682354" w:rsidRDefault="000A6E4F" w:rsidP="000A6E4F">
      <w:pPr>
        <w:autoSpaceDE w:val="0"/>
        <w:autoSpaceDN w:val="0"/>
        <w:adjustRightInd w:val="0"/>
        <w:spacing w:after="0" w:line="240" w:lineRule="auto"/>
        <w:rPr>
          <w:sz w:val="20"/>
          <w:szCs w:val="20"/>
          <w:lang w:val="en-US" w:eastAsia="pt-PT"/>
        </w:rPr>
      </w:pPr>
    </w:p>
    <w:p w:rsidR="000A6E4F" w:rsidRPr="00682354" w:rsidRDefault="000A6E4F" w:rsidP="000A6E4F">
      <w:pPr>
        <w:autoSpaceDE w:val="0"/>
        <w:autoSpaceDN w:val="0"/>
        <w:adjustRightInd w:val="0"/>
        <w:spacing w:after="0" w:line="240" w:lineRule="auto"/>
        <w:rPr>
          <w:sz w:val="20"/>
          <w:szCs w:val="20"/>
          <w:lang w:val="en-US" w:eastAsia="pt-PT"/>
        </w:rPr>
      </w:pPr>
      <w:r w:rsidRPr="00682354">
        <w:rPr>
          <w:sz w:val="20"/>
          <w:szCs w:val="20"/>
          <w:lang w:val="en-US" w:eastAsia="pt-PT"/>
        </w:rPr>
        <w:t xml:space="preserve">Fourie, P.H., Halleen, F. 2001. Diagnosis of fungal diseases and their involvement in dieback diseases of young vines. </w:t>
      </w:r>
      <w:r w:rsidRPr="00682354">
        <w:rPr>
          <w:i/>
          <w:iCs/>
          <w:sz w:val="20"/>
          <w:szCs w:val="20"/>
          <w:lang w:val="en-US" w:eastAsia="pt-PT"/>
        </w:rPr>
        <w:t xml:space="preserve">Winelands </w:t>
      </w:r>
      <w:r w:rsidRPr="00682354">
        <w:rPr>
          <w:sz w:val="20"/>
          <w:szCs w:val="20"/>
          <w:lang w:val="en-US" w:eastAsia="pt-PT"/>
        </w:rPr>
        <w:t>12:19-23.</w:t>
      </w:r>
    </w:p>
    <w:p w:rsidR="000A6E4F" w:rsidRPr="00682354" w:rsidRDefault="000A6E4F" w:rsidP="000A6E4F">
      <w:pPr>
        <w:autoSpaceDE w:val="0"/>
        <w:autoSpaceDN w:val="0"/>
        <w:adjustRightInd w:val="0"/>
        <w:spacing w:after="0" w:line="240" w:lineRule="auto"/>
        <w:rPr>
          <w:sz w:val="20"/>
          <w:szCs w:val="20"/>
          <w:lang w:val="en-US" w:eastAsia="pt-PT"/>
        </w:rPr>
      </w:pPr>
    </w:p>
    <w:p w:rsidR="000A6E4F" w:rsidRPr="00682354" w:rsidRDefault="000A6E4F" w:rsidP="000A6E4F">
      <w:pPr>
        <w:autoSpaceDE w:val="0"/>
        <w:autoSpaceDN w:val="0"/>
        <w:adjustRightInd w:val="0"/>
        <w:spacing w:after="0" w:line="240" w:lineRule="auto"/>
        <w:rPr>
          <w:sz w:val="20"/>
          <w:szCs w:val="20"/>
          <w:lang w:val="en-US"/>
        </w:rPr>
      </w:pPr>
      <w:r w:rsidRPr="00682354">
        <w:rPr>
          <w:sz w:val="20"/>
          <w:szCs w:val="20"/>
          <w:lang w:val="en-US"/>
        </w:rPr>
        <w:t xml:space="preserve">Fourie, P.H., Halleen, F. 2002. Investigation on the occurrence of </w:t>
      </w:r>
      <w:r w:rsidRPr="00682354">
        <w:rPr>
          <w:i/>
          <w:iCs/>
          <w:sz w:val="20"/>
          <w:szCs w:val="20"/>
          <w:lang w:val="en-US"/>
        </w:rPr>
        <w:t xml:space="preserve">Phaeomoniella clamydospora </w:t>
      </w:r>
      <w:r w:rsidRPr="00682354">
        <w:rPr>
          <w:sz w:val="20"/>
          <w:szCs w:val="20"/>
          <w:lang w:val="en-US"/>
        </w:rPr>
        <w:t xml:space="preserve">in canes of rootstock mother vines. </w:t>
      </w:r>
      <w:r w:rsidRPr="00682354">
        <w:rPr>
          <w:i/>
          <w:iCs/>
          <w:sz w:val="20"/>
          <w:szCs w:val="20"/>
          <w:lang w:val="en-US"/>
        </w:rPr>
        <w:t xml:space="preserve">Australasian Plant Pathology </w:t>
      </w:r>
      <w:r w:rsidRPr="00682354">
        <w:rPr>
          <w:sz w:val="20"/>
          <w:szCs w:val="20"/>
          <w:lang w:val="en-US"/>
        </w:rPr>
        <w:t xml:space="preserve">33: 425-426. </w:t>
      </w:r>
    </w:p>
    <w:p w:rsidR="000A6E4F" w:rsidRPr="00682354" w:rsidRDefault="000A6E4F" w:rsidP="000A6E4F">
      <w:pPr>
        <w:autoSpaceDE w:val="0"/>
        <w:autoSpaceDN w:val="0"/>
        <w:adjustRightInd w:val="0"/>
        <w:spacing w:after="0" w:line="240" w:lineRule="auto"/>
        <w:rPr>
          <w:sz w:val="20"/>
          <w:szCs w:val="20"/>
          <w:lang w:val="en-US"/>
        </w:rPr>
      </w:pPr>
    </w:p>
    <w:p w:rsidR="000A6E4F" w:rsidRPr="00682354" w:rsidRDefault="000A6E4F" w:rsidP="000A6E4F">
      <w:pPr>
        <w:autoSpaceDE w:val="0"/>
        <w:autoSpaceDN w:val="0"/>
        <w:adjustRightInd w:val="0"/>
        <w:spacing w:after="0" w:line="240" w:lineRule="auto"/>
        <w:rPr>
          <w:sz w:val="20"/>
          <w:szCs w:val="20"/>
        </w:rPr>
      </w:pPr>
      <w:r w:rsidRPr="00682354">
        <w:rPr>
          <w:sz w:val="20"/>
          <w:szCs w:val="20"/>
          <w:lang w:val="en-US"/>
        </w:rPr>
        <w:t xml:space="preserve">Fourie, P.H., Hallen, F., Crous, P. 2006. </w:t>
      </w:r>
      <w:r w:rsidRPr="00682354">
        <w:rPr>
          <w:i/>
          <w:iCs/>
          <w:sz w:val="20"/>
          <w:szCs w:val="20"/>
          <w:lang w:val="en-US"/>
        </w:rPr>
        <w:t xml:space="preserve">Botryosphaeria </w:t>
      </w:r>
      <w:r w:rsidRPr="00682354">
        <w:rPr>
          <w:sz w:val="20"/>
          <w:szCs w:val="20"/>
          <w:lang w:val="en-US"/>
        </w:rPr>
        <w:t>spp. as grapevine trunk disease pathogens</w:t>
      </w:r>
      <w:r w:rsidRPr="00682354">
        <w:rPr>
          <w:i/>
          <w:iCs/>
          <w:sz w:val="20"/>
          <w:szCs w:val="20"/>
          <w:lang w:val="en-US"/>
        </w:rPr>
        <w:t xml:space="preserve">. </w:t>
      </w:r>
      <w:r w:rsidRPr="00682354">
        <w:rPr>
          <w:i/>
          <w:iCs/>
          <w:sz w:val="20"/>
          <w:szCs w:val="20"/>
        </w:rPr>
        <w:t xml:space="preserve">Phytopathologia Mediterranea </w:t>
      </w:r>
      <w:r w:rsidRPr="00682354">
        <w:rPr>
          <w:sz w:val="20"/>
          <w:szCs w:val="20"/>
        </w:rPr>
        <w:t>45: S43-S54.</w:t>
      </w:r>
    </w:p>
    <w:p w:rsidR="000A6E4F" w:rsidRPr="00682354" w:rsidRDefault="000A6E4F" w:rsidP="000A6E4F">
      <w:pPr>
        <w:autoSpaceDE w:val="0"/>
        <w:autoSpaceDN w:val="0"/>
        <w:adjustRightInd w:val="0"/>
        <w:spacing w:after="0" w:line="240" w:lineRule="auto"/>
        <w:rPr>
          <w:sz w:val="20"/>
          <w:szCs w:val="20"/>
        </w:rPr>
      </w:pPr>
    </w:p>
    <w:p w:rsidR="000A6E4F" w:rsidRPr="00682354" w:rsidRDefault="000A6E4F" w:rsidP="000A6E4F">
      <w:pPr>
        <w:autoSpaceDE w:val="0"/>
        <w:autoSpaceDN w:val="0"/>
        <w:adjustRightInd w:val="0"/>
        <w:spacing w:after="0" w:line="240" w:lineRule="auto"/>
        <w:rPr>
          <w:sz w:val="20"/>
          <w:szCs w:val="20"/>
          <w:lang w:val="en-US"/>
        </w:rPr>
      </w:pPr>
      <w:r w:rsidRPr="00682354">
        <w:rPr>
          <w:sz w:val="20"/>
          <w:szCs w:val="20"/>
        </w:rPr>
        <w:lastRenderedPageBreak/>
        <w:t xml:space="preserve">Giménez-Jaime, A, Aroca, A, Raposo, R, Garcia-Jiménez, J., Armengol, J. 2006. </w:t>
      </w:r>
      <w:r w:rsidRPr="00682354">
        <w:rPr>
          <w:sz w:val="20"/>
          <w:szCs w:val="20"/>
          <w:lang w:val="en-US"/>
        </w:rPr>
        <w:t xml:space="preserve">Occurrence of fungal pathogens associated with grapevine nurseries and the decline of young vines in Spain. </w:t>
      </w:r>
      <w:r w:rsidRPr="00682354">
        <w:rPr>
          <w:i/>
          <w:sz w:val="20"/>
          <w:szCs w:val="20"/>
          <w:lang w:val="en-US"/>
        </w:rPr>
        <w:t>Journal of Phytopathology</w:t>
      </w:r>
      <w:r w:rsidRPr="00682354">
        <w:rPr>
          <w:sz w:val="20"/>
          <w:szCs w:val="20"/>
          <w:lang w:val="en-US"/>
        </w:rPr>
        <w:t xml:space="preserve"> 154:598–602.</w:t>
      </w:r>
    </w:p>
    <w:p w:rsidR="000A6E4F" w:rsidRPr="00682354" w:rsidRDefault="000A6E4F" w:rsidP="000A6E4F">
      <w:pPr>
        <w:autoSpaceDE w:val="0"/>
        <w:autoSpaceDN w:val="0"/>
        <w:adjustRightInd w:val="0"/>
        <w:spacing w:after="0" w:line="240" w:lineRule="auto"/>
        <w:rPr>
          <w:sz w:val="20"/>
          <w:szCs w:val="20"/>
          <w:lang w:val="en-US"/>
        </w:rPr>
      </w:pPr>
    </w:p>
    <w:p w:rsidR="009E2B74" w:rsidRPr="00682354" w:rsidRDefault="009E2B74" w:rsidP="000A6E4F">
      <w:pPr>
        <w:autoSpaceDE w:val="0"/>
        <w:autoSpaceDN w:val="0"/>
        <w:adjustRightInd w:val="0"/>
        <w:spacing w:after="0" w:line="240" w:lineRule="auto"/>
        <w:rPr>
          <w:sz w:val="20"/>
          <w:szCs w:val="20"/>
          <w:lang w:eastAsia="pt-PT"/>
        </w:rPr>
      </w:pPr>
      <w:r w:rsidRPr="00682354">
        <w:rPr>
          <w:bCs/>
          <w:sz w:val="20"/>
          <w:szCs w:val="20"/>
          <w:lang w:val="en-US" w:eastAsia="pt-PT"/>
        </w:rPr>
        <w:t>Grapes.msu.edu. (2009).</w:t>
      </w:r>
      <w:r w:rsidRPr="00682354">
        <w:rPr>
          <w:sz w:val="20"/>
          <w:szCs w:val="20"/>
          <w:lang w:val="en-US" w:eastAsia="pt-PT"/>
        </w:rPr>
        <w:t xml:space="preserve"> </w:t>
      </w:r>
      <w:r w:rsidRPr="00682354">
        <w:rPr>
          <w:bCs/>
          <w:sz w:val="20"/>
          <w:szCs w:val="20"/>
          <w:lang w:val="en-US" w:eastAsia="pt-PT"/>
        </w:rPr>
        <w:t xml:space="preserve">Diseases of Grapes in Michigan. </w:t>
      </w:r>
      <w:r w:rsidRPr="00682354">
        <w:rPr>
          <w:sz w:val="20"/>
          <w:szCs w:val="20"/>
          <w:lang w:eastAsia="pt-PT"/>
        </w:rPr>
        <w:t>Acedido em 10 de Agosto de 2009,</w:t>
      </w:r>
      <w:r w:rsidR="00533D89" w:rsidRPr="00682354">
        <w:rPr>
          <w:sz w:val="20"/>
          <w:szCs w:val="20"/>
          <w:lang w:eastAsia="pt-PT"/>
        </w:rPr>
        <w:t xml:space="preserve"> em:</w:t>
      </w:r>
      <w:r w:rsidRPr="00682354">
        <w:rPr>
          <w:sz w:val="20"/>
          <w:szCs w:val="20"/>
          <w:lang w:eastAsia="pt-PT"/>
        </w:rPr>
        <w:t xml:space="preserve"> http://www.grapes.msu.edu/index.htm. </w:t>
      </w:r>
    </w:p>
    <w:p w:rsidR="009E2B74" w:rsidRPr="00682354" w:rsidRDefault="009E2B74" w:rsidP="000A6E4F">
      <w:pPr>
        <w:autoSpaceDE w:val="0"/>
        <w:autoSpaceDN w:val="0"/>
        <w:adjustRightInd w:val="0"/>
        <w:spacing w:after="0" w:line="240" w:lineRule="auto"/>
        <w:rPr>
          <w:sz w:val="20"/>
          <w:szCs w:val="20"/>
          <w:lang w:eastAsia="pt-PT"/>
        </w:rPr>
      </w:pPr>
    </w:p>
    <w:p w:rsidR="000A6E4F" w:rsidRPr="00682354" w:rsidRDefault="000A6E4F" w:rsidP="000A6E4F">
      <w:pPr>
        <w:autoSpaceDE w:val="0"/>
        <w:autoSpaceDN w:val="0"/>
        <w:adjustRightInd w:val="0"/>
        <w:spacing w:after="0" w:line="240" w:lineRule="auto"/>
        <w:rPr>
          <w:sz w:val="20"/>
          <w:szCs w:val="20"/>
          <w:lang w:val="en-US"/>
        </w:rPr>
      </w:pPr>
      <w:r w:rsidRPr="00FE70E1">
        <w:rPr>
          <w:sz w:val="20"/>
          <w:szCs w:val="20"/>
          <w:lang w:val="en-US"/>
        </w:rPr>
        <w:t xml:space="preserve">Gubler, W.D., Rolshausen, P.H., Trouillase, F.P., Urbez, J.R., Voegel, T. 2005. </w:t>
      </w:r>
      <w:r w:rsidRPr="00682354">
        <w:rPr>
          <w:sz w:val="20"/>
          <w:szCs w:val="20"/>
          <w:lang w:val="en-US"/>
        </w:rPr>
        <w:t xml:space="preserve">Grapevine trunk diseases in California. </w:t>
      </w:r>
      <w:r w:rsidRPr="00682354">
        <w:rPr>
          <w:i/>
          <w:iCs/>
          <w:sz w:val="20"/>
          <w:szCs w:val="20"/>
          <w:lang w:val="en-US"/>
        </w:rPr>
        <w:t xml:space="preserve">Pratical Winery and Vineyard Magazine </w:t>
      </w:r>
      <w:r w:rsidRPr="00682354">
        <w:rPr>
          <w:sz w:val="20"/>
          <w:szCs w:val="20"/>
          <w:lang w:val="en-US"/>
        </w:rPr>
        <w:t xml:space="preserve">January/February, 6-25. </w:t>
      </w:r>
    </w:p>
    <w:p w:rsidR="000A6E4F" w:rsidRPr="00682354" w:rsidRDefault="000A6E4F" w:rsidP="000A6E4F">
      <w:pPr>
        <w:autoSpaceDE w:val="0"/>
        <w:autoSpaceDN w:val="0"/>
        <w:adjustRightInd w:val="0"/>
        <w:spacing w:after="0" w:line="240" w:lineRule="auto"/>
        <w:rPr>
          <w:sz w:val="20"/>
          <w:szCs w:val="20"/>
          <w:lang w:val="en-US"/>
        </w:rPr>
      </w:pPr>
    </w:p>
    <w:p w:rsidR="000A6E4F" w:rsidRPr="00682354" w:rsidRDefault="000A6E4F" w:rsidP="000A6E4F">
      <w:pPr>
        <w:autoSpaceDE w:val="0"/>
        <w:autoSpaceDN w:val="0"/>
        <w:adjustRightInd w:val="0"/>
        <w:spacing w:after="0" w:line="240" w:lineRule="auto"/>
        <w:rPr>
          <w:sz w:val="20"/>
          <w:szCs w:val="20"/>
          <w:lang w:val="en-US" w:eastAsia="pt-PT"/>
        </w:rPr>
      </w:pPr>
      <w:r w:rsidRPr="00682354">
        <w:rPr>
          <w:sz w:val="20"/>
          <w:szCs w:val="20"/>
          <w:lang w:val="en-US" w:eastAsia="pt-PT"/>
        </w:rPr>
        <w:t xml:space="preserve">Halleen, F., Crous, P.W., Petrini, O. 2003. Fungi associated with healthy grapevine cuttings in nurseries, with special reference to pathogens involved in the decline of young vines. </w:t>
      </w:r>
      <w:r w:rsidRPr="00682354">
        <w:rPr>
          <w:i/>
          <w:iCs/>
          <w:sz w:val="20"/>
          <w:szCs w:val="20"/>
          <w:lang w:val="en-US" w:eastAsia="pt-PT"/>
        </w:rPr>
        <w:t xml:space="preserve">Australasian Plant Pathology </w:t>
      </w:r>
      <w:r w:rsidRPr="00682354">
        <w:rPr>
          <w:sz w:val="20"/>
          <w:szCs w:val="20"/>
          <w:lang w:val="en-US" w:eastAsia="pt-PT"/>
        </w:rPr>
        <w:t>32: 47-52.</w:t>
      </w:r>
    </w:p>
    <w:p w:rsidR="000A6E4F" w:rsidRPr="00682354" w:rsidRDefault="000A6E4F" w:rsidP="000A6E4F">
      <w:pPr>
        <w:autoSpaceDE w:val="0"/>
        <w:autoSpaceDN w:val="0"/>
        <w:adjustRightInd w:val="0"/>
        <w:spacing w:after="0" w:line="240" w:lineRule="auto"/>
        <w:rPr>
          <w:sz w:val="20"/>
          <w:szCs w:val="20"/>
          <w:lang w:val="en-US" w:eastAsia="pt-PT"/>
        </w:rPr>
      </w:pPr>
    </w:p>
    <w:p w:rsidR="000A6E4F" w:rsidRPr="00682354" w:rsidRDefault="000A6E4F" w:rsidP="000A6E4F">
      <w:pPr>
        <w:autoSpaceDE w:val="0"/>
        <w:autoSpaceDN w:val="0"/>
        <w:adjustRightInd w:val="0"/>
        <w:spacing w:after="0" w:line="240" w:lineRule="auto"/>
        <w:rPr>
          <w:sz w:val="20"/>
          <w:szCs w:val="20"/>
          <w:lang w:val="en-US" w:eastAsia="pt-PT"/>
        </w:rPr>
      </w:pPr>
      <w:r w:rsidRPr="00682354">
        <w:rPr>
          <w:sz w:val="20"/>
          <w:szCs w:val="20"/>
          <w:lang w:val="en-US" w:eastAsia="pt-PT"/>
        </w:rPr>
        <w:t xml:space="preserve">Halleen, F., Fourie, P.H. 2005. Protection of grapevine pruning wounds against fungal infections. </w:t>
      </w:r>
      <w:r w:rsidRPr="00682354">
        <w:rPr>
          <w:i/>
          <w:iCs/>
          <w:sz w:val="20"/>
          <w:szCs w:val="20"/>
          <w:lang w:val="en-US" w:eastAsia="pt-PT"/>
        </w:rPr>
        <w:t>Phytopathologia</w:t>
      </w:r>
      <w:r w:rsidRPr="00682354">
        <w:rPr>
          <w:sz w:val="20"/>
          <w:szCs w:val="20"/>
          <w:lang w:val="en-US" w:eastAsia="pt-PT"/>
        </w:rPr>
        <w:t xml:space="preserve"> </w:t>
      </w:r>
      <w:r w:rsidRPr="00682354">
        <w:rPr>
          <w:i/>
          <w:iCs/>
          <w:sz w:val="20"/>
          <w:szCs w:val="20"/>
          <w:lang w:val="en-US" w:eastAsia="pt-PT"/>
        </w:rPr>
        <w:t xml:space="preserve">Mediterranea </w:t>
      </w:r>
      <w:r w:rsidRPr="00682354">
        <w:rPr>
          <w:sz w:val="20"/>
          <w:szCs w:val="20"/>
          <w:lang w:val="en-US" w:eastAsia="pt-PT"/>
        </w:rPr>
        <w:t>44: 117-117.</w:t>
      </w:r>
    </w:p>
    <w:p w:rsidR="000A6E4F" w:rsidRPr="00682354" w:rsidRDefault="000A6E4F" w:rsidP="000A6E4F">
      <w:pPr>
        <w:autoSpaceDE w:val="0"/>
        <w:autoSpaceDN w:val="0"/>
        <w:adjustRightInd w:val="0"/>
        <w:spacing w:after="0" w:line="240" w:lineRule="auto"/>
        <w:rPr>
          <w:sz w:val="20"/>
          <w:szCs w:val="20"/>
          <w:lang w:val="en-US" w:eastAsia="pt-PT"/>
        </w:rPr>
      </w:pPr>
    </w:p>
    <w:p w:rsidR="000A6E4F" w:rsidRPr="00682354" w:rsidRDefault="000A6E4F" w:rsidP="000A6E4F">
      <w:pPr>
        <w:autoSpaceDE w:val="0"/>
        <w:autoSpaceDN w:val="0"/>
        <w:adjustRightInd w:val="0"/>
        <w:spacing w:after="0" w:line="240" w:lineRule="auto"/>
        <w:rPr>
          <w:sz w:val="20"/>
          <w:szCs w:val="20"/>
          <w:lang w:val="en-US" w:eastAsia="pt-PT"/>
        </w:rPr>
      </w:pPr>
      <w:r w:rsidRPr="00682354">
        <w:rPr>
          <w:sz w:val="20"/>
          <w:szCs w:val="20"/>
          <w:lang w:val="en-US" w:eastAsia="pt-PT"/>
        </w:rPr>
        <w:t xml:space="preserve">Hewitt, W.B., Pearson, R.C. 1988. Diplodia cane dieback and bunch rot. In </w:t>
      </w:r>
      <w:r w:rsidRPr="00682354">
        <w:rPr>
          <w:i/>
          <w:iCs/>
          <w:sz w:val="20"/>
          <w:szCs w:val="20"/>
          <w:lang w:val="en-US" w:eastAsia="pt-PT"/>
        </w:rPr>
        <w:t>Compendium of Grape Diseases</w:t>
      </w:r>
      <w:r w:rsidRPr="00682354">
        <w:rPr>
          <w:sz w:val="20"/>
          <w:szCs w:val="20"/>
          <w:lang w:val="en-US" w:eastAsia="pt-PT"/>
        </w:rPr>
        <w:t xml:space="preserve">. R.C. Pearson, A.C., Goheen (eds.), APS Press, St. Paul, MN, USA, 25-26. </w:t>
      </w:r>
    </w:p>
    <w:p w:rsidR="000A6E4F" w:rsidRPr="00682354" w:rsidRDefault="000A6E4F" w:rsidP="000A6E4F">
      <w:pPr>
        <w:autoSpaceDE w:val="0"/>
        <w:autoSpaceDN w:val="0"/>
        <w:adjustRightInd w:val="0"/>
        <w:spacing w:after="0" w:line="240" w:lineRule="auto"/>
        <w:rPr>
          <w:sz w:val="20"/>
          <w:szCs w:val="20"/>
          <w:lang w:val="en-US" w:eastAsia="pt-PT"/>
        </w:rPr>
      </w:pPr>
    </w:p>
    <w:p w:rsidR="000A6E4F" w:rsidRPr="00682354" w:rsidRDefault="000A6E4F" w:rsidP="000A6E4F">
      <w:pPr>
        <w:autoSpaceDE w:val="0"/>
        <w:autoSpaceDN w:val="0"/>
        <w:adjustRightInd w:val="0"/>
        <w:spacing w:after="0" w:line="240" w:lineRule="auto"/>
        <w:rPr>
          <w:sz w:val="20"/>
          <w:szCs w:val="20"/>
          <w:lang w:val="en-US" w:eastAsia="pt-PT"/>
        </w:rPr>
      </w:pPr>
      <w:r w:rsidRPr="00682354">
        <w:rPr>
          <w:sz w:val="20"/>
          <w:szCs w:val="20"/>
          <w:lang w:val="en-US" w:eastAsia="pt-PT"/>
        </w:rPr>
        <w:t xml:space="preserve">Hewitt, W.B., Pearson, R.C. 1990. Phomopsis cane and leaf spot. In </w:t>
      </w:r>
      <w:r w:rsidRPr="00682354">
        <w:rPr>
          <w:i/>
          <w:sz w:val="20"/>
          <w:szCs w:val="20"/>
          <w:lang w:val="en-US" w:eastAsia="pt-PT"/>
        </w:rPr>
        <w:t>Compendium of Grape Diseases</w:t>
      </w:r>
      <w:r w:rsidRPr="00682354">
        <w:rPr>
          <w:sz w:val="20"/>
          <w:szCs w:val="20"/>
          <w:lang w:val="en-US" w:eastAsia="pt-PT"/>
        </w:rPr>
        <w:t>. R.C. Pearson, A.C., Goheen (eds.), APS Press, American Phytopathological Society Press, St. Paul, 17-18.</w:t>
      </w:r>
    </w:p>
    <w:p w:rsidR="000A6E4F" w:rsidRPr="00682354" w:rsidRDefault="000A6E4F" w:rsidP="000A6E4F">
      <w:pPr>
        <w:autoSpaceDE w:val="0"/>
        <w:autoSpaceDN w:val="0"/>
        <w:adjustRightInd w:val="0"/>
        <w:spacing w:after="0" w:line="240" w:lineRule="auto"/>
        <w:rPr>
          <w:sz w:val="20"/>
          <w:szCs w:val="20"/>
          <w:lang w:val="en-US" w:eastAsia="pt-PT"/>
        </w:rPr>
      </w:pPr>
    </w:p>
    <w:p w:rsidR="000A6E4F" w:rsidRPr="00682354" w:rsidRDefault="000A6E4F" w:rsidP="000A6E4F">
      <w:pPr>
        <w:autoSpaceDE w:val="0"/>
        <w:autoSpaceDN w:val="0"/>
        <w:adjustRightInd w:val="0"/>
        <w:spacing w:after="0" w:line="240" w:lineRule="auto"/>
        <w:rPr>
          <w:sz w:val="20"/>
          <w:szCs w:val="20"/>
          <w:lang w:val="en-US" w:eastAsia="pt-PT"/>
        </w:rPr>
      </w:pPr>
      <w:r w:rsidRPr="00682354">
        <w:rPr>
          <w:sz w:val="20"/>
          <w:szCs w:val="20"/>
          <w:lang w:val="en-US" w:eastAsia="pt-PT"/>
        </w:rPr>
        <w:t xml:space="preserve">Jacobs, K.A, Rehner, S.A. 1998. Comparison of cultural and morphological characters and ITS sequences in anamorphs of </w:t>
      </w:r>
      <w:r w:rsidRPr="00682354">
        <w:rPr>
          <w:i/>
          <w:iCs/>
          <w:sz w:val="20"/>
          <w:szCs w:val="20"/>
          <w:lang w:val="en-US" w:eastAsia="pt-PT"/>
        </w:rPr>
        <w:t xml:space="preserve">Botryosphaeria </w:t>
      </w:r>
      <w:r w:rsidRPr="00682354">
        <w:rPr>
          <w:sz w:val="20"/>
          <w:szCs w:val="20"/>
          <w:lang w:val="en-US" w:eastAsia="pt-PT"/>
        </w:rPr>
        <w:t xml:space="preserve">and related taxa. </w:t>
      </w:r>
      <w:r w:rsidRPr="00682354">
        <w:rPr>
          <w:i/>
          <w:sz w:val="20"/>
          <w:szCs w:val="20"/>
          <w:lang w:val="en-US" w:eastAsia="pt-PT"/>
        </w:rPr>
        <w:t>Mycologia</w:t>
      </w:r>
      <w:r w:rsidRPr="00682354">
        <w:rPr>
          <w:sz w:val="20"/>
          <w:szCs w:val="20"/>
          <w:lang w:val="en-US" w:eastAsia="pt-PT"/>
        </w:rPr>
        <w:t xml:space="preserve"> 90: 601–610.</w:t>
      </w:r>
    </w:p>
    <w:p w:rsidR="000A6E4F" w:rsidRPr="00682354" w:rsidRDefault="000A6E4F" w:rsidP="000A6E4F">
      <w:pPr>
        <w:autoSpaceDE w:val="0"/>
        <w:autoSpaceDN w:val="0"/>
        <w:adjustRightInd w:val="0"/>
        <w:spacing w:after="0" w:line="240" w:lineRule="auto"/>
        <w:rPr>
          <w:sz w:val="20"/>
          <w:szCs w:val="20"/>
          <w:lang w:val="en-US" w:eastAsia="pt-PT"/>
        </w:rPr>
      </w:pPr>
    </w:p>
    <w:p w:rsidR="000A6E4F" w:rsidRPr="00682354" w:rsidRDefault="000A6E4F" w:rsidP="000A6E4F">
      <w:pPr>
        <w:autoSpaceDE w:val="0"/>
        <w:autoSpaceDN w:val="0"/>
        <w:adjustRightInd w:val="0"/>
        <w:spacing w:after="0" w:line="240" w:lineRule="auto"/>
        <w:rPr>
          <w:sz w:val="20"/>
          <w:szCs w:val="20"/>
          <w:lang w:val="en-US"/>
        </w:rPr>
      </w:pPr>
      <w:r w:rsidRPr="00682354">
        <w:rPr>
          <w:sz w:val="20"/>
          <w:szCs w:val="20"/>
          <w:lang w:val="en-US"/>
        </w:rPr>
        <w:t xml:space="preserve">KeXiang, G., XiaoGuamg, L., RunFang, G., BaoJian, G., TianBo, Z. 2002. Mycoparasitism of </w:t>
      </w:r>
      <w:r w:rsidRPr="00682354">
        <w:rPr>
          <w:i/>
          <w:iCs/>
          <w:sz w:val="20"/>
          <w:szCs w:val="20"/>
          <w:lang w:val="en-US"/>
        </w:rPr>
        <w:t xml:space="preserve">Trichoderma </w:t>
      </w:r>
      <w:r w:rsidRPr="00682354">
        <w:rPr>
          <w:sz w:val="20"/>
          <w:szCs w:val="20"/>
          <w:lang w:val="en-US"/>
        </w:rPr>
        <w:t xml:space="preserve">spp. on five plant pathogenic fungi. </w:t>
      </w:r>
      <w:r w:rsidRPr="00682354">
        <w:rPr>
          <w:i/>
          <w:iCs/>
          <w:sz w:val="20"/>
          <w:szCs w:val="20"/>
          <w:lang w:val="en-US"/>
        </w:rPr>
        <w:t xml:space="preserve">Journal of Shandong Agricultural University </w:t>
      </w:r>
      <w:r w:rsidRPr="00682354">
        <w:rPr>
          <w:sz w:val="20"/>
          <w:szCs w:val="20"/>
          <w:lang w:val="en-US"/>
        </w:rPr>
        <w:t xml:space="preserve">33: 42. </w:t>
      </w:r>
    </w:p>
    <w:p w:rsidR="000A6E4F" w:rsidRPr="00682354" w:rsidRDefault="000A6E4F" w:rsidP="000A6E4F">
      <w:pPr>
        <w:autoSpaceDE w:val="0"/>
        <w:autoSpaceDN w:val="0"/>
        <w:adjustRightInd w:val="0"/>
        <w:spacing w:after="0" w:line="240" w:lineRule="auto"/>
        <w:rPr>
          <w:sz w:val="20"/>
          <w:szCs w:val="20"/>
          <w:lang w:val="en-US"/>
        </w:rPr>
      </w:pPr>
    </w:p>
    <w:p w:rsidR="000A6E4F" w:rsidRPr="00682354" w:rsidRDefault="000A6E4F" w:rsidP="000A6E4F">
      <w:pPr>
        <w:autoSpaceDE w:val="0"/>
        <w:autoSpaceDN w:val="0"/>
        <w:adjustRightInd w:val="0"/>
        <w:spacing w:after="0" w:line="240" w:lineRule="auto"/>
        <w:rPr>
          <w:sz w:val="20"/>
          <w:szCs w:val="20"/>
          <w:lang w:val="en-US"/>
        </w:rPr>
      </w:pPr>
      <w:r w:rsidRPr="00682354">
        <w:rPr>
          <w:sz w:val="20"/>
          <w:szCs w:val="20"/>
          <w:lang w:val="en-US"/>
        </w:rPr>
        <w:t xml:space="preserve">Kummuang, N., Smith, B.J., Diehl, S.V., Graves, C.H. (Jr). 1996a. Muscadine grape berry rot diseases in Mississippi: disease identification and incidence. </w:t>
      </w:r>
      <w:r w:rsidRPr="00682354">
        <w:rPr>
          <w:i/>
          <w:iCs/>
          <w:sz w:val="20"/>
          <w:szCs w:val="20"/>
          <w:lang w:val="en-US"/>
        </w:rPr>
        <w:t>Plant Disease</w:t>
      </w:r>
      <w:r w:rsidRPr="00682354">
        <w:rPr>
          <w:sz w:val="20"/>
          <w:szCs w:val="20"/>
          <w:lang w:val="en-US"/>
        </w:rPr>
        <w:t xml:space="preserve"> 80:238-243.</w:t>
      </w:r>
    </w:p>
    <w:p w:rsidR="000A6E4F" w:rsidRPr="00682354" w:rsidRDefault="000A6E4F" w:rsidP="000A6E4F">
      <w:pPr>
        <w:autoSpaceDE w:val="0"/>
        <w:autoSpaceDN w:val="0"/>
        <w:adjustRightInd w:val="0"/>
        <w:spacing w:after="0" w:line="240" w:lineRule="auto"/>
        <w:rPr>
          <w:sz w:val="20"/>
          <w:szCs w:val="20"/>
          <w:lang w:val="en-US"/>
        </w:rPr>
      </w:pPr>
    </w:p>
    <w:p w:rsidR="000A6E4F" w:rsidRPr="00682354" w:rsidRDefault="000A6E4F" w:rsidP="000A6E4F">
      <w:pPr>
        <w:autoSpaceDE w:val="0"/>
        <w:autoSpaceDN w:val="0"/>
        <w:adjustRightInd w:val="0"/>
        <w:spacing w:after="0" w:line="240" w:lineRule="auto"/>
        <w:rPr>
          <w:sz w:val="20"/>
          <w:szCs w:val="20"/>
          <w:lang w:val="en-US"/>
        </w:rPr>
      </w:pPr>
      <w:r w:rsidRPr="00682354">
        <w:rPr>
          <w:sz w:val="20"/>
          <w:szCs w:val="20"/>
          <w:lang w:val="en-US"/>
        </w:rPr>
        <w:t xml:space="preserve">Kummuang, N., Diehl, S.V., Smith, B.J., Graves, C.H (Jr). 1996b. Muscadine grape berry rot diseases in Mississippi: disease epidemiology and crop reduction. </w:t>
      </w:r>
      <w:r w:rsidRPr="00682354">
        <w:rPr>
          <w:i/>
          <w:iCs/>
          <w:sz w:val="20"/>
          <w:szCs w:val="20"/>
          <w:lang w:val="en-US"/>
        </w:rPr>
        <w:t xml:space="preserve">Plant Disease </w:t>
      </w:r>
      <w:r w:rsidRPr="00682354">
        <w:rPr>
          <w:sz w:val="20"/>
          <w:szCs w:val="20"/>
          <w:lang w:val="en-US"/>
        </w:rPr>
        <w:t xml:space="preserve">80: 244-247. </w:t>
      </w:r>
    </w:p>
    <w:p w:rsidR="000A6E4F" w:rsidRPr="00682354" w:rsidRDefault="000A6E4F" w:rsidP="000A6E4F">
      <w:pPr>
        <w:autoSpaceDE w:val="0"/>
        <w:autoSpaceDN w:val="0"/>
        <w:adjustRightInd w:val="0"/>
        <w:spacing w:after="0" w:line="240" w:lineRule="auto"/>
        <w:rPr>
          <w:sz w:val="20"/>
          <w:szCs w:val="20"/>
          <w:lang w:val="en-US"/>
        </w:rPr>
      </w:pPr>
    </w:p>
    <w:p w:rsidR="000A6E4F" w:rsidRPr="00682354" w:rsidRDefault="000A6E4F" w:rsidP="000A6E4F">
      <w:pPr>
        <w:autoSpaceDE w:val="0"/>
        <w:autoSpaceDN w:val="0"/>
        <w:adjustRightInd w:val="0"/>
        <w:spacing w:after="0" w:line="240" w:lineRule="auto"/>
        <w:rPr>
          <w:sz w:val="20"/>
          <w:szCs w:val="20"/>
          <w:lang w:val="en-US"/>
        </w:rPr>
      </w:pPr>
      <w:r w:rsidRPr="00682354">
        <w:rPr>
          <w:sz w:val="20"/>
          <w:szCs w:val="20"/>
          <w:lang w:val="en-US"/>
        </w:rPr>
        <w:t xml:space="preserve">Larignon, P. 1999. Black foot disease in France. In </w:t>
      </w:r>
      <w:r w:rsidRPr="00682354">
        <w:rPr>
          <w:i/>
          <w:iCs/>
          <w:sz w:val="20"/>
          <w:szCs w:val="20"/>
          <w:lang w:val="en-US"/>
        </w:rPr>
        <w:t xml:space="preserve">Black Goo: Symptoms and Occurrence of Grape Declines - IAS/ICGTD Proceedings </w:t>
      </w:r>
      <w:smartTag w:uri="urn:schemas-microsoft-com:office:smarttags" w:element="metricconverter">
        <w:smartTagPr>
          <w:attr w:name="ProductID" w:val="1998, L"/>
        </w:smartTagPr>
        <w:r w:rsidRPr="00682354">
          <w:rPr>
            <w:i/>
            <w:iCs/>
            <w:sz w:val="20"/>
            <w:szCs w:val="20"/>
            <w:lang w:val="en-US"/>
          </w:rPr>
          <w:t>1998</w:t>
        </w:r>
        <w:r w:rsidRPr="00682354">
          <w:rPr>
            <w:iCs/>
            <w:sz w:val="20"/>
            <w:szCs w:val="20"/>
            <w:lang w:val="en-US"/>
          </w:rPr>
          <w:t>,</w:t>
        </w:r>
        <w:r w:rsidRPr="00682354">
          <w:rPr>
            <w:i/>
            <w:iCs/>
            <w:sz w:val="20"/>
            <w:szCs w:val="20"/>
            <w:lang w:val="en-US"/>
          </w:rPr>
          <w:t xml:space="preserve"> </w:t>
        </w:r>
        <w:r w:rsidRPr="00682354">
          <w:rPr>
            <w:sz w:val="20"/>
            <w:szCs w:val="20"/>
            <w:lang w:val="en-US"/>
          </w:rPr>
          <w:t>L</w:t>
        </w:r>
      </w:smartTag>
      <w:r w:rsidRPr="00682354">
        <w:rPr>
          <w:sz w:val="20"/>
          <w:szCs w:val="20"/>
          <w:lang w:val="en-US"/>
        </w:rPr>
        <w:t xml:space="preserve">. Morton (ed.). International Ampelography Society, Fort Valley, Virginia, USA, 89-90. </w:t>
      </w:r>
    </w:p>
    <w:p w:rsidR="000A6E4F" w:rsidRPr="00682354" w:rsidRDefault="000A6E4F" w:rsidP="000A6E4F">
      <w:pPr>
        <w:autoSpaceDE w:val="0"/>
        <w:autoSpaceDN w:val="0"/>
        <w:adjustRightInd w:val="0"/>
        <w:spacing w:after="0" w:line="240" w:lineRule="auto"/>
        <w:rPr>
          <w:sz w:val="20"/>
          <w:szCs w:val="20"/>
          <w:lang w:val="en-US"/>
        </w:rPr>
      </w:pPr>
    </w:p>
    <w:p w:rsidR="000A6E4F" w:rsidRPr="00682354" w:rsidRDefault="000A6E4F" w:rsidP="000A6E4F">
      <w:pPr>
        <w:autoSpaceDE w:val="0"/>
        <w:autoSpaceDN w:val="0"/>
        <w:adjustRightInd w:val="0"/>
        <w:spacing w:after="0" w:line="240" w:lineRule="auto"/>
        <w:rPr>
          <w:sz w:val="20"/>
          <w:szCs w:val="20"/>
          <w:lang w:val="en-US"/>
        </w:rPr>
      </w:pPr>
      <w:r w:rsidRPr="00682354">
        <w:rPr>
          <w:sz w:val="20"/>
          <w:szCs w:val="20"/>
          <w:lang w:val="en-US"/>
        </w:rPr>
        <w:t xml:space="preserve">Larignon, P., Dubos, B. 2001. The villainy of Black Dead Arm. </w:t>
      </w:r>
      <w:r w:rsidRPr="00682354">
        <w:rPr>
          <w:i/>
          <w:iCs/>
          <w:sz w:val="20"/>
          <w:szCs w:val="20"/>
          <w:lang w:val="en-US"/>
        </w:rPr>
        <w:t xml:space="preserve">Wines &amp; Vines </w:t>
      </w:r>
      <w:r w:rsidRPr="00682354">
        <w:rPr>
          <w:sz w:val="20"/>
          <w:szCs w:val="20"/>
          <w:lang w:val="en-US"/>
        </w:rPr>
        <w:t>82:86-89.</w:t>
      </w:r>
    </w:p>
    <w:p w:rsidR="000A6E4F" w:rsidRPr="00682354" w:rsidRDefault="000A6E4F" w:rsidP="000A6E4F">
      <w:pPr>
        <w:autoSpaceDE w:val="0"/>
        <w:autoSpaceDN w:val="0"/>
        <w:adjustRightInd w:val="0"/>
        <w:spacing w:after="0" w:line="240" w:lineRule="auto"/>
        <w:rPr>
          <w:sz w:val="20"/>
          <w:szCs w:val="20"/>
          <w:lang w:val="en-US"/>
        </w:rPr>
      </w:pPr>
    </w:p>
    <w:p w:rsidR="000A6E4F" w:rsidRPr="00682354" w:rsidRDefault="000A6E4F" w:rsidP="000A6E4F">
      <w:pPr>
        <w:autoSpaceDE w:val="0"/>
        <w:autoSpaceDN w:val="0"/>
        <w:adjustRightInd w:val="0"/>
        <w:spacing w:after="0" w:line="240" w:lineRule="auto"/>
        <w:rPr>
          <w:sz w:val="20"/>
          <w:szCs w:val="20"/>
          <w:lang w:val="en-US" w:eastAsia="pt-PT"/>
        </w:rPr>
      </w:pPr>
      <w:r w:rsidRPr="00B8770E">
        <w:rPr>
          <w:sz w:val="20"/>
          <w:szCs w:val="20"/>
          <w:lang w:val="it-IT" w:eastAsia="pt-PT"/>
        </w:rPr>
        <w:t xml:space="preserve">Larignon, P., Fulchic, R., Cere, L., Dubos, B. 2001. </w:t>
      </w:r>
      <w:r w:rsidRPr="00682354">
        <w:rPr>
          <w:sz w:val="20"/>
          <w:szCs w:val="20"/>
          <w:lang w:val="en-US" w:eastAsia="pt-PT"/>
        </w:rPr>
        <w:t xml:space="preserve">Observation on black dead arm in French vineyards. </w:t>
      </w:r>
      <w:r w:rsidRPr="00682354">
        <w:rPr>
          <w:i/>
          <w:iCs/>
          <w:sz w:val="20"/>
          <w:szCs w:val="20"/>
          <w:lang w:val="en-US" w:eastAsia="pt-PT"/>
        </w:rPr>
        <w:t xml:space="preserve">Phytopathologia Mediterranea </w:t>
      </w:r>
      <w:r w:rsidRPr="00682354">
        <w:rPr>
          <w:sz w:val="20"/>
          <w:szCs w:val="20"/>
          <w:lang w:val="en-US" w:eastAsia="pt-PT"/>
        </w:rPr>
        <w:t xml:space="preserve">40: S336-342. </w:t>
      </w:r>
    </w:p>
    <w:p w:rsidR="000A6E4F" w:rsidRPr="00682354" w:rsidRDefault="000A6E4F" w:rsidP="000A6E4F">
      <w:pPr>
        <w:autoSpaceDE w:val="0"/>
        <w:autoSpaceDN w:val="0"/>
        <w:adjustRightInd w:val="0"/>
        <w:spacing w:after="0" w:line="240" w:lineRule="auto"/>
        <w:rPr>
          <w:sz w:val="20"/>
          <w:szCs w:val="20"/>
          <w:lang w:val="en-US" w:eastAsia="pt-PT"/>
        </w:rPr>
      </w:pPr>
    </w:p>
    <w:p w:rsidR="000A6E4F" w:rsidRPr="00682354" w:rsidRDefault="000A6E4F" w:rsidP="000A6E4F">
      <w:pPr>
        <w:autoSpaceDE w:val="0"/>
        <w:autoSpaceDN w:val="0"/>
        <w:adjustRightInd w:val="0"/>
        <w:spacing w:after="0" w:line="240" w:lineRule="auto"/>
        <w:rPr>
          <w:sz w:val="20"/>
          <w:szCs w:val="20"/>
          <w:lang w:val="en-US" w:eastAsia="pt-PT"/>
        </w:rPr>
      </w:pPr>
      <w:r w:rsidRPr="00682354">
        <w:rPr>
          <w:sz w:val="20"/>
          <w:szCs w:val="20"/>
          <w:lang w:val="en-US" w:eastAsia="pt-PT"/>
        </w:rPr>
        <w:t xml:space="preserve">Larignon P., Molot, B. 2004. The diseases of wood. Current experiments and initial results. </w:t>
      </w:r>
      <w:r w:rsidRPr="00682354">
        <w:rPr>
          <w:i/>
          <w:iCs/>
          <w:sz w:val="20"/>
          <w:szCs w:val="20"/>
          <w:lang w:val="en-US" w:eastAsia="pt-PT"/>
        </w:rPr>
        <w:t>Progrès Agricole</w:t>
      </w:r>
      <w:r w:rsidRPr="00682354">
        <w:rPr>
          <w:sz w:val="20"/>
          <w:szCs w:val="20"/>
          <w:lang w:val="en-US" w:eastAsia="pt-PT"/>
        </w:rPr>
        <w:t xml:space="preserve"> </w:t>
      </w:r>
      <w:r w:rsidRPr="00682354">
        <w:rPr>
          <w:i/>
          <w:iCs/>
          <w:sz w:val="20"/>
          <w:szCs w:val="20"/>
          <w:lang w:val="en-US" w:eastAsia="pt-PT"/>
        </w:rPr>
        <w:t xml:space="preserve">et Viticole </w:t>
      </w:r>
      <w:r w:rsidRPr="00682354">
        <w:rPr>
          <w:iCs/>
          <w:sz w:val="20"/>
          <w:szCs w:val="20"/>
          <w:lang w:val="en-US" w:eastAsia="pt-PT"/>
        </w:rPr>
        <w:t xml:space="preserve">nº </w:t>
      </w:r>
      <w:r w:rsidRPr="00682354">
        <w:rPr>
          <w:sz w:val="20"/>
          <w:szCs w:val="20"/>
          <w:lang w:val="en-US" w:eastAsia="pt-PT"/>
        </w:rPr>
        <w:t>121: 459–463.</w:t>
      </w:r>
    </w:p>
    <w:p w:rsidR="000A6E4F" w:rsidRPr="00682354" w:rsidRDefault="000A6E4F" w:rsidP="000A6E4F">
      <w:pPr>
        <w:autoSpaceDE w:val="0"/>
        <w:autoSpaceDN w:val="0"/>
        <w:adjustRightInd w:val="0"/>
        <w:spacing w:after="0" w:line="240" w:lineRule="auto"/>
        <w:rPr>
          <w:sz w:val="20"/>
          <w:szCs w:val="20"/>
          <w:lang w:val="en-US" w:eastAsia="pt-PT"/>
        </w:rPr>
      </w:pPr>
    </w:p>
    <w:p w:rsidR="000A6E4F" w:rsidRPr="00682354" w:rsidRDefault="000A6E4F" w:rsidP="000A6E4F">
      <w:pPr>
        <w:autoSpaceDE w:val="0"/>
        <w:autoSpaceDN w:val="0"/>
        <w:adjustRightInd w:val="0"/>
        <w:spacing w:after="0" w:line="240" w:lineRule="auto"/>
        <w:rPr>
          <w:sz w:val="20"/>
          <w:szCs w:val="20"/>
          <w:lang w:val="en-US" w:eastAsia="pt-PT"/>
        </w:rPr>
      </w:pPr>
      <w:r w:rsidRPr="00682354">
        <w:rPr>
          <w:sz w:val="20"/>
          <w:szCs w:val="20"/>
          <w:lang w:val="en-US" w:eastAsia="pt-PT"/>
        </w:rPr>
        <w:t xml:space="preserve">Laundon, G.F. 1973. </w:t>
      </w:r>
      <w:r w:rsidRPr="00682354">
        <w:rPr>
          <w:i/>
          <w:iCs/>
          <w:sz w:val="20"/>
          <w:szCs w:val="20"/>
          <w:lang w:val="en-US" w:eastAsia="pt-PT"/>
        </w:rPr>
        <w:t xml:space="preserve">Botryosphaeria obtusa, B. stevensii </w:t>
      </w:r>
      <w:r w:rsidRPr="00682354">
        <w:rPr>
          <w:sz w:val="20"/>
          <w:szCs w:val="20"/>
          <w:lang w:val="en-US" w:eastAsia="pt-PT"/>
        </w:rPr>
        <w:t xml:space="preserve">and </w:t>
      </w:r>
      <w:r w:rsidRPr="00682354">
        <w:rPr>
          <w:i/>
          <w:iCs/>
          <w:sz w:val="20"/>
          <w:szCs w:val="20"/>
          <w:lang w:val="en-US" w:eastAsia="pt-PT"/>
        </w:rPr>
        <w:t xml:space="preserve">Otthia spiraeae </w:t>
      </w:r>
      <w:r w:rsidRPr="00682354">
        <w:rPr>
          <w:sz w:val="20"/>
          <w:szCs w:val="20"/>
          <w:lang w:val="en-US" w:eastAsia="pt-PT"/>
        </w:rPr>
        <w:t xml:space="preserve">in New Zealand. </w:t>
      </w:r>
      <w:r w:rsidRPr="00682354">
        <w:rPr>
          <w:i/>
          <w:sz w:val="20"/>
          <w:szCs w:val="20"/>
          <w:lang w:val="en-US"/>
        </w:rPr>
        <w:t xml:space="preserve">Transactions of the </w:t>
      </w:r>
      <w:r w:rsidRPr="00682354">
        <w:rPr>
          <w:rStyle w:val="nfase"/>
          <w:b w:val="0"/>
          <w:i/>
          <w:sz w:val="20"/>
          <w:szCs w:val="20"/>
          <w:lang w:val="en-US"/>
        </w:rPr>
        <w:t>British</w:t>
      </w:r>
      <w:r w:rsidRPr="00682354">
        <w:rPr>
          <w:i/>
          <w:sz w:val="20"/>
          <w:szCs w:val="20"/>
          <w:lang w:val="en-US"/>
        </w:rPr>
        <w:t xml:space="preserve"> Mycological Society</w:t>
      </w:r>
      <w:r w:rsidRPr="00682354">
        <w:rPr>
          <w:sz w:val="20"/>
          <w:szCs w:val="20"/>
          <w:lang w:val="en-US"/>
        </w:rPr>
        <w:t xml:space="preserve"> </w:t>
      </w:r>
      <w:r w:rsidRPr="00682354">
        <w:rPr>
          <w:sz w:val="20"/>
          <w:szCs w:val="20"/>
          <w:lang w:val="en-US" w:eastAsia="pt-PT"/>
        </w:rPr>
        <w:t>61:369–374.</w:t>
      </w:r>
    </w:p>
    <w:p w:rsidR="000A6E4F" w:rsidRPr="00682354" w:rsidRDefault="000A6E4F" w:rsidP="000A6E4F">
      <w:pPr>
        <w:autoSpaceDE w:val="0"/>
        <w:autoSpaceDN w:val="0"/>
        <w:adjustRightInd w:val="0"/>
        <w:spacing w:after="0" w:line="240" w:lineRule="auto"/>
        <w:rPr>
          <w:sz w:val="20"/>
          <w:szCs w:val="20"/>
          <w:lang w:val="en-US" w:eastAsia="pt-PT"/>
        </w:rPr>
      </w:pPr>
    </w:p>
    <w:p w:rsidR="0065526F" w:rsidRPr="00682354" w:rsidRDefault="0065526F" w:rsidP="0065526F">
      <w:pPr>
        <w:autoSpaceDE w:val="0"/>
        <w:autoSpaceDN w:val="0"/>
        <w:adjustRightInd w:val="0"/>
        <w:spacing w:after="0" w:line="240" w:lineRule="auto"/>
        <w:rPr>
          <w:sz w:val="20"/>
          <w:szCs w:val="20"/>
          <w:lang w:val="en-US" w:eastAsia="pt-PT"/>
        </w:rPr>
      </w:pPr>
      <w:r w:rsidRPr="00682354">
        <w:rPr>
          <w:sz w:val="20"/>
          <w:szCs w:val="20"/>
          <w:lang w:val="en-US" w:eastAsia="pt-PT"/>
        </w:rPr>
        <w:t xml:space="preserve">Leavitt G., 2003. The occurrance, distribution, effects and control of </w:t>
      </w:r>
      <w:r w:rsidRPr="00682354">
        <w:rPr>
          <w:i/>
          <w:iCs/>
          <w:sz w:val="20"/>
          <w:szCs w:val="20"/>
          <w:lang w:val="en-US" w:eastAsia="pt-PT"/>
        </w:rPr>
        <w:t xml:space="preserve">Botryodiplodia theobromae </w:t>
      </w:r>
      <w:r w:rsidRPr="00682354">
        <w:rPr>
          <w:sz w:val="20"/>
          <w:szCs w:val="20"/>
          <w:lang w:val="en-US" w:eastAsia="pt-PT"/>
        </w:rPr>
        <w:t xml:space="preserve">on </w:t>
      </w:r>
      <w:r w:rsidRPr="00682354">
        <w:rPr>
          <w:i/>
          <w:iCs/>
          <w:sz w:val="20"/>
          <w:szCs w:val="20"/>
          <w:lang w:val="en-US" w:eastAsia="pt-PT"/>
        </w:rPr>
        <w:t>Vitis vinifera</w:t>
      </w:r>
      <w:r w:rsidRPr="00682354">
        <w:rPr>
          <w:sz w:val="20"/>
          <w:szCs w:val="20"/>
          <w:lang w:val="en-US" w:eastAsia="pt-PT"/>
        </w:rPr>
        <w:t xml:space="preserve"> in California, Arizona and Northern Mexico. </w:t>
      </w:r>
      <w:r w:rsidRPr="00682354">
        <w:rPr>
          <w:i/>
          <w:iCs/>
          <w:sz w:val="20"/>
          <w:szCs w:val="20"/>
          <w:lang w:val="en-US" w:eastAsia="pt-PT"/>
        </w:rPr>
        <w:t>Phytopathologia</w:t>
      </w:r>
      <w:r w:rsidRPr="00682354">
        <w:rPr>
          <w:sz w:val="20"/>
          <w:szCs w:val="20"/>
          <w:lang w:val="en-US" w:eastAsia="pt-PT"/>
        </w:rPr>
        <w:t xml:space="preserve"> </w:t>
      </w:r>
      <w:r w:rsidRPr="00682354">
        <w:rPr>
          <w:i/>
          <w:iCs/>
          <w:sz w:val="20"/>
          <w:szCs w:val="20"/>
          <w:lang w:val="en-US" w:eastAsia="pt-PT"/>
        </w:rPr>
        <w:t xml:space="preserve">Mediterranea </w:t>
      </w:r>
      <w:r w:rsidRPr="00682354">
        <w:rPr>
          <w:sz w:val="20"/>
          <w:szCs w:val="20"/>
          <w:lang w:val="en-US" w:eastAsia="pt-PT"/>
        </w:rPr>
        <w:t>43: 155 (abstract).</w:t>
      </w:r>
    </w:p>
    <w:p w:rsidR="0065526F" w:rsidRPr="00682354" w:rsidRDefault="0065526F" w:rsidP="0065526F">
      <w:pPr>
        <w:autoSpaceDE w:val="0"/>
        <w:autoSpaceDN w:val="0"/>
        <w:adjustRightInd w:val="0"/>
        <w:spacing w:after="0" w:line="240" w:lineRule="auto"/>
        <w:rPr>
          <w:sz w:val="20"/>
          <w:szCs w:val="20"/>
          <w:lang w:val="en-US" w:eastAsia="pt-PT"/>
        </w:rPr>
      </w:pPr>
    </w:p>
    <w:p w:rsidR="000A6E4F" w:rsidRPr="00682354" w:rsidRDefault="000A6E4F" w:rsidP="000A6E4F">
      <w:pPr>
        <w:autoSpaceDE w:val="0"/>
        <w:autoSpaceDN w:val="0"/>
        <w:adjustRightInd w:val="0"/>
        <w:spacing w:after="0" w:line="240" w:lineRule="auto"/>
        <w:rPr>
          <w:sz w:val="20"/>
          <w:szCs w:val="20"/>
          <w:lang w:val="en-US"/>
        </w:rPr>
      </w:pPr>
      <w:r w:rsidRPr="00B8770E">
        <w:rPr>
          <w:sz w:val="20"/>
          <w:szCs w:val="20"/>
          <w:lang w:val="en-US"/>
        </w:rPr>
        <w:t>Lecomte, P., Leyo, M., Louvet, G</w:t>
      </w:r>
      <w:r w:rsidRPr="00B8770E">
        <w:rPr>
          <w:i/>
          <w:iCs/>
          <w:sz w:val="20"/>
          <w:szCs w:val="20"/>
          <w:lang w:val="en-US"/>
        </w:rPr>
        <w:t xml:space="preserve">., </w:t>
      </w:r>
      <w:r w:rsidRPr="00B8770E">
        <w:rPr>
          <w:sz w:val="20"/>
          <w:szCs w:val="20"/>
          <w:lang w:val="en-US"/>
        </w:rPr>
        <w:t xml:space="preserve">Corio-Costet, M.F., Gaudillere, J.P., Blancard, D. 2005. </w:t>
      </w:r>
      <w:r w:rsidRPr="00682354">
        <w:rPr>
          <w:sz w:val="20"/>
          <w:szCs w:val="20"/>
          <w:lang w:val="en-US"/>
        </w:rPr>
        <w:t xml:space="preserve">Développment des symptoms de black dead arm: un lien avec la rupture de trajets de seve. </w:t>
      </w:r>
      <w:r w:rsidRPr="00682354">
        <w:rPr>
          <w:i/>
          <w:iCs/>
          <w:sz w:val="20"/>
          <w:szCs w:val="20"/>
          <w:lang w:val="en-US"/>
        </w:rPr>
        <w:t xml:space="preserve">Progrès Agricole et Viticole </w:t>
      </w:r>
      <w:r w:rsidRPr="00682354">
        <w:rPr>
          <w:iCs/>
          <w:sz w:val="20"/>
          <w:szCs w:val="20"/>
          <w:lang w:val="en-US"/>
        </w:rPr>
        <w:t xml:space="preserve">nº </w:t>
      </w:r>
      <w:r w:rsidRPr="00682354">
        <w:rPr>
          <w:sz w:val="20"/>
          <w:szCs w:val="20"/>
          <w:lang w:val="en-US"/>
        </w:rPr>
        <w:t>122: 13-14.</w:t>
      </w:r>
    </w:p>
    <w:p w:rsidR="000A6E4F" w:rsidRPr="00682354" w:rsidRDefault="000A6E4F" w:rsidP="000A6E4F">
      <w:pPr>
        <w:pStyle w:val="NormalWeb"/>
        <w:rPr>
          <w:rFonts w:ascii="Arial" w:hAnsi="Arial"/>
          <w:sz w:val="20"/>
          <w:szCs w:val="20"/>
          <w:lang w:val="en-US"/>
        </w:rPr>
      </w:pPr>
      <w:r w:rsidRPr="00682354">
        <w:rPr>
          <w:rFonts w:ascii="Arial" w:hAnsi="Arial"/>
          <w:sz w:val="20"/>
          <w:szCs w:val="20"/>
          <w:lang w:val="en-US"/>
        </w:rPr>
        <w:lastRenderedPageBreak/>
        <w:t xml:space="preserve">Lehoczky, J. 1974. Black dead-arm disease of grapevine caused by </w:t>
      </w:r>
      <w:r w:rsidRPr="00682354">
        <w:rPr>
          <w:rFonts w:ascii="Arial" w:hAnsi="Arial"/>
          <w:i/>
          <w:iCs/>
          <w:sz w:val="20"/>
          <w:szCs w:val="20"/>
          <w:lang w:val="en-US"/>
        </w:rPr>
        <w:t xml:space="preserve">Botryosphaeria stevensii </w:t>
      </w:r>
      <w:r w:rsidRPr="00682354">
        <w:rPr>
          <w:rFonts w:ascii="Arial" w:hAnsi="Arial"/>
          <w:sz w:val="20"/>
          <w:szCs w:val="20"/>
          <w:lang w:val="en-US"/>
        </w:rPr>
        <w:t xml:space="preserve">infection. </w:t>
      </w:r>
      <w:r w:rsidRPr="00682354">
        <w:rPr>
          <w:rFonts w:ascii="Arial" w:hAnsi="Arial"/>
          <w:i/>
          <w:iCs/>
          <w:sz w:val="20"/>
          <w:szCs w:val="20"/>
          <w:lang w:val="en-US"/>
        </w:rPr>
        <w:t xml:space="preserve">Acta Phytophatologica Academiae Scientiarum Hungaricae </w:t>
      </w:r>
      <w:r w:rsidRPr="00682354">
        <w:rPr>
          <w:rFonts w:ascii="Arial" w:hAnsi="Arial"/>
          <w:sz w:val="20"/>
          <w:szCs w:val="20"/>
          <w:lang w:val="en-US"/>
        </w:rPr>
        <w:t xml:space="preserve">9: 319-327. </w:t>
      </w:r>
    </w:p>
    <w:p w:rsidR="000A6E4F" w:rsidRPr="00682354" w:rsidRDefault="000A6E4F" w:rsidP="000A6E4F">
      <w:pPr>
        <w:pStyle w:val="NormalWeb"/>
        <w:rPr>
          <w:rFonts w:ascii="Arial" w:hAnsi="Arial"/>
          <w:sz w:val="20"/>
          <w:szCs w:val="20"/>
          <w:lang w:val="en-US"/>
        </w:rPr>
      </w:pPr>
      <w:r w:rsidRPr="00682354">
        <w:rPr>
          <w:rFonts w:ascii="Arial" w:hAnsi="Arial"/>
          <w:sz w:val="20"/>
          <w:szCs w:val="20"/>
          <w:lang w:val="en-US"/>
        </w:rPr>
        <w:t xml:space="preserve">Lehoczky J. 1988. Black dead arm. In </w:t>
      </w:r>
      <w:r w:rsidRPr="00682354">
        <w:rPr>
          <w:rFonts w:ascii="Arial" w:hAnsi="Arial"/>
          <w:i/>
          <w:iCs/>
          <w:sz w:val="20"/>
          <w:szCs w:val="20"/>
          <w:lang w:val="en-US"/>
        </w:rPr>
        <w:t>Compendium of Grape Disease</w:t>
      </w:r>
      <w:r w:rsidRPr="00682354">
        <w:rPr>
          <w:rFonts w:ascii="Arial" w:hAnsi="Arial"/>
          <w:sz w:val="20"/>
          <w:szCs w:val="20"/>
          <w:lang w:val="en-US"/>
        </w:rPr>
        <w:t>. R.C. Pearson, A.C., Goheen (eds.), APS Press, St. Paul, MN, USA, 35.</w:t>
      </w:r>
    </w:p>
    <w:p w:rsidR="000A6E4F" w:rsidRPr="00682354" w:rsidRDefault="000A6E4F" w:rsidP="000A6E4F">
      <w:pPr>
        <w:autoSpaceDE w:val="0"/>
        <w:autoSpaceDN w:val="0"/>
        <w:adjustRightInd w:val="0"/>
        <w:spacing w:after="0" w:line="240" w:lineRule="auto"/>
        <w:rPr>
          <w:sz w:val="20"/>
          <w:szCs w:val="20"/>
          <w:lang w:val="en-US"/>
        </w:rPr>
      </w:pPr>
      <w:r w:rsidRPr="00682354">
        <w:rPr>
          <w:sz w:val="20"/>
          <w:szCs w:val="20"/>
          <w:lang w:val="en-US"/>
        </w:rPr>
        <w:t>Luque, J., Martos, S., Phillips</w:t>
      </w:r>
      <w:r w:rsidRPr="00682354">
        <w:rPr>
          <w:i/>
          <w:iCs/>
          <w:sz w:val="20"/>
          <w:szCs w:val="20"/>
          <w:lang w:val="en-US"/>
        </w:rPr>
        <w:t xml:space="preserve">, </w:t>
      </w:r>
      <w:r w:rsidRPr="00682354">
        <w:rPr>
          <w:sz w:val="20"/>
          <w:szCs w:val="20"/>
          <w:lang w:val="en-US"/>
        </w:rPr>
        <w:t xml:space="preserve">A.J.L. 2005. </w:t>
      </w:r>
      <w:r w:rsidRPr="00682354">
        <w:rPr>
          <w:i/>
          <w:iCs/>
          <w:sz w:val="20"/>
          <w:szCs w:val="20"/>
          <w:lang w:val="en-US"/>
        </w:rPr>
        <w:t xml:space="preserve">Botryosphaeria viticola </w:t>
      </w:r>
      <w:r w:rsidRPr="00682354">
        <w:rPr>
          <w:sz w:val="20"/>
          <w:szCs w:val="20"/>
          <w:lang w:val="en-US"/>
        </w:rPr>
        <w:t xml:space="preserve">sp. nov. on grapevines: a new species with a </w:t>
      </w:r>
      <w:r w:rsidRPr="00682354">
        <w:rPr>
          <w:i/>
          <w:iCs/>
          <w:sz w:val="20"/>
          <w:szCs w:val="20"/>
          <w:lang w:val="en-US"/>
        </w:rPr>
        <w:t xml:space="preserve">Dothiorella </w:t>
      </w:r>
      <w:r w:rsidRPr="00682354">
        <w:rPr>
          <w:sz w:val="20"/>
          <w:szCs w:val="20"/>
          <w:lang w:val="en-US"/>
        </w:rPr>
        <w:t xml:space="preserve">anamorph. </w:t>
      </w:r>
      <w:r w:rsidRPr="00682354">
        <w:rPr>
          <w:i/>
          <w:iCs/>
          <w:sz w:val="20"/>
          <w:szCs w:val="20"/>
          <w:lang w:val="en-US"/>
        </w:rPr>
        <w:t xml:space="preserve">Mycologia </w:t>
      </w:r>
      <w:r w:rsidRPr="00682354">
        <w:rPr>
          <w:sz w:val="20"/>
          <w:szCs w:val="20"/>
          <w:lang w:val="en-US"/>
        </w:rPr>
        <w:t>97: 1111-1121.</w:t>
      </w:r>
    </w:p>
    <w:p w:rsidR="000A6E4F" w:rsidRPr="00682354" w:rsidRDefault="000A6E4F" w:rsidP="000A6E4F">
      <w:pPr>
        <w:autoSpaceDE w:val="0"/>
        <w:autoSpaceDN w:val="0"/>
        <w:adjustRightInd w:val="0"/>
        <w:spacing w:after="0" w:line="240" w:lineRule="auto"/>
        <w:rPr>
          <w:sz w:val="20"/>
          <w:szCs w:val="20"/>
          <w:lang w:val="en-US" w:eastAsia="pt-PT"/>
        </w:rPr>
      </w:pPr>
      <w:r w:rsidRPr="00682354">
        <w:rPr>
          <w:sz w:val="20"/>
          <w:szCs w:val="20"/>
          <w:lang w:val="en-US" w:eastAsia="pt-PT"/>
        </w:rPr>
        <w:t xml:space="preserve">Lyubun, Y.V., Kosterin, P.V..Zakharova, E.A., Shcherbakov, A.A, Fedorov, E.E. 2002. Arsenic-contaminated soils: phytotoxicity studies with sunflower and sorghum. </w:t>
      </w:r>
      <w:r w:rsidRPr="00682354">
        <w:rPr>
          <w:i/>
          <w:iCs/>
          <w:sz w:val="20"/>
          <w:szCs w:val="20"/>
          <w:lang w:val="en-US" w:eastAsia="pt-PT"/>
        </w:rPr>
        <w:t xml:space="preserve">Journal of Soils and Sediments </w:t>
      </w:r>
      <w:r w:rsidRPr="00682354">
        <w:rPr>
          <w:sz w:val="20"/>
          <w:szCs w:val="20"/>
          <w:lang w:val="en-US" w:eastAsia="pt-PT"/>
        </w:rPr>
        <w:t>2: 143–147.</w:t>
      </w:r>
    </w:p>
    <w:p w:rsidR="000A6E4F" w:rsidRPr="00682354" w:rsidRDefault="000A6E4F" w:rsidP="000A6E4F">
      <w:pPr>
        <w:autoSpaceDE w:val="0"/>
        <w:autoSpaceDN w:val="0"/>
        <w:adjustRightInd w:val="0"/>
        <w:spacing w:after="0" w:line="240" w:lineRule="auto"/>
        <w:rPr>
          <w:sz w:val="20"/>
          <w:szCs w:val="20"/>
          <w:lang w:val="en-US" w:eastAsia="pt-PT"/>
        </w:rPr>
      </w:pPr>
    </w:p>
    <w:p w:rsidR="000A6E4F" w:rsidRPr="00682354" w:rsidRDefault="000A6E4F" w:rsidP="000A6E4F">
      <w:pPr>
        <w:autoSpaceDE w:val="0"/>
        <w:autoSpaceDN w:val="0"/>
        <w:adjustRightInd w:val="0"/>
        <w:spacing w:after="0" w:line="240" w:lineRule="auto"/>
        <w:rPr>
          <w:sz w:val="20"/>
          <w:szCs w:val="20"/>
          <w:lang w:eastAsia="pt-PT"/>
        </w:rPr>
      </w:pPr>
      <w:r w:rsidRPr="00682354">
        <w:rPr>
          <w:sz w:val="20"/>
          <w:szCs w:val="20"/>
          <w:lang w:val="en-US" w:eastAsia="pt-PT"/>
        </w:rPr>
        <w:t xml:space="preserve">Ma, Z., Yong, L., Michailides, T.J. 2000. Resistance of </w:t>
      </w:r>
      <w:r w:rsidRPr="00682354">
        <w:rPr>
          <w:i/>
          <w:iCs/>
          <w:sz w:val="20"/>
          <w:szCs w:val="20"/>
          <w:lang w:val="en-US" w:eastAsia="pt-PT"/>
        </w:rPr>
        <w:t xml:space="preserve">Botryosphaeria dothidea </w:t>
      </w:r>
      <w:r w:rsidRPr="00682354">
        <w:rPr>
          <w:sz w:val="20"/>
          <w:szCs w:val="20"/>
          <w:lang w:val="en-US" w:eastAsia="pt-PT"/>
        </w:rPr>
        <w:t xml:space="preserve">from pistachio to iprodione. </w:t>
      </w:r>
      <w:r w:rsidRPr="00682354">
        <w:rPr>
          <w:i/>
          <w:iCs/>
          <w:sz w:val="20"/>
          <w:szCs w:val="20"/>
          <w:lang w:eastAsia="pt-PT"/>
        </w:rPr>
        <w:t xml:space="preserve">Resistant Pest Management </w:t>
      </w:r>
      <w:r w:rsidRPr="00682354">
        <w:rPr>
          <w:sz w:val="20"/>
          <w:szCs w:val="20"/>
          <w:lang w:eastAsia="pt-PT"/>
        </w:rPr>
        <w:t>11: 3-3.</w:t>
      </w:r>
    </w:p>
    <w:p w:rsidR="000A6E4F" w:rsidRPr="00682354" w:rsidRDefault="000A6E4F" w:rsidP="000A6E4F">
      <w:pPr>
        <w:autoSpaceDE w:val="0"/>
        <w:autoSpaceDN w:val="0"/>
        <w:adjustRightInd w:val="0"/>
        <w:spacing w:after="0" w:line="240" w:lineRule="auto"/>
        <w:rPr>
          <w:sz w:val="20"/>
          <w:szCs w:val="20"/>
          <w:lang w:eastAsia="pt-PT"/>
        </w:rPr>
      </w:pPr>
    </w:p>
    <w:p w:rsidR="0065526F" w:rsidRPr="00682354" w:rsidRDefault="0065526F" w:rsidP="0065526F">
      <w:pPr>
        <w:autoSpaceDE w:val="0"/>
        <w:autoSpaceDN w:val="0"/>
        <w:adjustRightInd w:val="0"/>
        <w:spacing w:after="0" w:line="240" w:lineRule="auto"/>
        <w:rPr>
          <w:sz w:val="20"/>
          <w:szCs w:val="20"/>
          <w:lang w:eastAsia="pt-PT"/>
        </w:rPr>
      </w:pPr>
      <w:r w:rsidRPr="00682354">
        <w:rPr>
          <w:sz w:val="20"/>
          <w:szCs w:val="20"/>
          <w:lang w:eastAsia="pt-PT"/>
        </w:rPr>
        <w:t>Martin, J. 1992. Excoriosis (</w:t>
      </w:r>
      <w:r w:rsidRPr="00682354">
        <w:rPr>
          <w:i/>
          <w:sz w:val="20"/>
          <w:szCs w:val="20"/>
          <w:lang w:eastAsia="pt-PT"/>
        </w:rPr>
        <w:t xml:space="preserve">Phomopsis vitícola </w:t>
      </w:r>
      <w:r w:rsidRPr="00682354">
        <w:rPr>
          <w:sz w:val="20"/>
          <w:szCs w:val="20"/>
          <w:lang w:eastAsia="pt-PT"/>
        </w:rPr>
        <w:t xml:space="preserve">Sacc.). In </w:t>
      </w:r>
      <w:r w:rsidRPr="00682354">
        <w:rPr>
          <w:i/>
          <w:sz w:val="20"/>
          <w:szCs w:val="20"/>
          <w:lang w:eastAsia="pt-PT"/>
        </w:rPr>
        <w:t>Los Parasitos de la Vid. Estratégias de Proteccion Razonada</w:t>
      </w:r>
      <w:r w:rsidRPr="00682354">
        <w:rPr>
          <w:sz w:val="20"/>
          <w:szCs w:val="20"/>
          <w:lang w:eastAsia="pt-PT"/>
        </w:rPr>
        <w:t>, MAPA, Ed. Mundi-Prensa, Madrid, Spain, 189-192.</w:t>
      </w:r>
    </w:p>
    <w:p w:rsidR="000A6E4F" w:rsidRPr="00682354" w:rsidRDefault="000A6E4F" w:rsidP="000A6E4F">
      <w:pPr>
        <w:autoSpaceDE w:val="0"/>
        <w:autoSpaceDN w:val="0"/>
        <w:adjustRightInd w:val="0"/>
        <w:spacing w:after="0" w:line="240" w:lineRule="auto"/>
        <w:rPr>
          <w:sz w:val="20"/>
          <w:szCs w:val="20"/>
          <w:lang w:eastAsia="pt-PT"/>
        </w:rPr>
      </w:pPr>
      <w:r w:rsidRPr="00682354">
        <w:rPr>
          <w:sz w:val="20"/>
          <w:szCs w:val="20"/>
          <w:lang w:eastAsia="pt-PT"/>
        </w:rPr>
        <w:t xml:space="preserve">Martins, A. 2005. Escoriose na Vinha. </w:t>
      </w:r>
      <w:r w:rsidRPr="00682354">
        <w:rPr>
          <w:i/>
          <w:sz w:val="20"/>
          <w:szCs w:val="20"/>
          <w:lang w:eastAsia="pt-PT"/>
        </w:rPr>
        <w:t>Jovens Agricultore</w:t>
      </w:r>
      <w:r w:rsidRPr="00682354">
        <w:rPr>
          <w:sz w:val="20"/>
          <w:szCs w:val="20"/>
          <w:lang w:eastAsia="pt-PT"/>
        </w:rPr>
        <w:t>s 61: 18-19.</w:t>
      </w:r>
    </w:p>
    <w:p w:rsidR="000A6E4F" w:rsidRPr="00682354" w:rsidRDefault="000A6E4F" w:rsidP="000A6E4F">
      <w:pPr>
        <w:autoSpaceDE w:val="0"/>
        <w:autoSpaceDN w:val="0"/>
        <w:adjustRightInd w:val="0"/>
        <w:spacing w:after="0" w:line="240" w:lineRule="auto"/>
        <w:rPr>
          <w:sz w:val="20"/>
          <w:szCs w:val="20"/>
          <w:lang w:eastAsia="pt-PT"/>
        </w:rPr>
      </w:pPr>
    </w:p>
    <w:p w:rsidR="000A6E4F" w:rsidRPr="00682354" w:rsidRDefault="000A6E4F" w:rsidP="000A6E4F">
      <w:pPr>
        <w:autoSpaceDE w:val="0"/>
        <w:autoSpaceDN w:val="0"/>
        <w:adjustRightInd w:val="0"/>
        <w:spacing w:after="0" w:line="240" w:lineRule="auto"/>
        <w:rPr>
          <w:sz w:val="20"/>
          <w:szCs w:val="20"/>
          <w:lang w:val="en-US" w:eastAsia="pt-PT"/>
        </w:rPr>
      </w:pPr>
      <w:r w:rsidRPr="00682354">
        <w:rPr>
          <w:sz w:val="20"/>
          <w:szCs w:val="20"/>
          <w:lang w:val="en-GB" w:eastAsia="pt-PT"/>
        </w:rPr>
        <w:t xml:space="preserve">Merrin, S.J., Nair, N.G., Tarran, J. 1995. </w:t>
      </w:r>
      <w:r w:rsidRPr="00682354">
        <w:rPr>
          <w:sz w:val="20"/>
          <w:szCs w:val="20"/>
          <w:lang w:val="en-US" w:eastAsia="pt-PT"/>
        </w:rPr>
        <w:t xml:space="preserve">Variation in </w:t>
      </w:r>
      <w:r w:rsidRPr="00682354">
        <w:rPr>
          <w:i/>
          <w:iCs/>
          <w:sz w:val="20"/>
          <w:szCs w:val="20"/>
          <w:lang w:val="en-US" w:eastAsia="pt-PT"/>
        </w:rPr>
        <w:t xml:space="preserve">Phomopsis </w:t>
      </w:r>
      <w:r w:rsidRPr="00682354">
        <w:rPr>
          <w:sz w:val="20"/>
          <w:szCs w:val="20"/>
          <w:lang w:val="en-US" w:eastAsia="pt-PT"/>
        </w:rPr>
        <w:t xml:space="preserve">recorded on grapevine in Australia and its taxonomic and biological implications. </w:t>
      </w:r>
      <w:r w:rsidRPr="00682354">
        <w:rPr>
          <w:i/>
          <w:iCs/>
          <w:sz w:val="20"/>
          <w:szCs w:val="20"/>
          <w:lang w:val="en-US" w:eastAsia="pt-PT"/>
        </w:rPr>
        <w:t>Australasian</w:t>
      </w:r>
      <w:r w:rsidRPr="00682354">
        <w:rPr>
          <w:sz w:val="20"/>
          <w:szCs w:val="20"/>
          <w:lang w:val="en-US" w:eastAsia="pt-PT"/>
        </w:rPr>
        <w:t xml:space="preserve"> </w:t>
      </w:r>
      <w:r w:rsidRPr="00682354">
        <w:rPr>
          <w:i/>
          <w:iCs/>
          <w:sz w:val="20"/>
          <w:szCs w:val="20"/>
          <w:lang w:val="en-US" w:eastAsia="pt-PT"/>
        </w:rPr>
        <w:t>Plant Pathology</w:t>
      </w:r>
      <w:r w:rsidRPr="00682354">
        <w:rPr>
          <w:sz w:val="20"/>
          <w:szCs w:val="20"/>
          <w:lang w:val="en-US" w:eastAsia="pt-PT"/>
        </w:rPr>
        <w:t xml:space="preserve"> 24: 44-56.</w:t>
      </w:r>
    </w:p>
    <w:p w:rsidR="000A6E4F" w:rsidRPr="00682354" w:rsidRDefault="000A6E4F" w:rsidP="000A6E4F">
      <w:pPr>
        <w:autoSpaceDE w:val="0"/>
        <w:autoSpaceDN w:val="0"/>
        <w:adjustRightInd w:val="0"/>
        <w:spacing w:after="0" w:line="240" w:lineRule="auto"/>
        <w:rPr>
          <w:sz w:val="20"/>
          <w:szCs w:val="20"/>
          <w:lang w:val="en-US" w:eastAsia="pt-PT"/>
        </w:rPr>
      </w:pPr>
    </w:p>
    <w:p w:rsidR="000A6E4F" w:rsidRPr="00682354" w:rsidRDefault="000A6E4F" w:rsidP="000A6E4F">
      <w:pPr>
        <w:autoSpaceDE w:val="0"/>
        <w:autoSpaceDN w:val="0"/>
        <w:adjustRightInd w:val="0"/>
        <w:spacing w:after="0" w:line="240" w:lineRule="auto"/>
        <w:rPr>
          <w:sz w:val="20"/>
          <w:szCs w:val="20"/>
          <w:lang w:val="en-US" w:eastAsia="pt-PT"/>
        </w:rPr>
      </w:pPr>
      <w:r w:rsidRPr="00682354">
        <w:rPr>
          <w:sz w:val="20"/>
          <w:szCs w:val="20"/>
          <w:lang w:val="en-US" w:eastAsia="pt-PT"/>
        </w:rPr>
        <w:t xml:space="preserve">Michalides, T.J. 1991. Pathogenicity, distibution, sources of inoculum, and infection courts of </w:t>
      </w:r>
      <w:r w:rsidRPr="00682354">
        <w:rPr>
          <w:i/>
          <w:iCs/>
          <w:sz w:val="20"/>
          <w:szCs w:val="20"/>
          <w:lang w:val="en-US" w:eastAsia="pt-PT"/>
        </w:rPr>
        <w:t>Botryosphaeria</w:t>
      </w:r>
      <w:r w:rsidRPr="00682354">
        <w:rPr>
          <w:sz w:val="20"/>
          <w:szCs w:val="20"/>
          <w:lang w:val="en-US" w:eastAsia="pt-PT"/>
        </w:rPr>
        <w:t xml:space="preserve"> </w:t>
      </w:r>
      <w:r w:rsidRPr="00682354">
        <w:rPr>
          <w:i/>
          <w:iCs/>
          <w:sz w:val="20"/>
          <w:szCs w:val="20"/>
          <w:lang w:val="en-US" w:eastAsia="pt-PT"/>
        </w:rPr>
        <w:t xml:space="preserve">dothidea </w:t>
      </w:r>
      <w:r w:rsidRPr="00682354">
        <w:rPr>
          <w:sz w:val="20"/>
          <w:szCs w:val="20"/>
          <w:lang w:val="en-US" w:eastAsia="pt-PT"/>
        </w:rPr>
        <w:t xml:space="preserve">on pistachio. </w:t>
      </w:r>
      <w:r w:rsidRPr="00682354">
        <w:rPr>
          <w:i/>
          <w:iCs/>
          <w:sz w:val="20"/>
          <w:szCs w:val="20"/>
          <w:lang w:val="en-US" w:eastAsia="pt-PT"/>
        </w:rPr>
        <w:t xml:space="preserve">Phytopathology </w:t>
      </w:r>
      <w:r w:rsidRPr="00682354">
        <w:rPr>
          <w:sz w:val="20"/>
          <w:szCs w:val="20"/>
          <w:lang w:val="en-US" w:eastAsia="pt-PT"/>
        </w:rPr>
        <w:t xml:space="preserve">81: 566-573. </w:t>
      </w:r>
    </w:p>
    <w:p w:rsidR="000A6E4F" w:rsidRPr="00682354" w:rsidRDefault="000A6E4F" w:rsidP="000A6E4F">
      <w:pPr>
        <w:autoSpaceDE w:val="0"/>
        <w:autoSpaceDN w:val="0"/>
        <w:adjustRightInd w:val="0"/>
        <w:spacing w:after="0" w:line="240" w:lineRule="auto"/>
        <w:rPr>
          <w:sz w:val="20"/>
          <w:szCs w:val="20"/>
          <w:lang w:val="en-US" w:eastAsia="pt-PT"/>
        </w:rPr>
      </w:pPr>
    </w:p>
    <w:p w:rsidR="000A6E4F" w:rsidRPr="00682354" w:rsidRDefault="000A6E4F" w:rsidP="000A6E4F">
      <w:pPr>
        <w:autoSpaceDE w:val="0"/>
        <w:autoSpaceDN w:val="0"/>
        <w:adjustRightInd w:val="0"/>
        <w:spacing w:after="0" w:line="240" w:lineRule="auto"/>
        <w:rPr>
          <w:sz w:val="20"/>
          <w:szCs w:val="20"/>
          <w:lang w:val="en-US" w:eastAsia="pt-PT"/>
        </w:rPr>
      </w:pPr>
      <w:r w:rsidRPr="00682354">
        <w:rPr>
          <w:sz w:val="20"/>
          <w:szCs w:val="20"/>
          <w:lang w:val="en-US" w:eastAsia="pt-PT"/>
        </w:rPr>
        <w:t xml:space="preserve">Michailides, T.J., Morgan, D.P. 1993. Spore release by </w:t>
      </w:r>
      <w:r w:rsidRPr="00682354">
        <w:rPr>
          <w:i/>
          <w:iCs/>
          <w:sz w:val="20"/>
          <w:szCs w:val="20"/>
          <w:lang w:val="en-US" w:eastAsia="pt-PT"/>
        </w:rPr>
        <w:t xml:space="preserve">Botryosphaeria dothidea </w:t>
      </w:r>
      <w:r w:rsidRPr="00682354">
        <w:rPr>
          <w:sz w:val="20"/>
          <w:szCs w:val="20"/>
          <w:lang w:val="en-US" w:eastAsia="pt-PT"/>
        </w:rPr>
        <w:t xml:space="preserve">in pistachio orchards and disease control by altering the trajectory angle sprinklers. </w:t>
      </w:r>
      <w:r w:rsidRPr="00682354">
        <w:rPr>
          <w:i/>
          <w:iCs/>
          <w:sz w:val="20"/>
          <w:szCs w:val="20"/>
          <w:lang w:val="en-US" w:eastAsia="pt-PT"/>
        </w:rPr>
        <w:t xml:space="preserve">Phytopathology </w:t>
      </w:r>
      <w:r w:rsidRPr="00682354">
        <w:rPr>
          <w:sz w:val="20"/>
          <w:szCs w:val="20"/>
          <w:lang w:val="en-US" w:eastAsia="pt-PT"/>
        </w:rPr>
        <w:t>83: 145-152.</w:t>
      </w:r>
      <w:r w:rsidRPr="00682354">
        <w:rPr>
          <w:sz w:val="20"/>
          <w:szCs w:val="20"/>
          <w:lang w:val="en-US"/>
        </w:rPr>
        <w:t xml:space="preserve"> </w:t>
      </w:r>
    </w:p>
    <w:p w:rsidR="000A6E4F" w:rsidRPr="00682354" w:rsidRDefault="000A6E4F" w:rsidP="000A6E4F">
      <w:pPr>
        <w:autoSpaceDE w:val="0"/>
        <w:autoSpaceDN w:val="0"/>
        <w:adjustRightInd w:val="0"/>
        <w:spacing w:after="0" w:line="240" w:lineRule="auto"/>
        <w:rPr>
          <w:sz w:val="20"/>
          <w:szCs w:val="20"/>
          <w:lang w:val="en-US"/>
        </w:rPr>
      </w:pPr>
    </w:p>
    <w:p w:rsidR="000A6E4F" w:rsidRPr="00682354" w:rsidRDefault="000A6E4F" w:rsidP="000A6E4F">
      <w:pPr>
        <w:autoSpaceDE w:val="0"/>
        <w:autoSpaceDN w:val="0"/>
        <w:adjustRightInd w:val="0"/>
        <w:spacing w:after="0" w:line="240" w:lineRule="auto"/>
        <w:rPr>
          <w:sz w:val="20"/>
          <w:szCs w:val="20"/>
          <w:lang w:val="en-US"/>
        </w:rPr>
      </w:pPr>
      <w:r w:rsidRPr="00682354">
        <w:rPr>
          <w:sz w:val="20"/>
          <w:szCs w:val="20"/>
          <w:lang w:val="en-US"/>
        </w:rPr>
        <w:t xml:space="preserve">Milholland, R.D. 1988. Macrophoma Rot. In </w:t>
      </w:r>
      <w:r w:rsidRPr="00682354">
        <w:rPr>
          <w:i/>
          <w:iCs/>
          <w:sz w:val="20"/>
          <w:szCs w:val="20"/>
          <w:lang w:val="en-US"/>
        </w:rPr>
        <w:t>Compendium of Grape Diseases.</w:t>
      </w:r>
      <w:r w:rsidRPr="00682354">
        <w:rPr>
          <w:iCs/>
          <w:sz w:val="20"/>
          <w:szCs w:val="20"/>
          <w:lang w:val="en-US"/>
        </w:rPr>
        <w:t xml:space="preserve"> </w:t>
      </w:r>
      <w:r w:rsidRPr="00682354">
        <w:rPr>
          <w:i/>
          <w:sz w:val="20"/>
          <w:szCs w:val="20"/>
          <w:lang w:val="en-US"/>
        </w:rPr>
        <w:t>R</w:t>
      </w:r>
      <w:r w:rsidRPr="00682354">
        <w:rPr>
          <w:sz w:val="20"/>
          <w:szCs w:val="20"/>
          <w:lang w:val="en-US"/>
        </w:rPr>
        <w:t>.C. Pearson, A.C, Goheen (eds.),</w:t>
      </w:r>
      <w:r w:rsidRPr="00682354">
        <w:rPr>
          <w:i/>
          <w:iCs/>
          <w:sz w:val="20"/>
          <w:szCs w:val="20"/>
          <w:lang w:val="en-US"/>
        </w:rPr>
        <w:t xml:space="preserve"> </w:t>
      </w:r>
      <w:r w:rsidRPr="00682354">
        <w:rPr>
          <w:sz w:val="20"/>
          <w:szCs w:val="20"/>
          <w:lang w:val="en-US"/>
        </w:rPr>
        <w:t xml:space="preserve">APS Press, St. Paul, MN, USA, 24. </w:t>
      </w:r>
    </w:p>
    <w:p w:rsidR="000A6E4F" w:rsidRPr="00682354" w:rsidRDefault="000A6E4F" w:rsidP="000A6E4F">
      <w:pPr>
        <w:autoSpaceDE w:val="0"/>
        <w:autoSpaceDN w:val="0"/>
        <w:adjustRightInd w:val="0"/>
        <w:spacing w:after="0" w:line="240" w:lineRule="auto"/>
        <w:rPr>
          <w:i/>
          <w:iCs/>
          <w:sz w:val="20"/>
          <w:szCs w:val="20"/>
          <w:lang w:val="en-US"/>
        </w:rPr>
      </w:pPr>
    </w:p>
    <w:p w:rsidR="000A6E4F" w:rsidRPr="00682354" w:rsidRDefault="000A6E4F" w:rsidP="000A6E4F">
      <w:pPr>
        <w:autoSpaceDE w:val="0"/>
        <w:autoSpaceDN w:val="0"/>
        <w:adjustRightInd w:val="0"/>
        <w:spacing w:after="0" w:line="240" w:lineRule="auto"/>
        <w:rPr>
          <w:sz w:val="20"/>
          <w:szCs w:val="20"/>
          <w:lang w:val="en-US"/>
        </w:rPr>
      </w:pPr>
      <w:r w:rsidRPr="00682354">
        <w:rPr>
          <w:sz w:val="20"/>
          <w:szCs w:val="20"/>
          <w:lang w:val="en-US"/>
        </w:rPr>
        <w:t xml:space="preserve">Milholland, R.D. 1991. Muscadine grapes: some important diseases and their control. </w:t>
      </w:r>
      <w:r w:rsidRPr="00682354">
        <w:rPr>
          <w:i/>
          <w:iCs/>
          <w:sz w:val="20"/>
          <w:szCs w:val="20"/>
          <w:lang w:val="en-US"/>
        </w:rPr>
        <w:t xml:space="preserve">Plant Disease </w:t>
      </w:r>
      <w:r w:rsidRPr="00682354">
        <w:rPr>
          <w:sz w:val="20"/>
          <w:szCs w:val="20"/>
          <w:lang w:val="en-US"/>
        </w:rPr>
        <w:t xml:space="preserve">75:113-117. </w:t>
      </w:r>
    </w:p>
    <w:p w:rsidR="000A6E4F" w:rsidRPr="00682354" w:rsidRDefault="000A6E4F" w:rsidP="000A6E4F">
      <w:pPr>
        <w:autoSpaceDE w:val="0"/>
        <w:autoSpaceDN w:val="0"/>
        <w:adjustRightInd w:val="0"/>
        <w:spacing w:after="0" w:line="240" w:lineRule="auto"/>
        <w:rPr>
          <w:sz w:val="20"/>
          <w:szCs w:val="20"/>
          <w:lang w:val="en-US" w:eastAsia="pt-PT"/>
        </w:rPr>
      </w:pPr>
    </w:p>
    <w:p w:rsidR="000A6E4F" w:rsidRPr="00682354" w:rsidRDefault="000A6E4F" w:rsidP="000A6E4F">
      <w:pPr>
        <w:autoSpaceDE w:val="0"/>
        <w:autoSpaceDN w:val="0"/>
        <w:adjustRightInd w:val="0"/>
        <w:spacing w:after="0" w:line="240" w:lineRule="auto"/>
        <w:rPr>
          <w:sz w:val="20"/>
          <w:szCs w:val="20"/>
          <w:lang w:val="en-US" w:eastAsia="pt-PT"/>
        </w:rPr>
      </w:pPr>
      <w:r w:rsidRPr="00682354">
        <w:rPr>
          <w:sz w:val="20"/>
          <w:szCs w:val="20"/>
          <w:lang w:val="en-US" w:eastAsia="pt-PT"/>
        </w:rPr>
        <w:t xml:space="preserve">Mostert, L., Crous, P.W., Kang, J.-C., Phillips, A.J.L. 2001. Species of </w:t>
      </w:r>
      <w:r w:rsidRPr="00682354">
        <w:rPr>
          <w:i/>
          <w:sz w:val="20"/>
          <w:szCs w:val="20"/>
          <w:lang w:val="en-US" w:eastAsia="pt-PT"/>
        </w:rPr>
        <w:t>Phomopsis</w:t>
      </w:r>
      <w:r w:rsidRPr="00682354">
        <w:rPr>
          <w:sz w:val="20"/>
          <w:szCs w:val="20"/>
          <w:lang w:val="en-US" w:eastAsia="pt-PT"/>
        </w:rPr>
        <w:t xml:space="preserve"> and a </w:t>
      </w:r>
      <w:r w:rsidRPr="00682354">
        <w:rPr>
          <w:i/>
          <w:sz w:val="20"/>
          <w:szCs w:val="20"/>
          <w:lang w:val="en-US" w:eastAsia="pt-PT"/>
        </w:rPr>
        <w:t>Libertella</w:t>
      </w:r>
      <w:r w:rsidRPr="00682354">
        <w:rPr>
          <w:sz w:val="20"/>
          <w:szCs w:val="20"/>
          <w:lang w:val="en-US" w:eastAsia="pt-PT"/>
        </w:rPr>
        <w:t xml:space="preserve"> sp. occurring on grapevines with specific reference to South Africa: morphological, cultural, molecular and pathological characterization. </w:t>
      </w:r>
      <w:r w:rsidRPr="00682354">
        <w:rPr>
          <w:i/>
          <w:sz w:val="20"/>
          <w:szCs w:val="20"/>
          <w:lang w:val="en-US" w:eastAsia="pt-PT"/>
        </w:rPr>
        <w:t>Mycologia</w:t>
      </w:r>
      <w:r w:rsidRPr="00682354">
        <w:rPr>
          <w:sz w:val="20"/>
          <w:szCs w:val="20"/>
          <w:lang w:val="en-US" w:eastAsia="pt-PT"/>
        </w:rPr>
        <w:t xml:space="preserve"> 93: 146-167.</w:t>
      </w:r>
    </w:p>
    <w:p w:rsidR="000A6E4F" w:rsidRPr="00682354" w:rsidRDefault="000A6E4F" w:rsidP="000A6E4F">
      <w:pPr>
        <w:autoSpaceDE w:val="0"/>
        <w:autoSpaceDN w:val="0"/>
        <w:adjustRightInd w:val="0"/>
        <w:spacing w:after="0" w:line="240" w:lineRule="auto"/>
        <w:rPr>
          <w:sz w:val="20"/>
          <w:szCs w:val="20"/>
          <w:lang w:val="en-US" w:eastAsia="pt-PT"/>
        </w:rPr>
      </w:pPr>
    </w:p>
    <w:p w:rsidR="000A6E4F" w:rsidRPr="00682354" w:rsidRDefault="000A6E4F" w:rsidP="000A6E4F">
      <w:pPr>
        <w:autoSpaceDE w:val="0"/>
        <w:autoSpaceDN w:val="0"/>
        <w:adjustRightInd w:val="0"/>
        <w:spacing w:after="0" w:line="240" w:lineRule="auto"/>
        <w:rPr>
          <w:sz w:val="20"/>
          <w:szCs w:val="20"/>
          <w:lang w:val="en-US"/>
        </w:rPr>
      </w:pPr>
      <w:r w:rsidRPr="00682354">
        <w:rPr>
          <w:sz w:val="20"/>
          <w:szCs w:val="20"/>
          <w:lang w:val="en-US" w:eastAsia="pt-PT"/>
        </w:rPr>
        <w:t xml:space="preserve">Nascimento, T., Rego, C., Oliveira, H. 2007. </w:t>
      </w:r>
      <w:r w:rsidRPr="00682354">
        <w:rPr>
          <w:bCs/>
          <w:sz w:val="20"/>
          <w:szCs w:val="20"/>
          <w:lang w:val="en-US" w:eastAsia="pt-PT"/>
        </w:rPr>
        <w:t>Potential use of chitosan in the control of grapevine trunk diseases</w:t>
      </w:r>
      <w:r w:rsidRPr="00682354">
        <w:rPr>
          <w:b/>
          <w:bCs/>
          <w:sz w:val="20"/>
          <w:szCs w:val="20"/>
          <w:lang w:val="en-US" w:eastAsia="pt-PT"/>
        </w:rPr>
        <w:t xml:space="preserve">. </w:t>
      </w:r>
      <w:r w:rsidRPr="00682354">
        <w:rPr>
          <w:i/>
          <w:iCs/>
          <w:sz w:val="20"/>
          <w:szCs w:val="20"/>
          <w:lang w:val="en-US" w:eastAsia="pt-PT"/>
        </w:rPr>
        <w:t xml:space="preserve">Phytopathologia Mediterranea </w:t>
      </w:r>
      <w:r w:rsidRPr="00682354">
        <w:rPr>
          <w:sz w:val="20"/>
          <w:szCs w:val="20"/>
          <w:lang w:val="en-US" w:eastAsia="pt-PT"/>
        </w:rPr>
        <w:t>46: 218–224.</w:t>
      </w:r>
    </w:p>
    <w:p w:rsidR="000A6E4F" w:rsidRPr="00682354" w:rsidRDefault="000A6E4F" w:rsidP="000A6E4F">
      <w:pPr>
        <w:autoSpaceDE w:val="0"/>
        <w:autoSpaceDN w:val="0"/>
        <w:adjustRightInd w:val="0"/>
        <w:spacing w:after="0" w:line="240" w:lineRule="auto"/>
        <w:rPr>
          <w:sz w:val="20"/>
          <w:szCs w:val="20"/>
          <w:lang w:val="en-US"/>
        </w:rPr>
      </w:pPr>
    </w:p>
    <w:p w:rsidR="000A6E4F" w:rsidRPr="00682354" w:rsidRDefault="000A6E4F" w:rsidP="000A6E4F">
      <w:pPr>
        <w:autoSpaceDE w:val="0"/>
        <w:autoSpaceDN w:val="0"/>
        <w:adjustRightInd w:val="0"/>
        <w:spacing w:after="0" w:line="240" w:lineRule="auto"/>
        <w:rPr>
          <w:sz w:val="20"/>
          <w:szCs w:val="20"/>
          <w:lang w:val="en-US"/>
        </w:rPr>
      </w:pPr>
      <w:r w:rsidRPr="00682354">
        <w:rPr>
          <w:sz w:val="20"/>
          <w:szCs w:val="20"/>
          <w:lang w:val="en-US"/>
        </w:rPr>
        <w:t xml:space="preserve">Niekerk, J.M. van., Crous, P.W., Fourie, P.H., Groenewald, J.Z., Halleen, F. 2003. Botryosphaeria canker and dieback of grapevines. In </w:t>
      </w:r>
      <w:r w:rsidRPr="00682354">
        <w:rPr>
          <w:i/>
          <w:iCs/>
          <w:sz w:val="20"/>
          <w:szCs w:val="20"/>
          <w:lang w:val="en-US"/>
        </w:rPr>
        <w:t>Proceedings of the 8th International</w:t>
      </w:r>
      <w:r w:rsidRPr="00682354">
        <w:rPr>
          <w:sz w:val="20"/>
          <w:szCs w:val="20"/>
          <w:lang w:val="en-US"/>
        </w:rPr>
        <w:t xml:space="preserve"> </w:t>
      </w:r>
      <w:r w:rsidRPr="00682354">
        <w:rPr>
          <w:i/>
          <w:iCs/>
          <w:sz w:val="20"/>
          <w:szCs w:val="20"/>
          <w:lang w:val="en-US"/>
        </w:rPr>
        <w:t>congress of Plant Pathology</w:t>
      </w:r>
      <w:r w:rsidRPr="00682354">
        <w:rPr>
          <w:sz w:val="20"/>
          <w:szCs w:val="20"/>
          <w:lang w:val="en-US"/>
        </w:rPr>
        <w:t xml:space="preserve">, 1-2 February 2003, Christchurch, New Zealand, 339. </w:t>
      </w:r>
    </w:p>
    <w:p w:rsidR="000A6E4F" w:rsidRPr="00682354" w:rsidRDefault="000A6E4F" w:rsidP="000A6E4F">
      <w:pPr>
        <w:autoSpaceDE w:val="0"/>
        <w:autoSpaceDN w:val="0"/>
        <w:adjustRightInd w:val="0"/>
        <w:spacing w:after="0" w:line="240" w:lineRule="auto"/>
        <w:rPr>
          <w:sz w:val="20"/>
          <w:szCs w:val="20"/>
          <w:lang w:val="en-US"/>
        </w:rPr>
      </w:pPr>
    </w:p>
    <w:p w:rsidR="000A6E4F" w:rsidRPr="00682354" w:rsidRDefault="000A6E4F" w:rsidP="000A6E4F">
      <w:pPr>
        <w:autoSpaceDE w:val="0"/>
        <w:autoSpaceDN w:val="0"/>
        <w:adjustRightInd w:val="0"/>
        <w:spacing w:after="0" w:line="240" w:lineRule="auto"/>
        <w:rPr>
          <w:sz w:val="20"/>
          <w:szCs w:val="20"/>
          <w:lang w:val="en-US"/>
        </w:rPr>
      </w:pPr>
      <w:r w:rsidRPr="00682354">
        <w:rPr>
          <w:sz w:val="20"/>
          <w:szCs w:val="20"/>
          <w:lang w:val="en-US"/>
        </w:rPr>
        <w:t xml:space="preserve">Niekerk, J.M..van, Crous, P.W., Groenewald, J.Z., Fourie, P.H., Halleen, F. 2004. DNA phylogeny, morphology and pathogenicity of </w:t>
      </w:r>
      <w:r w:rsidRPr="00682354">
        <w:rPr>
          <w:i/>
          <w:iCs/>
          <w:sz w:val="20"/>
          <w:szCs w:val="20"/>
          <w:lang w:val="en-US"/>
        </w:rPr>
        <w:t>Botryosphaeria</w:t>
      </w:r>
      <w:r w:rsidRPr="00682354">
        <w:rPr>
          <w:sz w:val="20"/>
          <w:szCs w:val="20"/>
          <w:lang w:val="en-US"/>
        </w:rPr>
        <w:t xml:space="preserve"> species on grapevines. </w:t>
      </w:r>
      <w:r w:rsidRPr="00682354">
        <w:rPr>
          <w:i/>
          <w:iCs/>
          <w:sz w:val="20"/>
          <w:szCs w:val="20"/>
          <w:lang w:val="en-US"/>
        </w:rPr>
        <w:t>Mycologia</w:t>
      </w:r>
      <w:r w:rsidRPr="00682354">
        <w:rPr>
          <w:sz w:val="20"/>
          <w:szCs w:val="20"/>
          <w:lang w:val="en-US"/>
        </w:rPr>
        <w:t xml:space="preserve"> </w:t>
      </w:r>
      <w:r w:rsidRPr="00682354">
        <w:rPr>
          <w:bCs/>
          <w:sz w:val="20"/>
          <w:szCs w:val="20"/>
          <w:lang w:val="en-US"/>
        </w:rPr>
        <w:t>96</w:t>
      </w:r>
      <w:r w:rsidRPr="00682354">
        <w:rPr>
          <w:sz w:val="20"/>
          <w:szCs w:val="20"/>
          <w:lang w:val="en-US"/>
        </w:rPr>
        <w:t>: 781-798.</w:t>
      </w:r>
    </w:p>
    <w:p w:rsidR="000A6E4F" w:rsidRPr="00682354" w:rsidRDefault="000A6E4F" w:rsidP="000A6E4F">
      <w:pPr>
        <w:autoSpaceDE w:val="0"/>
        <w:autoSpaceDN w:val="0"/>
        <w:adjustRightInd w:val="0"/>
        <w:spacing w:after="0" w:line="240" w:lineRule="auto"/>
        <w:rPr>
          <w:sz w:val="20"/>
          <w:szCs w:val="20"/>
          <w:lang w:val="en-US"/>
        </w:rPr>
      </w:pPr>
    </w:p>
    <w:p w:rsidR="000A6E4F" w:rsidRPr="00682354" w:rsidRDefault="000A6E4F" w:rsidP="000A6E4F">
      <w:pPr>
        <w:autoSpaceDE w:val="0"/>
        <w:autoSpaceDN w:val="0"/>
        <w:adjustRightInd w:val="0"/>
        <w:spacing w:after="0" w:line="240" w:lineRule="auto"/>
        <w:rPr>
          <w:sz w:val="20"/>
          <w:szCs w:val="20"/>
          <w:lang w:val="en-US"/>
        </w:rPr>
      </w:pPr>
      <w:r w:rsidRPr="00682354">
        <w:rPr>
          <w:sz w:val="20"/>
          <w:szCs w:val="20"/>
          <w:lang w:val="en-US"/>
        </w:rPr>
        <w:t xml:space="preserve">Niekerk, J.M. van, Groenewald, J.Z., Farr, D.F., Fourie P.H., Halleen, F., Crous, P.W. 2005. Reassessments of </w:t>
      </w:r>
      <w:r w:rsidRPr="00682354">
        <w:rPr>
          <w:i/>
          <w:sz w:val="20"/>
          <w:szCs w:val="20"/>
          <w:lang w:val="en-US"/>
        </w:rPr>
        <w:t>Phomopsis</w:t>
      </w:r>
      <w:r w:rsidRPr="00682354">
        <w:rPr>
          <w:sz w:val="20"/>
          <w:szCs w:val="20"/>
          <w:lang w:val="en-US"/>
        </w:rPr>
        <w:t xml:space="preserve"> species on grapevines. </w:t>
      </w:r>
      <w:r w:rsidRPr="00682354">
        <w:rPr>
          <w:i/>
          <w:iCs/>
          <w:sz w:val="20"/>
          <w:szCs w:val="20"/>
          <w:lang w:val="en-US"/>
        </w:rPr>
        <w:t xml:space="preserve">Australasian Plant Pathology </w:t>
      </w:r>
      <w:r w:rsidRPr="00682354">
        <w:rPr>
          <w:sz w:val="20"/>
          <w:szCs w:val="20"/>
          <w:lang w:val="en-US"/>
        </w:rPr>
        <w:t>34: 27-39.</w:t>
      </w:r>
    </w:p>
    <w:p w:rsidR="000A6E4F" w:rsidRPr="00682354" w:rsidRDefault="000A6E4F" w:rsidP="000A6E4F">
      <w:pPr>
        <w:autoSpaceDE w:val="0"/>
        <w:autoSpaceDN w:val="0"/>
        <w:adjustRightInd w:val="0"/>
        <w:spacing w:after="0" w:line="240" w:lineRule="auto"/>
        <w:rPr>
          <w:sz w:val="20"/>
          <w:szCs w:val="20"/>
          <w:lang w:val="en-US"/>
        </w:rPr>
      </w:pPr>
    </w:p>
    <w:p w:rsidR="000A6E4F" w:rsidRPr="00682354" w:rsidRDefault="000A6E4F" w:rsidP="000A6E4F">
      <w:pPr>
        <w:autoSpaceDE w:val="0"/>
        <w:autoSpaceDN w:val="0"/>
        <w:adjustRightInd w:val="0"/>
        <w:spacing w:after="0" w:line="240" w:lineRule="auto"/>
        <w:rPr>
          <w:sz w:val="20"/>
          <w:szCs w:val="20"/>
          <w:lang w:val="en-US"/>
        </w:rPr>
      </w:pPr>
      <w:r w:rsidRPr="00682354">
        <w:rPr>
          <w:sz w:val="20"/>
          <w:szCs w:val="20"/>
          <w:lang w:val="en-US"/>
        </w:rPr>
        <w:t xml:space="preserve">Niekerk, J.M., Fourie, P.H., Hallen, F., Crous, P. 2006. </w:t>
      </w:r>
      <w:r w:rsidRPr="00682354">
        <w:rPr>
          <w:i/>
          <w:iCs/>
          <w:sz w:val="20"/>
          <w:szCs w:val="20"/>
          <w:lang w:val="en-US"/>
        </w:rPr>
        <w:t xml:space="preserve">Botryosphaeria </w:t>
      </w:r>
      <w:r w:rsidRPr="00682354">
        <w:rPr>
          <w:sz w:val="20"/>
          <w:szCs w:val="20"/>
          <w:lang w:val="en-US"/>
        </w:rPr>
        <w:t>spp. as grapevine trunk disease pathogens</w:t>
      </w:r>
      <w:r w:rsidRPr="00682354">
        <w:rPr>
          <w:i/>
          <w:iCs/>
          <w:sz w:val="20"/>
          <w:szCs w:val="20"/>
          <w:lang w:val="en-US"/>
        </w:rPr>
        <w:t xml:space="preserve">. Phytopathologia Mediterranea </w:t>
      </w:r>
      <w:r w:rsidRPr="00682354">
        <w:rPr>
          <w:sz w:val="20"/>
          <w:szCs w:val="20"/>
          <w:lang w:val="en-US"/>
        </w:rPr>
        <w:t xml:space="preserve">45: S43-S54. </w:t>
      </w:r>
    </w:p>
    <w:p w:rsidR="000A6E4F" w:rsidRPr="00682354" w:rsidRDefault="000A6E4F" w:rsidP="000A6E4F">
      <w:pPr>
        <w:autoSpaceDE w:val="0"/>
        <w:autoSpaceDN w:val="0"/>
        <w:adjustRightInd w:val="0"/>
        <w:spacing w:after="0" w:line="240" w:lineRule="auto"/>
        <w:rPr>
          <w:sz w:val="20"/>
          <w:szCs w:val="20"/>
          <w:lang w:val="en-US"/>
        </w:rPr>
      </w:pPr>
    </w:p>
    <w:p w:rsidR="000A6E4F" w:rsidRPr="00682354" w:rsidRDefault="000A6E4F" w:rsidP="000A6E4F">
      <w:pPr>
        <w:autoSpaceDE w:val="0"/>
        <w:autoSpaceDN w:val="0"/>
        <w:adjustRightInd w:val="0"/>
        <w:spacing w:after="0" w:line="240" w:lineRule="auto"/>
        <w:rPr>
          <w:sz w:val="20"/>
          <w:szCs w:val="20"/>
          <w:lang w:eastAsia="pt-PT"/>
        </w:rPr>
      </w:pPr>
      <w:r w:rsidRPr="00682354">
        <w:rPr>
          <w:sz w:val="20"/>
          <w:szCs w:val="20"/>
          <w:lang w:val="en-US" w:eastAsia="pt-PT"/>
        </w:rPr>
        <w:t xml:space="preserve">Nita, M., Ellis, M.A., Wilson, L.L., Madden, L.V. 2007. Evaluations of new and current management strategies to control Phomopsis cane and leaf spot of grape. </w:t>
      </w:r>
      <w:r w:rsidRPr="00682354">
        <w:rPr>
          <w:i/>
          <w:sz w:val="20"/>
          <w:szCs w:val="20"/>
          <w:lang w:eastAsia="pt-PT"/>
        </w:rPr>
        <w:t>Plant Health Progress</w:t>
      </w:r>
      <w:r w:rsidRPr="00682354">
        <w:rPr>
          <w:sz w:val="20"/>
          <w:szCs w:val="20"/>
          <w:lang w:eastAsia="pt-PT"/>
        </w:rPr>
        <w:t xml:space="preserve"> doi:10.1094/PHP-2007-0726-06-RS</w:t>
      </w:r>
    </w:p>
    <w:p w:rsidR="000A6E4F" w:rsidRPr="00682354" w:rsidRDefault="000A6E4F" w:rsidP="000A6E4F">
      <w:pPr>
        <w:autoSpaceDE w:val="0"/>
        <w:autoSpaceDN w:val="0"/>
        <w:adjustRightInd w:val="0"/>
        <w:spacing w:after="0" w:line="240" w:lineRule="auto"/>
        <w:rPr>
          <w:sz w:val="20"/>
          <w:szCs w:val="20"/>
          <w:lang w:eastAsia="pt-PT"/>
        </w:rPr>
      </w:pPr>
    </w:p>
    <w:p w:rsidR="000A6E4F" w:rsidRPr="00682354" w:rsidRDefault="000A6E4F" w:rsidP="000A6E4F">
      <w:pPr>
        <w:autoSpaceDE w:val="0"/>
        <w:autoSpaceDN w:val="0"/>
        <w:adjustRightInd w:val="0"/>
        <w:spacing w:after="0" w:line="240" w:lineRule="auto"/>
        <w:rPr>
          <w:sz w:val="20"/>
          <w:szCs w:val="20"/>
          <w:lang w:eastAsia="pt-PT"/>
        </w:rPr>
      </w:pPr>
      <w:r w:rsidRPr="00682354">
        <w:rPr>
          <w:sz w:val="20"/>
          <w:szCs w:val="20"/>
          <w:lang w:eastAsia="pt-PT"/>
        </w:rPr>
        <w:t xml:space="preserve">Oliveira, H., Rego, C., Nascimento, T. 2004. </w:t>
      </w:r>
      <w:r w:rsidRPr="00682354">
        <w:rPr>
          <w:sz w:val="20"/>
          <w:szCs w:val="20"/>
          <w:lang w:val="en-US" w:eastAsia="pt-PT"/>
        </w:rPr>
        <w:t xml:space="preserve">Decline of young grapevine caused by fungi. </w:t>
      </w:r>
      <w:r w:rsidRPr="00682354">
        <w:rPr>
          <w:i/>
          <w:iCs/>
          <w:sz w:val="20"/>
          <w:szCs w:val="20"/>
          <w:lang w:eastAsia="pt-PT"/>
        </w:rPr>
        <w:t xml:space="preserve">Acta Horticulturae </w:t>
      </w:r>
      <w:r w:rsidRPr="00682354">
        <w:rPr>
          <w:sz w:val="20"/>
          <w:szCs w:val="20"/>
          <w:lang w:eastAsia="pt-PT"/>
        </w:rPr>
        <w:t xml:space="preserve">652: 295-304. </w:t>
      </w:r>
    </w:p>
    <w:p w:rsidR="000A6E4F" w:rsidRPr="00682354" w:rsidRDefault="000A6E4F" w:rsidP="000A6E4F">
      <w:pPr>
        <w:autoSpaceDE w:val="0"/>
        <w:autoSpaceDN w:val="0"/>
        <w:adjustRightInd w:val="0"/>
        <w:spacing w:after="0" w:line="240" w:lineRule="auto"/>
        <w:rPr>
          <w:sz w:val="20"/>
          <w:szCs w:val="20"/>
          <w:lang w:eastAsia="pt-PT"/>
        </w:rPr>
      </w:pPr>
    </w:p>
    <w:p w:rsidR="000A6E4F" w:rsidRPr="00682354" w:rsidRDefault="000A6E4F" w:rsidP="000A6E4F">
      <w:pPr>
        <w:autoSpaceDE w:val="0"/>
        <w:autoSpaceDN w:val="0"/>
        <w:adjustRightInd w:val="0"/>
        <w:spacing w:after="0" w:line="240" w:lineRule="auto"/>
        <w:rPr>
          <w:sz w:val="20"/>
          <w:szCs w:val="20"/>
          <w:lang w:eastAsia="pt-PT"/>
        </w:rPr>
      </w:pPr>
      <w:r w:rsidRPr="00682354">
        <w:rPr>
          <w:sz w:val="20"/>
          <w:szCs w:val="20"/>
          <w:lang w:eastAsia="pt-PT"/>
        </w:rPr>
        <w:t xml:space="preserve">Oliveira, H., Rego, C., Santos, M.T., Nascimento, T., Cabral, A. 2007. Declínio das videiras jovens: Novos desenvolvimentos. In </w:t>
      </w:r>
      <w:r w:rsidRPr="00682354">
        <w:rPr>
          <w:i/>
          <w:iCs/>
          <w:sz w:val="20"/>
          <w:szCs w:val="20"/>
          <w:lang w:eastAsia="pt-PT"/>
        </w:rPr>
        <w:t>Actas 7º Simpósio de Vitivinicultura do Alentejo</w:t>
      </w:r>
      <w:r w:rsidRPr="00682354">
        <w:rPr>
          <w:sz w:val="20"/>
          <w:szCs w:val="20"/>
          <w:lang w:eastAsia="pt-PT"/>
        </w:rPr>
        <w:t xml:space="preserve">, Évora, Portugal, Vol.1, 75-85. </w:t>
      </w:r>
    </w:p>
    <w:p w:rsidR="000A6E4F" w:rsidRPr="00682354" w:rsidRDefault="000A6E4F" w:rsidP="000A6E4F">
      <w:pPr>
        <w:autoSpaceDE w:val="0"/>
        <w:autoSpaceDN w:val="0"/>
        <w:adjustRightInd w:val="0"/>
        <w:spacing w:after="0" w:line="240" w:lineRule="auto"/>
        <w:rPr>
          <w:sz w:val="20"/>
          <w:szCs w:val="20"/>
          <w:lang w:eastAsia="pt-PT"/>
        </w:rPr>
      </w:pPr>
    </w:p>
    <w:p w:rsidR="000A6E4F" w:rsidRPr="00682354" w:rsidRDefault="000A6E4F" w:rsidP="000A6E4F">
      <w:pPr>
        <w:autoSpaceDE w:val="0"/>
        <w:autoSpaceDN w:val="0"/>
        <w:adjustRightInd w:val="0"/>
        <w:spacing w:after="0" w:line="240" w:lineRule="auto"/>
        <w:rPr>
          <w:sz w:val="20"/>
          <w:szCs w:val="20"/>
          <w:lang w:val="en-US" w:eastAsia="pt-PT"/>
        </w:rPr>
      </w:pPr>
      <w:r w:rsidRPr="00682354">
        <w:rPr>
          <w:sz w:val="20"/>
          <w:szCs w:val="20"/>
          <w:lang w:val="en-US" w:eastAsia="pt-PT"/>
        </w:rPr>
        <w:t xml:space="preserve">Pennycook, S.R., Samuels, G.J. 1985. </w:t>
      </w:r>
      <w:r w:rsidRPr="00682354">
        <w:rPr>
          <w:i/>
          <w:iCs/>
          <w:sz w:val="20"/>
          <w:szCs w:val="20"/>
          <w:lang w:val="en-US" w:eastAsia="pt-PT"/>
        </w:rPr>
        <w:t xml:space="preserve">Botryosphaeria </w:t>
      </w:r>
      <w:r w:rsidRPr="00682354">
        <w:rPr>
          <w:sz w:val="20"/>
          <w:szCs w:val="20"/>
          <w:lang w:val="en-US" w:eastAsia="pt-PT"/>
        </w:rPr>
        <w:t xml:space="preserve">and </w:t>
      </w:r>
      <w:r w:rsidRPr="00682354">
        <w:rPr>
          <w:i/>
          <w:iCs/>
          <w:sz w:val="20"/>
          <w:szCs w:val="20"/>
          <w:lang w:val="en-US" w:eastAsia="pt-PT"/>
        </w:rPr>
        <w:t xml:space="preserve">Fusicoccum </w:t>
      </w:r>
      <w:r w:rsidRPr="00682354">
        <w:rPr>
          <w:sz w:val="20"/>
          <w:szCs w:val="20"/>
          <w:lang w:val="en-US" w:eastAsia="pt-PT"/>
        </w:rPr>
        <w:t xml:space="preserve">species associated with ripe fruit rot of </w:t>
      </w:r>
      <w:r w:rsidRPr="00682354">
        <w:rPr>
          <w:i/>
          <w:iCs/>
          <w:sz w:val="20"/>
          <w:szCs w:val="20"/>
          <w:lang w:val="en-US" w:eastAsia="pt-PT"/>
        </w:rPr>
        <w:t xml:space="preserve">Actinidia deliciosa </w:t>
      </w:r>
      <w:r w:rsidRPr="00682354">
        <w:rPr>
          <w:sz w:val="20"/>
          <w:szCs w:val="20"/>
          <w:lang w:val="en-US" w:eastAsia="pt-PT"/>
        </w:rPr>
        <w:t>(Kiwifruit) in New Zealand. Mycotaxon 24: 445-458.</w:t>
      </w:r>
    </w:p>
    <w:p w:rsidR="0065526F" w:rsidRPr="00682354" w:rsidRDefault="0065526F" w:rsidP="000A6E4F">
      <w:pPr>
        <w:autoSpaceDE w:val="0"/>
        <w:autoSpaceDN w:val="0"/>
        <w:adjustRightInd w:val="0"/>
        <w:spacing w:after="0" w:line="240" w:lineRule="auto"/>
        <w:rPr>
          <w:i/>
          <w:iCs/>
          <w:sz w:val="20"/>
          <w:szCs w:val="20"/>
          <w:lang w:val="en-US" w:eastAsia="pt-PT"/>
        </w:rPr>
      </w:pPr>
    </w:p>
    <w:p w:rsidR="0065526F" w:rsidRPr="00682354" w:rsidRDefault="0065526F" w:rsidP="0065526F">
      <w:pPr>
        <w:autoSpaceDE w:val="0"/>
        <w:autoSpaceDN w:val="0"/>
        <w:adjustRightInd w:val="0"/>
        <w:spacing w:after="0" w:line="240" w:lineRule="auto"/>
        <w:rPr>
          <w:sz w:val="20"/>
          <w:szCs w:val="20"/>
          <w:lang w:val="en-US"/>
        </w:rPr>
      </w:pPr>
      <w:r w:rsidRPr="00682354">
        <w:rPr>
          <w:sz w:val="20"/>
          <w:szCs w:val="20"/>
          <w:lang w:val="en-US"/>
        </w:rPr>
        <w:t xml:space="preserve">Phillips, A.J.L., Lucas, M.T. 1997. The taxonomic status of </w:t>
      </w:r>
      <w:r w:rsidRPr="00682354">
        <w:rPr>
          <w:i/>
          <w:iCs/>
          <w:sz w:val="20"/>
          <w:szCs w:val="20"/>
          <w:lang w:val="en-US"/>
        </w:rPr>
        <w:t xml:space="preserve">Macrophoma flaccida </w:t>
      </w:r>
      <w:r w:rsidRPr="00682354">
        <w:rPr>
          <w:sz w:val="20"/>
          <w:szCs w:val="20"/>
          <w:lang w:val="en-US"/>
        </w:rPr>
        <w:t xml:space="preserve">and </w:t>
      </w:r>
      <w:r w:rsidRPr="00682354">
        <w:rPr>
          <w:i/>
          <w:iCs/>
          <w:sz w:val="20"/>
          <w:szCs w:val="20"/>
          <w:lang w:val="en-US"/>
        </w:rPr>
        <w:t xml:space="preserve">Macrophoma reniformis </w:t>
      </w:r>
      <w:r w:rsidRPr="00682354">
        <w:rPr>
          <w:sz w:val="20"/>
          <w:szCs w:val="20"/>
          <w:lang w:val="en-US"/>
        </w:rPr>
        <w:t xml:space="preserve">and their relationship to </w:t>
      </w:r>
      <w:r w:rsidRPr="00682354">
        <w:rPr>
          <w:i/>
          <w:iCs/>
          <w:sz w:val="20"/>
          <w:szCs w:val="20"/>
          <w:lang w:val="en-US"/>
        </w:rPr>
        <w:t>Botryosphaeria dothidea</w:t>
      </w:r>
      <w:r w:rsidRPr="00682354">
        <w:rPr>
          <w:sz w:val="20"/>
          <w:szCs w:val="20"/>
          <w:lang w:val="en-US"/>
        </w:rPr>
        <w:t xml:space="preserve">. </w:t>
      </w:r>
      <w:r w:rsidRPr="00682354">
        <w:rPr>
          <w:i/>
          <w:iCs/>
          <w:sz w:val="20"/>
          <w:szCs w:val="20"/>
          <w:lang w:val="en-US"/>
        </w:rPr>
        <w:t xml:space="preserve">Sydowia </w:t>
      </w:r>
      <w:r w:rsidRPr="00682354">
        <w:rPr>
          <w:sz w:val="20"/>
          <w:szCs w:val="20"/>
          <w:lang w:val="en-US"/>
        </w:rPr>
        <w:t>49: 150-159.</w:t>
      </w:r>
    </w:p>
    <w:p w:rsidR="000A6E4F" w:rsidRPr="00682354" w:rsidRDefault="000A6E4F" w:rsidP="000A6E4F">
      <w:pPr>
        <w:pStyle w:val="NormalWeb"/>
        <w:rPr>
          <w:rFonts w:ascii="Arial" w:hAnsi="Arial"/>
          <w:sz w:val="20"/>
          <w:szCs w:val="20"/>
          <w:lang w:val="en-US"/>
        </w:rPr>
      </w:pPr>
      <w:r w:rsidRPr="00682354">
        <w:rPr>
          <w:rFonts w:ascii="Arial" w:hAnsi="Arial"/>
          <w:sz w:val="20"/>
          <w:szCs w:val="20"/>
          <w:lang w:val="en-US"/>
        </w:rPr>
        <w:t xml:space="preserve">Phillips, A.J.L. 1998. </w:t>
      </w:r>
      <w:r w:rsidRPr="00682354">
        <w:rPr>
          <w:rFonts w:ascii="Arial" w:hAnsi="Arial"/>
          <w:i/>
          <w:iCs/>
          <w:sz w:val="20"/>
          <w:szCs w:val="20"/>
          <w:lang w:val="en-US"/>
        </w:rPr>
        <w:t xml:space="preserve">Botryosphaeria dothidea </w:t>
      </w:r>
      <w:r w:rsidRPr="00682354">
        <w:rPr>
          <w:rFonts w:ascii="Arial" w:hAnsi="Arial"/>
          <w:sz w:val="20"/>
          <w:szCs w:val="20"/>
          <w:lang w:val="en-US"/>
        </w:rPr>
        <w:t xml:space="preserve">and other fungi associated with excoriose and dieback of grapevines in Portugal. </w:t>
      </w:r>
      <w:r w:rsidRPr="00682354">
        <w:rPr>
          <w:rFonts w:ascii="Arial" w:hAnsi="Arial"/>
          <w:i/>
          <w:iCs/>
          <w:sz w:val="20"/>
          <w:szCs w:val="20"/>
          <w:lang w:val="en-US"/>
        </w:rPr>
        <w:t xml:space="preserve">Journal of Phytopathology </w:t>
      </w:r>
      <w:r w:rsidRPr="00682354">
        <w:rPr>
          <w:rFonts w:ascii="Arial" w:hAnsi="Arial"/>
          <w:sz w:val="20"/>
          <w:szCs w:val="20"/>
          <w:lang w:val="en-US"/>
        </w:rPr>
        <w:t>146: 327-332.</w:t>
      </w:r>
    </w:p>
    <w:p w:rsidR="000A6E4F" w:rsidRPr="00682354" w:rsidRDefault="000A6E4F" w:rsidP="000A6E4F">
      <w:pPr>
        <w:pStyle w:val="NormalWeb"/>
        <w:spacing w:before="0" w:beforeAutospacing="0" w:after="0" w:afterAutospacing="0"/>
        <w:rPr>
          <w:rFonts w:ascii="Arial" w:hAnsi="Arial"/>
          <w:i/>
          <w:iCs/>
          <w:sz w:val="20"/>
          <w:szCs w:val="20"/>
          <w:lang w:val="en-US"/>
        </w:rPr>
      </w:pPr>
      <w:r w:rsidRPr="00682354">
        <w:rPr>
          <w:rFonts w:ascii="Arial" w:hAnsi="Arial"/>
          <w:sz w:val="20"/>
          <w:szCs w:val="20"/>
          <w:lang w:val="en-US"/>
        </w:rPr>
        <w:t xml:space="preserve">Phillips, A.J.L., 1999. The relationship between </w:t>
      </w:r>
      <w:r w:rsidRPr="00682354">
        <w:rPr>
          <w:rFonts w:ascii="Arial" w:hAnsi="Arial"/>
          <w:i/>
          <w:iCs/>
          <w:sz w:val="20"/>
          <w:szCs w:val="20"/>
          <w:lang w:val="en-US"/>
        </w:rPr>
        <w:t xml:space="preserve">Diaporthe perjuncta </w:t>
      </w:r>
      <w:r w:rsidRPr="00682354">
        <w:rPr>
          <w:rFonts w:ascii="Arial" w:hAnsi="Arial"/>
          <w:sz w:val="20"/>
          <w:szCs w:val="20"/>
          <w:lang w:val="en-US"/>
        </w:rPr>
        <w:t xml:space="preserve">and </w:t>
      </w:r>
      <w:r w:rsidRPr="00682354">
        <w:rPr>
          <w:rFonts w:ascii="Arial" w:hAnsi="Arial"/>
          <w:i/>
          <w:iCs/>
          <w:sz w:val="20"/>
          <w:szCs w:val="20"/>
          <w:lang w:val="en-US"/>
        </w:rPr>
        <w:t xml:space="preserve">Phomopsis viticola </w:t>
      </w:r>
      <w:r w:rsidRPr="00682354">
        <w:rPr>
          <w:rFonts w:ascii="Arial" w:hAnsi="Arial"/>
          <w:sz w:val="20"/>
          <w:szCs w:val="20"/>
          <w:lang w:val="en-US"/>
        </w:rPr>
        <w:t xml:space="preserve">on grapevines. </w:t>
      </w:r>
      <w:r w:rsidRPr="00682354">
        <w:rPr>
          <w:rFonts w:ascii="Arial" w:hAnsi="Arial"/>
          <w:i/>
          <w:iCs/>
          <w:sz w:val="20"/>
          <w:szCs w:val="20"/>
          <w:lang w:val="en-US"/>
        </w:rPr>
        <w:t>Mycologia</w:t>
      </w:r>
      <w:r w:rsidRPr="00682354">
        <w:rPr>
          <w:rFonts w:ascii="Arial" w:hAnsi="Arial"/>
          <w:sz w:val="20"/>
          <w:szCs w:val="20"/>
          <w:lang w:val="en-US"/>
        </w:rPr>
        <w:t xml:space="preserve"> 91: 1001-1007.</w:t>
      </w:r>
    </w:p>
    <w:p w:rsidR="000A6E4F" w:rsidRPr="00682354" w:rsidRDefault="000A6E4F" w:rsidP="000A6E4F">
      <w:pPr>
        <w:pStyle w:val="NormalWeb"/>
        <w:rPr>
          <w:rFonts w:ascii="Arial" w:hAnsi="Arial"/>
          <w:sz w:val="20"/>
          <w:szCs w:val="20"/>
          <w:lang w:val="en-US"/>
        </w:rPr>
      </w:pPr>
      <w:r w:rsidRPr="00682354">
        <w:rPr>
          <w:rFonts w:ascii="Arial" w:hAnsi="Arial"/>
          <w:sz w:val="20"/>
          <w:szCs w:val="20"/>
          <w:lang w:val="en-US"/>
        </w:rPr>
        <w:t>Phillips, A.J.L. 2000. Excoriose, cane blight and related diseases of grapevines: a taxonomic review of pathogens</w:t>
      </w:r>
      <w:r w:rsidRPr="00682354">
        <w:rPr>
          <w:rFonts w:ascii="Arial" w:hAnsi="Arial"/>
          <w:i/>
          <w:iCs/>
          <w:sz w:val="20"/>
          <w:szCs w:val="20"/>
          <w:lang w:val="en-US"/>
        </w:rPr>
        <w:t xml:space="preserve">. Phytopathologia Mediterranea </w:t>
      </w:r>
      <w:r w:rsidRPr="00682354">
        <w:rPr>
          <w:rFonts w:ascii="Arial" w:hAnsi="Arial"/>
          <w:sz w:val="20"/>
          <w:szCs w:val="20"/>
          <w:lang w:val="en-US"/>
        </w:rPr>
        <w:t>39: 341-356.</w:t>
      </w:r>
    </w:p>
    <w:p w:rsidR="000A6E4F" w:rsidRPr="00682354" w:rsidRDefault="000A6E4F" w:rsidP="000A6E4F">
      <w:pPr>
        <w:pStyle w:val="NormalWeb"/>
        <w:rPr>
          <w:rFonts w:ascii="Arial" w:hAnsi="Arial"/>
          <w:sz w:val="20"/>
          <w:szCs w:val="20"/>
          <w:lang w:val="en-US"/>
        </w:rPr>
      </w:pPr>
      <w:r w:rsidRPr="00682354">
        <w:rPr>
          <w:rFonts w:ascii="Arial" w:hAnsi="Arial"/>
          <w:sz w:val="20"/>
          <w:szCs w:val="20"/>
          <w:lang w:val="en-US"/>
        </w:rPr>
        <w:t xml:space="preserve">Phillips, A.J.L. 2002. </w:t>
      </w:r>
      <w:r w:rsidRPr="00682354">
        <w:rPr>
          <w:rFonts w:ascii="Arial" w:hAnsi="Arial"/>
          <w:i/>
          <w:iCs/>
          <w:sz w:val="20"/>
          <w:szCs w:val="20"/>
          <w:lang w:val="en-US"/>
        </w:rPr>
        <w:t xml:space="preserve">Botryosphaeria </w:t>
      </w:r>
      <w:r w:rsidRPr="00682354">
        <w:rPr>
          <w:rFonts w:ascii="Arial" w:hAnsi="Arial"/>
          <w:sz w:val="20"/>
          <w:szCs w:val="20"/>
          <w:lang w:val="en-US"/>
        </w:rPr>
        <w:t xml:space="preserve">species associated with diseases of grapevine in Portugal. </w:t>
      </w:r>
      <w:r w:rsidRPr="00682354">
        <w:rPr>
          <w:rFonts w:ascii="Arial" w:hAnsi="Arial"/>
          <w:i/>
          <w:iCs/>
          <w:sz w:val="20"/>
          <w:szCs w:val="20"/>
          <w:lang w:val="en-US"/>
        </w:rPr>
        <w:t xml:space="preserve">Phytopathologia Mediterranea </w:t>
      </w:r>
      <w:r w:rsidRPr="00682354">
        <w:rPr>
          <w:rFonts w:ascii="Arial" w:hAnsi="Arial"/>
          <w:sz w:val="20"/>
          <w:szCs w:val="20"/>
          <w:lang w:val="en-US"/>
        </w:rPr>
        <w:t>41: 3-18.</w:t>
      </w:r>
    </w:p>
    <w:p w:rsidR="000A6E4F" w:rsidRPr="00682354" w:rsidRDefault="000A6E4F" w:rsidP="000A6E4F">
      <w:pPr>
        <w:pStyle w:val="NormalWeb"/>
        <w:spacing w:line="360" w:lineRule="auto"/>
        <w:rPr>
          <w:rFonts w:ascii="Arial" w:hAnsi="Arial"/>
          <w:sz w:val="20"/>
          <w:szCs w:val="20"/>
          <w:lang w:val="en-US"/>
        </w:rPr>
      </w:pPr>
      <w:r w:rsidRPr="00682354">
        <w:rPr>
          <w:rFonts w:ascii="Arial" w:hAnsi="Arial"/>
          <w:sz w:val="20"/>
          <w:szCs w:val="20"/>
          <w:lang w:val="en-US"/>
        </w:rPr>
        <w:t xml:space="preserve">Pusey, P.L. 1989. Availability and dispersal of ascosporesand conidia of </w:t>
      </w:r>
      <w:r w:rsidRPr="00682354">
        <w:rPr>
          <w:rFonts w:ascii="Arial" w:hAnsi="Arial"/>
          <w:i/>
          <w:iCs/>
          <w:sz w:val="20"/>
          <w:szCs w:val="20"/>
          <w:lang w:val="en-US"/>
        </w:rPr>
        <w:t xml:space="preserve">Botryosphaeria </w:t>
      </w:r>
      <w:r w:rsidRPr="00682354">
        <w:rPr>
          <w:rFonts w:ascii="Arial" w:hAnsi="Arial"/>
          <w:sz w:val="20"/>
          <w:szCs w:val="20"/>
          <w:lang w:val="en-US"/>
        </w:rPr>
        <w:t xml:space="preserve">in peach orchards. </w:t>
      </w:r>
      <w:r w:rsidRPr="00682354">
        <w:rPr>
          <w:rFonts w:ascii="Arial" w:hAnsi="Arial"/>
          <w:i/>
          <w:iCs/>
          <w:sz w:val="20"/>
          <w:szCs w:val="20"/>
          <w:lang w:val="en-US"/>
        </w:rPr>
        <w:t>Plant</w:t>
      </w:r>
      <w:r w:rsidRPr="00682354">
        <w:rPr>
          <w:rFonts w:ascii="Arial" w:hAnsi="Arial"/>
          <w:sz w:val="20"/>
          <w:szCs w:val="20"/>
          <w:lang w:val="en-US"/>
        </w:rPr>
        <w:t xml:space="preserve"> </w:t>
      </w:r>
      <w:r w:rsidRPr="00682354">
        <w:rPr>
          <w:rFonts w:ascii="Arial" w:hAnsi="Arial"/>
          <w:i/>
          <w:iCs/>
          <w:sz w:val="20"/>
          <w:szCs w:val="20"/>
          <w:lang w:val="en-US"/>
        </w:rPr>
        <w:t xml:space="preserve">Disease </w:t>
      </w:r>
      <w:r w:rsidRPr="00682354">
        <w:rPr>
          <w:rFonts w:ascii="Arial" w:hAnsi="Arial"/>
          <w:sz w:val="20"/>
          <w:szCs w:val="20"/>
          <w:lang w:val="en-US"/>
        </w:rPr>
        <w:t>79: 635-639.</w:t>
      </w:r>
    </w:p>
    <w:p w:rsidR="000A6E4F" w:rsidRPr="00682354" w:rsidRDefault="000A6E4F" w:rsidP="000A6E4F">
      <w:pPr>
        <w:autoSpaceDE w:val="0"/>
        <w:autoSpaceDN w:val="0"/>
        <w:adjustRightInd w:val="0"/>
        <w:spacing w:after="0" w:line="240" w:lineRule="auto"/>
        <w:rPr>
          <w:sz w:val="20"/>
          <w:szCs w:val="20"/>
          <w:lang w:val="en-US"/>
        </w:rPr>
      </w:pPr>
      <w:r w:rsidRPr="00682354">
        <w:rPr>
          <w:sz w:val="20"/>
          <w:szCs w:val="20"/>
          <w:lang w:val="en-US"/>
        </w:rPr>
        <w:t xml:space="preserve">Pusey, P.L., Bertrand, P.F. 1993. Seasonal infection of nonwounded peach bark by </w:t>
      </w:r>
      <w:r w:rsidRPr="00682354">
        <w:rPr>
          <w:i/>
          <w:iCs/>
          <w:sz w:val="20"/>
          <w:szCs w:val="20"/>
          <w:lang w:val="en-US"/>
        </w:rPr>
        <w:t>Botryosphaeria dothidea</w:t>
      </w:r>
      <w:r w:rsidRPr="00682354">
        <w:rPr>
          <w:sz w:val="20"/>
          <w:szCs w:val="20"/>
          <w:lang w:val="en-US"/>
        </w:rPr>
        <w:t xml:space="preserve">. </w:t>
      </w:r>
      <w:r w:rsidRPr="00682354">
        <w:rPr>
          <w:i/>
          <w:iCs/>
          <w:sz w:val="20"/>
          <w:szCs w:val="20"/>
          <w:lang w:val="en-US"/>
        </w:rPr>
        <w:t xml:space="preserve">Phytopathology </w:t>
      </w:r>
      <w:r w:rsidRPr="00682354">
        <w:rPr>
          <w:sz w:val="20"/>
          <w:szCs w:val="20"/>
          <w:lang w:val="en-US"/>
        </w:rPr>
        <w:t xml:space="preserve">83: 825-829. </w:t>
      </w:r>
    </w:p>
    <w:p w:rsidR="000A6E4F" w:rsidRPr="00682354" w:rsidRDefault="000A6E4F" w:rsidP="000A6E4F">
      <w:pPr>
        <w:autoSpaceDE w:val="0"/>
        <w:autoSpaceDN w:val="0"/>
        <w:adjustRightInd w:val="0"/>
        <w:spacing w:after="0" w:line="240" w:lineRule="auto"/>
        <w:rPr>
          <w:sz w:val="20"/>
          <w:szCs w:val="20"/>
          <w:lang w:val="en-US"/>
        </w:rPr>
      </w:pPr>
    </w:p>
    <w:p w:rsidR="000A6E4F" w:rsidRPr="007305F0" w:rsidRDefault="000A6E4F" w:rsidP="000A6E4F">
      <w:pPr>
        <w:autoSpaceDE w:val="0"/>
        <w:autoSpaceDN w:val="0"/>
        <w:adjustRightInd w:val="0"/>
        <w:spacing w:after="0" w:line="240" w:lineRule="auto"/>
        <w:rPr>
          <w:sz w:val="20"/>
          <w:szCs w:val="20"/>
        </w:rPr>
      </w:pPr>
      <w:r w:rsidRPr="00682354">
        <w:rPr>
          <w:sz w:val="20"/>
          <w:szCs w:val="20"/>
          <w:lang w:val="en-US"/>
        </w:rPr>
        <w:t xml:space="preserve">Rego, C., Oliveira, H., Carvalho, A., Phillips, A. 2000. Involvement of </w:t>
      </w:r>
      <w:r w:rsidRPr="00682354">
        <w:rPr>
          <w:i/>
          <w:iCs/>
          <w:sz w:val="20"/>
          <w:szCs w:val="20"/>
          <w:lang w:val="en-US"/>
        </w:rPr>
        <w:t xml:space="preserve">Phaeoacremonium </w:t>
      </w:r>
      <w:r w:rsidR="00682354">
        <w:rPr>
          <w:sz w:val="20"/>
          <w:szCs w:val="20"/>
          <w:lang w:val="en-US"/>
        </w:rPr>
        <w:t xml:space="preserve">spp. </w:t>
      </w:r>
      <w:r w:rsidRPr="00682354">
        <w:rPr>
          <w:sz w:val="20"/>
          <w:szCs w:val="20"/>
          <w:lang w:val="en-US"/>
        </w:rPr>
        <w:t xml:space="preserve">and </w:t>
      </w:r>
      <w:r w:rsidRPr="00682354">
        <w:rPr>
          <w:i/>
          <w:iCs/>
          <w:sz w:val="20"/>
          <w:szCs w:val="20"/>
          <w:lang w:val="en-US"/>
        </w:rPr>
        <w:t xml:space="preserve">Cylindrocarpon destructans </w:t>
      </w:r>
      <w:r w:rsidRPr="00682354">
        <w:rPr>
          <w:sz w:val="20"/>
          <w:szCs w:val="20"/>
          <w:lang w:val="en-US"/>
        </w:rPr>
        <w:t xml:space="preserve">with grapevine decline in Portugal. </w:t>
      </w:r>
      <w:r w:rsidRPr="007305F0">
        <w:rPr>
          <w:i/>
          <w:iCs/>
          <w:sz w:val="20"/>
          <w:szCs w:val="20"/>
        </w:rPr>
        <w:t xml:space="preserve">Phytopathologia Mediterranea </w:t>
      </w:r>
      <w:r w:rsidR="00682354" w:rsidRPr="007305F0">
        <w:rPr>
          <w:sz w:val="20"/>
          <w:szCs w:val="20"/>
        </w:rPr>
        <w:t xml:space="preserve">39: </w:t>
      </w:r>
      <w:r w:rsidRPr="007305F0">
        <w:rPr>
          <w:sz w:val="20"/>
          <w:szCs w:val="20"/>
        </w:rPr>
        <w:t>76</w:t>
      </w:r>
      <w:r w:rsidR="00682354" w:rsidRPr="007305F0">
        <w:rPr>
          <w:sz w:val="20"/>
          <w:szCs w:val="20"/>
        </w:rPr>
        <w:t xml:space="preserve"> </w:t>
      </w:r>
      <w:r w:rsidRPr="007305F0">
        <w:rPr>
          <w:sz w:val="20"/>
          <w:szCs w:val="20"/>
        </w:rPr>
        <w:t>-79.</w:t>
      </w:r>
    </w:p>
    <w:p w:rsidR="000A6E4F" w:rsidRPr="007305F0" w:rsidRDefault="000A6E4F" w:rsidP="000A6E4F">
      <w:pPr>
        <w:autoSpaceDE w:val="0"/>
        <w:autoSpaceDN w:val="0"/>
        <w:adjustRightInd w:val="0"/>
        <w:spacing w:after="0" w:line="240" w:lineRule="auto"/>
        <w:rPr>
          <w:sz w:val="20"/>
          <w:szCs w:val="20"/>
          <w:lang w:eastAsia="pt-PT"/>
        </w:rPr>
      </w:pPr>
    </w:p>
    <w:p w:rsidR="000A6E4F" w:rsidRPr="00682354" w:rsidRDefault="000A6E4F" w:rsidP="000A6E4F">
      <w:pPr>
        <w:autoSpaceDE w:val="0"/>
        <w:autoSpaceDN w:val="0"/>
        <w:adjustRightInd w:val="0"/>
        <w:spacing w:after="0" w:line="240" w:lineRule="auto"/>
        <w:rPr>
          <w:sz w:val="20"/>
          <w:szCs w:val="20"/>
          <w:lang w:eastAsia="pt-PT"/>
        </w:rPr>
      </w:pPr>
      <w:r w:rsidRPr="00682354">
        <w:rPr>
          <w:sz w:val="20"/>
          <w:szCs w:val="20"/>
          <w:lang w:eastAsia="pt-PT"/>
        </w:rPr>
        <w:t>Rego, C</w:t>
      </w:r>
      <w:r w:rsidRPr="00682354">
        <w:rPr>
          <w:i/>
          <w:iCs/>
          <w:sz w:val="20"/>
          <w:szCs w:val="20"/>
          <w:lang w:eastAsia="pt-PT"/>
        </w:rPr>
        <w:t>.</w:t>
      </w:r>
      <w:r w:rsidRPr="00682354">
        <w:rPr>
          <w:sz w:val="20"/>
          <w:szCs w:val="20"/>
          <w:lang w:eastAsia="pt-PT"/>
        </w:rPr>
        <w:t xml:space="preserve">, Nascimento, T., Oliveira, H. 2001. Estudo sobre os fungos </w:t>
      </w:r>
      <w:r w:rsidRPr="00682354">
        <w:rPr>
          <w:i/>
          <w:iCs/>
          <w:sz w:val="20"/>
          <w:szCs w:val="20"/>
          <w:lang w:eastAsia="pt-PT"/>
        </w:rPr>
        <w:t xml:space="preserve">Cylindrocarpon destructans </w:t>
      </w:r>
      <w:r w:rsidRPr="00682354">
        <w:rPr>
          <w:sz w:val="20"/>
          <w:szCs w:val="20"/>
          <w:lang w:eastAsia="pt-PT"/>
        </w:rPr>
        <w:t xml:space="preserve">e </w:t>
      </w:r>
      <w:r w:rsidRPr="00682354">
        <w:rPr>
          <w:i/>
          <w:iCs/>
          <w:sz w:val="20"/>
          <w:szCs w:val="20"/>
          <w:lang w:eastAsia="pt-PT"/>
        </w:rPr>
        <w:t>Phaeomoniella chlamydo</w:t>
      </w:r>
      <w:r w:rsidRPr="00682354">
        <w:rPr>
          <w:sz w:val="20"/>
          <w:szCs w:val="20"/>
          <w:lang w:eastAsia="pt-PT"/>
        </w:rPr>
        <w:t>sp</w:t>
      </w:r>
      <w:r w:rsidRPr="00682354">
        <w:rPr>
          <w:i/>
          <w:iCs/>
          <w:sz w:val="20"/>
          <w:szCs w:val="20"/>
          <w:lang w:eastAsia="pt-PT"/>
        </w:rPr>
        <w:t xml:space="preserve">ora </w:t>
      </w:r>
      <w:r w:rsidRPr="00682354">
        <w:rPr>
          <w:sz w:val="20"/>
          <w:szCs w:val="20"/>
          <w:lang w:eastAsia="pt-PT"/>
        </w:rPr>
        <w:t xml:space="preserve">em materiais vitícolas. In </w:t>
      </w:r>
      <w:r w:rsidRPr="00682354">
        <w:rPr>
          <w:i/>
          <w:iCs/>
          <w:sz w:val="20"/>
          <w:szCs w:val="20"/>
          <w:lang w:eastAsia="pt-PT"/>
        </w:rPr>
        <w:t>Actas 5º Simpósio de Vitivinicultura do Alentejo</w:t>
      </w:r>
      <w:r w:rsidRPr="00682354">
        <w:rPr>
          <w:sz w:val="20"/>
          <w:szCs w:val="20"/>
          <w:lang w:eastAsia="pt-PT"/>
        </w:rPr>
        <w:t xml:space="preserve">, 23-25 de Maio 2001, Évora, Portugal, Vol. 1, 27-35. </w:t>
      </w:r>
    </w:p>
    <w:p w:rsidR="000A6E4F" w:rsidRPr="00682354" w:rsidRDefault="000A6E4F" w:rsidP="000A6E4F">
      <w:pPr>
        <w:autoSpaceDE w:val="0"/>
        <w:autoSpaceDN w:val="0"/>
        <w:adjustRightInd w:val="0"/>
        <w:spacing w:after="0" w:line="240" w:lineRule="auto"/>
        <w:rPr>
          <w:sz w:val="20"/>
          <w:szCs w:val="20"/>
          <w:lang w:eastAsia="pt-PT"/>
        </w:rPr>
      </w:pPr>
    </w:p>
    <w:p w:rsidR="000A6E4F" w:rsidRPr="00682354" w:rsidRDefault="000A6E4F" w:rsidP="000A6E4F">
      <w:pPr>
        <w:autoSpaceDE w:val="0"/>
        <w:autoSpaceDN w:val="0"/>
        <w:adjustRightInd w:val="0"/>
        <w:spacing w:after="0" w:line="240" w:lineRule="auto"/>
        <w:rPr>
          <w:i/>
          <w:iCs/>
          <w:sz w:val="20"/>
          <w:szCs w:val="20"/>
          <w:lang w:val="en-US" w:eastAsia="pt-PT"/>
        </w:rPr>
      </w:pPr>
      <w:r w:rsidRPr="00682354">
        <w:rPr>
          <w:sz w:val="20"/>
          <w:szCs w:val="20"/>
          <w:lang w:eastAsia="pt-PT"/>
        </w:rPr>
        <w:t>Rego, C</w:t>
      </w:r>
      <w:r w:rsidRPr="00682354">
        <w:rPr>
          <w:i/>
          <w:iCs/>
          <w:sz w:val="20"/>
          <w:szCs w:val="20"/>
          <w:lang w:eastAsia="pt-PT"/>
        </w:rPr>
        <w:t>.</w:t>
      </w:r>
      <w:r w:rsidRPr="00682354">
        <w:rPr>
          <w:sz w:val="20"/>
          <w:szCs w:val="20"/>
          <w:lang w:eastAsia="pt-PT"/>
        </w:rPr>
        <w:t xml:space="preserve">, Carvalho, A., Nascimento, T., Oliveira, H. 2001. </w:t>
      </w:r>
      <w:r w:rsidRPr="00682354">
        <w:rPr>
          <w:sz w:val="20"/>
          <w:szCs w:val="20"/>
          <w:lang w:val="en-US" w:eastAsia="pt-PT"/>
        </w:rPr>
        <w:t xml:space="preserve">First approach on the understanding of inoculum sources of </w:t>
      </w:r>
      <w:r w:rsidRPr="00682354">
        <w:rPr>
          <w:i/>
          <w:iCs/>
          <w:sz w:val="20"/>
          <w:szCs w:val="20"/>
          <w:lang w:val="en-US" w:eastAsia="pt-PT"/>
        </w:rPr>
        <w:t xml:space="preserve">Cylindrocarpon destructans </w:t>
      </w:r>
      <w:r w:rsidRPr="00682354">
        <w:rPr>
          <w:sz w:val="20"/>
          <w:szCs w:val="20"/>
          <w:lang w:val="en-US" w:eastAsia="pt-PT"/>
        </w:rPr>
        <w:t xml:space="preserve">and </w:t>
      </w:r>
      <w:r w:rsidRPr="00682354">
        <w:rPr>
          <w:i/>
          <w:iCs/>
          <w:sz w:val="20"/>
          <w:szCs w:val="20"/>
          <w:lang w:val="en-US" w:eastAsia="pt-PT"/>
        </w:rPr>
        <w:t xml:space="preserve">Phaeomoniella chlamydospora </w:t>
      </w:r>
      <w:r w:rsidRPr="00682354">
        <w:rPr>
          <w:sz w:val="20"/>
          <w:szCs w:val="20"/>
          <w:lang w:val="en-US" w:eastAsia="pt-PT"/>
        </w:rPr>
        <w:t xml:space="preserve">concerning grapevine rootstocks in Portugal. </w:t>
      </w:r>
      <w:r w:rsidRPr="00682354">
        <w:rPr>
          <w:i/>
          <w:iCs/>
          <w:sz w:val="20"/>
          <w:szCs w:val="20"/>
          <w:lang w:val="en-US" w:eastAsia="pt-PT"/>
        </w:rPr>
        <w:t xml:space="preserve">IOBC/WPRS Bulletin </w:t>
      </w:r>
      <w:r w:rsidRPr="00682354">
        <w:rPr>
          <w:sz w:val="20"/>
          <w:szCs w:val="20"/>
          <w:lang w:val="en-US" w:eastAsia="pt-PT"/>
        </w:rPr>
        <w:t>24: 67-72.</w:t>
      </w:r>
    </w:p>
    <w:p w:rsidR="000A6E4F" w:rsidRPr="00682354" w:rsidRDefault="000A6E4F" w:rsidP="000A6E4F">
      <w:pPr>
        <w:autoSpaceDE w:val="0"/>
        <w:autoSpaceDN w:val="0"/>
        <w:adjustRightInd w:val="0"/>
        <w:spacing w:after="0" w:line="240" w:lineRule="auto"/>
        <w:rPr>
          <w:i/>
          <w:iCs/>
          <w:sz w:val="20"/>
          <w:szCs w:val="20"/>
          <w:lang w:val="en-US" w:eastAsia="pt-PT"/>
        </w:rPr>
      </w:pPr>
    </w:p>
    <w:p w:rsidR="000A6E4F" w:rsidRPr="00682354" w:rsidRDefault="000A6E4F" w:rsidP="000A6E4F">
      <w:pPr>
        <w:autoSpaceDE w:val="0"/>
        <w:autoSpaceDN w:val="0"/>
        <w:adjustRightInd w:val="0"/>
        <w:spacing w:after="0" w:line="240" w:lineRule="auto"/>
        <w:rPr>
          <w:sz w:val="20"/>
          <w:szCs w:val="20"/>
          <w:lang w:val="en-US" w:eastAsia="pt-PT"/>
        </w:rPr>
      </w:pPr>
      <w:r w:rsidRPr="00682354">
        <w:rPr>
          <w:sz w:val="20"/>
          <w:szCs w:val="20"/>
          <w:lang w:val="en-US" w:eastAsia="pt-PT"/>
        </w:rPr>
        <w:t>Rego, C</w:t>
      </w:r>
      <w:r w:rsidRPr="00682354">
        <w:rPr>
          <w:i/>
          <w:iCs/>
          <w:sz w:val="20"/>
          <w:szCs w:val="20"/>
          <w:lang w:val="en-US" w:eastAsia="pt-PT"/>
        </w:rPr>
        <w:t>.</w:t>
      </w:r>
      <w:r w:rsidRPr="00682354">
        <w:rPr>
          <w:sz w:val="20"/>
          <w:szCs w:val="20"/>
          <w:lang w:val="en-US" w:eastAsia="pt-PT"/>
        </w:rPr>
        <w:t xml:space="preserve">, Nascimento, T., Oliveira, H. 2001. Characterization of </w:t>
      </w:r>
      <w:r w:rsidRPr="00682354">
        <w:rPr>
          <w:i/>
          <w:iCs/>
          <w:sz w:val="20"/>
          <w:szCs w:val="20"/>
          <w:lang w:val="en-US" w:eastAsia="pt-PT"/>
        </w:rPr>
        <w:t xml:space="preserve">Cylindrocarpon destructans </w:t>
      </w:r>
      <w:r w:rsidRPr="00682354">
        <w:rPr>
          <w:sz w:val="20"/>
          <w:szCs w:val="20"/>
          <w:lang w:val="en-US" w:eastAsia="pt-PT"/>
        </w:rPr>
        <w:t xml:space="preserve">isolates from grapevine in Portugal. </w:t>
      </w:r>
      <w:r w:rsidRPr="00682354">
        <w:rPr>
          <w:i/>
          <w:iCs/>
          <w:sz w:val="20"/>
          <w:szCs w:val="20"/>
          <w:lang w:val="en-US" w:eastAsia="pt-PT"/>
        </w:rPr>
        <w:t xml:space="preserve">Phytopathologia Mediterranea </w:t>
      </w:r>
      <w:r w:rsidRPr="00682354">
        <w:rPr>
          <w:sz w:val="20"/>
          <w:szCs w:val="20"/>
          <w:lang w:val="en-US" w:eastAsia="pt-PT"/>
        </w:rPr>
        <w:t xml:space="preserve">40: S343-S350. </w:t>
      </w:r>
    </w:p>
    <w:p w:rsidR="000A6E4F" w:rsidRPr="00682354" w:rsidRDefault="000A6E4F" w:rsidP="000A6E4F">
      <w:pPr>
        <w:autoSpaceDE w:val="0"/>
        <w:autoSpaceDN w:val="0"/>
        <w:adjustRightInd w:val="0"/>
        <w:spacing w:after="0" w:line="240" w:lineRule="auto"/>
        <w:rPr>
          <w:sz w:val="20"/>
          <w:szCs w:val="20"/>
          <w:lang w:val="en-US" w:eastAsia="pt-PT"/>
        </w:rPr>
      </w:pPr>
    </w:p>
    <w:p w:rsidR="000A6E4F" w:rsidRPr="00682354" w:rsidRDefault="000A6E4F" w:rsidP="000A6E4F">
      <w:pPr>
        <w:autoSpaceDE w:val="0"/>
        <w:autoSpaceDN w:val="0"/>
        <w:adjustRightInd w:val="0"/>
        <w:spacing w:after="0" w:line="240" w:lineRule="auto"/>
        <w:rPr>
          <w:sz w:val="20"/>
          <w:szCs w:val="20"/>
          <w:lang w:eastAsia="pt-PT"/>
        </w:rPr>
      </w:pPr>
      <w:r w:rsidRPr="00682354">
        <w:rPr>
          <w:sz w:val="20"/>
          <w:szCs w:val="20"/>
          <w:lang w:eastAsia="pt-PT"/>
        </w:rPr>
        <w:t xml:space="preserve">Rego, C., Farropas, L., Nascimento, T., Cabral, A., Oliveira, H. 2006. </w:t>
      </w:r>
      <w:r w:rsidRPr="00682354">
        <w:rPr>
          <w:sz w:val="20"/>
          <w:szCs w:val="20"/>
          <w:lang w:val="en-US" w:eastAsia="pt-PT"/>
        </w:rPr>
        <w:t xml:space="preserve">Black foot of grapevine: sensitivity of </w:t>
      </w:r>
      <w:r w:rsidRPr="00682354">
        <w:rPr>
          <w:i/>
          <w:iCs/>
          <w:sz w:val="20"/>
          <w:szCs w:val="20"/>
          <w:lang w:val="en-US" w:eastAsia="pt-PT"/>
        </w:rPr>
        <w:t xml:space="preserve">Cylindrocarpon destructans </w:t>
      </w:r>
      <w:r w:rsidRPr="00682354">
        <w:rPr>
          <w:sz w:val="20"/>
          <w:szCs w:val="20"/>
          <w:lang w:val="en-US" w:eastAsia="pt-PT"/>
        </w:rPr>
        <w:t xml:space="preserve">to fungicides. </w:t>
      </w:r>
      <w:r w:rsidRPr="00682354">
        <w:rPr>
          <w:i/>
          <w:iCs/>
          <w:sz w:val="20"/>
          <w:szCs w:val="20"/>
          <w:lang w:eastAsia="pt-PT"/>
        </w:rPr>
        <w:t xml:space="preserve">Phytopathologia Mediterranea </w:t>
      </w:r>
      <w:r w:rsidRPr="00682354">
        <w:rPr>
          <w:sz w:val="20"/>
          <w:szCs w:val="20"/>
          <w:lang w:eastAsia="pt-PT"/>
        </w:rPr>
        <w:t xml:space="preserve">45:S93-S100. </w:t>
      </w:r>
    </w:p>
    <w:p w:rsidR="000A6E4F" w:rsidRPr="00682354" w:rsidRDefault="000A6E4F" w:rsidP="000A6E4F">
      <w:pPr>
        <w:autoSpaceDE w:val="0"/>
        <w:autoSpaceDN w:val="0"/>
        <w:adjustRightInd w:val="0"/>
        <w:spacing w:after="0" w:line="240" w:lineRule="auto"/>
        <w:rPr>
          <w:sz w:val="20"/>
          <w:szCs w:val="20"/>
          <w:lang w:eastAsia="pt-PT"/>
        </w:rPr>
      </w:pPr>
    </w:p>
    <w:p w:rsidR="005B28EA" w:rsidRPr="00682354" w:rsidRDefault="005B28EA" w:rsidP="000A6E4F">
      <w:pPr>
        <w:autoSpaceDE w:val="0"/>
        <w:autoSpaceDN w:val="0"/>
        <w:adjustRightInd w:val="0"/>
        <w:spacing w:after="0" w:line="240" w:lineRule="auto"/>
        <w:rPr>
          <w:sz w:val="20"/>
          <w:szCs w:val="20"/>
          <w:lang w:eastAsia="pt-PT"/>
        </w:rPr>
      </w:pPr>
      <w:r w:rsidRPr="00682354">
        <w:rPr>
          <w:sz w:val="20"/>
          <w:szCs w:val="20"/>
          <w:lang w:eastAsia="pt-PT"/>
        </w:rPr>
        <w:t xml:space="preserve">Rego, C., Vaz, A.T., Oliveira, H. 2007. </w:t>
      </w:r>
      <w:r w:rsidRPr="00682354">
        <w:rPr>
          <w:i/>
          <w:iCs/>
          <w:sz w:val="20"/>
          <w:szCs w:val="20"/>
          <w:lang w:eastAsia="pt-PT"/>
        </w:rPr>
        <w:t xml:space="preserve">Botryosphaeria </w:t>
      </w:r>
      <w:r w:rsidRPr="00682354">
        <w:rPr>
          <w:sz w:val="20"/>
          <w:szCs w:val="20"/>
          <w:lang w:eastAsia="pt-PT"/>
        </w:rPr>
        <w:t xml:space="preserve">spp. em </w:t>
      </w:r>
      <w:r w:rsidRPr="00682354">
        <w:rPr>
          <w:i/>
          <w:iCs/>
          <w:sz w:val="20"/>
          <w:szCs w:val="20"/>
          <w:lang w:eastAsia="pt-PT"/>
        </w:rPr>
        <w:t>Vitis vinifera</w:t>
      </w:r>
      <w:r w:rsidRPr="00682354">
        <w:rPr>
          <w:sz w:val="20"/>
          <w:szCs w:val="20"/>
          <w:lang w:eastAsia="pt-PT"/>
        </w:rPr>
        <w:t xml:space="preserve">: sintomas associados, patogenicidade e sensibilidade a fungicidas. In </w:t>
      </w:r>
      <w:r w:rsidRPr="00682354">
        <w:rPr>
          <w:i/>
          <w:iCs/>
          <w:sz w:val="20"/>
          <w:szCs w:val="20"/>
          <w:lang w:eastAsia="pt-PT"/>
        </w:rPr>
        <w:t>Actas 7º Simpósio de Vitivinicultura do Alentejo</w:t>
      </w:r>
      <w:r w:rsidRPr="00682354">
        <w:rPr>
          <w:sz w:val="20"/>
          <w:szCs w:val="20"/>
          <w:lang w:eastAsia="pt-PT"/>
        </w:rPr>
        <w:t xml:space="preserve">, Évora, Vol.1, 45-54. </w:t>
      </w:r>
    </w:p>
    <w:p w:rsidR="005B28EA" w:rsidRPr="00682354" w:rsidRDefault="005B28EA" w:rsidP="000A6E4F">
      <w:pPr>
        <w:autoSpaceDE w:val="0"/>
        <w:autoSpaceDN w:val="0"/>
        <w:adjustRightInd w:val="0"/>
        <w:spacing w:after="0" w:line="240" w:lineRule="auto"/>
        <w:rPr>
          <w:sz w:val="20"/>
          <w:szCs w:val="20"/>
          <w:lang w:eastAsia="pt-PT"/>
        </w:rPr>
      </w:pPr>
    </w:p>
    <w:p w:rsidR="000A6E4F" w:rsidRPr="00682354" w:rsidRDefault="000A6E4F" w:rsidP="000A6E4F">
      <w:pPr>
        <w:autoSpaceDE w:val="0"/>
        <w:autoSpaceDN w:val="0"/>
        <w:adjustRightInd w:val="0"/>
        <w:spacing w:after="0" w:line="240" w:lineRule="auto"/>
        <w:rPr>
          <w:sz w:val="20"/>
          <w:szCs w:val="20"/>
          <w:lang w:val="it-IT" w:eastAsia="pt-PT"/>
        </w:rPr>
      </w:pPr>
      <w:r w:rsidRPr="00682354">
        <w:rPr>
          <w:sz w:val="20"/>
          <w:szCs w:val="20"/>
          <w:lang w:val="en-US" w:eastAsia="pt-PT"/>
        </w:rPr>
        <w:t xml:space="preserve">Rovesti, L., Montermini, A. 1987. A grapevine decline caused by </w:t>
      </w:r>
      <w:r w:rsidRPr="00682354">
        <w:rPr>
          <w:i/>
          <w:iCs/>
          <w:sz w:val="20"/>
          <w:szCs w:val="20"/>
          <w:lang w:val="en-US" w:eastAsia="pt-PT"/>
        </w:rPr>
        <w:t xml:space="preserve">Sphaeropsis malorum </w:t>
      </w:r>
      <w:r w:rsidRPr="00682354">
        <w:rPr>
          <w:sz w:val="20"/>
          <w:szCs w:val="20"/>
          <w:lang w:val="en-US" w:eastAsia="pt-PT"/>
        </w:rPr>
        <w:t xml:space="preserve">widespread in the province of Reggio-Emilia. </w:t>
      </w:r>
      <w:r w:rsidRPr="00682354">
        <w:rPr>
          <w:i/>
          <w:iCs/>
          <w:sz w:val="20"/>
          <w:szCs w:val="20"/>
          <w:lang w:val="it-IT" w:eastAsia="pt-PT"/>
        </w:rPr>
        <w:t xml:space="preserve">Informatore Fitopatologico </w:t>
      </w:r>
      <w:r w:rsidRPr="00682354">
        <w:rPr>
          <w:sz w:val="20"/>
          <w:szCs w:val="20"/>
          <w:lang w:val="it-IT" w:eastAsia="pt-PT"/>
        </w:rPr>
        <w:t xml:space="preserve">37: 59-61. </w:t>
      </w:r>
    </w:p>
    <w:p w:rsidR="000A6E4F" w:rsidRPr="00682354" w:rsidRDefault="000A6E4F" w:rsidP="000A6E4F">
      <w:pPr>
        <w:autoSpaceDE w:val="0"/>
        <w:autoSpaceDN w:val="0"/>
        <w:adjustRightInd w:val="0"/>
        <w:spacing w:after="0" w:line="240" w:lineRule="auto"/>
        <w:rPr>
          <w:sz w:val="20"/>
          <w:szCs w:val="20"/>
          <w:lang w:val="it-IT" w:eastAsia="pt-PT"/>
        </w:rPr>
      </w:pPr>
    </w:p>
    <w:p w:rsidR="000A6E4F" w:rsidRPr="00682354" w:rsidRDefault="000A6E4F" w:rsidP="000A6E4F">
      <w:pPr>
        <w:autoSpaceDE w:val="0"/>
        <w:autoSpaceDN w:val="0"/>
        <w:adjustRightInd w:val="0"/>
        <w:spacing w:after="0" w:line="240" w:lineRule="auto"/>
        <w:rPr>
          <w:sz w:val="20"/>
          <w:szCs w:val="20"/>
          <w:lang w:val="it-IT" w:eastAsia="pt-PT"/>
        </w:rPr>
      </w:pPr>
      <w:r w:rsidRPr="00682354">
        <w:rPr>
          <w:bCs/>
          <w:sz w:val="20"/>
          <w:szCs w:val="20"/>
          <w:lang w:val="it-IT"/>
        </w:rPr>
        <w:t>Saccardo</w:t>
      </w:r>
      <w:r w:rsidRPr="00682354">
        <w:rPr>
          <w:sz w:val="20"/>
          <w:szCs w:val="20"/>
          <w:lang w:val="it-IT"/>
        </w:rPr>
        <w:t xml:space="preserve"> P.A. 1877. Fungi veneti novi vel critice vel Mycologiae Venetae addendi.</w:t>
      </w:r>
      <w:r w:rsidRPr="00682354">
        <w:rPr>
          <w:i/>
          <w:iCs/>
          <w:sz w:val="20"/>
          <w:szCs w:val="20"/>
          <w:lang w:val="it-IT"/>
        </w:rPr>
        <w:t>Michelia</w:t>
      </w:r>
      <w:r w:rsidRPr="00682354">
        <w:rPr>
          <w:sz w:val="20"/>
          <w:szCs w:val="20"/>
          <w:lang w:val="it-IT"/>
        </w:rPr>
        <w:t xml:space="preserve"> 1: 1-72.</w:t>
      </w:r>
    </w:p>
    <w:p w:rsidR="000A6E4F" w:rsidRPr="00682354" w:rsidRDefault="000A6E4F" w:rsidP="000A6E4F">
      <w:pPr>
        <w:autoSpaceDE w:val="0"/>
        <w:autoSpaceDN w:val="0"/>
        <w:adjustRightInd w:val="0"/>
        <w:spacing w:after="0" w:line="240" w:lineRule="auto"/>
        <w:rPr>
          <w:sz w:val="20"/>
          <w:szCs w:val="20"/>
          <w:lang w:val="it-IT"/>
        </w:rPr>
      </w:pPr>
    </w:p>
    <w:p w:rsidR="000A6E4F" w:rsidRPr="00682354" w:rsidRDefault="000A6E4F" w:rsidP="000A6E4F">
      <w:pPr>
        <w:autoSpaceDE w:val="0"/>
        <w:autoSpaceDN w:val="0"/>
        <w:adjustRightInd w:val="0"/>
        <w:spacing w:after="0" w:line="240" w:lineRule="auto"/>
        <w:rPr>
          <w:sz w:val="20"/>
          <w:szCs w:val="20"/>
          <w:lang w:val="en-US"/>
        </w:rPr>
      </w:pPr>
      <w:r w:rsidRPr="00682354">
        <w:rPr>
          <w:sz w:val="20"/>
          <w:szCs w:val="20"/>
          <w:lang w:val="en-US"/>
        </w:rPr>
        <w:t xml:space="preserve">Savocchia, S., Steel, C.C., Stodart, B.J., Somers, A. 2005. Pathogenicity of </w:t>
      </w:r>
      <w:r w:rsidRPr="00682354">
        <w:rPr>
          <w:i/>
          <w:iCs/>
          <w:sz w:val="20"/>
          <w:szCs w:val="20"/>
          <w:lang w:val="en-US"/>
        </w:rPr>
        <w:t xml:space="preserve">Botryosphaeria </w:t>
      </w:r>
      <w:r w:rsidRPr="00682354">
        <w:rPr>
          <w:sz w:val="20"/>
          <w:szCs w:val="20"/>
          <w:lang w:val="en-US"/>
        </w:rPr>
        <w:t xml:space="preserve">species isolated from declining grapevines in sub tropical regions of Eastern Australia. </w:t>
      </w:r>
      <w:r w:rsidRPr="00682354">
        <w:rPr>
          <w:i/>
          <w:iCs/>
          <w:sz w:val="20"/>
          <w:szCs w:val="20"/>
          <w:lang w:val="en-US"/>
        </w:rPr>
        <w:t xml:space="preserve">Vitis </w:t>
      </w:r>
      <w:r w:rsidRPr="00682354">
        <w:rPr>
          <w:sz w:val="20"/>
          <w:szCs w:val="20"/>
          <w:lang w:val="en-US"/>
        </w:rPr>
        <w:t>46: 27-32.</w:t>
      </w:r>
    </w:p>
    <w:p w:rsidR="000A6E4F" w:rsidRPr="00682354" w:rsidRDefault="000A6E4F" w:rsidP="000A6E4F">
      <w:pPr>
        <w:autoSpaceDE w:val="0"/>
        <w:autoSpaceDN w:val="0"/>
        <w:adjustRightInd w:val="0"/>
        <w:spacing w:after="0" w:line="240" w:lineRule="auto"/>
        <w:rPr>
          <w:sz w:val="20"/>
          <w:szCs w:val="20"/>
          <w:lang w:val="en-US"/>
        </w:rPr>
      </w:pPr>
    </w:p>
    <w:p w:rsidR="0053169F" w:rsidRPr="00682354" w:rsidRDefault="0053169F" w:rsidP="000A6E4F">
      <w:pPr>
        <w:autoSpaceDE w:val="0"/>
        <w:autoSpaceDN w:val="0"/>
        <w:adjustRightInd w:val="0"/>
        <w:spacing w:after="0" w:line="240" w:lineRule="auto"/>
        <w:rPr>
          <w:sz w:val="20"/>
          <w:szCs w:val="20"/>
          <w:lang w:val="en-US"/>
        </w:rPr>
      </w:pPr>
    </w:p>
    <w:p w:rsidR="0053169F" w:rsidRPr="00682354" w:rsidRDefault="0053169F" w:rsidP="000A6E4F">
      <w:pPr>
        <w:autoSpaceDE w:val="0"/>
        <w:autoSpaceDN w:val="0"/>
        <w:adjustRightInd w:val="0"/>
        <w:spacing w:after="0" w:line="240" w:lineRule="auto"/>
        <w:rPr>
          <w:sz w:val="20"/>
          <w:szCs w:val="20"/>
          <w:lang w:val="en-US"/>
        </w:rPr>
      </w:pPr>
    </w:p>
    <w:p w:rsidR="000A6E4F" w:rsidRPr="00682354" w:rsidRDefault="000A6E4F" w:rsidP="000A6E4F">
      <w:pPr>
        <w:autoSpaceDE w:val="0"/>
        <w:autoSpaceDN w:val="0"/>
        <w:adjustRightInd w:val="0"/>
        <w:spacing w:after="0" w:line="240" w:lineRule="auto"/>
        <w:rPr>
          <w:sz w:val="20"/>
          <w:szCs w:val="20"/>
          <w:lang w:val="en-US"/>
        </w:rPr>
      </w:pPr>
      <w:r w:rsidRPr="00682354">
        <w:rPr>
          <w:sz w:val="20"/>
          <w:szCs w:val="20"/>
          <w:lang w:val="en-US"/>
        </w:rPr>
        <w:t xml:space="preserve">Savocchia S., Laurent, E.N., Stodart, B.J., Steel, C.C. Botryosphaeria canker and sensitivity to fungicides </w:t>
      </w:r>
      <w:r w:rsidRPr="00682354">
        <w:rPr>
          <w:i/>
          <w:iCs/>
          <w:sz w:val="20"/>
          <w:szCs w:val="20"/>
          <w:lang w:val="en-US"/>
        </w:rPr>
        <w:t>in</w:t>
      </w:r>
      <w:r w:rsidRPr="00682354">
        <w:rPr>
          <w:sz w:val="20"/>
          <w:szCs w:val="20"/>
          <w:lang w:val="en-US"/>
        </w:rPr>
        <w:t xml:space="preserve"> </w:t>
      </w:r>
      <w:r w:rsidRPr="00682354">
        <w:rPr>
          <w:i/>
          <w:iCs/>
          <w:sz w:val="20"/>
          <w:szCs w:val="20"/>
          <w:lang w:val="en-US"/>
        </w:rPr>
        <w:t>vitro</w:t>
      </w:r>
      <w:r w:rsidRPr="00682354">
        <w:rPr>
          <w:sz w:val="20"/>
          <w:szCs w:val="20"/>
          <w:lang w:val="en-US"/>
        </w:rPr>
        <w:t xml:space="preserve">. In </w:t>
      </w:r>
      <w:r w:rsidRPr="00682354">
        <w:rPr>
          <w:i/>
          <w:iCs/>
          <w:sz w:val="20"/>
          <w:szCs w:val="20"/>
          <w:lang w:val="en-US"/>
        </w:rPr>
        <w:t>Proceedings of the Joint Congress of the Southern</w:t>
      </w:r>
      <w:r w:rsidRPr="00682354">
        <w:rPr>
          <w:sz w:val="20"/>
          <w:szCs w:val="20"/>
          <w:lang w:val="en-US"/>
        </w:rPr>
        <w:t xml:space="preserve"> </w:t>
      </w:r>
      <w:r w:rsidRPr="00682354">
        <w:rPr>
          <w:i/>
          <w:iCs/>
          <w:sz w:val="20"/>
          <w:szCs w:val="20"/>
          <w:lang w:val="en-US"/>
        </w:rPr>
        <w:t>African Society for Plant Pathology, African Mycological</w:t>
      </w:r>
      <w:r w:rsidRPr="00682354">
        <w:rPr>
          <w:sz w:val="20"/>
          <w:szCs w:val="20"/>
          <w:lang w:val="en-US"/>
        </w:rPr>
        <w:t xml:space="preserve"> </w:t>
      </w:r>
      <w:r w:rsidRPr="00682354">
        <w:rPr>
          <w:i/>
          <w:iCs/>
          <w:sz w:val="20"/>
          <w:szCs w:val="20"/>
          <w:lang w:val="en-US"/>
        </w:rPr>
        <w:t>Association and Medical Mycology in Africa</w:t>
      </w:r>
      <w:r w:rsidRPr="00682354">
        <w:rPr>
          <w:sz w:val="20"/>
          <w:szCs w:val="20"/>
          <w:lang w:val="en-US"/>
        </w:rPr>
        <w:t>, 23–26 January 2005, Hartenbos Beach Resort, Mossel Bay, South Africa, 88 (abstract).</w:t>
      </w:r>
    </w:p>
    <w:p w:rsidR="000A6E4F" w:rsidRPr="00682354" w:rsidRDefault="000A6E4F" w:rsidP="000A6E4F">
      <w:pPr>
        <w:autoSpaceDE w:val="0"/>
        <w:autoSpaceDN w:val="0"/>
        <w:adjustRightInd w:val="0"/>
        <w:spacing w:after="0" w:line="240" w:lineRule="auto"/>
        <w:rPr>
          <w:sz w:val="20"/>
          <w:szCs w:val="20"/>
          <w:lang w:val="en-US"/>
        </w:rPr>
      </w:pPr>
    </w:p>
    <w:p w:rsidR="000A6E4F" w:rsidRPr="00682354" w:rsidRDefault="000A6E4F" w:rsidP="000A6E4F">
      <w:pPr>
        <w:autoSpaceDE w:val="0"/>
        <w:autoSpaceDN w:val="0"/>
        <w:adjustRightInd w:val="0"/>
        <w:spacing w:after="0" w:line="240" w:lineRule="auto"/>
        <w:rPr>
          <w:sz w:val="20"/>
          <w:szCs w:val="20"/>
          <w:lang w:val="en-US"/>
        </w:rPr>
      </w:pPr>
      <w:r w:rsidRPr="00682354">
        <w:rPr>
          <w:sz w:val="20"/>
          <w:szCs w:val="20"/>
          <w:lang w:val="en-US"/>
        </w:rPr>
        <w:t xml:space="preserve">Scheper, R.W.A., Crane, D.C., Whisson, D.L., Scott, E.S. 2000. The </w:t>
      </w:r>
      <w:r w:rsidRPr="00682354">
        <w:rPr>
          <w:i/>
          <w:iCs/>
          <w:sz w:val="20"/>
          <w:szCs w:val="20"/>
          <w:lang w:val="en-US"/>
        </w:rPr>
        <w:t xml:space="preserve">Diaporthe </w:t>
      </w:r>
      <w:r w:rsidRPr="00682354">
        <w:rPr>
          <w:sz w:val="20"/>
          <w:szCs w:val="20"/>
          <w:lang w:val="en-US"/>
        </w:rPr>
        <w:t xml:space="preserve">teleomorph of </w:t>
      </w:r>
      <w:r w:rsidRPr="00682354">
        <w:rPr>
          <w:i/>
          <w:iCs/>
          <w:sz w:val="20"/>
          <w:szCs w:val="20"/>
          <w:lang w:val="en-US"/>
        </w:rPr>
        <w:t xml:space="preserve">Phomopsis </w:t>
      </w:r>
      <w:r w:rsidRPr="00682354">
        <w:rPr>
          <w:sz w:val="20"/>
          <w:szCs w:val="20"/>
          <w:lang w:val="en-US"/>
        </w:rPr>
        <w:t xml:space="preserve">Taxon 1 on grapevine. </w:t>
      </w:r>
      <w:r w:rsidRPr="00682354">
        <w:rPr>
          <w:i/>
          <w:iCs/>
          <w:sz w:val="20"/>
          <w:szCs w:val="20"/>
          <w:lang w:val="en-US"/>
        </w:rPr>
        <w:t>Mycological Research</w:t>
      </w:r>
      <w:r w:rsidRPr="00682354">
        <w:rPr>
          <w:sz w:val="20"/>
          <w:szCs w:val="20"/>
          <w:lang w:val="en-US"/>
        </w:rPr>
        <w:t xml:space="preserve"> 104: 226-231.</w:t>
      </w:r>
    </w:p>
    <w:p w:rsidR="000A6E4F" w:rsidRPr="00682354" w:rsidRDefault="000A6E4F" w:rsidP="000A6E4F">
      <w:pPr>
        <w:autoSpaceDE w:val="0"/>
        <w:autoSpaceDN w:val="0"/>
        <w:adjustRightInd w:val="0"/>
        <w:spacing w:after="0" w:line="240" w:lineRule="auto"/>
        <w:rPr>
          <w:sz w:val="20"/>
          <w:szCs w:val="20"/>
          <w:lang w:val="en-US"/>
        </w:rPr>
      </w:pPr>
    </w:p>
    <w:p w:rsidR="000A6E4F" w:rsidRPr="00682354" w:rsidRDefault="000A6E4F" w:rsidP="000A6E4F">
      <w:pPr>
        <w:autoSpaceDE w:val="0"/>
        <w:autoSpaceDN w:val="0"/>
        <w:adjustRightInd w:val="0"/>
        <w:spacing w:after="0" w:line="240" w:lineRule="auto"/>
        <w:rPr>
          <w:sz w:val="20"/>
          <w:szCs w:val="20"/>
          <w:lang w:val="en-US"/>
        </w:rPr>
      </w:pPr>
      <w:r w:rsidRPr="00682354">
        <w:rPr>
          <w:sz w:val="20"/>
          <w:szCs w:val="20"/>
          <w:lang w:val="en-US"/>
        </w:rPr>
        <w:t xml:space="preserve">Shoemaker, R.A. 1964. Conidial states of some </w:t>
      </w:r>
      <w:r w:rsidRPr="00682354">
        <w:rPr>
          <w:i/>
          <w:iCs/>
          <w:sz w:val="20"/>
          <w:szCs w:val="20"/>
          <w:lang w:val="en-US"/>
        </w:rPr>
        <w:t xml:space="preserve">Botryosphaeria </w:t>
      </w:r>
      <w:r w:rsidRPr="00682354">
        <w:rPr>
          <w:sz w:val="20"/>
          <w:szCs w:val="20"/>
          <w:lang w:val="en-US"/>
        </w:rPr>
        <w:t xml:space="preserve">species on </w:t>
      </w:r>
      <w:r w:rsidRPr="00682354">
        <w:rPr>
          <w:i/>
          <w:iCs/>
          <w:sz w:val="20"/>
          <w:szCs w:val="20"/>
          <w:lang w:val="en-US"/>
        </w:rPr>
        <w:t xml:space="preserve">Vitis </w:t>
      </w:r>
      <w:r w:rsidRPr="00682354">
        <w:rPr>
          <w:sz w:val="20"/>
          <w:szCs w:val="20"/>
          <w:lang w:val="en-US"/>
        </w:rPr>
        <w:t xml:space="preserve">and </w:t>
      </w:r>
      <w:r w:rsidRPr="00682354">
        <w:rPr>
          <w:i/>
          <w:iCs/>
          <w:sz w:val="20"/>
          <w:szCs w:val="20"/>
          <w:lang w:val="en-US"/>
        </w:rPr>
        <w:t>Quercus</w:t>
      </w:r>
      <w:r w:rsidRPr="00682354">
        <w:rPr>
          <w:sz w:val="20"/>
          <w:szCs w:val="20"/>
          <w:lang w:val="en-US"/>
        </w:rPr>
        <w:t xml:space="preserve">. </w:t>
      </w:r>
      <w:r w:rsidRPr="00682354">
        <w:rPr>
          <w:i/>
          <w:iCs/>
          <w:sz w:val="20"/>
          <w:szCs w:val="20"/>
          <w:lang w:val="en-US"/>
        </w:rPr>
        <w:t xml:space="preserve">Canadian Journal of Botany </w:t>
      </w:r>
      <w:r w:rsidRPr="00682354">
        <w:rPr>
          <w:sz w:val="20"/>
          <w:szCs w:val="20"/>
          <w:lang w:val="en-US"/>
        </w:rPr>
        <w:t>42: 1297-1301.</w:t>
      </w:r>
    </w:p>
    <w:p w:rsidR="000A6E4F" w:rsidRPr="00682354" w:rsidRDefault="000A6E4F" w:rsidP="000A6E4F">
      <w:pPr>
        <w:autoSpaceDE w:val="0"/>
        <w:autoSpaceDN w:val="0"/>
        <w:adjustRightInd w:val="0"/>
        <w:spacing w:after="0" w:line="240" w:lineRule="auto"/>
        <w:rPr>
          <w:sz w:val="20"/>
          <w:szCs w:val="20"/>
          <w:lang w:val="en-US"/>
        </w:rPr>
      </w:pPr>
    </w:p>
    <w:p w:rsidR="000A6E4F" w:rsidRPr="00682354" w:rsidRDefault="000A6E4F" w:rsidP="000A6E4F">
      <w:pPr>
        <w:autoSpaceDE w:val="0"/>
        <w:autoSpaceDN w:val="0"/>
        <w:adjustRightInd w:val="0"/>
        <w:spacing w:after="0" w:line="240" w:lineRule="auto"/>
        <w:rPr>
          <w:sz w:val="20"/>
          <w:szCs w:val="20"/>
          <w:lang w:val="en-US" w:eastAsia="pt-PT"/>
        </w:rPr>
      </w:pPr>
      <w:r w:rsidRPr="00682354">
        <w:rPr>
          <w:sz w:val="20"/>
          <w:szCs w:val="20"/>
          <w:lang w:val="en-US" w:eastAsia="pt-PT"/>
        </w:rPr>
        <w:t xml:space="preserve">Slippers, B., Crous, P.W., Denman, S., Coutinho, T.A., Wingfield, B.D., Wingfield, M.J. 2004. Combined multiple gene genealogies and phenotypic characters differentiate several species previously identified as </w:t>
      </w:r>
      <w:r w:rsidRPr="00682354">
        <w:rPr>
          <w:i/>
          <w:iCs/>
          <w:sz w:val="20"/>
          <w:szCs w:val="20"/>
          <w:lang w:val="en-US" w:eastAsia="pt-PT"/>
        </w:rPr>
        <w:t>Botryosphaeria dothidea.</w:t>
      </w:r>
      <w:r w:rsidRPr="00682354">
        <w:rPr>
          <w:sz w:val="20"/>
          <w:szCs w:val="20"/>
          <w:lang w:val="en-US" w:eastAsia="pt-PT"/>
        </w:rPr>
        <w:t xml:space="preserve"> </w:t>
      </w:r>
      <w:r w:rsidRPr="00682354">
        <w:rPr>
          <w:i/>
          <w:sz w:val="20"/>
          <w:szCs w:val="20"/>
          <w:lang w:val="en-US" w:eastAsia="pt-PT"/>
        </w:rPr>
        <w:t>Mycologia</w:t>
      </w:r>
      <w:r w:rsidRPr="00682354">
        <w:rPr>
          <w:sz w:val="20"/>
          <w:szCs w:val="20"/>
          <w:lang w:val="en-US" w:eastAsia="pt-PT"/>
        </w:rPr>
        <w:t xml:space="preserve"> 96:83-101.</w:t>
      </w:r>
    </w:p>
    <w:p w:rsidR="000A6E4F" w:rsidRPr="00682354" w:rsidRDefault="000A6E4F" w:rsidP="000A6E4F">
      <w:pPr>
        <w:pStyle w:val="NormalWeb"/>
        <w:rPr>
          <w:rFonts w:ascii="Arial" w:hAnsi="Arial"/>
          <w:sz w:val="20"/>
          <w:szCs w:val="20"/>
          <w:lang w:val="en-US"/>
        </w:rPr>
      </w:pPr>
      <w:r w:rsidRPr="00682354">
        <w:rPr>
          <w:rFonts w:ascii="Arial" w:hAnsi="Arial"/>
          <w:sz w:val="20"/>
          <w:szCs w:val="20"/>
          <w:lang w:val="en-US"/>
        </w:rPr>
        <w:t xml:space="preserve">Smith, H., Wingfield, M.J., Crous, P.W., Coutinho, T.A. 1996. </w:t>
      </w:r>
      <w:r w:rsidRPr="00682354">
        <w:rPr>
          <w:rFonts w:ascii="Arial" w:hAnsi="Arial"/>
          <w:i/>
          <w:iCs/>
          <w:sz w:val="20"/>
          <w:szCs w:val="20"/>
          <w:lang w:val="en-US"/>
        </w:rPr>
        <w:t>Sphaeropsis sapinea</w:t>
      </w:r>
      <w:r w:rsidRPr="00682354">
        <w:rPr>
          <w:rFonts w:ascii="Arial" w:hAnsi="Arial"/>
          <w:sz w:val="20"/>
          <w:szCs w:val="20"/>
          <w:lang w:val="en-US"/>
        </w:rPr>
        <w:t xml:space="preserve"> and </w:t>
      </w:r>
      <w:r w:rsidRPr="00682354">
        <w:rPr>
          <w:rFonts w:ascii="Arial" w:hAnsi="Arial"/>
          <w:i/>
          <w:iCs/>
          <w:sz w:val="20"/>
          <w:szCs w:val="20"/>
          <w:lang w:val="en-US"/>
        </w:rPr>
        <w:t>Botryosphaeria dothidea</w:t>
      </w:r>
      <w:r w:rsidRPr="00682354">
        <w:rPr>
          <w:rFonts w:ascii="Arial" w:hAnsi="Arial"/>
          <w:sz w:val="20"/>
          <w:szCs w:val="20"/>
          <w:lang w:val="en-US"/>
        </w:rPr>
        <w:t xml:space="preserve"> endophytic in </w:t>
      </w:r>
      <w:r w:rsidRPr="00682354">
        <w:rPr>
          <w:rFonts w:ascii="Arial" w:hAnsi="Arial"/>
          <w:i/>
          <w:iCs/>
          <w:sz w:val="20"/>
          <w:szCs w:val="20"/>
          <w:lang w:val="en-US"/>
        </w:rPr>
        <w:t>Pinus</w:t>
      </w:r>
      <w:r w:rsidRPr="00682354">
        <w:rPr>
          <w:rFonts w:ascii="Arial" w:hAnsi="Arial"/>
          <w:sz w:val="20"/>
          <w:szCs w:val="20"/>
          <w:lang w:val="en-US"/>
        </w:rPr>
        <w:t xml:space="preserve"> spp. in South Africa. </w:t>
      </w:r>
      <w:r w:rsidRPr="00682354">
        <w:rPr>
          <w:rFonts w:ascii="Arial" w:hAnsi="Arial"/>
          <w:i/>
          <w:iCs/>
          <w:sz w:val="20"/>
          <w:szCs w:val="20"/>
          <w:lang w:val="en-US"/>
        </w:rPr>
        <w:t>South African Journal of Botany</w:t>
      </w:r>
      <w:r w:rsidRPr="00682354">
        <w:rPr>
          <w:rFonts w:ascii="Arial" w:hAnsi="Arial"/>
          <w:sz w:val="20"/>
          <w:szCs w:val="20"/>
          <w:lang w:val="en-US"/>
        </w:rPr>
        <w:t xml:space="preserve"> </w:t>
      </w:r>
      <w:r w:rsidRPr="00682354">
        <w:rPr>
          <w:rFonts w:ascii="Arial" w:hAnsi="Arial"/>
          <w:bCs/>
          <w:sz w:val="20"/>
          <w:szCs w:val="20"/>
          <w:lang w:val="en-US"/>
        </w:rPr>
        <w:t>62</w:t>
      </w:r>
      <w:r w:rsidRPr="00682354">
        <w:rPr>
          <w:rFonts w:ascii="Arial" w:hAnsi="Arial"/>
          <w:sz w:val="20"/>
          <w:szCs w:val="20"/>
          <w:lang w:val="en-US"/>
        </w:rPr>
        <w:t>:86-88.</w:t>
      </w:r>
      <w:bookmarkStart w:id="82" w:name="REF67"/>
      <w:bookmarkEnd w:id="82"/>
    </w:p>
    <w:p w:rsidR="000A6E4F" w:rsidRPr="00682354" w:rsidRDefault="000A6E4F" w:rsidP="000A6E4F">
      <w:pPr>
        <w:autoSpaceDE w:val="0"/>
        <w:autoSpaceDN w:val="0"/>
        <w:adjustRightInd w:val="0"/>
        <w:spacing w:after="0" w:line="240" w:lineRule="auto"/>
        <w:rPr>
          <w:sz w:val="20"/>
          <w:szCs w:val="20"/>
          <w:lang w:val="en-US"/>
        </w:rPr>
      </w:pPr>
      <w:r w:rsidRPr="00682354">
        <w:rPr>
          <w:sz w:val="20"/>
          <w:szCs w:val="20"/>
          <w:lang w:val="en-US"/>
        </w:rPr>
        <w:t xml:space="preserve">Sutton, T.B. 1981. Production and dispersal of ascospores and conidia by </w:t>
      </w:r>
      <w:r w:rsidRPr="00682354">
        <w:rPr>
          <w:i/>
          <w:iCs/>
          <w:sz w:val="20"/>
          <w:szCs w:val="20"/>
          <w:lang w:val="en-US"/>
        </w:rPr>
        <w:t xml:space="preserve">Physalospora obtusa </w:t>
      </w:r>
      <w:r w:rsidRPr="00682354">
        <w:rPr>
          <w:sz w:val="20"/>
          <w:szCs w:val="20"/>
          <w:lang w:val="en-US"/>
        </w:rPr>
        <w:t xml:space="preserve">and </w:t>
      </w:r>
      <w:r w:rsidRPr="00682354">
        <w:rPr>
          <w:i/>
          <w:iCs/>
          <w:sz w:val="20"/>
          <w:szCs w:val="20"/>
          <w:lang w:val="en-US"/>
        </w:rPr>
        <w:t>Botryosphaeria</w:t>
      </w:r>
      <w:r w:rsidRPr="00682354">
        <w:rPr>
          <w:sz w:val="20"/>
          <w:szCs w:val="20"/>
          <w:lang w:val="en-US"/>
        </w:rPr>
        <w:t xml:space="preserve"> </w:t>
      </w:r>
      <w:r w:rsidRPr="00682354">
        <w:rPr>
          <w:i/>
          <w:iCs/>
          <w:sz w:val="20"/>
          <w:szCs w:val="20"/>
          <w:lang w:val="en-US"/>
        </w:rPr>
        <w:t xml:space="preserve">dothidea </w:t>
      </w:r>
      <w:r w:rsidRPr="00682354">
        <w:rPr>
          <w:sz w:val="20"/>
          <w:szCs w:val="20"/>
          <w:lang w:val="en-US"/>
        </w:rPr>
        <w:t xml:space="preserve">in apple orchards. </w:t>
      </w:r>
      <w:r w:rsidRPr="00682354">
        <w:rPr>
          <w:i/>
          <w:iCs/>
          <w:sz w:val="20"/>
          <w:szCs w:val="20"/>
          <w:lang w:val="en-US"/>
        </w:rPr>
        <w:t xml:space="preserve">Phytopathology </w:t>
      </w:r>
      <w:r w:rsidRPr="00682354">
        <w:rPr>
          <w:sz w:val="20"/>
          <w:szCs w:val="20"/>
          <w:lang w:val="en-US"/>
        </w:rPr>
        <w:t>71: 584-589.</w:t>
      </w:r>
    </w:p>
    <w:p w:rsidR="000A6E4F" w:rsidRPr="00682354" w:rsidRDefault="000A6E4F" w:rsidP="000A6E4F">
      <w:pPr>
        <w:autoSpaceDE w:val="0"/>
        <w:autoSpaceDN w:val="0"/>
        <w:adjustRightInd w:val="0"/>
        <w:spacing w:after="0" w:line="240" w:lineRule="auto"/>
        <w:rPr>
          <w:sz w:val="20"/>
          <w:szCs w:val="20"/>
          <w:lang w:val="en-US"/>
        </w:rPr>
      </w:pPr>
    </w:p>
    <w:p w:rsidR="000A6E4F" w:rsidRPr="00682354" w:rsidRDefault="000A6E4F" w:rsidP="000A6E4F">
      <w:pPr>
        <w:autoSpaceDE w:val="0"/>
        <w:autoSpaceDN w:val="0"/>
        <w:adjustRightInd w:val="0"/>
        <w:spacing w:after="0" w:line="240" w:lineRule="auto"/>
        <w:rPr>
          <w:rStyle w:val="Ttulo2Carcter"/>
          <w:rFonts w:eastAsia="Calibri"/>
          <w:sz w:val="20"/>
          <w:szCs w:val="20"/>
          <w:lang w:val="en-US"/>
        </w:rPr>
      </w:pPr>
      <w:r w:rsidRPr="00682354">
        <w:rPr>
          <w:sz w:val="20"/>
          <w:szCs w:val="20"/>
          <w:lang w:val="en-US"/>
        </w:rPr>
        <w:t xml:space="preserve">Taylor, A., Hardy, G.E.S.J., Wood, P., Burgess, T. 2005. Identification and pathogenicity of </w:t>
      </w:r>
      <w:r w:rsidRPr="00682354">
        <w:rPr>
          <w:i/>
          <w:iCs/>
          <w:sz w:val="20"/>
          <w:szCs w:val="20"/>
          <w:lang w:val="en-US"/>
        </w:rPr>
        <w:t xml:space="preserve">Botryosphaeria </w:t>
      </w:r>
      <w:r w:rsidRPr="00682354">
        <w:rPr>
          <w:sz w:val="20"/>
          <w:szCs w:val="20"/>
          <w:lang w:val="en-US"/>
        </w:rPr>
        <w:t xml:space="preserve">species associated with grapevine decline in Western Australia. </w:t>
      </w:r>
      <w:r w:rsidRPr="00682354">
        <w:rPr>
          <w:i/>
          <w:iCs/>
          <w:sz w:val="20"/>
          <w:szCs w:val="20"/>
          <w:lang w:val="en-US"/>
        </w:rPr>
        <w:t xml:space="preserve">Australasian Plant Pathology </w:t>
      </w:r>
      <w:r w:rsidRPr="00682354">
        <w:rPr>
          <w:sz w:val="20"/>
          <w:szCs w:val="20"/>
          <w:lang w:val="en-US"/>
        </w:rPr>
        <w:t>34: 187-195.</w:t>
      </w:r>
    </w:p>
    <w:p w:rsidR="000A6E4F" w:rsidRPr="00682354" w:rsidRDefault="000A6E4F" w:rsidP="000A6E4F">
      <w:pPr>
        <w:autoSpaceDE w:val="0"/>
        <w:autoSpaceDN w:val="0"/>
        <w:adjustRightInd w:val="0"/>
        <w:spacing w:after="0" w:line="240" w:lineRule="auto"/>
        <w:rPr>
          <w:sz w:val="20"/>
          <w:szCs w:val="20"/>
          <w:lang w:val="en-US"/>
        </w:rPr>
      </w:pPr>
    </w:p>
    <w:p w:rsidR="000A6E4F" w:rsidRPr="00682354" w:rsidRDefault="000A6E4F" w:rsidP="000A6E4F">
      <w:pPr>
        <w:autoSpaceDE w:val="0"/>
        <w:autoSpaceDN w:val="0"/>
        <w:adjustRightInd w:val="0"/>
        <w:spacing w:after="0" w:line="240" w:lineRule="auto"/>
        <w:rPr>
          <w:sz w:val="20"/>
          <w:szCs w:val="20"/>
        </w:rPr>
      </w:pPr>
      <w:r w:rsidRPr="00682354">
        <w:rPr>
          <w:sz w:val="20"/>
          <w:szCs w:val="20"/>
          <w:lang w:val="en-US"/>
        </w:rPr>
        <w:t xml:space="preserve">Tomaz, I.L., Rego, M.C.N.F. 1990. </w:t>
      </w:r>
      <w:r w:rsidRPr="00682354">
        <w:rPr>
          <w:sz w:val="20"/>
          <w:szCs w:val="20"/>
        </w:rPr>
        <w:t xml:space="preserve">Fungos do complexo responsável pelo declínio das videiras em Portugal. </w:t>
      </w:r>
      <w:r w:rsidRPr="00682354">
        <w:rPr>
          <w:i/>
          <w:iCs/>
          <w:sz w:val="20"/>
          <w:szCs w:val="20"/>
        </w:rPr>
        <w:t xml:space="preserve">Pubicações do Laboratório de  Patologia “Veríssimo de Almeida”  </w:t>
      </w:r>
      <w:r w:rsidRPr="00682354">
        <w:rPr>
          <w:iCs/>
          <w:sz w:val="20"/>
          <w:szCs w:val="20"/>
        </w:rPr>
        <w:t xml:space="preserve">nº </w:t>
      </w:r>
      <w:r w:rsidRPr="00682354">
        <w:rPr>
          <w:sz w:val="20"/>
          <w:szCs w:val="20"/>
        </w:rPr>
        <w:t>57, 8pp.</w:t>
      </w:r>
    </w:p>
    <w:p w:rsidR="000A6E4F" w:rsidRPr="00682354" w:rsidRDefault="000A6E4F" w:rsidP="000A6E4F">
      <w:pPr>
        <w:autoSpaceDE w:val="0"/>
        <w:autoSpaceDN w:val="0"/>
        <w:adjustRightInd w:val="0"/>
        <w:spacing w:after="0" w:line="240" w:lineRule="auto"/>
        <w:rPr>
          <w:sz w:val="20"/>
          <w:szCs w:val="20"/>
        </w:rPr>
      </w:pPr>
    </w:p>
    <w:p w:rsidR="000A6E4F" w:rsidRPr="00682354" w:rsidRDefault="000A6E4F" w:rsidP="000A6E4F">
      <w:pPr>
        <w:autoSpaceDE w:val="0"/>
        <w:autoSpaceDN w:val="0"/>
        <w:adjustRightInd w:val="0"/>
        <w:spacing w:after="0" w:line="240" w:lineRule="auto"/>
        <w:rPr>
          <w:sz w:val="20"/>
          <w:szCs w:val="20"/>
        </w:rPr>
      </w:pPr>
      <w:r w:rsidRPr="00682354">
        <w:rPr>
          <w:sz w:val="20"/>
          <w:szCs w:val="20"/>
        </w:rPr>
        <w:t xml:space="preserve">Úrbez-Torres, J.R., Peláez, H., Santiago, Y., Martín, C., Moreno, C., Gubler, W.D. 2006. </w:t>
      </w:r>
      <w:r w:rsidR="006A4A20" w:rsidRPr="00682354">
        <w:rPr>
          <w:sz w:val="20"/>
          <w:szCs w:val="20"/>
          <w:lang w:val="en-US"/>
        </w:rPr>
        <w:t xml:space="preserve">Occurrence </w:t>
      </w:r>
      <w:r w:rsidRPr="00682354">
        <w:rPr>
          <w:sz w:val="20"/>
          <w:szCs w:val="20"/>
          <w:lang w:val="en-US"/>
        </w:rPr>
        <w:t xml:space="preserve">of </w:t>
      </w:r>
      <w:r w:rsidR="006A4A20" w:rsidRPr="00682354">
        <w:rPr>
          <w:sz w:val="20"/>
          <w:szCs w:val="20"/>
          <w:lang w:val="en-US"/>
        </w:rPr>
        <w:t>“</w:t>
      </w:r>
      <w:r w:rsidR="006A4A20" w:rsidRPr="00682354">
        <w:rPr>
          <w:i/>
          <w:iCs/>
          <w:sz w:val="20"/>
          <w:szCs w:val="20"/>
          <w:lang w:val="en-US"/>
        </w:rPr>
        <w:t xml:space="preserve">B”. </w:t>
      </w:r>
      <w:r w:rsidRPr="00682354">
        <w:rPr>
          <w:i/>
          <w:iCs/>
          <w:sz w:val="20"/>
          <w:szCs w:val="20"/>
          <w:lang w:val="en-US"/>
        </w:rPr>
        <w:t>obtusa</w:t>
      </w:r>
      <w:r w:rsidRPr="00682354">
        <w:rPr>
          <w:sz w:val="20"/>
          <w:szCs w:val="20"/>
          <w:lang w:val="en-US"/>
        </w:rPr>
        <w:t xml:space="preserve">, </w:t>
      </w:r>
      <w:r w:rsidR="006A4A20" w:rsidRPr="00682354">
        <w:rPr>
          <w:sz w:val="20"/>
          <w:szCs w:val="20"/>
          <w:lang w:val="en-US"/>
        </w:rPr>
        <w:t>“</w:t>
      </w:r>
      <w:r w:rsidRPr="00682354">
        <w:rPr>
          <w:i/>
          <w:iCs/>
          <w:sz w:val="20"/>
          <w:szCs w:val="20"/>
          <w:lang w:val="en-US"/>
        </w:rPr>
        <w:t>B</w:t>
      </w:r>
      <w:r w:rsidR="006A4A20" w:rsidRPr="00682354">
        <w:rPr>
          <w:i/>
          <w:iCs/>
          <w:sz w:val="20"/>
          <w:szCs w:val="20"/>
          <w:lang w:val="en-US"/>
        </w:rPr>
        <w:t>”</w:t>
      </w:r>
      <w:r w:rsidRPr="00682354">
        <w:rPr>
          <w:i/>
          <w:iCs/>
          <w:sz w:val="20"/>
          <w:szCs w:val="20"/>
          <w:lang w:val="en-US"/>
        </w:rPr>
        <w:t>. dothidea</w:t>
      </w:r>
      <w:r w:rsidRPr="00682354">
        <w:rPr>
          <w:sz w:val="20"/>
          <w:szCs w:val="20"/>
          <w:lang w:val="en-US"/>
        </w:rPr>
        <w:t xml:space="preserve"> and </w:t>
      </w:r>
      <w:r w:rsidRPr="00682354">
        <w:rPr>
          <w:i/>
          <w:iCs/>
          <w:sz w:val="20"/>
          <w:szCs w:val="20"/>
          <w:lang w:val="en-US"/>
        </w:rPr>
        <w:t xml:space="preserve">“B”. parva </w:t>
      </w:r>
      <w:r w:rsidRPr="00682354">
        <w:rPr>
          <w:sz w:val="20"/>
          <w:szCs w:val="20"/>
          <w:lang w:val="en-US"/>
        </w:rPr>
        <w:t xml:space="preserve">associated with grapevine trunk diseases in Castilla y León Region, Spain. </w:t>
      </w:r>
      <w:r w:rsidRPr="00682354">
        <w:rPr>
          <w:i/>
          <w:iCs/>
          <w:sz w:val="20"/>
          <w:szCs w:val="20"/>
        </w:rPr>
        <w:t xml:space="preserve">Plant Disease </w:t>
      </w:r>
      <w:r w:rsidRPr="00682354">
        <w:rPr>
          <w:sz w:val="20"/>
          <w:szCs w:val="20"/>
        </w:rPr>
        <w:t>90: 835.</w:t>
      </w:r>
    </w:p>
    <w:p w:rsidR="000A6E4F" w:rsidRPr="00682354" w:rsidRDefault="000A6E4F" w:rsidP="000A6E4F">
      <w:pPr>
        <w:autoSpaceDE w:val="0"/>
        <w:autoSpaceDN w:val="0"/>
        <w:adjustRightInd w:val="0"/>
        <w:spacing w:after="0" w:line="240" w:lineRule="auto"/>
        <w:rPr>
          <w:sz w:val="20"/>
          <w:szCs w:val="20"/>
        </w:rPr>
      </w:pPr>
    </w:p>
    <w:p w:rsidR="000A6E4F" w:rsidRPr="00682354" w:rsidRDefault="000A6E4F" w:rsidP="000A6E4F">
      <w:pPr>
        <w:autoSpaceDE w:val="0"/>
        <w:autoSpaceDN w:val="0"/>
        <w:adjustRightInd w:val="0"/>
        <w:spacing w:after="0" w:line="240" w:lineRule="auto"/>
        <w:rPr>
          <w:sz w:val="20"/>
          <w:szCs w:val="20"/>
          <w:lang w:eastAsia="pt-PT"/>
        </w:rPr>
      </w:pPr>
      <w:r w:rsidRPr="00682354">
        <w:rPr>
          <w:sz w:val="20"/>
          <w:szCs w:val="20"/>
          <w:lang w:eastAsia="pt-PT"/>
        </w:rPr>
        <w:t xml:space="preserve">Vaz, A.T.A. 2008. </w:t>
      </w:r>
      <w:r w:rsidRPr="00682354">
        <w:rPr>
          <w:bCs/>
          <w:i/>
          <w:sz w:val="20"/>
          <w:szCs w:val="20"/>
        </w:rPr>
        <w:t>Doenças causadas por fungos Botryosphaeriaceae em videira: Caracterização fenotípica e molecular de isolados e sensibilidade a fungicidas</w:t>
      </w:r>
      <w:r w:rsidRPr="00682354">
        <w:rPr>
          <w:b/>
          <w:bCs/>
          <w:sz w:val="20"/>
          <w:szCs w:val="20"/>
        </w:rPr>
        <w:t xml:space="preserve">. </w:t>
      </w:r>
      <w:r w:rsidRPr="00682354">
        <w:rPr>
          <w:sz w:val="20"/>
          <w:szCs w:val="20"/>
          <w:lang w:eastAsia="pt-PT"/>
        </w:rPr>
        <w:t>Dissertação para obtenção do Grau de Mestre em Engenharia Agronómica, ISA, UTL, Lisboa, Portugal, 175 pp.</w:t>
      </w:r>
    </w:p>
    <w:p w:rsidR="00BF2199" w:rsidRPr="00682354" w:rsidRDefault="00BF2199" w:rsidP="000A6E4F">
      <w:pPr>
        <w:autoSpaceDE w:val="0"/>
        <w:autoSpaceDN w:val="0"/>
        <w:adjustRightInd w:val="0"/>
        <w:spacing w:after="0" w:line="240" w:lineRule="auto"/>
        <w:rPr>
          <w:sz w:val="20"/>
          <w:szCs w:val="20"/>
          <w:lang w:eastAsia="pt-PT"/>
        </w:rPr>
      </w:pPr>
    </w:p>
    <w:p w:rsidR="000A6E4F" w:rsidRPr="00682354" w:rsidRDefault="000A6E4F" w:rsidP="000A6E4F">
      <w:pPr>
        <w:autoSpaceDE w:val="0"/>
        <w:autoSpaceDN w:val="0"/>
        <w:adjustRightInd w:val="0"/>
        <w:spacing w:after="0" w:line="240" w:lineRule="auto"/>
        <w:rPr>
          <w:i/>
          <w:iCs/>
          <w:sz w:val="20"/>
          <w:szCs w:val="20"/>
          <w:lang w:val="en-US" w:eastAsia="pt-PT"/>
        </w:rPr>
      </w:pPr>
      <w:r w:rsidRPr="00682354">
        <w:rPr>
          <w:sz w:val="20"/>
          <w:szCs w:val="20"/>
          <w:lang w:eastAsia="pt-PT"/>
        </w:rPr>
        <w:t xml:space="preserve">Zhou, S., Stanosz, G.R. 2001. </w:t>
      </w:r>
      <w:r w:rsidRPr="00682354">
        <w:rPr>
          <w:sz w:val="20"/>
          <w:szCs w:val="20"/>
          <w:lang w:val="en-US" w:eastAsia="pt-PT"/>
        </w:rPr>
        <w:t xml:space="preserve">Relationships among </w:t>
      </w:r>
      <w:r w:rsidRPr="00682354">
        <w:rPr>
          <w:i/>
          <w:iCs/>
          <w:sz w:val="20"/>
          <w:szCs w:val="20"/>
          <w:lang w:val="en-US" w:eastAsia="pt-PT"/>
        </w:rPr>
        <w:t xml:space="preserve">Botryosphaeria </w:t>
      </w:r>
      <w:r w:rsidRPr="00682354">
        <w:rPr>
          <w:sz w:val="20"/>
          <w:szCs w:val="20"/>
          <w:lang w:val="en-US" w:eastAsia="pt-PT"/>
        </w:rPr>
        <w:t>species and associated anamorphic fungi inferred</w:t>
      </w:r>
      <w:r w:rsidRPr="00682354">
        <w:rPr>
          <w:i/>
          <w:iCs/>
          <w:sz w:val="20"/>
          <w:szCs w:val="20"/>
          <w:lang w:val="en-US" w:eastAsia="pt-PT"/>
        </w:rPr>
        <w:t xml:space="preserve"> </w:t>
      </w:r>
      <w:r w:rsidRPr="00682354">
        <w:rPr>
          <w:sz w:val="20"/>
          <w:szCs w:val="20"/>
          <w:lang w:val="en-US" w:eastAsia="pt-PT"/>
        </w:rPr>
        <w:t>from the analyses of ITS and 5.8S rDNA sequences.</w:t>
      </w:r>
      <w:r w:rsidRPr="00682354">
        <w:rPr>
          <w:i/>
          <w:iCs/>
          <w:sz w:val="20"/>
          <w:szCs w:val="20"/>
          <w:lang w:val="en-US" w:eastAsia="pt-PT"/>
        </w:rPr>
        <w:t xml:space="preserve"> </w:t>
      </w:r>
      <w:r w:rsidRPr="00682354">
        <w:rPr>
          <w:i/>
          <w:sz w:val="20"/>
          <w:szCs w:val="20"/>
          <w:lang w:eastAsia="pt-PT"/>
        </w:rPr>
        <w:t>Mycologia</w:t>
      </w:r>
      <w:r w:rsidRPr="00682354">
        <w:rPr>
          <w:sz w:val="20"/>
          <w:szCs w:val="20"/>
          <w:lang w:eastAsia="pt-PT"/>
        </w:rPr>
        <w:t xml:space="preserve"> 93:516-527.</w:t>
      </w:r>
    </w:p>
    <w:p w:rsidR="000A6E4F" w:rsidRPr="008A4B2D" w:rsidRDefault="000A6E4F" w:rsidP="000A6E4F">
      <w:pPr>
        <w:rPr>
          <w:sz w:val="20"/>
          <w:szCs w:val="20"/>
        </w:rPr>
      </w:pPr>
    </w:p>
    <w:p w:rsidR="000A6E4F" w:rsidRPr="008A4B2D" w:rsidRDefault="000A6E4F" w:rsidP="000A6E4F">
      <w:pPr>
        <w:rPr>
          <w:sz w:val="20"/>
          <w:szCs w:val="20"/>
        </w:rPr>
      </w:pPr>
    </w:p>
    <w:p w:rsidR="009D2BFD" w:rsidRPr="008A5E69" w:rsidRDefault="009D2BFD" w:rsidP="000A6E4F">
      <w:pPr>
        <w:autoSpaceDE w:val="0"/>
        <w:autoSpaceDN w:val="0"/>
        <w:adjustRightInd w:val="0"/>
        <w:spacing w:after="0" w:line="240" w:lineRule="auto"/>
      </w:pPr>
    </w:p>
    <w:sectPr w:rsidR="009D2BFD" w:rsidRPr="008A5E69" w:rsidSect="00277AB0">
      <w:pgSz w:w="11906" w:h="16838"/>
      <w:pgMar w:top="1418" w:right="1418" w:bottom="1418" w:left="1418"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4B6251" w:rsidRDefault="004B6251" w:rsidP="001A146F">
      <w:r>
        <w:separator/>
      </w:r>
    </w:p>
    <w:p w:rsidR="004B6251" w:rsidRDefault="004B6251"/>
  </w:endnote>
  <w:endnote w:type="continuationSeparator" w:id="0">
    <w:p w:rsidR="004B6251" w:rsidRDefault="004B6251" w:rsidP="001A146F">
      <w:r>
        <w:continuationSeparator/>
      </w:r>
    </w:p>
    <w:p w:rsidR="004B6251" w:rsidRDefault="004B6251"/>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EF" w:usb1="C0007841" w:usb2="00000009" w:usb3="00000000" w:csb0="000001FF"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09F" w:csb1="00000000"/>
  </w:font>
  <w:font w:name="Verdana">
    <w:altName w:val="Verdana"/>
    <w:panose1 w:val="020B0604030504040204"/>
    <w:charset w:val="00"/>
    <w:family w:val="swiss"/>
    <w:pitch w:val="variable"/>
    <w:sig w:usb0="A10006FF" w:usb1="4000205B" w:usb2="00000010" w:usb3="00000000" w:csb0="0000019F" w:csb1="00000000"/>
  </w:font>
  <w:font w:name="Tahoma">
    <w:panose1 w:val="020B0604030504040204"/>
    <w:charset w:val="00"/>
    <w:family w:val="swiss"/>
    <w:pitch w:val="variable"/>
    <w:sig w:usb0="E1002AFF" w:usb1="C000605B" w:usb2="00000029" w:usb3="00000000" w:csb0="000101FF" w:csb1="00000000"/>
  </w:font>
  <w:font w:name="Arial Narrow">
    <w:panose1 w:val="020B0606020202030204"/>
    <w:charset w:val="00"/>
    <w:family w:val="swiss"/>
    <w:pitch w:val="variable"/>
    <w:sig w:usb0="00000287" w:usb1="00000800" w:usb2="00000000" w:usb3="00000000" w:csb0="0000009F" w:csb1="00000000"/>
  </w:font>
  <w:font w:name="Symbol">
    <w:panose1 w:val="05050102010706020507"/>
    <w:charset w:val="02"/>
    <w:family w:val="roman"/>
    <w:pitch w:val="variable"/>
    <w:sig w:usb0="00000000" w:usb1="10000000" w:usb2="00000000" w:usb3="00000000" w:csb0="8000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E4AC6" w:rsidRDefault="003E4AC6" w:rsidP="001A146F">
    <w:pPr>
      <w:pStyle w:val="Rodap"/>
      <w:rPr>
        <w:rStyle w:val="Nmerodepgina"/>
      </w:rPr>
    </w:pPr>
    <w:r>
      <w:rPr>
        <w:rStyle w:val="Nmerodepgina"/>
      </w:rPr>
      <w:fldChar w:fldCharType="begin"/>
    </w:r>
    <w:r>
      <w:rPr>
        <w:rStyle w:val="Nmerodepgina"/>
      </w:rPr>
      <w:instrText xml:space="preserve">PAGE  </w:instrText>
    </w:r>
    <w:r>
      <w:rPr>
        <w:rStyle w:val="Nmerodepgina"/>
      </w:rPr>
      <w:fldChar w:fldCharType="end"/>
    </w:r>
  </w:p>
  <w:p w:rsidR="003E4AC6" w:rsidRDefault="003E4AC6" w:rsidP="001A146F">
    <w:pPr>
      <w:pStyle w:val="Rodap"/>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3615844"/>
      <w:docPartObj>
        <w:docPartGallery w:val="Page Numbers (Bottom of Page)"/>
        <w:docPartUnique/>
      </w:docPartObj>
    </w:sdtPr>
    <w:sdtContent>
      <w:p w:rsidR="003E4AC6" w:rsidRDefault="003E4AC6">
        <w:pPr>
          <w:pStyle w:val="Rodap"/>
          <w:jc w:val="right"/>
        </w:pPr>
        <w:fldSimple w:instr=" PAGE   \* MERGEFORMAT ">
          <w:r w:rsidR="00C84C2B">
            <w:rPr>
              <w:noProof/>
            </w:rPr>
            <w:t>41</w:t>
          </w:r>
        </w:fldSimple>
      </w:p>
    </w:sdtContent>
  </w:sdt>
  <w:p w:rsidR="003E4AC6" w:rsidRDefault="003E4AC6">
    <w:pPr>
      <w:pStyle w:val="Rodap"/>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8390540"/>
      <w:docPartObj>
        <w:docPartGallery w:val="Page Numbers (Bottom of Page)"/>
        <w:docPartUnique/>
      </w:docPartObj>
    </w:sdtPr>
    <w:sdtEndPr>
      <w:rPr>
        <w:sz w:val="20"/>
        <w:szCs w:val="20"/>
      </w:rPr>
    </w:sdtEndPr>
    <w:sdtContent>
      <w:p w:rsidR="003E4AC6" w:rsidRPr="00CA2DED" w:rsidRDefault="003E4AC6">
        <w:pPr>
          <w:pStyle w:val="Rodap"/>
          <w:jc w:val="right"/>
          <w:rPr>
            <w:sz w:val="20"/>
            <w:szCs w:val="20"/>
          </w:rPr>
        </w:pPr>
        <w:r w:rsidRPr="00CA2DED">
          <w:rPr>
            <w:sz w:val="20"/>
            <w:szCs w:val="20"/>
          </w:rPr>
          <w:fldChar w:fldCharType="begin"/>
        </w:r>
        <w:r w:rsidRPr="00CA2DED">
          <w:rPr>
            <w:sz w:val="20"/>
            <w:szCs w:val="20"/>
          </w:rPr>
          <w:instrText xml:space="preserve"> PAGE   \* MERGEFORMAT </w:instrText>
        </w:r>
        <w:r w:rsidRPr="00CA2DED">
          <w:rPr>
            <w:sz w:val="20"/>
            <w:szCs w:val="20"/>
          </w:rPr>
          <w:fldChar w:fldCharType="separate"/>
        </w:r>
        <w:r w:rsidR="00E2640D">
          <w:rPr>
            <w:noProof/>
            <w:sz w:val="20"/>
            <w:szCs w:val="20"/>
          </w:rPr>
          <w:t>IV</w:t>
        </w:r>
        <w:r w:rsidRPr="00CA2DED">
          <w:rPr>
            <w:sz w:val="20"/>
            <w:szCs w:val="20"/>
          </w:rPr>
          <w:fldChar w:fldCharType="end"/>
        </w:r>
      </w:p>
    </w:sdtContent>
  </w:sdt>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8390541"/>
      <w:docPartObj>
        <w:docPartGallery w:val="Page Numbers (Bottom of Page)"/>
        <w:docPartUnique/>
      </w:docPartObj>
    </w:sdtPr>
    <w:sdtEndPr>
      <w:rPr>
        <w:sz w:val="20"/>
        <w:szCs w:val="20"/>
      </w:rPr>
    </w:sdtEndPr>
    <w:sdtContent>
      <w:p w:rsidR="003E4AC6" w:rsidRDefault="003E4AC6">
        <w:pPr>
          <w:pStyle w:val="Rodap"/>
          <w:jc w:val="right"/>
        </w:pPr>
        <w:r w:rsidRPr="00CA2DED">
          <w:rPr>
            <w:sz w:val="20"/>
            <w:szCs w:val="20"/>
          </w:rPr>
          <w:fldChar w:fldCharType="begin"/>
        </w:r>
        <w:r w:rsidRPr="00CA2DED">
          <w:rPr>
            <w:sz w:val="20"/>
            <w:szCs w:val="20"/>
          </w:rPr>
          <w:instrText xml:space="preserve"> PAGE   \* MERGEFORMAT </w:instrText>
        </w:r>
        <w:r w:rsidRPr="00CA2DED">
          <w:rPr>
            <w:sz w:val="20"/>
            <w:szCs w:val="20"/>
          </w:rPr>
          <w:fldChar w:fldCharType="separate"/>
        </w:r>
        <w:r w:rsidR="00E2640D">
          <w:rPr>
            <w:noProof/>
            <w:sz w:val="20"/>
            <w:szCs w:val="20"/>
          </w:rPr>
          <w:t>50</w:t>
        </w:r>
        <w:r w:rsidRPr="00CA2DED">
          <w:rPr>
            <w:sz w:val="20"/>
            <w:szCs w:val="20"/>
          </w:rPr>
          <w:fldChar w:fldCharType="end"/>
        </w:r>
      </w:p>
    </w:sdtContent>
  </w:sdt>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E4AC6" w:rsidRDefault="003E4AC6" w:rsidP="003656A5">
    <w:pPr>
      <w:pStyle w:val="Rodap"/>
      <w:jc w:val="right"/>
    </w:pPr>
    <w:r>
      <w:t>41</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4B6251" w:rsidRDefault="004B6251" w:rsidP="001A146F">
      <w:r>
        <w:separator/>
      </w:r>
    </w:p>
    <w:p w:rsidR="004B6251" w:rsidRDefault="004B6251"/>
  </w:footnote>
  <w:footnote w:type="continuationSeparator" w:id="0">
    <w:p w:rsidR="004B6251" w:rsidRDefault="004B6251" w:rsidP="001A146F">
      <w:r>
        <w:continuationSeparator/>
      </w:r>
    </w:p>
    <w:p w:rsidR="004B6251" w:rsidRDefault="004B6251"/>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E4AC6" w:rsidRDefault="003E4AC6">
    <w:pPr>
      <w:pStyle w:val="Cabealho"/>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A84001"/>
    <w:multiLevelType w:val="multilevel"/>
    <w:tmpl w:val="F13E951E"/>
    <w:lvl w:ilvl="0">
      <w:start w:val="2"/>
      <w:numFmt w:val="decimal"/>
      <w:lvlText w:val="%1."/>
      <w:lvlJc w:val="left"/>
      <w:pPr>
        <w:ind w:left="0" w:firstLine="0"/>
      </w:pPr>
      <w:rPr>
        <w:rFonts w:hint="default"/>
      </w:rPr>
    </w:lvl>
    <w:lvl w:ilvl="1">
      <w:start w:val="1"/>
      <w:numFmt w:val="decimal"/>
      <w:lvlText w:val="%1.%2."/>
      <w:lvlJc w:val="left"/>
      <w:pPr>
        <w:ind w:left="0" w:firstLine="0"/>
      </w:pPr>
      <w:rPr>
        <w:rFonts w:hint="default"/>
        <w:i w:val="0"/>
      </w:rPr>
    </w:lvl>
    <w:lvl w:ilvl="2">
      <w:start w:val="1"/>
      <w:numFmt w:val="none"/>
      <w:lvlText w:val="4.2.3."/>
      <w:lvlJc w:val="right"/>
      <w:pPr>
        <w:ind w:left="0" w:firstLine="567"/>
      </w:pPr>
      <w:rPr>
        <w:rFonts w:hint="default"/>
        <w:bCs w:val="0"/>
        <w:i w:val="0"/>
        <w:caps w:val="0"/>
        <w:smallCaps w:val="0"/>
        <w:strike w:val="0"/>
        <w:dstrike w:val="0"/>
        <w:outline w:val="0"/>
        <w:shadow w:val="0"/>
        <w:emboss w:val="0"/>
        <w:imprint w:val="0"/>
        <w:vanish w:val="0"/>
        <w:spacing w:val="0"/>
        <w:kern w:val="0"/>
        <w:position w:val="0"/>
        <w:u w:val="none"/>
        <w:vertAlign w:val="baseline"/>
        <w:em w:val="none"/>
      </w:rPr>
    </w:lvl>
    <w:lvl w:ilvl="3">
      <w:start w:val="1"/>
      <w:numFmt w:val="none"/>
      <w:lvlText w:val="2.2.4.4"/>
      <w:lvlJc w:val="left"/>
      <w:pPr>
        <w:ind w:left="0" w:firstLine="0"/>
      </w:pPr>
      <w:rPr>
        <w:rFonts w:cs="Times New Roman" w:hint="default"/>
        <w:b w:val="0"/>
        <w:bCs w:val="0"/>
        <w:i w:val="0"/>
        <w:iCs w:val="0"/>
        <w:caps w:val="0"/>
        <w:smallCaps w:val="0"/>
        <w:strike w:val="0"/>
        <w:dstrike w:val="0"/>
        <w:outline w:val="0"/>
        <w:shadow w:val="0"/>
        <w:emboss w:val="0"/>
        <w:imprint w:val="0"/>
        <w:noProof w:val="0"/>
        <w:vanish w:val="0"/>
        <w:spacing w:val="0"/>
        <w:kern w:val="0"/>
        <w:position w:val="0"/>
        <w:sz w:val="20"/>
        <w:szCs w:val="20"/>
        <w:u w:val="none"/>
        <w:vertAlign w:val="baseline"/>
        <w:em w:val="none"/>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1">
    <w:nsid w:val="01FA79AA"/>
    <w:multiLevelType w:val="multilevel"/>
    <w:tmpl w:val="B8D0A628"/>
    <w:lvl w:ilvl="0">
      <w:start w:val="1"/>
      <w:numFmt w:val="decimal"/>
      <w:lvlText w:val="%1."/>
      <w:lvlJc w:val="left"/>
      <w:pPr>
        <w:ind w:left="0" w:firstLine="0"/>
      </w:pPr>
      <w:rPr>
        <w:rFonts w:hint="default"/>
      </w:rPr>
    </w:lvl>
    <w:lvl w:ilvl="1">
      <w:start w:val="1"/>
      <w:numFmt w:val="decimal"/>
      <w:lvlText w:val="%1.%2."/>
      <w:lvlJc w:val="left"/>
      <w:pPr>
        <w:tabs>
          <w:tab w:val="num" w:pos="113"/>
        </w:tabs>
        <w:ind w:left="0" w:firstLine="0"/>
      </w:pPr>
      <w:rPr>
        <w:rFonts w:hint="default"/>
        <w:i w:val="0"/>
      </w:rPr>
    </w:lvl>
    <w:lvl w:ilvl="2">
      <w:start w:val="1"/>
      <w:numFmt w:val="decimal"/>
      <w:lvlText w:val="%3.%2.%1."/>
      <w:lvlJc w:val="left"/>
      <w:pPr>
        <w:tabs>
          <w:tab w:val="num" w:pos="113"/>
        </w:tabs>
        <w:ind w:left="0" w:firstLine="113"/>
      </w:pPr>
      <w:rPr>
        <w:rFonts w:hint="default"/>
        <w:bCs w:val="0"/>
        <w:i w:val="0"/>
        <w:caps w:val="0"/>
        <w:smallCaps w:val="0"/>
        <w:strike w:val="0"/>
        <w:dstrike w:val="0"/>
        <w:outline w:val="0"/>
        <w:shadow w:val="0"/>
        <w:emboss w:val="0"/>
        <w:imprint w:val="0"/>
        <w:vanish w:val="0"/>
        <w:spacing w:val="0"/>
        <w:kern w:val="0"/>
        <w:position w:val="0"/>
        <w:u w:val="none"/>
        <w:vertAlign w:val="baseline"/>
        <w:em w:val="none"/>
      </w:rPr>
    </w:lvl>
    <w:lvl w:ilvl="3">
      <w:start w:val="1"/>
      <w:numFmt w:val="decimal"/>
      <w:lvlText w:val="%4.%3.%2.%1."/>
      <w:lvlJc w:val="left"/>
      <w:pPr>
        <w:tabs>
          <w:tab w:val="num" w:pos="113"/>
        </w:tabs>
        <w:ind w:left="0" w:firstLine="0"/>
      </w:pPr>
      <w:rPr>
        <w:rFonts w:hint="default"/>
        <w:i w:val="0"/>
        <w:caps w:val="0"/>
        <w:smallCaps w:val="0"/>
        <w:strike w:val="0"/>
        <w:dstrike w:val="0"/>
        <w:outline w:val="0"/>
        <w:shadow w:val="0"/>
        <w:emboss w:val="0"/>
        <w:imprint w:val="0"/>
        <w:vanish w:val="0"/>
        <w:spacing w:val="0"/>
        <w:kern w:val="0"/>
        <w:position w:val="0"/>
        <w:sz w:val="20"/>
        <w:szCs w:val="20"/>
        <w:u w:val="none"/>
        <w:vertAlign w:val="baseline"/>
        <w:em w:val="none"/>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2">
    <w:nsid w:val="032B2BB5"/>
    <w:multiLevelType w:val="multilevel"/>
    <w:tmpl w:val="1C50A39A"/>
    <w:lvl w:ilvl="0">
      <w:start w:val="2"/>
      <w:numFmt w:val="decimal"/>
      <w:lvlText w:val="%1."/>
      <w:lvlJc w:val="left"/>
      <w:pPr>
        <w:ind w:left="0" w:firstLine="0"/>
      </w:pPr>
      <w:rPr>
        <w:rFonts w:hint="default"/>
      </w:rPr>
    </w:lvl>
    <w:lvl w:ilvl="1">
      <w:start w:val="1"/>
      <w:numFmt w:val="decimal"/>
      <w:lvlText w:val="%1.%2."/>
      <w:lvlJc w:val="left"/>
      <w:pPr>
        <w:ind w:left="0" w:firstLine="0"/>
      </w:pPr>
      <w:rPr>
        <w:rFonts w:hint="default"/>
        <w:i w:val="0"/>
      </w:rPr>
    </w:lvl>
    <w:lvl w:ilvl="2">
      <w:start w:val="1"/>
      <w:numFmt w:val="decimal"/>
      <w:lvlText w:val="2.%2.%3."/>
      <w:lvlJc w:val="right"/>
      <w:pPr>
        <w:ind w:left="0" w:firstLine="567"/>
      </w:pPr>
      <w:rPr>
        <w:rFonts w:hint="default"/>
        <w:bCs w:val="0"/>
        <w:i w:val="0"/>
        <w:caps w:val="0"/>
        <w:smallCaps w:val="0"/>
        <w:strike w:val="0"/>
        <w:dstrike w:val="0"/>
        <w:outline w:val="0"/>
        <w:shadow w:val="0"/>
        <w:emboss w:val="0"/>
        <w:imprint w:val="0"/>
        <w:vanish w:val="0"/>
        <w:spacing w:val="0"/>
        <w:kern w:val="0"/>
        <w:position w:val="0"/>
        <w:u w:val="none"/>
        <w:vertAlign w:val="baseline"/>
        <w:em w:val="none"/>
      </w:rPr>
    </w:lvl>
    <w:lvl w:ilvl="3">
      <w:start w:val="1"/>
      <w:numFmt w:val="none"/>
      <w:lvlText w:val="2.1.4.4"/>
      <w:lvlJc w:val="left"/>
      <w:pPr>
        <w:ind w:left="0" w:firstLine="0"/>
      </w:pPr>
      <w:rPr>
        <w:rFonts w:cs="Times New Roman" w:hint="default"/>
        <w:b w:val="0"/>
        <w:bCs w:val="0"/>
        <w:i w:val="0"/>
        <w:iCs w:val="0"/>
        <w:caps w:val="0"/>
        <w:smallCaps w:val="0"/>
        <w:strike w:val="0"/>
        <w:dstrike w:val="0"/>
        <w:outline w:val="0"/>
        <w:shadow w:val="0"/>
        <w:emboss w:val="0"/>
        <w:imprint w:val="0"/>
        <w:noProof w:val="0"/>
        <w:vanish w:val="0"/>
        <w:spacing w:val="0"/>
        <w:kern w:val="0"/>
        <w:position w:val="0"/>
        <w:sz w:val="20"/>
        <w:szCs w:val="20"/>
        <w:u w:val="none"/>
        <w:vertAlign w:val="baseline"/>
        <w:em w:val="none"/>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3">
    <w:nsid w:val="09FA79D8"/>
    <w:multiLevelType w:val="multilevel"/>
    <w:tmpl w:val="F9A6E3E2"/>
    <w:lvl w:ilvl="0">
      <w:start w:val="1"/>
      <w:numFmt w:val="decimal"/>
      <w:lvlText w:val="%1."/>
      <w:lvlJc w:val="left"/>
      <w:pPr>
        <w:ind w:left="0" w:firstLine="0"/>
      </w:pPr>
      <w:rPr>
        <w:rFonts w:hint="default"/>
      </w:rPr>
    </w:lvl>
    <w:lvl w:ilvl="1">
      <w:start w:val="1"/>
      <w:numFmt w:val="decimal"/>
      <w:lvlText w:val="%1.%2."/>
      <w:lvlJc w:val="left"/>
      <w:pPr>
        <w:tabs>
          <w:tab w:val="num" w:pos="113"/>
        </w:tabs>
        <w:ind w:left="0" w:firstLine="0"/>
      </w:pPr>
      <w:rPr>
        <w:rFonts w:hint="default"/>
        <w:i w:val="0"/>
      </w:rPr>
    </w:lvl>
    <w:lvl w:ilvl="2">
      <w:start w:val="1"/>
      <w:numFmt w:val="decimal"/>
      <w:lvlText w:val="%3.%2.%1."/>
      <w:lvlJc w:val="left"/>
      <w:pPr>
        <w:tabs>
          <w:tab w:val="num" w:pos="113"/>
        </w:tabs>
        <w:ind w:left="0" w:firstLine="113"/>
      </w:pPr>
      <w:rPr>
        <w:rFonts w:hint="default"/>
        <w:bCs w:val="0"/>
        <w:i w:val="0"/>
        <w:caps w:val="0"/>
        <w:smallCaps w:val="0"/>
        <w:strike w:val="0"/>
        <w:dstrike w:val="0"/>
        <w:outline w:val="0"/>
        <w:shadow w:val="0"/>
        <w:emboss w:val="0"/>
        <w:imprint w:val="0"/>
        <w:vanish w:val="0"/>
        <w:spacing w:val="0"/>
        <w:kern w:val="0"/>
        <w:position w:val="0"/>
        <w:u w:val="none"/>
        <w:vertAlign w:val="baseline"/>
        <w:em w:val="none"/>
      </w:rPr>
    </w:lvl>
    <w:lvl w:ilvl="3">
      <w:start w:val="1"/>
      <w:numFmt w:val="decimal"/>
      <w:lvlText w:val="%1.%2.%4.%3"/>
      <w:lvlJc w:val="left"/>
      <w:pPr>
        <w:tabs>
          <w:tab w:val="num" w:pos="113"/>
        </w:tabs>
        <w:ind w:left="0" w:firstLine="0"/>
      </w:pPr>
      <w:rPr>
        <w:rFonts w:hint="default"/>
        <w:b w:val="0"/>
        <w:bCs w:val="0"/>
        <w:i w:val="0"/>
        <w:iCs w:val="0"/>
        <w:caps w:val="0"/>
        <w:smallCaps w:val="0"/>
        <w:strike w:val="0"/>
        <w:dstrike w:val="0"/>
        <w:outline w:val="0"/>
        <w:shadow w:val="0"/>
        <w:emboss w:val="0"/>
        <w:imprint w:val="0"/>
        <w:vanish w:val="0"/>
        <w:spacing w:val="0"/>
        <w:kern w:val="0"/>
        <w:position w:val="0"/>
        <w:sz w:val="20"/>
        <w:szCs w:val="20"/>
        <w:u w:val="none"/>
        <w:vertAlign w:val="baseline"/>
        <w:em w:val="none"/>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4">
    <w:nsid w:val="0D2F6796"/>
    <w:multiLevelType w:val="multilevel"/>
    <w:tmpl w:val="A3F2F0B8"/>
    <w:lvl w:ilvl="0">
      <w:start w:val="2"/>
      <w:numFmt w:val="decimal"/>
      <w:lvlText w:val="%1."/>
      <w:lvlJc w:val="left"/>
      <w:pPr>
        <w:ind w:left="0" w:firstLine="0"/>
      </w:pPr>
      <w:rPr>
        <w:rFonts w:hint="default"/>
      </w:rPr>
    </w:lvl>
    <w:lvl w:ilvl="1">
      <w:start w:val="1"/>
      <w:numFmt w:val="decimal"/>
      <w:lvlText w:val="%1.%2."/>
      <w:lvlJc w:val="left"/>
      <w:pPr>
        <w:ind w:left="0" w:firstLine="0"/>
      </w:pPr>
      <w:rPr>
        <w:rFonts w:hint="default"/>
        <w:i w:val="0"/>
      </w:rPr>
    </w:lvl>
    <w:lvl w:ilvl="2">
      <w:start w:val="1"/>
      <w:numFmt w:val="decimal"/>
      <w:lvlText w:val="2.%2.%3."/>
      <w:lvlJc w:val="right"/>
      <w:pPr>
        <w:ind w:left="0" w:firstLine="567"/>
      </w:pPr>
      <w:rPr>
        <w:rFonts w:hint="default"/>
        <w:bCs w:val="0"/>
        <w:i w:val="0"/>
        <w:caps w:val="0"/>
        <w:smallCaps w:val="0"/>
        <w:strike w:val="0"/>
        <w:dstrike w:val="0"/>
        <w:outline w:val="0"/>
        <w:shadow w:val="0"/>
        <w:emboss w:val="0"/>
        <w:imprint w:val="0"/>
        <w:vanish w:val="0"/>
        <w:spacing w:val="0"/>
        <w:kern w:val="0"/>
        <w:position w:val="0"/>
        <w:u w:val="none"/>
        <w:vertAlign w:val="baseline"/>
        <w:em w:val="none"/>
      </w:rPr>
    </w:lvl>
    <w:lvl w:ilvl="3">
      <w:start w:val="1"/>
      <w:numFmt w:val="none"/>
      <w:lvlText w:val="2.1.4.2"/>
      <w:lvlJc w:val="left"/>
      <w:pPr>
        <w:ind w:left="0" w:firstLine="0"/>
      </w:pPr>
      <w:rPr>
        <w:rFonts w:cs="Times New Roman" w:hint="default"/>
        <w:b/>
        <w:bCs w:val="0"/>
        <w:i w:val="0"/>
        <w:iCs w:val="0"/>
        <w:caps w:val="0"/>
        <w:smallCaps w:val="0"/>
        <w:strike w:val="0"/>
        <w:dstrike w:val="0"/>
        <w:outline w:val="0"/>
        <w:shadow w:val="0"/>
        <w:emboss w:val="0"/>
        <w:imprint w:val="0"/>
        <w:noProof w:val="0"/>
        <w:vanish w:val="0"/>
        <w:spacing w:val="0"/>
        <w:kern w:val="0"/>
        <w:position w:val="0"/>
        <w:sz w:val="20"/>
        <w:szCs w:val="20"/>
        <w:u w:val="none"/>
        <w:vertAlign w:val="baseline"/>
        <w:em w:val="none"/>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5">
    <w:nsid w:val="29E148A1"/>
    <w:multiLevelType w:val="multilevel"/>
    <w:tmpl w:val="C2C8EE56"/>
    <w:lvl w:ilvl="0">
      <w:start w:val="2"/>
      <w:numFmt w:val="decimal"/>
      <w:lvlText w:val="%1."/>
      <w:lvlJc w:val="left"/>
      <w:pPr>
        <w:ind w:left="0" w:firstLine="0"/>
      </w:pPr>
      <w:rPr>
        <w:rFonts w:hint="default"/>
      </w:rPr>
    </w:lvl>
    <w:lvl w:ilvl="1">
      <w:start w:val="1"/>
      <w:numFmt w:val="decimal"/>
      <w:lvlText w:val="%1.%2."/>
      <w:lvlJc w:val="left"/>
      <w:pPr>
        <w:ind w:left="0" w:firstLine="0"/>
      </w:pPr>
      <w:rPr>
        <w:rFonts w:hint="default"/>
        <w:i w:val="0"/>
      </w:rPr>
    </w:lvl>
    <w:lvl w:ilvl="2">
      <w:start w:val="1"/>
      <w:numFmt w:val="none"/>
      <w:lvlText w:val="3.2.2."/>
      <w:lvlJc w:val="right"/>
      <w:pPr>
        <w:ind w:left="0" w:firstLine="567"/>
      </w:pPr>
      <w:rPr>
        <w:rFonts w:hint="default"/>
        <w:bCs w:val="0"/>
        <w:i w:val="0"/>
        <w:caps w:val="0"/>
        <w:smallCaps w:val="0"/>
        <w:strike w:val="0"/>
        <w:dstrike w:val="0"/>
        <w:outline w:val="0"/>
        <w:shadow w:val="0"/>
        <w:emboss w:val="0"/>
        <w:imprint w:val="0"/>
        <w:vanish w:val="0"/>
        <w:spacing w:val="0"/>
        <w:kern w:val="0"/>
        <w:position w:val="0"/>
        <w:u w:val="none"/>
        <w:vertAlign w:val="baseline"/>
        <w:em w:val="none"/>
      </w:rPr>
    </w:lvl>
    <w:lvl w:ilvl="3">
      <w:start w:val="1"/>
      <w:numFmt w:val="none"/>
      <w:lvlText w:val="2.2.4.4"/>
      <w:lvlJc w:val="left"/>
      <w:pPr>
        <w:ind w:left="0" w:firstLine="0"/>
      </w:pPr>
      <w:rPr>
        <w:rFonts w:cs="Times New Roman" w:hint="default"/>
        <w:b w:val="0"/>
        <w:bCs w:val="0"/>
        <w:i w:val="0"/>
        <w:iCs w:val="0"/>
        <w:caps w:val="0"/>
        <w:smallCaps w:val="0"/>
        <w:strike w:val="0"/>
        <w:dstrike w:val="0"/>
        <w:outline w:val="0"/>
        <w:shadow w:val="0"/>
        <w:emboss w:val="0"/>
        <w:imprint w:val="0"/>
        <w:noProof w:val="0"/>
        <w:vanish w:val="0"/>
        <w:spacing w:val="0"/>
        <w:kern w:val="0"/>
        <w:position w:val="0"/>
        <w:sz w:val="20"/>
        <w:szCs w:val="20"/>
        <w:u w:val="none"/>
        <w:vertAlign w:val="baseline"/>
        <w:em w:val="none"/>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6">
    <w:nsid w:val="33D82312"/>
    <w:multiLevelType w:val="multilevel"/>
    <w:tmpl w:val="B5564B3E"/>
    <w:lvl w:ilvl="0">
      <w:start w:val="1"/>
      <w:numFmt w:val="decimal"/>
      <w:lvlText w:val="%1."/>
      <w:lvlJc w:val="left"/>
      <w:pPr>
        <w:ind w:left="0" w:firstLine="0"/>
      </w:pPr>
      <w:rPr>
        <w:rFonts w:hint="default"/>
      </w:rPr>
    </w:lvl>
    <w:lvl w:ilvl="1">
      <w:start w:val="1"/>
      <w:numFmt w:val="decimal"/>
      <w:lvlText w:val="%1.%2."/>
      <w:lvlJc w:val="left"/>
      <w:pPr>
        <w:tabs>
          <w:tab w:val="num" w:pos="113"/>
        </w:tabs>
        <w:ind w:left="0" w:firstLine="0"/>
      </w:pPr>
      <w:rPr>
        <w:rFonts w:hint="default"/>
        <w:i w:val="0"/>
      </w:rPr>
    </w:lvl>
    <w:lvl w:ilvl="2">
      <w:start w:val="1"/>
      <w:numFmt w:val="decimal"/>
      <w:lvlText w:val="%3.%2.%1."/>
      <w:lvlJc w:val="left"/>
      <w:pPr>
        <w:tabs>
          <w:tab w:val="num" w:pos="113"/>
        </w:tabs>
        <w:ind w:left="0" w:firstLine="113"/>
      </w:pPr>
      <w:rPr>
        <w:rFonts w:hint="default"/>
        <w:bCs w:val="0"/>
        <w:i w:val="0"/>
        <w:caps w:val="0"/>
        <w:smallCaps w:val="0"/>
        <w:strike w:val="0"/>
        <w:dstrike w:val="0"/>
        <w:outline w:val="0"/>
        <w:shadow w:val="0"/>
        <w:emboss w:val="0"/>
        <w:imprint w:val="0"/>
        <w:vanish w:val="0"/>
        <w:spacing w:val="0"/>
        <w:kern w:val="0"/>
        <w:position w:val="0"/>
        <w:u w:val="none"/>
        <w:vertAlign w:val="baseline"/>
        <w:em w:val="none"/>
      </w:rPr>
    </w:lvl>
    <w:lvl w:ilvl="3">
      <w:start w:val="1"/>
      <w:numFmt w:val="decimal"/>
      <w:lvlText w:val="%4.%3.%2.%1."/>
      <w:lvlJc w:val="left"/>
      <w:pPr>
        <w:tabs>
          <w:tab w:val="num" w:pos="113"/>
        </w:tabs>
        <w:ind w:left="0" w:firstLine="0"/>
      </w:pPr>
      <w:rPr>
        <w:rFonts w:hint="default"/>
        <w:i w:val="0"/>
        <w:caps w:val="0"/>
        <w:smallCaps w:val="0"/>
        <w:strike w:val="0"/>
        <w:dstrike w:val="0"/>
        <w:outline w:val="0"/>
        <w:shadow w:val="0"/>
        <w:emboss w:val="0"/>
        <w:imprint w:val="0"/>
        <w:vanish w:val="0"/>
        <w:spacing w:val="0"/>
        <w:kern w:val="0"/>
        <w:position w:val="0"/>
        <w:sz w:val="20"/>
        <w:szCs w:val="20"/>
        <w:u w:val="none"/>
        <w:vertAlign w:val="baseline"/>
        <w:em w:val="none"/>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7">
    <w:nsid w:val="3F0C6EFE"/>
    <w:multiLevelType w:val="multilevel"/>
    <w:tmpl w:val="FD5C49A8"/>
    <w:lvl w:ilvl="0">
      <w:start w:val="2"/>
      <w:numFmt w:val="decimal"/>
      <w:lvlText w:val="%1."/>
      <w:lvlJc w:val="left"/>
      <w:pPr>
        <w:ind w:left="0" w:firstLine="0"/>
      </w:pPr>
      <w:rPr>
        <w:rFonts w:hint="default"/>
      </w:rPr>
    </w:lvl>
    <w:lvl w:ilvl="1">
      <w:start w:val="1"/>
      <w:numFmt w:val="decimal"/>
      <w:lvlText w:val="%1.%2."/>
      <w:lvlJc w:val="left"/>
      <w:pPr>
        <w:ind w:left="0" w:firstLine="0"/>
      </w:pPr>
      <w:rPr>
        <w:rFonts w:hint="default"/>
        <w:i w:val="0"/>
      </w:rPr>
    </w:lvl>
    <w:lvl w:ilvl="2">
      <w:start w:val="1"/>
      <w:numFmt w:val="none"/>
      <w:lvlText w:val="4.2.2."/>
      <w:lvlJc w:val="right"/>
      <w:pPr>
        <w:ind w:left="0" w:firstLine="567"/>
      </w:pPr>
      <w:rPr>
        <w:rFonts w:hint="default"/>
        <w:bCs w:val="0"/>
        <w:i w:val="0"/>
        <w:caps w:val="0"/>
        <w:smallCaps w:val="0"/>
        <w:strike w:val="0"/>
        <w:dstrike w:val="0"/>
        <w:outline w:val="0"/>
        <w:shadow w:val="0"/>
        <w:emboss w:val="0"/>
        <w:imprint w:val="0"/>
        <w:vanish w:val="0"/>
        <w:spacing w:val="0"/>
        <w:kern w:val="0"/>
        <w:position w:val="0"/>
        <w:u w:val="none"/>
        <w:vertAlign w:val="baseline"/>
        <w:em w:val="none"/>
      </w:rPr>
    </w:lvl>
    <w:lvl w:ilvl="3">
      <w:start w:val="1"/>
      <w:numFmt w:val="none"/>
      <w:lvlText w:val="2.2.4.4"/>
      <w:lvlJc w:val="left"/>
      <w:pPr>
        <w:ind w:left="0" w:firstLine="0"/>
      </w:pPr>
      <w:rPr>
        <w:rFonts w:cs="Times New Roman" w:hint="default"/>
        <w:b w:val="0"/>
        <w:bCs w:val="0"/>
        <w:i w:val="0"/>
        <w:iCs w:val="0"/>
        <w:caps w:val="0"/>
        <w:smallCaps w:val="0"/>
        <w:strike w:val="0"/>
        <w:dstrike w:val="0"/>
        <w:outline w:val="0"/>
        <w:shadow w:val="0"/>
        <w:emboss w:val="0"/>
        <w:imprint w:val="0"/>
        <w:noProof w:val="0"/>
        <w:vanish w:val="0"/>
        <w:spacing w:val="0"/>
        <w:kern w:val="0"/>
        <w:position w:val="0"/>
        <w:sz w:val="20"/>
        <w:szCs w:val="20"/>
        <w:u w:val="none"/>
        <w:vertAlign w:val="baseline"/>
        <w:em w:val="none"/>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8">
    <w:nsid w:val="46283C7A"/>
    <w:multiLevelType w:val="multilevel"/>
    <w:tmpl w:val="956AA1C6"/>
    <w:lvl w:ilvl="0">
      <w:start w:val="2"/>
      <w:numFmt w:val="decimal"/>
      <w:lvlText w:val="%1."/>
      <w:lvlJc w:val="left"/>
      <w:pPr>
        <w:ind w:left="0" w:firstLine="0"/>
      </w:pPr>
      <w:rPr>
        <w:rFonts w:hint="default"/>
      </w:rPr>
    </w:lvl>
    <w:lvl w:ilvl="1">
      <w:start w:val="1"/>
      <w:numFmt w:val="decimal"/>
      <w:lvlText w:val="%1.%2."/>
      <w:lvlJc w:val="left"/>
      <w:pPr>
        <w:ind w:left="0" w:firstLine="0"/>
      </w:pPr>
      <w:rPr>
        <w:rFonts w:hint="default"/>
        <w:i w:val="0"/>
      </w:rPr>
    </w:lvl>
    <w:lvl w:ilvl="2">
      <w:start w:val="1"/>
      <w:numFmt w:val="none"/>
      <w:lvlText w:val="4.2.1."/>
      <w:lvlJc w:val="right"/>
      <w:pPr>
        <w:ind w:left="0" w:firstLine="567"/>
      </w:pPr>
      <w:rPr>
        <w:rFonts w:hint="default"/>
        <w:bCs w:val="0"/>
        <w:i w:val="0"/>
        <w:caps w:val="0"/>
        <w:smallCaps w:val="0"/>
        <w:strike w:val="0"/>
        <w:dstrike w:val="0"/>
        <w:outline w:val="0"/>
        <w:shadow w:val="0"/>
        <w:emboss w:val="0"/>
        <w:imprint w:val="0"/>
        <w:vanish w:val="0"/>
        <w:spacing w:val="0"/>
        <w:kern w:val="0"/>
        <w:position w:val="0"/>
        <w:u w:val="none"/>
        <w:vertAlign w:val="baseline"/>
        <w:em w:val="none"/>
      </w:rPr>
    </w:lvl>
    <w:lvl w:ilvl="3">
      <w:start w:val="1"/>
      <w:numFmt w:val="none"/>
      <w:lvlText w:val="2.2.4.4"/>
      <w:lvlJc w:val="left"/>
      <w:pPr>
        <w:ind w:left="0" w:firstLine="0"/>
      </w:pPr>
      <w:rPr>
        <w:rFonts w:cs="Times New Roman" w:hint="default"/>
        <w:b w:val="0"/>
        <w:bCs w:val="0"/>
        <w:i w:val="0"/>
        <w:iCs w:val="0"/>
        <w:caps w:val="0"/>
        <w:smallCaps w:val="0"/>
        <w:strike w:val="0"/>
        <w:dstrike w:val="0"/>
        <w:outline w:val="0"/>
        <w:shadow w:val="0"/>
        <w:emboss w:val="0"/>
        <w:imprint w:val="0"/>
        <w:noProof w:val="0"/>
        <w:vanish w:val="0"/>
        <w:spacing w:val="0"/>
        <w:kern w:val="0"/>
        <w:position w:val="0"/>
        <w:sz w:val="20"/>
        <w:szCs w:val="20"/>
        <w:u w:val="none"/>
        <w:vertAlign w:val="baseline"/>
        <w:em w:val="none"/>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9">
    <w:nsid w:val="468C21D2"/>
    <w:multiLevelType w:val="multilevel"/>
    <w:tmpl w:val="1D34B200"/>
    <w:lvl w:ilvl="0">
      <w:start w:val="2"/>
      <w:numFmt w:val="decimal"/>
      <w:lvlText w:val="%1."/>
      <w:lvlJc w:val="left"/>
      <w:pPr>
        <w:ind w:left="0" w:firstLine="0"/>
      </w:pPr>
      <w:rPr>
        <w:rFonts w:hint="default"/>
      </w:rPr>
    </w:lvl>
    <w:lvl w:ilvl="1">
      <w:start w:val="1"/>
      <w:numFmt w:val="decimal"/>
      <w:lvlText w:val="%1.%2."/>
      <w:lvlJc w:val="left"/>
      <w:pPr>
        <w:ind w:left="0" w:firstLine="0"/>
      </w:pPr>
      <w:rPr>
        <w:rFonts w:hint="default"/>
        <w:i w:val="0"/>
      </w:rPr>
    </w:lvl>
    <w:lvl w:ilvl="2">
      <w:start w:val="1"/>
      <w:numFmt w:val="none"/>
      <w:lvlText w:val="3.2.1."/>
      <w:lvlJc w:val="right"/>
      <w:pPr>
        <w:ind w:left="0" w:firstLine="567"/>
      </w:pPr>
      <w:rPr>
        <w:rFonts w:hint="default"/>
        <w:bCs w:val="0"/>
        <w:i w:val="0"/>
        <w:caps w:val="0"/>
        <w:smallCaps w:val="0"/>
        <w:strike w:val="0"/>
        <w:dstrike w:val="0"/>
        <w:outline w:val="0"/>
        <w:shadow w:val="0"/>
        <w:emboss w:val="0"/>
        <w:imprint w:val="0"/>
        <w:vanish w:val="0"/>
        <w:spacing w:val="0"/>
        <w:kern w:val="0"/>
        <w:position w:val="0"/>
        <w:u w:val="none"/>
        <w:vertAlign w:val="baseline"/>
        <w:em w:val="none"/>
      </w:rPr>
    </w:lvl>
    <w:lvl w:ilvl="3">
      <w:start w:val="1"/>
      <w:numFmt w:val="none"/>
      <w:lvlText w:val="2.2.4.4"/>
      <w:lvlJc w:val="left"/>
      <w:pPr>
        <w:ind w:left="0" w:firstLine="0"/>
      </w:pPr>
      <w:rPr>
        <w:rFonts w:cs="Times New Roman" w:hint="default"/>
        <w:b w:val="0"/>
        <w:bCs w:val="0"/>
        <w:i w:val="0"/>
        <w:iCs w:val="0"/>
        <w:caps w:val="0"/>
        <w:smallCaps w:val="0"/>
        <w:strike w:val="0"/>
        <w:dstrike w:val="0"/>
        <w:outline w:val="0"/>
        <w:shadow w:val="0"/>
        <w:emboss w:val="0"/>
        <w:imprint w:val="0"/>
        <w:noProof w:val="0"/>
        <w:vanish w:val="0"/>
        <w:spacing w:val="0"/>
        <w:kern w:val="0"/>
        <w:position w:val="0"/>
        <w:sz w:val="20"/>
        <w:szCs w:val="20"/>
        <w:u w:val="none"/>
        <w:vertAlign w:val="baseline"/>
        <w:em w:val="none"/>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10">
    <w:nsid w:val="55A30FD6"/>
    <w:multiLevelType w:val="multilevel"/>
    <w:tmpl w:val="CC648C98"/>
    <w:lvl w:ilvl="0">
      <w:start w:val="2"/>
      <w:numFmt w:val="decimal"/>
      <w:lvlText w:val="%1."/>
      <w:lvlJc w:val="left"/>
      <w:pPr>
        <w:ind w:left="0" w:firstLine="0"/>
      </w:pPr>
      <w:rPr>
        <w:rFonts w:hint="default"/>
      </w:rPr>
    </w:lvl>
    <w:lvl w:ilvl="1">
      <w:start w:val="1"/>
      <w:numFmt w:val="decimal"/>
      <w:lvlText w:val="%1.%2."/>
      <w:lvlJc w:val="left"/>
      <w:pPr>
        <w:ind w:left="0" w:firstLine="0"/>
      </w:pPr>
      <w:rPr>
        <w:rFonts w:hint="default"/>
        <w:i w:val="0"/>
      </w:rPr>
    </w:lvl>
    <w:lvl w:ilvl="2">
      <w:start w:val="1"/>
      <w:numFmt w:val="decimal"/>
      <w:lvlText w:val="2.%2.%3."/>
      <w:lvlJc w:val="right"/>
      <w:pPr>
        <w:ind w:left="0" w:firstLine="567"/>
      </w:pPr>
      <w:rPr>
        <w:rFonts w:hint="default"/>
        <w:bCs w:val="0"/>
        <w:i w:val="0"/>
        <w:caps w:val="0"/>
        <w:smallCaps w:val="0"/>
        <w:strike w:val="0"/>
        <w:dstrike w:val="0"/>
        <w:outline w:val="0"/>
        <w:shadow w:val="0"/>
        <w:emboss w:val="0"/>
        <w:imprint w:val="0"/>
        <w:vanish w:val="0"/>
        <w:spacing w:val="0"/>
        <w:kern w:val="0"/>
        <w:position w:val="0"/>
        <w:u w:val="none"/>
        <w:vertAlign w:val="baseline"/>
        <w:em w:val="none"/>
      </w:rPr>
    </w:lvl>
    <w:lvl w:ilvl="3">
      <w:start w:val="1"/>
      <w:numFmt w:val="none"/>
      <w:lvlText w:val="2.2.4.2"/>
      <w:lvlJc w:val="left"/>
      <w:pPr>
        <w:ind w:left="0" w:firstLine="0"/>
      </w:pPr>
      <w:rPr>
        <w:rFonts w:cs="Times New Roman" w:hint="default"/>
        <w:b w:val="0"/>
        <w:bCs w:val="0"/>
        <w:i w:val="0"/>
        <w:iCs w:val="0"/>
        <w:caps w:val="0"/>
        <w:smallCaps w:val="0"/>
        <w:strike w:val="0"/>
        <w:dstrike w:val="0"/>
        <w:outline w:val="0"/>
        <w:shadow w:val="0"/>
        <w:emboss w:val="0"/>
        <w:imprint w:val="0"/>
        <w:noProof w:val="0"/>
        <w:vanish w:val="0"/>
        <w:spacing w:val="0"/>
        <w:kern w:val="0"/>
        <w:position w:val="0"/>
        <w:sz w:val="20"/>
        <w:szCs w:val="20"/>
        <w:u w:val="none"/>
        <w:vertAlign w:val="baseline"/>
        <w:em w:val="none"/>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11">
    <w:nsid w:val="5717484D"/>
    <w:multiLevelType w:val="multilevel"/>
    <w:tmpl w:val="CB0E8C04"/>
    <w:lvl w:ilvl="0">
      <w:start w:val="1"/>
      <w:numFmt w:val="decimal"/>
      <w:pStyle w:val="Ttulo1"/>
      <w:suff w:val="space"/>
      <w:lvlText w:val="%1."/>
      <w:lvlJc w:val="left"/>
      <w:pPr>
        <w:ind w:left="0" w:firstLine="0"/>
      </w:pPr>
      <w:rPr>
        <w:rFonts w:hint="default"/>
      </w:rPr>
    </w:lvl>
    <w:lvl w:ilvl="1">
      <w:start w:val="1"/>
      <w:numFmt w:val="decimal"/>
      <w:pStyle w:val="Ttulo2"/>
      <w:suff w:val="space"/>
      <w:lvlText w:val="%1.%2."/>
      <w:lvlJc w:val="left"/>
      <w:pPr>
        <w:ind w:left="0" w:firstLine="0"/>
      </w:pPr>
      <w:rPr>
        <w:rFonts w:hint="default"/>
        <w:i w:val="0"/>
      </w:rPr>
    </w:lvl>
    <w:lvl w:ilvl="2">
      <w:start w:val="1"/>
      <w:numFmt w:val="decimal"/>
      <w:pStyle w:val="Ttulo3"/>
      <w:suff w:val="space"/>
      <w:lvlText w:val="%1.%2.%3."/>
      <w:lvlJc w:val="left"/>
      <w:pPr>
        <w:ind w:left="313" w:firstLine="113"/>
      </w:pPr>
      <w:rPr>
        <w:rFonts w:hint="default"/>
        <w:bCs w:val="0"/>
        <w:i w:val="0"/>
        <w:caps w:val="0"/>
        <w:smallCaps w:val="0"/>
        <w:strike w:val="0"/>
        <w:dstrike w:val="0"/>
        <w:outline w:val="0"/>
        <w:shadow w:val="0"/>
        <w:emboss w:val="0"/>
        <w:imprint w:val="0"/>
        <w:vanish w:val="0"/>
        <w:spacing w:val="0"/>
        <w:kern w:val="0"/>
        <w:position w:val="0"/>
        <w:u w:val="none"/>
        <w:vertAlign w:val="baseline"/>
        <w:em w:val="none"/>
      </w:rPr>
    </w:lvl>
    <w:lvl w:ilvl="3">
      <w:start w:val="1"/>
      <w:numFmt w:val="decimal"/>
      <w:pStyle w:val="Ttulo4"/>
      <w:suff w:val="space"/>
      <w:lvlText w:val="%1.%2.%3.%4."/>
      <w:lvlJc w:val="left"/>
      <w:pPr>
        <w:ind w:left="0" w:firstLine="0"/>
      </w:pPr>
      <w:rPr>
        <w:rFonts w:hint="default"/>
        <w:b/>
        <w:bCs w:val="0"/>
        <w:i w:val="0"/>
        <w:iCs w:val="0"/>
        <w:caps w:val="0"/>
        <w:smallCaps w:val="0"/>
        <w:strike w:val="0"/>
        <w:dstrike w:val="0"/>
        <w:outline w:val="0"/>
        <w:shadow w:val="0"/>
        <w:emboss w:val="0"/>
        <w:imprint w:val="0"/>
        <w:vanish w:val="0"/>
        <w:spacing w:val="0"/>
        <w:kern w:val="0"/>
        <w:position w:val="0"/>
        <w:sz w:val="20"/>
        <w:szCs w:val="20"/>
        <w:u w:val="none"/>
        <w:vertAlign w:val="baseline"/>
        <w:em w:val="none"/>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12">
    <w:nsid w:val="5995685D"/>
    <w:multiLevelType w:val="multilevel"/>
    <w:tmpl w:val="8EC21BD2"/>
    <w:lvl w:ilvl="0">
      <w:start w:val="2"/>
      <w:numFmt w:val="decimal"/>
      <w:lvlText w:val="%1."/>
      <w:lvlJc w:val="left"/>
      <w:pPr>
        <w:ind w:left="0" w:firstLine="0"/>
      </w:pPr>
      <w:rPr>
        <w:rFonts w:hint="default"/>
      </w:rPr>
    </w:lvl>
    <w:lvl w:ilvl="1">
      <w:start w:val="1"/>
      <w:numFmt w:val="decimal"/>
      <w:lvlText w:val="%1.%2."/>
      <w:lvlJc w:val="left"/>
      <w:pPr>
        <w:ind w:left="0" w:firstLine="0"/>
      </w:pPr>
      <w:rPr>
        <w:rFonts w:hint="default"/>
        <w:i w:val="0"/>
      </w:rPr>
    </w:lvl>
    <w:lvl w:ilvl="2">
      <w:start w:val="1"/>
      <w:numFmt w:val="none"/>
      <w:lvlText w:val="3.2.4."/>
      <w:lvlJc w:val="right"/>
      <w:pPr>
        <w:ind w:left="0" w:firstLine="567"/>
      </w:pPr>
      <w:rPr>
        <w:rFonts w:hint="default"/>
        <w:bCs w:val="0"/>
        <w:i w:val="0"/>
        <w:caps w:val="0"/>
        <w:smallCaps w:val="0"/>
        <w:strike w:val="0"/>
        <w:dstrike w:val="0"/>
        <w:outline w:val="0"/>
        <w:shadow w:val="0"/>
        <w:emboss w:val="0"/>
        <w:imprint w:val="0"/>
        <w:vanish w:val="0"/>
        <w:spacing w:val="0"/>
        <w:kern w:val="0"/>
        <w:position w:val="0"/>
        <w:u w:val="none"/>
        <w:vertAlign w:val="baseline"/>
        <w:em w:val="none"/>
      </w:rPr>
    </w:lvl>
    <w:lvl w:ilvl="3">
      <w:start w:val="1"/>
      <w:numFmt w:val="none"/>
      <w:lvlText w:val="2.2.4.4"/>
      <w:lvlJc w:val="left"/>
      <w:pPr>
        <w:ind w:left="0" w:firstLine="0"/>
      </w:pPr>
      <w:rPr>
        <w:rFonts w:cs="Times New Roman" w:hint="default"/>
        <w:b w:val="0"/>
        <w:bCs w:val="0"/>
        <w:i w:val="0"/>
        <w:iCs w:val="0"/>
        <w:caps w:val="0"/>
        <w:smallCaps w:val="0"/>
        <w:strike w:val="0"/>
        <w:dstrike w:val="0"/>
        <w:outline w:val="0"/>
        <w:shadow w:val="0"/>
        <w:emboss w:val="0"/>
        <w:imprint w:val="0"/>
        <w:noProof w:val="0"/>
        <w:vanish w:val="0"/>
        <w:spacing w:val="0"/>
        <w:kern w:val="0"/>
        <w:position w:val="0"/>
        <w:sz w:val="20"/>
        <w:szCs w:val="20"/>
        <w:u w:val="none"/>
        <w:vertAlign w:val="baseline"/>
        <w:em w:val="none"/>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13">
    <w:nsid w:val="62540759"/>
    <w:multiLevelType w:val="multilevel"/>
    <w:tmpl w:val="DFD68E82"/>
    <w:lvl w:ilvl="0">
      <w:start w:val="1"/>
      <w:numFmt w:val="decimal"/>
      <w:lvlText w:val="%1."/>
      <w:lvlJc w:val="left"/>
      <w:pPr>
        <w:ind w:left="0" w:firstLine="0"/>
      </w:pPr>
      <w:rPr>
        <w:rFonts w:hint="default"/>
      </w:rPr>
    </w:lvl>
    <w:lvl w:ilvl="1">
      <w:start w:val="1"/>
      <w:numFmt w:val="decimal"/>
      <w:lvlText w:val="%1.%2."/>
      <w:lvlJc w:val="left"/>
      <w:pPr>
        <w:tabs>
          <w:tab w:val="num" w:pos="113"/>
        </w:tabs>
        <w:ind w:left="0" w:firstLine="0"/>
      </w:pPr>
      <w:rPr>
        <w:rFonts w:hint="default"/>
        <w:i w:val="0"/>
      </w:rPr>
    </w:lvl>
    <w:lvl w:ilvl="2">
      <w:start w:val="1"/>
      <w:numFmt w:val="decimal"/>
      <w:lvlText w:val="%3.%2.%1."/>
      <w:lvlJc w:val="left"/>
      <w:pPr>
        <w:tabs>
          <w:tab w:val="num" w:pos="113"/>
        </w:tabs>
        <w:ind w:left="0" w:firstLine="113"/>
      </w:pPr>
      <w:rPr>
        <w:rFonts w:hint="default"/>
        <w:bCs w:val="0"/>
        <w:i w:val="0"/>
        <w:caps w:val="0"/>
        <w:smallCaps w:val="0"/>
        <w:strike w:val="0"/>
        <w:dstrike w:val="0"/>
        <w:outline w:val="0"/>
        <w:shadow w:val="0"/>
        <w:emboss w:val="0"/>
        <w:imprint w:val="0"/>
        <w:vanish w:val="0"/>
        <w:spacing w:val="0"/>
        <w:kern w:val="0"/>
        <w:position w:val="0"/>
        <w:u w:val="none"/>
        <w:vertAlign w:val="baseline"/>
        <w:em w:val="none"/>
      </w:rPr>
    </w:lvl>
    <w:lvl w:ilvl="3">
      <w:start w:val="1"/>
      <w:numFmt w:val="decimal"/>
      <w:lvlText w:val="%4.%3.%2.%1."/>
      <w:lvlJc w:val="left"/>
      <w:pPr>
        <w:tabs>
          <w:tab w:val="num" w:pos="113"/>
        </w:tabs>
        <w:ind w:left="0" w:firstLine="0"/>
      </w:pPr>
      <w:rPr>
        <w:rFonts w:hint="default"/>
        <w:b w:val="0"/>
        <w:bCs w:val="0"/>
        <w:i w:val="0"/>
        <w:iCs w:val="0"/>
        <w:caps w:val="0"/>
        <w:smallCaps w:val="0"/>
        <w:strike w:val="0"/>
        <w:dstrike w:val="0"/>
        <w:outline w:val="0"/>
        <w:shadow w:val="0"/>
        <w:emboss w:val="0"/>
        <w:imprint w:val="0"/>
        <w:noProof w:val="0"/>
        <w:vanish w:val="0"/>
        <w:spacing w:val="0"/>
        <w:kern w:val="0"/>
        <w:position w:val="0"/>
        <w:sz w:val="20"/>
        <w:szCs w:val="20"/>
        <w:u w:val="none"/>
        <w:vertAlign w:val="baseline"/>
        <w:em w:val="none"/>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14">
    <w:nsid w:val="75D364FD"/>
    <w:multiLevelType w:val="multilevel"/>
    <w:tmpl w:val="CC5684D6"/>
    <w:lvl w:ilvl="0">
      <w:start w:val="2"/>
      <w:numFmt w:val="decimal"/>
      <w:lvlText w:val="%1."/>
      <w:lvlJc w:val="left"/>
      <w:pPr>
        <w:ind w:left="0" w:firstLine="0"/>
      </w:pPr>
      <w:rPr>
        <w:rFonts w:hint="default"/>
      </w:rPr>
    </w:lvl>
    <w:lvl w:ilvl="1">
      <w:start w:val="1"/>
      <w:numFmt w:val="decimal"/>
      <w:lvlText w:val="%1.%2."/>
      <w:lvlJc w:val="left"/>
      <w:pPr>
        <w:ind w:left="0" w:firstLine="0"/>
      </w:pPr>
      <w:rPr>
        <w:rFonts w:hint="default"/>
        <w:i w:val="0"/>
      </w:rPr>
    </w:lvl>
    <w:lvl w:ilvl="2">
      <w:start w:val="1"/>
      <w:numFmt w:val="decimal"/>
      <w:lvlText w:val="2.%2.%3."/>
      <w:lvlJc w:val="right"/>
      <w:pPr>
        <w:ind w:left="0" w:firstLine="567"/>
      </w:pPr>
      <w:rPr>
        <w:rFonts w:hint="default"/>
        <w:bCs w:val="0"/>
        <w:i w:val="0"/>
        <w:caps w:val="0"/>
        <w:smallCaps w:val="0"/>
        <w:strike w:val="0"/>
        <w:dstrike w:val="0"/>
        <w:outline w:val="0"/>
        <w:shadow w:val="0"/>
        <w:emboss w:val="0"/>
        <w:imprint w:val="0"/>
        <w:vanish w:val="0"/>
        <w:spacing w:val="0"/>
        <w:kern w:val="0"/>
        <w:position w:val="0"/>
        <w:u w:val="none"/>
        <w:vertAlign w:val="baseline"/>
        <w:em w:val="none"/>
      </w:rPr>
    </w:lvl>
    <w:lvl w:ilvl="3">
      <w:start w:val="1"/>
      <w:numFmt w:val="none"/>
      <w:lvlText w:val="2.1.4.3"/>
      <w:lvlJc w:val="left"/>
      <w:pPr>
        <w:ind w:left="0" w:firstLine="0"/>
      </w:pPr>
      <w:rPr>
        <w:rFonts w:cs="Times New Roman" w:hint="default"/>
        <w:b w:val="0"/>
        <w:bCs w:val="0"/>
        <w:i w:val="0"/>
        <w:iCs w:val="0"/>
        <w:caps w:val="0"/>
        <w:smallCaps w:val="0"/>
        <w:strike w:val="0"/>
        <w:dstrike w:val="0"/>
        <w:outline w:val="0"/>
        <w:shadow w:val="0"/>
        <w:emboss w:val="0"/>
        <w:imprint w:val="0"/>
        <w:noProof w:val="0"/>
        <w:vanish w:val="0"/>
        <w:spacing w:val="0"/>
        <w:kern w:val="0"/>
        <w:position w:val="0"/>
        <w:sz w:val="20"/>
        <w:szCs w:val="20"/>
        <w:u w:val="none"/>
        <w:vertAlign w:val="baseline"/>
        <w:em w:val="none"/>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15">
    <w:nsid w:val="779739D7"/>
    <w:multiLevelType w:val="multilevel"/>
    <w:tmpl w:val="694E2B82"/>
    <w:lvl w:ilvl="0">
      <w:start w:val="1"/>
      <w:numFmt w:val="decimal"/>
      <w:lvlText w:val="%1."/>
      <w:lvlJc w:val="left"/>
      <w:pPr>
        <w:ind w:left="720" w:hanging="360"/>
      </w:pPr>
      <w:rPr>
        <w:rFonts w:hint="default"/>
      </w:rPr>
    </w:lvl>
    <w:lvl w:ilvl="1">
      <w:start w:val="1"/>
      <w:numFmt w:val="decimal"/>
      <w:lvlText w:val="%1.%2."/>
      <w:lvlJc w:val="left"/>
      <w:pPr>
        <w:ind w:left="1440" w:hanging="360"/>
      </w:pPr>
      <w:rPr>
        <w:rFonts w:hint="default"/>
        <w:i w:val="0"/>
      </w:rPr>
    </w:lvl>
    <w:lvl w:ilvl="2">
      <w:start w:val="1"/>
      <w:numFmt w:val="decimal"/>
      <w:lvlText w:val="1.%2.%3."/>
      <w:lvlJc w:val="right"/>
      <w:pPr>
        <w:ind w:left="2024" w:hanging="180"/>
      </w:pPr>
      <w:rPr>
        <w:rFonts w:cs="Times New Roman" w:hint="default"/>
        <w:b w:val="0"/>
        <w:bCs w:val="0"/>
        <w:i w:val="0"/>
        <w:iCs w:val="0"/>
        <w:caps w:val="0"/>
        <w:smallCaps w:val="0"/>
        <w:strike w:val="0"/>
        <w:dstrike w:val="0"/>
        <w:outline w:val="0"/>
        <w:shadow w:val="0"/>
        <w:emboss w:val="0"/>
        <w:imprint w:val="0"/>
        <w:noProof w:val="0"/>
        <w:vanish w:val="0"/>
        <w:spacing w:val="0"/>
        <w:kern w:val="0"/>
        <w:position w:val="0"/>
        <w:u w:val="none"/>
        <w:vertAlign w:val="baseline"/>
        <w:em w:val="none"/>
      </w:rPr>
    </w:lvl>
    <w:lvl w:ilvl="3">
      <w:start w:val="2"/>
      <w:numFmt w:val="decimal"/>
      <w:lvlText w:val="%4.2.4.1"/>
      <w:lvlJc w:val="left"/>
      <w:pPr>
        <w:ind w:left="0" w:firstLine="0"/>
      </w:pPr>
      <w:rPr>
        <w:rFonts w:hint="default"/>
        <w:sz w:val="20"/>
        <w:szCs w:val="20"/>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16">
    <w:nsid w:val="779D031F"/>
    <w:multiLevelType w:val="multilevel"/>
    <w:tmpl w:val="BCA20CEA"/>
    <w:lvl w:ilvl="0">
      <w:start w:val="2"/>
      <w:numFmt w:val="decimal"/>
      <w:lvlText w:val="%1."/>
      <w:lvlJc w:val="left"/>
      <w:pPr>
        <w:ind w:left="0" w:firstLine="0"/>
      </w:pPr>
      <w:rPr>
        <w:rFonts w:hint="default"/>
      </w:rPr>
    </w:lvl>
    <w:lvl w:ilvl="1">
      <w:start w:val="1"/>
      <w:numFmt w:val="decimal"/>
      <w:lvlText w:val="%1.%2."/>
      <w:lvlJc w:val="left"/>
      <w:pPr>
        <w:ind w:left="0" w:firstLine="0"/>
      </w:pPr>
      <w:rPr>
        <w:rFonts w:hint="default"/>
        <w:i w:val="0"/>
      </w:rPr>
    </w:lvl>
    <w:lvl w:ilvl="2">
      <w:start w:val="1"/>
      <w:numFmt w:val="none"/>
      <w:lvlText w:val="3.2.3."/>
      <w:lvlJc w:val="right"/>
      <w:pPr>
        <w:ind w:left="0" w:firstLine="567"/>
      </w:pPr>
      <w:rPr>
        <w:rFonts w:hint="default"/>
        <w:bCs w:val="0"/>
        <w:i w:val="0"/>
        <w:caps w:val="0"/>
        <w:smallCaps w:val="0"/>
        <w:strike w:val="0"/>
        <w:dstrike w:val="0"/>
        <w:outline w:val="0"/>
        <w:shadow w:val="0"/>
        <w:emboss w:val="0"/>
        <w:imprint w:val="0"/>
        <w:vanish w:val="0"/>
        <w:spacing w:val="0"/>
        <w:kern w:val="0"/>
        <w:position w:val="0"/>
        <w:u w:val="none"/>
        <w:vertAlign w:val="baseline"/>
        <w:em w:val="none"/>
      </w:rPr>
    </w:lvl>
    <w:lvl w:ilvl="3">
      <w:start w:val="1"/>
      <w:numFmt w:val="none"/>
      <w:lvlText w:val="2.2.4.4"/>
      <w:lvlJc w:val="left"/>
      <w:pPr>
        <w:ind w:left="0" w:firstLine="0"/>
      </w:pPr>
      <w:rPr>
        <w:rFonts w:cs="Times New Roman" w:hint="default"/>
        <w:b w:val="0"/>
        <w:bCs w:val="0"/>
        <w:i w:val="0"/>
        <w:iCs w:val="0"/>
        <w:caps w:val="0"/>
        <w:smallCaps w:val="0"/>
        <w:strike w:val="0"/>
        <w:dstrike w:val="0"/>
        <w:outline w:val="0"/>
        <w:shadow w:val="0"/>
        <w:emboss w:val="0"/>
        <w:imprint w:val="0"/>
        <w:noProof w:val="0"/>
        <w:vanish w:val="0"/>
        <w:spacing w:val="0"/>
        <w:kern w:val="0"/>
        <w:position w:val="0"/>
        <w:sz w:val="20"/>
        <w:szCs w:val="20"/>
        <w:u w:val="none"/>
        <w:vertAlign w:val="baseline"/>
        <w:em w:val="none"/>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17">
    <w:nsid w:val="7E414D74"/>
    <w:multiLevelType w:val="multilevel"/>
    <w:tmpl w:val="3B7A442E"/>
    <w:lvl w:ilvl="0">
      <w:start w:val="2"/>
      <w:numFmt w:val="decimal"/>
      <w:lvlText w:val="%1."/>
      <w:lvlJc w:val="left"/>
      <w:pPr>
        <w:ind w:left="0" w:firstLine="0"/>
      </w:pPr>
      <w:rPr>
        <w:rFonts w:hint="default"/>
      </w:rPr>
    </w:lvl>
    <w:lvl w:ilvl="1">
      <w:start w:val="1"/>
      <w:numFmt w:val="decimal"/>
      <w:lvlText w:val="%1.%2."/>
      <w:lvlJc w:val="left"/>
      <w:pPr>
        <w:ind w:left="0" w:firstLine="0"/>
      </w:pPr>
      <w:rPr>
        <w:rFonts w:hint="default"/>
        <w:i w:val="0"/>
      </w:rPr>
    </w:lvl>
    <w:lvl w:ilvl="2">
      <w:start w:val="1"/>
      <w:numFmt w:val="decimal"/>
      <w:lvlText w:val="2.%2.%3."/>
      <w:lvlJc w:val="right"/>
      <w:pPr>
        <w:ind w:left="0" w:firstLine="567"/>
      </w:pPr>
      <w:rPr>
        <w:rFonts w:hint="default"/>
        <w:bCs w:val="0"/>
        <w:i w:val="0"/>
        <w:caps w:val="0"/>
        <w:smallCaps w:val="0"/>
        <w:strike w:val="0"/>
        <w:dstrike w:val="0"/>
        <w:outline w:val="0"/>
        <w:shadow w:val="0"/>
        <w:emboss w:val="0"/>
        <w:imprint w:val="0"/>
        <w:vanish w:val="0"/>
        <w:spacing w:val="0"/>
        <w:kern w:val="0"/>
        <w:position w:val="0"/>
        <w:u w:val="none"/>
        <w:vertAlign w:val="baseline"/>
        <w:em w:val="none"/>
      </w:rPr>
    </w:lvl>
    <w:lvl w:ilvl="3">
      <w:start w:val="1"/>
      <w:numFmt w:val="none"/>
      <w:lvlText w:val="2.2.4.3"/>
      <w:lvlJc w:val="left"/>
      <w:pPr>
        <w:ind w:left="0" w:firstLine="0"/>
      </w:pPr>
      <w:rPr>
        <w:rFonts w:cs="Times New Roman" w:hint="default"/>
        <w:b w:val="0"/>
        <w:bCs w:val="0"/>
        <w:i w:val="0"/>
        <w:iCs w:val="0"/>
        <w:caps w:val="0"/>
        <w:smallCaps w:val="0"/>
        <w:strike w:val="0"/>
        <w:dstrike w:val="0"/>
        <w:outline w:val="0"/>
        <w:shadow w:val="0"/>
        <w:emboss w:val="0"/>
        <w:imprint w:val="0"/>
        <w:noProof w:val="0"/>
        <w:vanish w:val="0"/>
        <w:spacing w:val="0"/>
        <w:kern w:val="0"/>
        <w:position w:val="0"/>
        <w:sz w:val="20"/>
        <w:szCs w:val="20"/>
        <w:u w:val="none"/>
        <w:vertAlign w:val="baseline"/>
        <w:em w:val="none"/>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num w:numId="1">
    <w:abstractNumId w:val="15"/>
  </w:num>
  <w:num w:numId="2">
    <w:abstractNumId w:val="4"/>
  </w:num>
  <w:num w:numId="3">
    <w:abstractNumId w:val="14"/>
  </w:num>
  <w:num w:numId="4">
    <w:abstractNumId w:val="2"/>
  </w:num>
  <w:num w:numId="5">
    <w:abstractNumId w:val="10"/>
  </w:num>
  <w:num w:numId="6">
    <w:abstractNumId w:val="17"/>
  </w:num>
  <w:num w:numId="7">
    <w:abstractNumId w:val="1"/>
  </w:num>
  <w:num w:numId="8">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13"/>
  </w:num>
  <w:num w:numId="10">
    <w:abstractNumId w:val="9"/>
  </w:num>
  <w:num w:numId="11">
    <w:abstractNumId w:val="9"/>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5"/>
  </w:num>
  <w:num w:numId="13">
    <w:abstractNumId w:val="16"/>
  </w:num>
  <w:num w:numId="14">
    <w:abstractNumId w:val="12"/>
  </w:num>
  <w:num w:numId="15">
    <w:abstractNumId w:val="12"/>
    <w:lvlOverride w:ilvl="0">
      <w:startOverride w:val="4"/>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8"/>
  </w:num>
  <w:num w:numId="17">
    <w:abstractNumId w:val="7"/>
  </w:num>
  <w:num w:numId="18">
    <w:abstractNumId w:val="0"/>
  </w:num>
  <w:num w:numId="19">
    <w:abstractNumId w:val="1"/>
  </w:num>
  <w:num w:numId="20">
    <w:abstractNumId w:val="1"/>
  </w:num>
  <w:num w:numId="21">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1"/>
  </w:num>
  <w:num w:numId="23">
    <w:abstractNumId w:val="6"/>
  </w:num>
  <w:num w:numId="24">
    <w:abstractNumId w:val="3"/>
  </w:num>
  <w:num w:numId="25">
    <w:abstractNumId w:val="11"/>
  </w:num>
  <w:num w:numId="26">
    <w:abstractNumId w:val="11"/>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10"/>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hideSpellingErrors/>
  <w:defaultTabStop w:val="0"/>
  <w:hyphenationZone w:val="425"/>
  <w:drawingGridHorizontalSpacing w:val="110"/>
  <w:displayHorizontalDrawingGridEvery w:val="2"/>
  <w:characterSpacingControl w:val="doNotCompress"/>
  <w:hdrShapeDefaults>
    <o:shapedefaults v:ext="edit" spidmax="82946">
      <o:colormenu v:ext="edit" fillcolor="none" strokecolor="none"/>
    </o:shapedefaults>
  </w:hdrShapeDefaults>
  <w:footnotePr>
    <w:footnote w:id="-1"/>
    <w:footnote w:id="0"/>
  </w:footnotePr>
  <w:endnotePr>
    <w:endnote w:id="-1"/>
    <w:endnote w:id="0"/>
  </w:endnotePr>
  <w:compat/>
  <w:rsids>
    <w:rsidRoot w:val="00CC2E8B"/>
    <w:rsid w:val="0000283C"/>
    <w:rsid w:val="00002C84"/>
    <w:rsid w:val="00003159"/>
    <w:rsid w:val="0000726A"/>
    <w:rsid w:val="00014A9D"/>
    <w:rsid w:val="0001671A"/>
    <w:rsid w:val="00016F11"/>
    <w:rsid w:val="00022BEA"/>
    <w:rsid w:val="000232F4"/>
    <w:rsid w:val="00025699"/>
    <w:rsid w:val="00030ABB"/>
    <w:rsid w:val="000324E4"/>
    <w:rsid w:val="000339FC"/>
    <w:rsid w:val="00035847"/>
    <w:rsid w:val="00036882"/>
    <w:rsid w:val="000409D3"/>
    <w:rsid w:val="00040D4F"/>
    <w:rsid w:val="00042212"/>
    <w:rsid w:val="00043971"/>
    <w:rsid w:val="00044F75"/>
    <w:rsid w:val="0004564F"/>
    <w:rsid w:val="0004667C"/>
    <w:rsid w:val="000558F3"/>
    <w:rsid w:val="0005622C"/>
    <w:rsid w:val="00064B14"/>
    <w:rsid w:val="00066252"/>
    <w:rsid w:val="0007042E"/>
    <w:rsid w:val="00073E63"/>
    <w:rsid w:val="0007468F"/>
    <w:rsid w:val="0007774E"/>
    <w:rsid w:val="00080373"/>
    <w:rsid w:val="00083ED9"/>
    <w:rsid w:val="00085817"/>
    <w:rsid w:val="00087B49"/>
    <w:rsid w:val="000916AE"/>
    <w:rsid w:val="00095230"/>
    <w:rsid w:val="0009594E"/>
    <w:rsid w:val="00095C5B"/>
    <w:rsid w:val="000A039C"/>
    <w:rsid w:val="000A3436"/>
    <w:rsid w:val="000A4653"/>
    <w:rsid w:val="000A6E4F"/>
    <w:rsid w:val="000A7A2B"/>
    <w:rsid w:val="000B2504"/>
    <w:rsid w:val="000B388D"/>
    <w:rsid w:val="000B5C62"/>
    <w:rsid w:val="000B73FD"/>
    <w:rsid w:val="000B7F43"/>
    <w:rsid w:val="000C7C6C"/>
    <w:rsid w:val="000D34C7"/>
    <w:rsid w:val="000D4D89"/>
    <w:rsid w:val="000D5093"/>
    <w:rsid w:val="000E44CF"/>
    <w:rsid w:val="0010228A"/>
    <w:rsid w:val="0010630B"/>
    <w:rsid w:val="001070E2"/>
    <w:rsid w:val="001123D7"/>
    <w:rsid w:val="00113A03"/>
    <w:rsid w:val="0011516A"/>
    <w:rsid w:val="0011795D"/>
    <w:rsid w:val="00120973"/>
    <w:rsid w:val="00121B1D"/>
    <w:rsid w:val="0013062C"/>
    <w:rsid w:val="00134F0F"/>
    <w:rsid w:val="00135832"/>
    <w:rsid w:val="00135E04"/>
    <w:rsid w:val="001371AB"/>
    <w:rsid w:val="001415BF"/>
    <w:rsid w:val="001443D1"/>
    <w:rsid w:val="00144B4F"/>
    <w:rsid w:val="00145596"/>
    <w:rsid w:val="00146F33"/>
    <w:rsid w:val="00147290"/>
    <w:rsid w:val="0014764C"/>
    <w:rsid w:val="001477B0"/>
    <w:rsid w:val="00151E70"/>
    <w:rsid w:val="001522C3"/>
    <w:rsid w:val="001536E2"/>
    <w:rsid w:val="00155632"/>
    <w:rsid w:val="00155B75"/>
    <w:rsid w:val="001565A7"/>
    <w:rsid w:val="001613E7"/>
    <w:rsid w:val="00164995"/>
    <w:rsid w:val="00166D93"/>
    <w:rsid w:val="0017591B"/>
    <w:rsid w:val="0018563C"/>
    <w:rsid w:val="00187E84"/>
    <w:rsid w:val="00187F83"/>
    <w:rsid w:val="00190AED"/>
    <w:rsid w:val="00192544"/>
    <w:rsid w:val="001954B9"/>
    <w:rsid w:val="001A146F"/>
    <w:rsid w:val="001A76AB"/>
    <w:rsid w:val="001A78FB"/>
    <w:rsid w:val="001B07F9"/>
    <w:rsid w:val="001B2040"/>
    <w:rsid w:val="001B4375"/>
    <w:rsid w:val="001C4369"/>
    <w:rsid w:val="001C6AAD"/>
    <w:rsid w:val="001D5B01"/>
    <w:rsid w:val="001D655A"/>
    <w:rsid w:val="001E3DF5"/>
    <w:rsid w:val="001E5B9B"/>
    <w:rsid w:val="001F66A3"/>
    <w:rsid w:val="002003BB"/>
    <w:rsid w:val="00200985"/>
    <w:rsid w:val="00201CF1"/>
    <w:rsid w:val="002105DC"/>
    <w:rsid w:val="002120A1"/>
    <w:rsid w:val="0021782C"/>
    <w:rsid w:val="00220FF6"/>
    <w:rsid w:val="00222688"/>
    <w:rsid w:val="002250CD"/>
    <w:rsid w:val="0023156D"/>
    <w:rsid w:val="00233260"/>
    <w:rsid w:val="002337A5"/>
    <w:rsid w:val="002343FC"/>
    <w:rsid w:val="00240126"/>
    <w:rsid w:val="0024254F"/>
    <w:rsid w:val="002449BA"/>
    <w:rsid w:val="00246510"/>
    <w:rsid w:val="00250223"/>
    <w:rsid w:val="002505CE"/>
    <w:rsid w:val="00253500"/>
    <w:rsid w:val="00263840"/>
    <w:rsid w:val="002638F0"/>
    <w:rsid w:val="002644C9"/>
    <w:rsid w:val="0026495C"/>
    <w:rsid w:val="002719B4"/>
    <w:rsid w:val="00271D3C"/>
    <w:rsid w:val="0027291C"/>
    <w:rsid w:val="00276B78"/>
    <w:rsid w:val="00277AB0"/>
    <w:rsid w:val="00285BD6"/>
    <w:rsid w:val="00287D69"/>
    <w:rsid w:val="00290391"/>
    <w:rsid w:val="00291ACC"/>
    <w:rsid w:val="00294174"/>
    <w:rsid w:val="00294ADB"/>
    <w:rsid w:val="0029501C"/>
    <w:rsid w:val="002951FB"/>
    <w:rsid w:val="002A2611"/>
    <w:rsid w:val="002A3E2A"/>
    <w:rsid w:val="002A605F"/>
    <w:rsid w:val="002B47EF"/>
    <w:rsid w:val="002B4EF5"/>
    <w:rsid w:val="002B5DAF"/>
    <w:rsid w:val="002B6C78"/>
    <w:rsid w:val="002C3106"/>
    <w:rsid w:val="002D3285"/>
    <w:rsid w:val="002D4780"/>
    <w:rsid w:val="002D5BA0"/>
    <w:rsid w:val="002D7321"/>
    <w:rsid w:val="002E0ECD"/>
    <w:rsid w:val="002E12FA"/>
    <w:rsid w:val="002E20C6"/>
    <w:rsid w:val="002F0C90"/>
    <w:rsid w:val="002F2275"/>
    <w:rsid w:val="002F2942"/>
    <w:rsid w:val="002F2B3B"/>
    <w:rsid w:val="00300E1E"/>
    <w:rsid w:val="00302ED9"/>
    <w:rsid w:val="0030419E"/>
    <w:rsid w:val="0031355A"/>
    <w:rsid w:val="00315B95"/>
    <w:rsid w:val="0031782E"/>
    <w:rsid w:val="0032025D"/>
    <w:rsid w:val="00323A13"/>
    <w:rsid w:val="003259DB"/>
    <w:rsid w:val="00327073"/>
    <w:rsid w:val="003347C1"/>
    <w:rsid w:val="00340417"/>
    <w:rsid w:val="003433C7"/>
    <w:rsid w:val="00343DDF"/>
    <w:rsid w:val="00345954"/>
    <w:rsid w:val="00346045"/>
    <w:rsid w:val="00347E1E"/>
    <w:rsid w:val="0035032E"/>
    <w:rsid w:val="00350ECB"/>
    <w:rsid w:val="00354554"/>
    <w:rsid w:val="0035476C"/>
    <w:rsid w:val="00363967"/>
    <w:rsid w:val="003656A5"/>
    <w:rsid w:val="0036576E"/>
    <w:rsid w:val="00366121"/>
    <w:rsid w:val="0037017D"/>
    <w:rsid w:val="00373F6F"/>
    <w:rsid w:val="0038242C"/>
    <w:rsid w:val="00386C2F"/>
    <w:rsid w:val="00391E64"/>
    <w:rsid w:val="00395FA3"/>
    <w:rsid w:val="003A61C4"/>
    <w:rsid w:val="003B0D16"/>
    <w:rsid w:val="003B1767"/>
    <w:rsid w:val="003B7735"/>
    <w:rsid w:val="003C41B2"/>
    <w:rsid w:val="003C4E75"/>
    <w:rsid w:val="003C6700"/>
    <w:rsid w:val="003D4379"/>
    <w:rsid w:val="003D7ACD"/>
    <w:rsid w:val="003D7D41"/>
    <w:rsid w:val="003E028C"/>
    <w:rsid w:val="003E37D8"/>
    <w:rsid w:val="003E4AC6"/>
    <w:rsid w:val="003F2515"/>
    <w:rsid w:val="003F2B8B"/>
    <w:rsid w:val="003F2C11"/>
    <w:rsid w:val="003F2F0C"/>
    <w:rsid w:val="003F5491"/>
    <w:rsid w:val="003F5DC4"/>
    <w:rsid w:val="00403D5E"/>
    <w:rsid w:val="00403F50"/>
    <w:rsid w:val="004044F7"/>
    <w:rsid w:val="00405D11"/>
    <w:rsid w:val="00411A9B"/>
    <w:rsid w:val="0041451D"/>
    <w:rsid w:val="00414C07"/>
    <w:rsid w:val="00415A74"/>
    <w:rsid w:val="00415AEB"/>
    <w:rsid w:val="00423CC0"/>
    <w:rsid w:val="0043415D"/>
    <w:rsid w:val="00444517"/>
    <w:rsid w:val="00447189"/>
    <w:rsid w:val="00451F87"/>
    <w:rsid w:val="004570EB"/>
    <w:rsid w:val="00463A9A"/>
    <w:rsid w:val="004736EE"/>
    <w:rsid w:val="00473708"/>
    <w:rsid w:val="00473D27"/>
    <w:rsid w:val="00475C3D"/>
    <w:rsid w:val="00476571"/>
    <w:rsid w:val="004773B5"/>
    <w:rsid w:val="00477FF9"/>
    <w:rsid w:val="00483A59"/>
    <w:rsid w:val="00486FCA"/>
    <w:rsid w:val="00491E71"/>
    <w:rsid w:val="0049335E"/>
    <w:rsid w:val="004A139C"/>
    <w:rsid w:val="004A1B83"/>
    <w:rsid w:val="004A34ED"/>
    <w:rsid w:val="004A727E"/>
    <w:rsid w:val="004B1F68"/>
    <w:rsid w:val="004B4555"/>
    <w:rsid w:val="004B51FE"/>
    <w:rsid w:val="004B6251"/>
    <w:rsid w:val="004C0233"/>
    <w:rsid w:val="004C2364"/>
    <w:rsid w:val="004C37A5"/>
    <w:rsid w:val="004C58EF"/>
    <w:rsid w:val="004C66E5"/>
    <w:rsid w:val="004C766B"/>
    <w:rsid w:val="004D4544"/>
    <w:rsid w:val="004D5853"/>
    <w:rsid w:val="004D591E"/>
    <w:rsid w:val="004F0890"/>
    <w:rsid w:val="005042B9"/>
    <w:rsid w:val="0050543F"/>
    <w:rsid w:val="005054ED"/>
    <w:rsid w:val="00506A84"/>
    <w:rsid w:val="0050707C"/>
    <w:rsid w:val="00512128"/>
    <w:rsid w:val="00512B11"/>
    <w:rsid w:val="00515C47"/>
    <w:rsid w:val="00525919"/>
    <w:rsid w:val="0052632D"/>
    <w:rsid w:val="0053169F"/>
    <w:rsid w:val="00531B2E"/>
    <w:rsid w:val="00531C02"/>
    <w:rsid w:val="00532A97"/>
    <w:rsid w:val="00533D89"/>
    <w:rsid w:val="00537A57"/>
    <w:rsid w:val="0054016D"/>
    <w:rsid w:val="0055120D"/>
    <w:rsid w:val="00552A80"/>
    <w:rsid w:val="00553C42"/>
    <w:rsid w:val="00553DBD"/>
    <w:rsid w:val="00554179"/>
    <w:rsid w:val="00557468"/>
    <w:rsid w:val="0056511D"/>
    <w:rsid w:val="0056520B"/>
    <w:rsid w:val="00567495"/>
    <w:rsid w:val="00575FA3"/>
    <w:rsid w:val="00580E49"/>
    <w:rsid w:val="00582905"/>
    <w:rsid w:val="00582B7B"/>
    <w:rsid w:val="00585063"/>
    <w:rsid w:val="00590EE0"/>
    <w:rsid w:val="00591E60"/>
    <w:rsid w:val="00597BE2"/>
    <w:rsid w:val="005A09DC"/>
    <w:rsid w:val="005A55A6"/>
    <w:rsid w:val="005A6ADC"/>
    <w:rsid w:val="005B011D"/>
    <w:rsid w:val="005B28EA"/>
    <w:rsid w:val="005B57A8"/>
    <w:rsid w:val="005B67EE"/>
    <w:rsid w:val="005C1776"/>
    <w:rsid w:val="005C7B2B"/>
    <w:rsid w:val="005D0266"/>
    <w:rsid w:val="005D1734"/>
    <w:rsid w:val="005D559A"/>
    <w:rsid w:val="005D79E1"/>
    <w:rsid w:val="005E1351"/>
    <w:rsid w:val="005E154F"/>
    <w:rsid w:val="005E177A"/>
    <w:rsid w:val="005E279D"/>
    <w:rsid w:val="005E45C1"/>
    <w:rsid w:val="005E57EE"/>
    <w:rsid w:val="005E5C68"/>
    <w:rsid w:val="005E6EA8"/>
    <w:rsid w:val="005F1FDB"/>
    <w:rsid w:val="005F3362"/>
    <w:rsid w:val="006003D1"/>
    <w:rsid w:val="00601677"/>
    <w:rsid w:val="0060251C"/>
    <w:rsid w:val="0061099F"/>
    <w:rsid w:val="0061666A"/>
    <w:rsid w:val="00620124"/>
    <w:rsid w:val="006269A1"/>
    <w:rsid w:val="00634EE4"/>
    <w:rsid w:val="00637FDE"/>
    <w:rsid w:val="006403AA"/>
    <w:rsid w:val="00646C9A"/>
    <w:rsid w:val="00647A87"/>
    <w:rsid w:val="00651393"/>
    <w:rsid w:val="006513AF"/>
    <w:rsid w:val="0065526F"/>
    <w:rsid w:val="00664A7E"/>
    <w:rsid w:val="00664F65"/>
    <w:rsid w:val="006661B7"/>
    <w:rsid w:val="00666FB9"/>
    <w:rsid w:val="00671B33"/>
    <w:rsid w:val="00675FCD"/>
    <w:rsid w:val="006815DC"/>
    <w:rsid w:val="0068200B"/>
    <w:rsid w:val="00682354"/>
    <w:rsid w:val="00683439"/>
    <w:rsid w:val="00684780"/>
    <w:rsid w:val="006855D9"/>
    <w:rsid w:val="006874FE"/>
    <w:rsid w:val="00687B1C"/>
    <w:rsid w:val="00694D3D"/>
    <w:rsid w:val="0069786C"/>
    <w:rsid w:val="006A06AE"/>
    <w:rsid w:val="006A08A1"/>
    <w:rsid w:val="006A3038"/>
    <w:rsid w:val="006A3FF8"/>
    <w:rsid w:val="006A4A20"/>
    <w:rsid w:val="006A765F"/>
    <w:rsid w:val="006B029E"/>
    <w:rsid w:val="006B44B4"/>
    <w:rsid w:val="006B490F"/>
    <w:rsid w:val="006B4F12"/>
    <w:rsid w:val="006B6D5B"/>
    <w:rsid w:val="006C16A8"/>
    <w:rsid w:val="006D1F03"/>
    <w:rsid w:val="006D5FD2"/>
    <w:rsid w:val="006D65AB"/>
    <w:rsid w:val="006D6C02"/>
    <w:rsid w:val="006D70D6"/>
    <w:rsid w:val="006D760B"/>
    <w:rsid w:val="006E09BA"/>
    <w:rsid w:val="006E10C1"/>
    <w:rsid w:val="006E49AA"/>
    <w:rsid w:val="006F2254"/>
    <w:rsid w:val="006F3ACD"/>
    <w:rsid w:val="006F452D"/>
    <w:rsid w:val="006F73D8"/>
    <w:rsid w:val="00700C6B"/>
    <w:rsid w:val="00702763"/>
    <w:rsid w:val="00704D5A"/>
    <w:rsid w:val="007064E8"/>
    <w:rsid w:val="00707D04"/>
    <w:rsid w:val="00707E86"/>
    <w:rsid w:val="00712DBA"/>
    <w:rsid w:val="007130AE"/>
    <w:rsid w:val="00716058"/>
    <w:rsid w:val="0071606D"/>
    <w:rsid w:val="00717638"/>
    <w:rsid w:val="0072156F"/>
    <w:rsid w:val="00722D6E"/>
    <w:rsid w:val="00722E7B"/>
    <w:rsid w:val="00724146"/>
    <w:rsid w:val="0072502B"/>
    <w:rsid w:val="00725F94"/>
    <w:rsid w:val="007305F0"/>
    <w:rsid w:val="0073099E"/>
    <w:rsid w:val="007320D9"/>
    <w:rsid w:val="00733692"/>
    <w:rsid w:val="00733EAB"/>
    <w:rsid w:val="007342CE"/>
    <w:rsid w:val="00734C09"/>
    <w:rsid w:val="0074313E"/>
    <w:rsid w:val="007473B9"/>
    <w:rsid w:val="007545A1"/>
    <w:rsid w:val="00755F18"/>
    <w:rsid w:val="0075616B"/>
    <w:rsid w:val="00761C1E"/>
    <w:rsid w:val="0077142F"/>
    <w:rsid w:val="00776913"/>
    <w:rsid w:val="00781ABD"/>
    <w:rsid w:val="007872CC"/>
    <w:rsid w:val="00792E39"/>
    <w:rsid w:val="00794FF6"/>
    <w:rsid w:val="007A2A0E"/>
    <w:rsid w:val="007B0E54"/>
    <w:rsid w:val="007B17CD"/>
    <w:rsid w:val="007B1DAF"/>
    <w:rsid w:val="007B1E40"/>
    <w:rsid w:val="007B6D42"/>
    <w:rsid w:val="007B79A2"/>
    <w:rsid w:val="007C13FD"/>
    <w:rsid w:val="007C2FC0"/>
    <w:rsid w:val="007C30D2"/>
    <w:rsid w:val="007D027C"/>
    <w:rsid w:val="007D0F0A"/>
    <w:rsid w:val="007D177F"/>
    <w:rsid w:val="007D33D6"/>
    <w:rsid w:val="007D6B7A"/>
    <w:rsid w:val="007D763F"/>
    <w:rsid w:val="007E1EF5"/>
    <w:rsid w:val="007E3063"/>
    <w:rsid w:val="007E366E"/>
    <w:rsid w:val="007E7AFE"/>
    <w:rsid w:val="007F1811"/>
    <w:rsid w:val="007F2581"/>
    <w:rsid w:val="007F3F2E"/>
    <w:rsid w:val="007F49DA"/>
    <w:rsid w:val="007F5A08"/>
    <w:rsid w:val="007F7998"/>
    <w:rsid w:val="008014D2"/>
    <w:rsid w:val="008057D0"/>
    <w:rsid w:val="008062B3"/>
    <w:rsid w:val="0081034F"/>
    <w:rsid w:val="008120A1"/>
    <w:rsid w:val="00815CCB"/>
    <w:rsid w:val="00817068"/>
    <w:rsid w:val="0081741B"/>
    <w:rsid w:val="008231F3"/>
    <w:rsid w:val="00824B88"/>
    <w:rsid w:val="00824C00"/>
    <w:rsid w:val="00825214"/>
    <w:rsid w:val="0082687A"/>
    <w:rsid w:val="008337DB"/>
    <w:rsid w:val="00834176"/>
    <w:rsid w:val="00836074"/>
    <w:rsid w:val="00841C36"/>
    <w:rsid w:val="0084255B"/>
    <w:rsid w:val="00843E4F"/>
    <w:rsid w:val="008504D5"/>
    <w:rsid w:val="00850FE1"/>
    <w:rsid w:val="0085102D"/>
    <w:rsid w:val="0085275F"/>
    <w:rsid w:val="00852969"/>
    <w:rsid w:val="00852B3E"/>
    <w:rsid w:val="00852DCC"/>
    <w:rsid w:val="008559B0"/>
    <w:rsid w:val="0085756D"/>
    <w:rsid w:val="00861974"/>
    <w:rsid w:val="00861E8C"/>
    <w:rsid w:val="008638F0"/>
    <w:rsid w:val="008671E3"/>
    <w:rsid w:val="008724C9"/>
    <w:rsid w:val="00872FF5"/>
    <w:rsid w:val="008747C6"/>
    <w:rsid w:val="00880906"/>
    <w:rsid w:val="008907A5"/>
    <w:rsid w:val="00891FFA"/>
    <w:rsid w:val="0089541D"/>
    <w:rsid w:val="008A06EE"/>
    <w:rsid w:val="008A23DA"/>
    <w:rsid w:val="008A2C8A"/>
    <w:rsid w:val="008A2D85"/>
    <w:rsid w:val="008A3994"/>
    <w:rsid w:val="008A50BE"/>
    <w:rsid w:val="008A5E69"/>
    <w:rsid w:val="008A63CF"/>
    <w:rsid w:val="008A7465"/>
    <w:rsid w:val="008A74F0"/>
    <w:rsid w:val="008B4034"/>
    <w:rsid w:val="008B5EE4"/>
    <w:rsid w:val="008C08B9"/>
    <w:rsid w:val="008C6760"/>
    <w:rsid w:val="008D0733"/>
    <w:rsid w:val="008D40F8"/>
    <w:rsid w:val="008D4FBC"/>
    <w:rsid w:val="008E3F36"/>
    <w:rsid w:val="008E43F8"/>
    <w:rsid w:val="008F42F0"/>
    <w:rsid w:val="008F46B2"/>
    <w:rsid w:val="009003B6"/>
    <w:rsid w:val="00902B7F"/>
    <w:rsid w:val="00903788"/>
    <w:rsid w:val="009152BE"/>
    <w:rsid w:val="00916F2E"/>
    <w:rsid w:val="009244F9"/>
    <w:rsid w:val="00925265"/>
    <w:rsid w:val="0092578C"/>
    <w:rsid w:val="00925902"/>
    <w:rsid w:val="00926F88"/>
    <w:rsid w:val="00930390"/>
    <w:rsid w:val="00935939"/>
    <w:rsid w:val="009363A4"/>
    <w:rsid w:val="00936A0C"/>
    <w:rsid w:val="009370DA"/>
    <w:rsid w:val="00937F95"/>
    <w:rsid w:val="009413E8"/>
    <w:rsid w:val="00942907"/>
    <w:rsid w:val="009442FA"/>
    <w:rsid w:val="009500CF"/>
    <w:rsid w:val="00951084"/>
    <w:rsid w:val="00953413"/>
    <w:rsid w:val="009604C5"/>
    <w:rsid w:val="00960590"/>
    <w:rsid w:val="009631DE"/>
    <w:rsid w:val="00963AA6"/>
    <w:rsid w:val="00964CDB"/>
    <w:rsid w:val="009662B5"/>
    <w:rsid w:val="0097060E"/>
    <w:rsid w:val="00970682"/>
    <w:rsid w:val="00971B4D"/>
    <w:rsid w:val="00972925"/>
    <w:rsid w:val="009764A7"/>
    <w:rsid w:val="00977019"/>
    <w:rsid w:val="00983896"/>
    <w:rsid w:val="00986F7A"/>
    <w:rsid w:val="009871DB"/>
    <w:rsid w:val="009932BA"/>
    <w:rsid w:val="00993A3A"/>
    <w:rsid w:val="00994CCD"/>
    <w:rsid w:val="009A3203"/>
    <w:rsid w:val="009A3E3B"/>
    <w:rsid w:val="009A69E3"/>
    <w:rsid w:val="009B36A2"/>
    <w:rsid w:val="009B5F38"/>
    <w:rsid w:val="009B72F2"/>
    <w:rsid w:val="009C2B35"/>
    <w:rsid w:val="009C4240"/>
    <w:rsid w:val="009C43A1"/>
    <w:rsid w:val="009D2BFD"/>
    <w:rsid w:val="009D4B3A"/>
    <w:rsid w:val="009D4CE7"/>
    <w:rsid w:val="009D598B"/>
    <w:rsid w:val="009E08F0"/>
    <w:rsid w:val="009E2797"/>
    <w:rsid w:val="009E2B74"/>
    <w:rsid w:val="009E31AD"/>
    <w:rsid w:val="009E351C"/>
    <w:rsid w:val="009E5032"/>
    <w:rsid w:val="009E63BB"/>
    <w:rsid w:val="009E7CE8"/>
    <w:rsid w:val="009F72DF"/>
    <w:rsid w:val="00A01569"/>
    <w:rsid w:val="00A058E5"/>
    <w:rsid w:val="00A178C1"/>
    <w:rsid w:val="00A1791D"/>
    <w:rsid w:val="00A220D6"/>
    <w:rsid w:val="00A22F8C"/>
    <w:rsid w:val="00A26989"/>
    <w:rsid w:val="00A2759E"/>
    <w:rsid w:val="00A27DAF"/>
    <w:rsid w:val="00A31E90"/>
    <w:rsid w:val="00A4165F"/>
    <w:rsid w:val="00A46CAE"/>
    <w:rsid w:val="00A46F5E"/>
    <w:rsid w:val="00A51654"/>
    <w:rsid w:val="00A51733"/>
    <w:rsid w:val="00A5202E"/>
    <w:rsid w:val="00A5453A"/>
    <w:rsid w:val="00A559B1"/>
    <w:rsid w:val="00A569A3"/>
    <w:rsid w:val="00A6448F"/>
    <w:rsid w:val="00A67CD5"/>
    <w:rsid w:val="00A7344A"/>
    <w:rsid w:val="00A73B74"/>
    <w:rsid w:val="00A743D6"/>
    <w:rsid w:val="00A74783"/>
    <w:rsid w:val="00A827C0"/>
    <w:rsid w:val="00A90236"/>
    <w:rsid w:val="00A94CBC"/>
    <w:rsid w:val="00A964D1"/>
    <w:rsid w:val="00A97C71"/>
    <w:rsid w:val="00AA0D42"/>
    <w:rsid w:val="00AA1484"/>
    <w:rsid w:val="00AA7166"/>
    <w:rsid w:val="00AA7D08"/>
    <w:rsid w:val="00AB7635"/>
    <w:rsid w:val="00AC13A0"/>
    <w:rsid w:val="00AC2EEE"/>
    <w:rsid w:val="00AC3A61"/>
    <w:rsid w:val="00AC3F24"/>
    <w:rsid w:val="00AC5017"/>
    <w:rsid w:val="00AC53BA"/>
    <w:rsid w:val="00AC7E06"/>
    <w:rsid w:val="00AD1048"/>
    <w:rsid w:val="00AD1372"/>
    <w:rsid w:val="00AD365F"/>
    <w:rsid w:val="00AD4B0F"/>
    <w:rsid w:val="00AD5A86"/>
    <w:rsid w:val="00AE0CA6"/>
    <w:rsid w:val="00AE3551"/>
    <w:rsid w:val="00AF1871"/>
    <w:rsid w:val="00AF272A"/>
    <w:rsid w:val="00AF6032"/>
    <w:rsid w:val="00AF6868"/>
    <w:rsid w:val="00B07D3C"/>
    <w:rsid w:val="00B15796"/>
    <w:rsid w:val="00B16637"/>
    <w:rsid w:val="00B21481"/>
    <w:rsid w:val="00B23737"/>
    <w:rsid w:val="00B24515"/>
    <w:rsid w:val="00B27274"/>
    <w:rsid w:val="00B33F90"/>
    <w:rsid w:val="00B356DC"/>
    <w:rsid w:val="00B46DCB"/>
    <w:rsid w:val="00B554CF"/>
    <w:rsid w:val="00B57DEA"/>
    <w:rsid w:val="00B62490"/>
    <w:rsid w:val="00B6278C"/>
    <w:rsid w:val="00B73326"/>
    <w:rsid w:val="00B73BBD"/>
    <w:rsid w:val="00B77B2C"/>
    <w:rsid w:val="00B8124B"/>
    <w:rsid w:val="00B86761"/>
    <w:rsid w:val="00B8770E"/>
    <w:rsid w:val="00B91B9F"/>
    <w:rsid w:val="00B97214"/>
    <w:rsid w:val="00BA5008"/>
    <w:rsid w:val="00BA6CBA"/>
    <w:rsid w:val="00BB59A9"/>
    <w:rsid w:val="00BC1F85"/>
    <w:rsid w:val="00BC201F"/>
    <w:rsid w:val="00BC3273"/>
    <w:rsid w:val="00BC3BA3"/>
    <w:rsid w:val="00BC659E"/>
    <w:rsid w:val="00BE034E"/>
    <w:rsid w:val="00BE4D20"/>
    <w:rsid w:val="00BE5D0A"/>
    <w:rsid w:val="00BE5FE9"/>
    <w:rsid w:val="00BE6E6E"/>
    <w:rsid w:val="00BF1A3C"/>
    <w:rsid w:val="00BF2199"/>
    <w:rsid w:val="00BF5DF2"/>
    <w:rsid w:val="00BF5FB0"/>
    <w:rsid w:val="00C043D5"/>
    <w:rsid w:val="00C05AEC"/>
    <w:rsid w:val="00C161FB"/>
    <w:rsid w:val="00C20FED"/>
    <w:rsid w:val="00C2247F"/>
    <w:rsid w:val="00C246C4"/>
    <w:rsid w:val="00C26111"/>
    <w:rsid w:val="00C262C2"/>
    <w:rsid w:val="00C310A9"/>
    <w:rsid w:val="00C378C4"/>
    <w:rsid w:val="00C37A87"/>
    <w:rsid w:val="00C37D67"/>
    <w:rsid w:val="00C37EF1"/>
    <w:rsid w:val="00C411A7"/>
    <w:rsid w:val="00C42E21"/>
    <w:rsid w:val="00C518E8"/>
    <w:rsid w:val="00C5522F"/>
    <w:rsid w:val="00C55258"/>
    <w:rsid w:val="00C570D9"/>
    <w:rsid w:val="00C60391"/>
    <w:rsid w:val="00C626B4"/>
    <w:rsid w:val="00C65177"/>
    <w:rsid w:val="00C66DF8"/>
    <w:rsid w:val="00C672B7"/>
    <w:rsid w:val="00C73336"/>
    <w:rsid w:val="00C747E5"/>
    <w:rsid w:val="00C77E31"/>
    <w:rsid w:val="00C82F24"/>
    <w:rsid w:val="00C83033"/>
    <w:rsid w:val="00C84C2B"/>
    <w:rsid w:val="00C84EDA"/>
    <w:rsid w:val="00C91B8B"/>
    <w:rsid w:val="00C91DDE"/>
    <w:rsid w:val="00C94E24"/>
    <w:rsid w:val="00C96AA1"/>
    <w:rsid w:val="00CA138B"/>
    <w:rsid w:val="00CA2BDB"/>
    <w:rsid w:val="00CA2DED"/>
    <w:rsid w:val="00CA42F6"/>
    <w:rsid w:val="00CA548B"/>
    <w:rsid w:val="00CA5E6D"/>
    <w:rsid w:val="00CA7AE0"/>
    <w:rsid w:val="00CB4A2D"/>
    <w:rsid w:val="00CC16E7"/>
    <w:rsid w:val="00CC1A43"/>
    <w:rsid w:val="00CC2E8B"/>
    <w:rsid w:val="00CC61DA"/>
    <w:rsid w:val="00CC700D"/>
    <w:rsid w:val="00CD2679"/>
    <w:rsid w:val="00CE319A"/>
    <w:rsid w:val="00CE54CF"/>
    <w:rsid w:val="00CE75FD"/>
    <w:rsid w:val="00CF1519"/>
    <w:rsid w:val="00CF2096"/>
    <w:rsid w:val="00CF21A6"/>
    <w:rsid w:val="00CF404C"/>
    <w:rsid w:val="00D01937"/>
    <w:rsid w:val="00D022F9"/>
    <w:rsid w:val="00D11E5C"/>
    <w:rsid w:val="00D15F38"/>
    <w:rsid w:val="00D1710B"/>
    <w:rsid w:val="00D22E4B"/>
    <w:rsid w:val="00D3171D"/>
    <w:rsid w:val="00D32C6B"/>
    <w:rsid w:val="00D32C6E"/>
    <w:rsid w:val="00D345A8"/>
    <w:rsid w:val="00D44646"/>
    <w:rsid w:val="00D453E4"/>
    <w:rsid w:val="00D465A1"/>
    <w:rsid w:val="00D4799F"/>
    <w:rsid w:val="00D47B97"/>
    <w:rsid w:val="00D515D6"/>
    <w:rsid w:val="00D547C3"/>
    <w:rsid w:val="00D56420"/>
    <w:rsid w:val="00D56F24"/>
    <w:rsid w:val="00D61442"/>
    <w:rsid w:val="00D6382F"/>
    <w:rsid w:val="00D65C9E"/>
    <w:rsid w:val="00D675E3"/>
    <w:rsid w:val="00D67F4F"/>
    <w:rsid w:val="00D73CB9"/>
    <w:rsid w:val="00D75CE9"/>
    <w:rsid w:val="00D811B3"/>
    <w:rsid w:val="00D9671F"/>
    <w:rsid w:val="00D97785"/>
    <w:rsid w:val="00DB673F"/>
    <w:rsid w:val="00DB697E"/>
    <w:rsid w:val="00DC0990"/>
    <w:rsid w:val="00DC09A7"/>
    <w:rsid w:val="00DC5956"/>
    <w:rsid w:val="00DD481B"/>
    <w:rsid w:val="00DD7265"/>
    <w:rsid w:val="00DD783D"/>
    <w:rsid w:val="00DE050F"/>
    <w:rsid w:val="00DE13B0"/>
    <w:rsid w:val="00DE3F6D"/>
    <w:rsid w:val="00DF0D52"/>
    <w:rsid w:val="00DF16DE"/>
    <w:rsid w:val="00DF18CF"/>
    <w:rsid w:val="00DF61F3"/>
    <w:rsid w:val="00E00F7C"/>
    <w:rsid w:val="00E01699"/>
    <w:rsid w:val="00E0357D"/>
    <w:rsid w:val="00E04EA9"/>
    <w:rsid w:val="00E10D73"/>
    <w:rsid w:val="00E1278F"/>
    <w:rsid w:val="00E12A5C"/>
    <w:rsid w:val="00E15F4F"/>
    <w:rsid w:val="00E2090F"/>
    <w:rsid w:val="00E2640D"/>
    <w:rsid w:val="00E26527"/>
    <w:rsid w:val="00E340B0"/>
    <w:rsid w:val="00E3471F"/>
    <w:rsid w:val="00E36643"/>
    <w:rsid w:val="00E36673"/>
    <w:rsid w:val="00E430FC"/>
    <w:rsid w:val="00E54591"/>
    <w:rsid w:val="00E60B29"/>
    <w:rsid w:val="00E6515A"/>
    <w:rsid w:val="00E70532"/>
    <w:rsid w:val="00E80EA6"/>
    <w:rsid w:val="00E81890"/>
    <w:rsid w:val="00E83B9E"/>
    <w:rsid w:val="00E91895"/>
    <w:rsid w:val="00E92A8F"/>
    <w:rsid w:val="00E92D11"/>
    <w:rsid w:val="00E9362F"/>
    <w:rsid w:val="00E95A6B"/>
    <w:rsid w:val="00E95C31"/>
    <w:rsid w:val="00EA206C"/>
    <w:rsid w:val="00EB3060"/>
    <w:rsid w:val="00EB31C0"/>
    <w:rsid w:val="00EB5E5D"/>
    <w:rsid w:val="00EB6CB9"/>
    <w:rsid w:val="00EB6DEA"/>
    <w:rsid w:val="00EB72E7"/>
    <w:rsid w:val="00EC0C27"/>
    <w:rsid w:val="00EC1473"/>
    <w:rsid w:val="00EC3162"/>
    <w:rsid w:val="00EC64BC"/>
    <w:rsid w:val="00EC72AC"/>
    <w:rsid w:val="00ED008E"/>
    <w:rsid w:val="00ED0920"/>
    <w:rsid w:val="00ED10B9"/>
    <w:rsid w:val="00ED2BB5"/>
    <w:rsid w:val="00EE1DF5"/>
    <w:rsid w:val="00EE3220"/>
    <w:rsid w:val="00EE3B61"/>
    <w:rsid w:val="00EF2BC8"/>
    <w:rsid w:val="00EF4A28"/>
    <w:rsid w:val="00EF5549"/>
    <w:rsid w:val="00EF6D03"/>
    <w:rsid w:val="00EF722E"/>
    <w:rsid w:val="00EF7B65"/>
    <w:rsid w:val="00F02313"/>
    <w:rsid w:val="00F02BF9"/>
    <w:rsid w:val="00F04A45"/>
    <w:rsid w:val="00F115A9"/>
    <w:rsid w:val="00F156DE"/>
    <w:rsid w:val="00F218F8"/>
    <w:rsid w:val="00F23E1F"/>
    <w:rsid w:val="00F246FE"/>
    <w:rsid w:val="00F250DE"/>
    <w:rsid w:val="00F25A30"/>
    <w:rsid w:val="00F32659"/>
    <w:rsid w:val="00F40609"/>
    <w:rsid w:val="00F47344"/>
    <w:rsid w:val="00F479C3"/>
    <w:rsid w:val="00F50600"/>
    <w:rsid w:val="00F51F27"/>
    <w:rsid w:val="00F60A2A"/>
    <w:rsid w:val="00F61D97"/>
    <w:rsid w:val="00F661DF"/>
    <w:rsid w:val="00F7107D"/>
    <w:rsid w:val="00F73631"/>
    <w:rsid w:val="00F8226D"/>
    <w:rsid w:val="00F8370B"/>
    <w:rsid w:val="00F854E8"/>
    <w:rsid w:val="00F85749"/>
    <w:rsid w:val="00F87081"/>
    <w:rsid w:val="00F87C56"/>
    <w:rsid w:val="00F95E0C"/>
    <w:rsid w:val="00FA0FAA"/>
    <w:rsid w:val="00FA1C67"/>
    <w:rsid w:val="00FA484B"/>
    <w:rsid w:val="00FA4FC7"/>
    <w:rsid w:val="00FB23F7"/>
    <w:rsid w:val="00FB2813"/>
    <w:rsid w:val="00FB6D54"/>
    <w:rsid w:val="00FC043F"/>
    <w:rsid w:val="00FC04DC"/>
    <w:rsid w:val="00FC2DE7"/>
    <w:rsid w:val="00FC58C7"/>
    <w:rsid w:val="00FC6917"/>
    <w:rsid w:val="00FD01FC"/>
    <w:rsid w:val="00FD0CCA"/>
    <w:rsid w:val="00FD4F30"/>
    <w:rsid w:val="00FD53BB"/>
    <w:rsid w:val="00FD6DAD"/>
    <w:rsid w:val="00FE20E7"/>
    <w:rsid w:val="00FE70E1"/>
    <w:rsid w:val="00FF66E3"/>
  </w:rsids>
  <m:mathPr>
    <m:mathFont m:val="Cambria Math"/>
    <m:brkBin m:val="before"/>
    <m:brkBinSub m:val="--"/>
    <m:smallFrac m:val="off"/>
    <m:dispDef/>
    <m:lMargin m:val="0"/>
    <m:rMargin m:val="0"/>
    <m:defJc m:val="centerGroup"/>
    <m:wrapIndent m:val="1440"/>
    <m:intLim m:val="subSup"/>
    <m:naryLim m:val="undOvr"/>
  </m:mathPr>
  <w:themeFontLang w:val="pt-PT"/>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82946">
      <o:colormenu v:ext="edit" fillcolor="none" strokecolor="none"/>
    </o:shapedefaults>
    <o:shapelayout v:ext="edit">
      <o:idmap v:ext="edit" data="1"/>
      <o:regrouptable v:ext="edit">
        <o:entry new="1" old="0"/>
        <o:entry new="2" old="1"/>
        <o:entry new="3" old="0"/>
      </o:regrouptable>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pt-PT" w:eastAsia="pt-PT"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lsdException w:name="heading 3" w:uiPriority="0"/>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0" w:qFormat="1"/>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A146F"/>
    <w:pPr>
      <w:spacing w:after="200" w:line="360" w:lineRule="auto"/>
      <w:jc w:val="both"/>
    </w:pPr>
    <w:rPr>
      <w:rFonts w:ascii="Arial" w:hAnsi="Arial" w:cs="Arial"/>
      <w:sz w:val="22"/>
      <w:szCs w:val="22"/>
      <w:shd w:val="clear" w:color="auto" w:fill="FFFFFF"/>
      <w:lang w:eastAsia="en-US"/>
    </w:rPr>
  </w:style>
  <w:style w:type="paragraph" w:styleId="Ttulo1">
    <w:name w:val="heading 1"/>
    <w:basedOn w:val="Normal"/>
    <w:next w:val="Ttulo2"/>
    <w:link w:val="Ttulo1Carcter"/>
    <w:uiPriority w:val="9"/>
    <w:qFormat/>
    <w:rsid w:val="00277AB0"/>
    <w:pPr>
      <w:keepNext/>
      <w:keepLines/>
      <w:pageBreakBefore/>
      <w:numPr>
        <w:numId w:val="25"/>
      </w:numPr>
      <w:spacing w:after="480"/>
      <w:jc w:val="left"/>
      <w:outlineLvl w:val="0"/>
    </w:pPr>
    <w:rPr>
      <w:rFonts w:eastAsiaTheme="majorEastAsia" w:cstheme="majorBidi"/>
      <w:b/>
      <w:bCs/>
      <w:color w:val="000000" w:themeColor="text1"/>
      <w:szCs w:val="28"/>
    </w:rPr>
  </w:style>
  <w:style w:type="paragraph" w:styleId="Ttulo2">
    <w:name w:val="heading 2"/>
    <w:basedOn w:val="Normal"/>
    <w:next w:val="Estilo1"/>
    <w:link w:val="Ttulo2Carcter"/>
    <w:autoRedefine/>
    <w:rsid w:val="00277AB0"/>
    <w:pPr>
      <w:numPr>
        <w:ilvl w:val="1"/>
        <w:numId w:val="25"/>
      </w:numPr>
      <w:spacing w:before="960"/>
      <w:outlineLvl w:val="1"/>
    </w:pPr>
    <w:rPr>
      <w:rFonts w:eastAsia="Times New Roman"/>
      <w:b/>
      <w:iCs/>
      <w:shd w:val="clear" w:color="auto" w:fill="auto"/>
      <w:lang w:eastAsia="pt-PT"/>
    </w:rPr>
  </w:style>
  <w:style w:type="paragraph" w:styleId="Ttulo3">
    <w:name w:val="heading 3"/>
    <w:basedOn w:val="Ttulo2"/>
    <w:next w:val="Estilo1"/>
    <w:link w:val="Ttulo3Carcter"/>
    <w:autoRedefine/>
    <w:rsid w:val="00B86761"/>
    <w:pPr>
      <w:widowControl w:val="0"/>
      <w:numPr>
        <w:ilvl w:val="2"/>
      </w:numPr>
      <w:adjustRightInd w:val="0"/>
      <w:spacing w:before="880" w:after="360"/>
      <w:ind w:left="0" w:firstLine="0"/>
      <w:jc w:val="left"/>
      <w:textAlignment w:val="baseline"/>
      <w:outlineLvl w:val="2"/>
    </w:pPr>
    <w:rPr>
      <w:szCs w:val="26"/>
      <w:lang w:val="en-US"/>
    </w:rPr>
  </w:style>
  <w:style w:type="paragraph" w:styleId="Ttulo4">
    <w:name w:val="heading 4"/>
    <w:basedOn w:val="Normal"/>
    <w:next w:val="Normal"/>
    <w:link w:val="Ttulo4Carcter"/>
    <w:uiPriority w:val="9"/>
    <w:unhideWhenUsed/>
    <w:qFormat/>
    <w:rsid w:val="00B73BBD"/>
    <w:pPr>
      <w:keepNext/>
      <w:keepLines/>
      <w:numPr>
        <w:ilvl w:val="3"/>
        <w:numId w:val="25"/>
      </w:numPr>
      <w:spacing w:before="840" w:after="480"/>
      <w:outlineLvl w:val="3"/>
    </w:pPr>
    <w:rPr>
      <w:rFonts w:eastAsiaTheme="majorEastAsia" w:cstheme="majorBidi"/>
      <w:b/>
      <w:bCs/>
      <w:iCs/>
    </w:rPr>
  </w:style>
  <w:style w:type="paragraph" w:styleId="Ttulo5">
    <w:name w:val="heading 5"/>
    <w:basedOn w:val="Normal"/>
    <w:next w:val="Normal"/>
    <w:link w:val="Ttulo5Carcter"/>
    <w:uiPriority w:val="9"/>
    <w:unhideWhenUsed/>
    <w:qFormat/>
    <w:rsid w:val="00755F18"/>
    <w:pPr>
      <w:keepNext/>
      <w:keepLines/>
      <w:spacing w:before="200" w:after="0"/>
      <w:outlineLvl w:val="4"/>
    </w:pPr>
    <w:rPr>
      <w:rFonts w:asciiTheme="majorHAnsi" w:eastAsiaTheme="majorEastAsia" w:hAnsiTheme="majorHAnsi" w:cstheme="majorBidi"/>
      <w:color w:val="243F60" w:themeColor="accent1" w:themeShade="7F"/>
    </w:rPr>
  </w:style>
  <w:style w:type="character" w:default="1" w:styleId="Tipodeletrapredefinidodopargrafo">
    <w:name w:val="Default Paragraph Font"/>
    <w:uiPriority w:val="1"/>
    <w:semiHidden/>
    <w:unhideWhenUsed/>
  </w:style>
  <w:style w:type="table" w:default="1" w:styleId="Tabelanormal">
    <w:name w:val="Normal Table"/>
    <w:uiPriority w:val="99"/>
    <w:semiHidden/>
    <w:unhideWhenUsed/>
    <w:qFormat/>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NormalWeb">
    <w:name w:val="Normal (Web)"/>
    <w:basedOn w:val="Normal"/>
    <w:uiPriority w:val="99"/>
    <w:unhideWhenUsed/>
    <w:rsid w:val="00CF1519"/>
    <w:pPr>
      <w:spacing w:before="100" w:beforeAutospacing="1" w:after="100" w:afterAutospacing="1" w:line="240" w:lineRule="auto"/>
    </w:pPr>
    <w:rPr>
      <w:rFonts w:ascii="Times New Roman" w:eastAsia="Times New Roman" w:hAnsi="Times New Roman"/>
      <w:sz w:val="24"/>
      <w:szCs w:val="24"/>
      <w:lang w:eastAsia="pt-PT"/>
    </w:rPr>
  </w:style>
  <w:style w:type="character" w:styleId="Forte">
    <w:name w:val="Strong"/>
    <w:basedOn w:val="Tipodeletrapredefinidodopargrafo"/>
    <w:uiPriority w:val="22"/>
    <w:qFormat/>
    <w:rsid w:val="00CF1519"/>
    <w:rPr>
      <w:b/>
      <w:bCs/>
    </w:rPr>
  </w:style>
  <w:style w:type="character" w:customStyle="1" w:styleId="longtext1">
    <w:name w:val="long_text1"/>
    <w:basedOn w:val="Tipodeletrapredefinidodopargrafo"/>
    <w:rsid w:val="001B07F9"/>
    <w:rPr>
      <w:rFonts w:cs="Arial"/>
      <w:shd w:val="clear" w:color="auto" w:fill="EBEFF9"/>
    </w:rPr>
  </w:style>
  <w:style w:type="paragraph" w:customStyle="1" w:styleId="Default">
    <w:name w:val="Default"/>
    <w:rsid w:val="006E09BA"/>
    <w:pPr>
      <w:autoSpaceDE w:val="0"/>
      <w:autoSpaceDN w:val="0"/>
      <w:adjustRightInd w:val="0"/>
    </w:pPr>
    <w:rPr>
      <w:rFonts w:ascii="Verdana" w:hAnsi="Verdana" w:cs="Verdana"/>
      <w:color w:val="000000"/>
      <w:sz w:val="24"/>
      <w:szCs w:val="24"/>
    </w:rPr>
  </w:style>
  <w:style w:type="table" w:styleId="ListaClara-Cor3">
    <w:name w:val="Light List Accent 3"/>
    <w:basedOn w:val="Tabelanormal"/>
    <w:uiPriority w:val="61"/>
    <w:rsid w:val="006B4F12"/>
    <w:tblPr>
      <w:tblStyleRowBandSize w:val="1"/>
      <w:tblStyleColBandSize w:val="1"/>
      <w:tblInd w:w="0" w:type="dxa"/>
      <w:tblBorders>
        <w:top w:val="single" w:sz="8" w:space="0" w:color="9BBB59"/>
        <w:left w:val="single" w:sz="8" w:space="0" w:color="9BBB59"/>
        <w:bottom w:val="single" w:sz="8" w:space="0" w:color="9BBB59"/>
        <w:right w:val="single" w:sz="8" w:space="0" w:color="9BBB59"/>
      </w:tblBorders>
      <w:tblCellMar>
        <w:top w:w="0" w:type="dxa"/>
        <w:left w:w="108" w:type="dxa"/>
        <w:bottom w:w="0" w:type="dxa"/>
        <w:right w:w="108" w:type="dxa"/>
      </w:tblCellMar>
    </w:tblPr>
    <w:tblStylePr w:type="firstRow">
      <w:pPr>
        <w:spacing w:before="0" w:after="0" w:line="240" w:lineRule="auto"/>
      </w:pPr>
      <w:rPr>
        <w:b/>
        <w:bCs/>
        <w:color w:val="FFFFFF"/>
      </w:rPr>
      <w:tblPr/>
      <w:tcPr>
        <w:shd w:val="clear" w:color="auto" w:fill="9BBB59"/>
      </w:tcPr>
    </w:tblStylePr>
    <w:tblStylePr w:type="lastRow">
      <w:pPr>
        <w:spacing w:before="0" w:after="0" w:line="240" w:lineRule="auto"/>
      </w:pPr>
      <w:rPr>
        <w:b/>
        <w:bCs/>
      </w:rPr>
      <w:tblPr/>
      <w:tcPr>
        <w:tcBorders>
          <w:top w:val="double" w:sz="6" w:space="0" w:color="9BBB59"/>
          <w:left w:val="single" w:sz="8" w:space="0" w:color="9BBB59"/>
          <w:bottom w:val="single" w:sz="8" w:space="0" w:color="9BBB59"/>
          <w:right w:val="single" w:sz="8" w:space="0" w:color="9BBB59"/>
        </w:tcBorders>
      </w:tcPr>
    </w:tblStylePr>
    <w:tblStylePr w:type="firstCol">
      <w:rPr>
        <w:b/>
        <w:bCs/>
      </w:rPr>
    </w:tblStylePr>
    <w:tblStylePr w:type="lastCol">
      <w:rPr>
        <w:b/>
        <w:bCs/>
      </w:rPr>
    </w:tblStylePr>
    <w:tblStylePr w:type="band1Vert">
      <w:tblPr/>
      <w:tcPr>
        <w:tcBorders>
          <w:top w:val="single" w:sz="8" w:space="0" w:color="9BBB59"/>
          <w:left w:val="single" w:sz="8" w:space="0" w:color="9BBB59"/>
          <w:bottom w:val="single" w:sz="8" w:space="0" w:color="9BBB59"/>
          <w:right w:val="single" w:sz="8" w:space="0" w:color="9BBB59"/>
        </w:tcBorders>
      </w:tcPr>
    </w:tblStylePr>
    <w:tblStylePr w:type="band1Horz">
      <w:tblPr/>
      <w:tcPr>
        <w:tcBorders>
          <w:top w:val="single" w:sz="8" w:space="0" w:color="9BBB59"/>
          <w:left w:val="single" w:sz="8" w:space="0" w:color="9BBB59"/>
          <w:bottom w:val="single" w:sz="8" w:space="0" w:color="9BBB59"/>
          <w:right w:val="single" w:sz="8" w:space="0" w:color="9BBB59"/>
        </w:tcBorders>
      </w:tcPr>
    </w:tblStylePr>
  </w:style>
  <w:style w:type="paragraph" w:styleId="Mapadodocumento">
    <w:name w:val="Document Map"/>
    <w:basedOn w:val="Normal"/>
    <w:link w:val="MapadodocumentoCarcter"/>
    <w:uiPriority w:val="99"/>
    <w:semiHidden/>
    <w:unhideWhenUsed/>
    <w:rsid w:val="000B7F43"/>
    <w:rPr>
      <w:rFonts w:ascii="Tahoma" w:hAnsi="Tahoma" w:cs="Tahoma"/>
      <w:sz w:val="16"/>
      <w:szCs w:val="16"/>
    </w:rPr>
  </w:style>
  <w:style w:type="character" w:customStyle="1" w:styleId="MapadodocumentoCarcter">
    <w:name w:val="Mapa do documento Carácter"/>
    <w:basedOn w:val="Tipodeletrapredefinidodopargrafo"/>
    <w:link w:val="Mapadodocumento"/>
    <w:uiPriority w:val="99"/>
    <w:semiHidden/>
    <w:rsid w:val="000B7F43"/>
    <w:rPr>
      <w:rFonts w:ascii="Tahoma" w:hAnsi="Tahoma" w:cs="Tahoma"/>
      <w:sz w:val="16"/>
      <w:szCs w:val="16"/>
      <w:lang w:eastAsia="en-US"/>
    </w:rPr>
  </w:style>
  <w:style w:type="table" w:styleId="Tabelacomgrelha">
    <w:name w:val="Table Grid"/>
    <w:basedOn w:val="Tabelanormal"/>
    <w:rsid w:val="0037017D"/>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SombreadoClaro1">
    <w:name w:val="Sombreado Claro1"/>
    <w:basedOn w:val="Tabelanormal"/>
    <w:uiPriority w:val="60"/>
    <w:rsid w:val="0037017D"/>
    <w:rPr>
      <w:color w:val="000000"/>
    </w:rPr>
    <w:tblPr>
      <w:tblStyleRowBandSize w:val="1"/>
      <w:tblStyleColBandSize w:val="1"/>
      <w:tblInd w:w="0" w:type="dxa"/>
      <w:tblBorders>
        <w:top w:val="single" w:sz="8" w:space="0" w:color="000000"/>
        <w:bottom w:val="single" w:sz="8" w:space="0" w:color="000000"/>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paragraph" w:styleId="Cabealho">
    <w:name w:val="header"/>
    <w:basedOn w:val="Normal"/>
    <w:link w:val="CabealhoCarcter"/>
    <w:uiPriority w:val="99"/>
    <w:semiHidden/>
    <w:unhideWhenUsed/>
    <w:rsid w:val="00A058E5"/>
    <w:pPr>
      <w:tabs>
        <w:tab w:val="center" w:pos="4252"/>
        <w:tab w:val="right" w:pos="8504"/>
      </w:tabs>
    </w:pPr>
  </w:style>
  <w:style w:type="character" w:customStyle="1" w:styleId="CabealhoCarcter">
    <w:name w:val="Cabeçalho Carácter"/>
    <w:basedOn w:val="Tipodeletrapredefinidodopargrafo"/>
    <w:link w:val="Cabealho"/>
    <w:uiPriority w:val="99"/>
    <w:semiHidden/>
    <w:rsid w:val="00A058E5"/>
    <w:rPr>
      <w:sz w:val="22"/>
      <w:szCs w:val="22"/>
      <w:lang w:eastAsia="en-US"/>
    </w:rPr>
  </w:style>
  <w:style w:type="paragraph" w:styleId="Rodap">
    <w:name w:val="footer"/>
    <w:basedOn w:val="Normal"/>
    <w:link w:val="RodapCarcter"/>
    <w:uiPriority w:val="99"/>
    <w:unhideWhenUsed/>
    <w:rsid w:val="00A058E5"/>
    <w:pPr>
      <w:tabs>
        <w:tab w:val="center" w:pos="4252"/>
        <w:tab w:val="right" w:pos="8504"/>
      </w:tabs>
    </w:pPr>
  </w:style>
  <w:style w:type="character" w:customStyle="1" w:styleId="RodapCarcter">
    <w:name w:val="Rodapé Carácter"/>
    <w:basedOn w:val="Tipodeletrapredefinidodopargrafo"/>
    <w:link w:val="Rodap"/>
    <w:uiPriority w:val="99"/>
    <w:rsid w:val="00A058E5"/>
    <w:rPr>
      <w:sz w:val="22"/>
      <w:szCs w:val="22"/>
      <w:lang w:eastAsia="en-US"/>
    </w:rPr>
  </w:style>
  <w:style w:type="table" w:styleId="GrelhaClara-Cor3">
    <w:name w:val="Light Grid Accent 3"/>
    <w:basedOn w:val="Tabelanormal"/>
    <w:uiPriority w:val="62"/>
    <w:rsid w:val="00A058E5"/>
    <w:tblPr>
      <w:tblStyleRowBandSize w:val="1"/>
      <w:tblStyleColBandSize w:val="1"/>
      <w:tblInd w:w="0" w:type="dxa"/>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CellMar>
        <w:top w:w="0" w:type="dxa"/>
        <w:left w:w="108" w:type="dxa"/>
        <w:bottom w:w="0" w:type="dxa"/>
        <w:right w:w="108" w:type="dxa"/>
      </w:tblCellMar>
    </w:tblPr>
    <w:tblStylePr w:type="firstRow">
      <w:pPr>
        <w:spacing w:before="0" w:after="0" w:line="240" w:lineRule="auto"/>
      </w:pPr>
      <w:rPr>
        <w:rFonts w:ascii="Cambria" w:eastAsia="Times New Roman" w:hAnsi="Cambria"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Cambria" w:eastAsia="Times New Roman" w:hAnsi="Cambria"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character" w:styleId="Nmerodepgina">
    <w:name w:val="page number"/>
    <w:basedOn w:val="Tipodeletrapredefinidodopargrafo"/>
    <w:rsid w:val="00087B49"/>
  </w:style>
  <w:style w:type="character" w:styleId="Hiperligao">
    <w:name w:val="Hyperlink"/>
    <w:basedOn w:val="Tipodeletrapredefinidodopargrafo"/>
    <w:uiPriority w:val="99"/>
    <w:unhideWhenUsed/>
    <w:rsid w:val="009413E8"/>
    <w:rPr>
      <w:color w:val="0000FF"/>
      <w:u w:val="single"/>
    </w:rPr>
  </w:style>
  <w:style w:type="paragraph" w:customStyle="1" w:styleId="DecimalAligned">
    <w:name w:val="Decimal Aligned"/>
    <w:basedOn w:val="Normal"/>
    <w:uiPriority w:val="40"/>
    <w:qFormat/>
    <w:rsid w:val="00994CCD"/>
    <w:pPr>
      <w:tabs>
        <w:tab w:val="decimal" w:pos="360"/>
      </w:tabs>
    </w:pPr>
    <w:rPr>
      <w:rFonts w:ascii="Calibri" w:eastAsia="Times New Roman" w:hAnsi="Calibri" w:cs="Times New Roman"/>
    </w:rPr>
  </w:style>
  <w:style w:type="paragraph" w:styleId="Textodenotaderodap">
    <w:name w:val="footnote text"/>
    <w:basedOn w:val="Normal"/>
    <w:link w:val="TextodenotaderodapCarcter"/>
    <w:uiPriority w:val="99"/>
    <w:unhideWhenUsed/>
    <w:rsid w:val="00994CCD"/>
    <w:pPr>
      <w:spacing w:after="0" w:line="240" w:lineRule="auto"/>
    </w:pPr>
    <w:rPr>
      <w:rFonts w:ascii="Calibri" w:eastAsia="Times New Roman" w:hAnsi="Calibri" w:cs="Times New Roman"/>
      <w:sz w:val="20"/>
      <w:szCs w:val="20"/>
    </w:rPr>
  </w:style>
  <w:style w:type="character" w:customStyle="1" w:styleId="TextodenotaderodapCarcter">
    <w:name w:val="Texto de nota de rodapé Carácter"/>
    <w:basedOn w:val="Tipodeletrapredefinidodopargrafo"/>
    <w:link w:val="Textodenotaderodap"/>
    <w:uiPriority w:val="99"/>
    <w:rsid w:val="00994CCD"/>
    <w:rPr>
      <w:rFonts w:ascii="Calibri" w:eastAsia="Times New Roman" w:hAnsi="Calibri" w:cs="Times New Roman"/>
      <w:lang w:eastAsia="en-US"/>
    </w:rPr>
  </w:style>
  <w:style w:type="character" w:styleId="nfaseDiscreto">
    <w:name w:val="Subtle Emphasis"/>
    <w:basedOn w:val="Tipodeletrapredefinidodopargrafo"/>
    <w:uiPriority w:val="19"/>
    <w:qFormat/>
    <w:rsid w:val="00994CCD"/>
    <w:rPr>
      <w:rFonts w:eastAsia="Times New Roman" w:cs="Times New Roman"/>
      <w:bCs w:val="0"/>
      <w:i/>
      <w:iCs/>
      <w:color w:val="808080"/>
      <w:szCs w:val="22"/>
      <w:lang w:val="pt-PT"/>
    </w:rPr>
  </w:style>
  <w:style w:type="table" w:styleId="SombreadoMdio2-Cor5">
    <w:name w:val="Medium Shading 2 Accent 5"/>
    <w:basedOn w:val="Tabelanormal"/>
    <w:uiPriority w:val="64"/>
    <w:rsid w:val="00994CCD"/>
    <w:rPr>
      <w:rFonts w:eastAsia="Times New Roman"/>
      <w:sz w:val="22"/>
      <w:szCs w:val="22"/>
      <w:lang w:eastAsia="en-US"/>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GrelhaColorida-Cor5">
    <w:name w:val="Colorful Grid Accent 5"/>
    <w:basedOn w:val="Tabelanormal"/>
    <w:uiPriority w:val="73"/>
    <w:rsid w:val="00994CCD"/>
    <w:rPr>
      <w:color w:val="000000"/>
    </w:rPr>
    <w:tblPr>
      <w:tblStyleRowBandSize w:val="1"/>
      <w:tblStyleColBandSize w:val="1"/>
      <w:tblInd w:w="0" w:type="dxa"/>
      <w:tblBorders>
        <w:insideH w:val="single" w:sz="4" w:space="0" w:color="FFFFFF"/>
      </w:tblBorders>
      <w:tblCellMar>
        <w:top w:w="0" w:type="dxa"/>
        <w:left w:w="108" w:type="dxa"/>
        <w:bottom w:w="0" w:type="dxa"/>
        <w:right w:w="108" w:type="dxa"/>
      </w:tblCellMar>
    </w:tblPr>
    <w:tcPr>
      <w:shd w:val="clear" w:color="auto" w:fill="DAEEF3"/>
    </w:tcPr>
    <w:tblStylePr w:type="firstRow">
      <w:rPr>
        <w:b/>
        <w:bCs/>
      </w:rPr>
      <w:tblPr/>
      <w:tcPr>
        <w:shd w:val="clear" w:color="auto" w:fill="B6DDE8"/>
      </w:tcPr>
    </w:tblStylePr>
    <w:tblStylePr w:type="lastRow">
      <w:rPr>
        <w:b/>
        <w:bCs/>
        <w:color w:val="000000"/>
      </w:rPr>
      <w:tblPr/>
      <w:tcPr>
        <w:shd w:val="clear" w:color="auto" w:fill="B6DDE8"/>
      </w:tcPr>
    </w:tblStylePr>
    <w:tblStylePr w:type="firstCol">
      <w:rPr>
        <w:color w:val="FFFFFF"/>
      </w:rPr>
      <w:tblPr/>
      <w:tcPr>
        <w:shd w:val="clear" w:color="auto" w:fill="31849B"/>
      </w:tcPr>
    </w:tblStylePr>
    <w:tblStylePr w:type="lastCol">
      <w:rPr>
        <w:color w:val="FFFFFF"/>
      </w:rPr>
      <w:tblPr/>
      <w:tcPr>
        <w:shd w:val="clear" w:color="auto" w:fill="31849B"/>
      </w:tcPr>
    </w:tblStylePr>
    <w:tblStylePr w:type="band1Vert">
      <w:tblPr/>
      <w:tcPr>
        <w:shd w:val="clear" w:color="auto" w:fill="A5D5E2"/>
      </w:tcPr>
    </w:tblStylePr>
    <w:tblStylePr w:type="band1Horz">
      <w:tblPr/>
      <w:tcPr>
        <w:shd w:val="clear" w:color="auto" w:fill="A5D5E2"/>
      </w:tcPr>
    </w:tblStylePr>
  </w:style>
  <w:style w:type="table" w:customStyle="1" w:styleId="SombreadoClaro-Cor11">
    <w:name w:val="Sombreado Claro - Cor 11"/>
    <w:basedOn w:val="Tabelanormal"/>
    <w:uiPriority w:val="60"/>
    <w:rsid w:val="00994CCD"/>
    <w:rPr>
      <w:color w:val="365F91"/>
    </w:rPr>
    <w:tblPr>
      <w:tblStyleRowBandSize w:val="1"/>
      <w:tblStyleColBandSize w:val="1"/>
      <w:tblInd w:w="0" w:type="dxa"/>
      <w:tblBorders>
        <w:top w:val="single" w:sz="8" w:space="0" w:color="4F81BD"/>
        <w:bottom w:val="single" w:sz="8" w:space="0" w:color="4F81BD"/>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table" w:styleId="SombreadoClaro-Cor3">
    <w:name w:val="Light Shading Accent 3"/>
    <w:basedOn w:val="Tabelanormal"/>
    <w:uiPriority w:val="60"/>
    <w:rsid w:val="00994CCD"/>
    <w:rPr>
      <w:color w:val="76923C"/>
    </w:rPr>
    <w:tblPr>
      <w:tblStyleRowBandSize w:val="1"/>
      <w:tblStyleColBandSize w:val="1"/>
      <w:tblInd w:w="0" w:type="dxa"/>
      <w:tblBorders>
        <w:top w:val="single" w:sz="8" w:space="0" w:color="9BBB59"/>
        <w:bottom w:val="single" w:sz="8" w:space="0" w:color="9BBB59"/>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9BBB59"/>
          <w:left w:val="nil"/>
          <w:bottom w:val="single" w:sz="8" w:space="0" w:color="9BBB59"/>
          <w:right w:val="nil"/>
          <w:insideH w:val="nil"/>
          <w:insideV w:val="nil"/>
        </w:tcBorders>
      </w:tcPr>
    </w:tblStylePr>
    <w:tblStylePr w:type="lastRow">
      <w:pPr>
        <w:spacing w:before="0" w:after="0" w:line="240" w:lineRule="auto"/>
      </w:pPr>
      <w:rPr>
        <w:b/>
        <w:bCs/>
      </w:rPr>
      <w:tblPr/>
      <w:tcPr>
        <w:tcBorders>
          <w:top w:val="single" w:sz="8" w:space="0" w:color="9BBB59"/>
          <w:left w:val="nil"/>
          <w:bottom w:val="single" w:sz="8" w:space="0" w:color="9BBB59"/>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cPr>
    </w:tblStylePr>
    <w:tblStylePr w:type="band1Horz">
      <w:tblPr/>
      <w:tcPr>
        <w:tcBorders>
          <w:left w:val="nil"/>
          <w:right w:val="nil"/>
          <w:insideH w:val="nil"/>
          <w:insideV w:val="nil"/>
        </w:tcBorders>
        <w:shd w:val="clear" w:color="auto" w:fill="E6EED5"/>
      </w:tcPr>
    </w:tblStylePr>
  </w:style>
  <w:style w:type="paragraph" w:customStyle="1" w:styleId="Estilo1">
    <w:name w:val="Estilo1"/>
    <w:link w:val="Estilo1Carcter"/>
    <w:qFormat/>
    <w:rsid w:val="00C91DDE"/>
    <w:pPr>
      <w:spacing w:after="240" w:line="360" w:lineRule="auto"/>
      <w:jc w:val="both"/>
    </w:pPr>
    <w:rPr>
      <w:rFonts w:ascii="Arial" w:hAnsi="Arial"/>
      <w:sz w:val="22"/>
      <w:szCs w:val="22"/>
      <w:shd w:val="clear" w:color="auto" w:fill="FFFFFF"/>
      <w:lang w:eastAsia="en-US"/>
    </w:rPr>
  </w:style>
  <w:style w:type="paragraph" w:styleId="Textodebalo">
    <w:name w:val="Balloon Text"/>
    <w:basedOn w:val="Normal"/>
    <w:link w:val="TextodebaloCarcter"/>
    <w:uiPriority w:val="99"/>
    <w:semiHidden/>
    <w:unhideWhenUsed/>
    <w:rsid w:val="008504D5"/>
    <w:pPr>
      <w:spacing w:after="0" w:line="240" w:lineRule="auto"/>
    </w:pPr>
    <w:rPr>
      <w:rFonts w:ascii="Tahoma" w:hAnsi="Tahoma" w:cs="Tahoma"/>
      <w:sz w:val="16"/>
      <w:szCs w:val="16"/>
    </w:rPr>
  </w:style>
  <w:style w:type="character" w:customStyle="1" w:styleId="Estilo1Carcter">
    <w:name w:val="Estilo1 Carácter"/>
    <w:basedOn w:val="Tipodeletrapredefinidodopargrafo"/>
    <w:link w:val="Estilo1"/>
    <w:rsid w:val="00C91DDE"/>
    <w:rPr>
      <w:rFonts w:ascii="Arial" w:hAnsi="Arial"/>
      <w:sz w:val="22"/>
      <w:szCs w:val="22"/>
      <w:lang w:eastAsia="en-US"/>
    </w:rPr>
  </w:style>
  <w:style w:type="character" w:customStyle="1" w:styleId="TextodebaloCarcter">
    <w:name w:val="Texto de balão Carácter"/>
    <w:basedOn w:val="Tipodeletrapredefinidodopargrafo"/>
    <w:link w:val="Textodebalo"/>
    <w:uiPriority w:val="99"/>
    <w:semiHidden/>
    <w:rsid w:val="008504D5"/>
    <w:rPr>
      <w:rFonts w:ascii="Tahoma" w:hAnsi="Tahoma" w:cs="Tahoma"/>
      <w:sz w:val="16"/>
      <w:szCs w:val="16"/>
      <w:lang w:eastAsia="en-US"/>
    </w:rPr>
  </w:style>
  <w:style w:type="paragraph" w:styleId="Legenda">
    <w:name w:val="caption"/>
    <w:basedOn w:val="Normal"/>
    <w:next w:val="Normal"/>
    <w:link w:val="LegendaCarcter"/>
    <w:unhideWhenUsed/>
    <w:qFormat/>
    <w:rsid w:val="00120973"/>
    <w:pPr>
      <w:spacing w:before="240" w:after="240"/>
      <w:jc w:val="left"/>
    </w:pPr>
    <w:rPr>
      <w:b/>
      <w:bCs/>
      <w:sz w:val="16"/>
      <w:szCs w:val="20"/>
    </w:rPr>
  </w:style>
  <w:style w:type="paragraph" w:styleId="PargrafodaLista">
    <w:name w:val="List Paragraph"/>
    <w:basedOn w:val="Normal"/>
    <w:uiPriority w:val="34"/>
    <w:qFormat/>
    <w:rsid w:val="00085817"/>
    <w:pPr>
      <w:ind w:left="708"/>
    </w:pPr>
  </w:style>
  <w:style w:type="paragraph" w:styleId="Ttulo">
    <w:name w:val="Title"/>
    <w:basedOn w:val="Normal"/>
    <w:next w:val="Normal"/>
    <w:link w:val="TtuloCarcter"/>
    <w:uiPriority w:val="10"/>
    <w:qFormat/>
    <w:rsid w:val="001A146F"/>
    <w:pPr>
      <w:spacing w:before="240" w:after="60"/>
      <w:jc w:val="center"/>
      <w:outlineLvl w:val="0"/>
    </w:pPr>
    <w:rPr>
      <w:rFonts w:ascii="Cambria" w:eastAsia="Times New Roman" w:hAnsi="Cambria" w:cs="Times New Roman"/>
      <w:b/>
      <w:bCs/>
      <w:kern w:val="28"/>
      <w:sz w:val="32"/>
      <w:szCs w:val="32"/>
    </w:rPr>
  </w:style>
  <w:style w:type="character" w:customStyle="1" w:styleId="TtuloCarcter">
    <w:name w:val="Título Carácter"/>
    <w:basedOn w:val="Tipodeletrapredefinidodopargrafo"/>
    <w:link w:val="Ttulo"/>
    <w:uiPriority w:val="10"/>
    <w:rsid w:val="001A146F"/>
    <w:rPr>
      <w:rFonts w:ascii="Cambria" w:eastAsia="Times New Roman" w:hAnsi="Cambria" w:cs="Times New Roman"/>
      <w:b/>
      <w:bCs/>
      <w:kern w:val="28"/>
      <w:sz w:val="32"/>
      <w:szCs w:val="32"/>
      <w:lang w:eastAsia="en-US"/>
    </w:rPr>
  </w:style>
  <w:style w:type="paragraph" w:styleId="Reviso">
    <w:name w:val="Revision"/>
    <w:hidden/>
    <w:uiPriority w:val="99"/>
    <w:semiHidden/>
    <w:rsid w:val="007D0F0A"/>
    <w:rPr>
      <w:rFonts w:ascii="Arial" w:hAnsi="Arial" w:cs="Arial"/>
      <w:sz w:val="22"/>
      <w:szCs w:val="22"/>
      <w:shd w:val="clear" w:color="auto" w:fill="FFFFFF"/>
      <w:lang w:eastAsia="en-US"/>
    </w:rPr>
  </w:style>
  <w:style w:type="character" w:styleId="Refdecomentrio">
    <w:name w:val="annotation reference"/>
    <w:basedOn w:val="Tipodeletrapredefinidodopargrafo"/>
    <w:uiPriority w:val="99"/>
    <w:semiHidden/>
    <w:unhideWhenUsed/>
    <w:rsid w:val="007D0F0A"/>
    <w:rPr>
      <w:sz w:val="16"/>
      <w:szCs w:val="16"/>
    </w:rPr>
  </w:style>
  <w:style w:type="paragraph" w:styleId="Textodecomentrio">
    <w:name w:val="annotation text"/>
    <w:basedOn w:val="Normal"/>
    <w:link w:val="TextodecomentrioCarcter"/>
    <w:uiPriority w:val="99"/>
    <w:semiHidden/>
    <w:unhideWhenUsed/>
    <w:rsid w:val="007D0F0A"/>
    <w:rPr>
      <w:sz w:val="20"/>
      <w:szCs w:val="20"/>
    </w:rPr>
  </w:style>
  <w:style w:type="character" w:customStyle="1" w:styleId="TextodecomentrioCarcter">
    <w:name w:val="Texto de comentário Carácter"/>
    <w:basedOn w:val="Tipodeletrapredefinidodopargrafo"/>
    <w:link w:val="Textodecomentrio"/>
    <w:uiPriority w:val="99"/>
    <w:semiHidden/>
    <w:rsid w:val="007D0F0A"/>
    <w:rPr>
      <w:rFonts w:ascii="Arial" w:hAnsi="Arial" w:cs="Arial"/>
      <w:lang w:eastAsia="en-US"/>
    </w:rPr>
  </w:style>
  <w:style w:type="paragraph" w:styleId="Assuntodecomentrio">
    <w:name w:val="annotation subject"/>
    <w:basedOn w:val="Textodecomentrio"/>
    <w:next w:val="Textodecomentrio"/>
    <w:link w:val="AssuntodecomentrioCarcter"/>
    <w:uiPriority w:val="99"/>
    <w:semiHidden/>
    <w:unhideWhenUsed/>
    <w:rsid w:val="007D0F0A"/>
    <w:rPr>
      <w:b/>
      <w:bCs/>
    </w:rPr>
  </w:style>
  <w:style w:type="character" w:customStyle="1" w:styleId="AssuntodecomentrioCarcter">
    <w:name w:val="Assunto de comentário Carácter"/>
    <w:basedOn w:val="TextodecomentrioCarcter"/>
    <w:link w:val="Assuntodecomentrio"/>
    <w:uiPriority w:val="99"/>
    <w:semiHidden/>
    <w:rsid w:val="007D0F0A"/>
    <w:rPr>
      <w:b/>
      <w:bCs/>
    </w:rPr>
  </w:style>
  <w:style w:type="paragraph" w:styleId="Corpodetexto">
    <w:name w:val="Body Text"/>
    <w:basedOn w:val="Normal"/>
    <w:link w:val="CorpodetextoCarcter"/>
    <w:rsid w:val="00552A80"/>
    <w:pPr>
      <w:spacing w:after="0" w:line="240" w:lineRule="auto"/>
      <w:jc w:val="left"/>
    </w:pPr>
    <w:rPr>
      <w:rFonts w:ascii="Times New Roman" w:eastAsia="Times New Roman" w:hAnsi="Times New Roman" w:cs="Times New Roman"/>
      <w:i/>
      <w:sz w:val="20"/>
      <w:szCs w:val="20"/>
      <w:shd w:val="clear" w:color="auto" w:fill="auto"/>
    </w:rPr>
  </w:style>
  <w:style w:type="character" w:customStyle="1" w:styleId="CorpodetextoCarcter">
    <w:name w:val="Corpo de texto Carácter"/>
    <w:basedOn w:val="Tipodeletrapredefinidodopargrafo"/>
    <w:link w:val="Corpodetexto"/>
    <w:rsid w:val="00552A80"/>
    <w:rPr>
      <w:rFonts w:ascii="Times New Roman" w:eastAsia="Times New Roman" w:hAnsi="Times New Roman"/>
      <w:i/>
      <w:lang w:eastAsia="en-US"/>
    </w:rPr>
  </w:style>
  <w:style w:type="character" w:customStyle="1" w:styleId="Ttulo3Carcter">
    <w:name w:val="Título 3 Carácter"/>
    <w:basedOn w:val="Tipodeletrapredefinidodopargrafo"/>
    <w:link w:val="Ttulo3"/>
    <w:rsid w:val="00B86761"/>
    <w:rPr>
      <w:rFonts w:ascii="Arial" w:eastAsia="Times New Roman" w:hAnsi="Arial" w:cs="Arial"/>
      <w:b/>
      <w:iCs/>
      <w:sz w:val="22"/>
      <w:szCs w:val="26"/>
      <w:lang w:val="en-US"/>
    </w:rPr>
  </w:style>
  <w:style w:type="paragraph" w:customStyle="1" w:styleId="Quadro">
    <w:name w:val="Quadro"/>
    <w:basedOn w:val="Normal"/>
    <w:link w:val="QuadroCarcter"/>
    <w:autoRedefine/>
    <w:rsid w:val="001070E2"/>
    <w:pPr>
      <w:widowControl w:val="0"/>
      <w:tabs>
        <w:tab w:val="left" w:pos="3600"/>
      </w:tabs>
      <w:adjustRightInd w:val="0"/>
      <w:spacing w:before="240" w:after="120" w:line="240" w:lineRule="auto"/>
      <w:textAlignment w:val="baseline"/>
    </w:pPr>
    <w:rPr>
      <w:rFonts w:eastAsia="Times New Roman"/>
      <w:color w:val="000000"/>
      <w:sz w:val="24"/>
      <w:szCs w:val="24"/>
      <w:shd w:val="clear" w:color="auto" w:fill="auto"/>
      <w:lang w:eastAsia="pt-PT"/>
    </w:rPr>
  </w:style>
  <w:style w:type="character" w:customStyle="1" w:styleId="QuadroCarcter">
    <w:name w:val="Quadro Carácter"/>
    <w:basedOn w:val="Tipodeletrapredefinidodopargrafo"/>
    <w:link w:val="Quadro"/>
    <w:rsid w:val="001070E2"/>
    <w:rPr>
      <w:rFonts w:ascii="Arial" w:eastAsia="Times New Roman" w:hAnsi="Arial" w:cs="Arial"/>
      <w:color w:val="000000"/>
      <w:sz w:val="24"/>
      <w:szCs w:val="24"/>
    </w:rPr>
  </w:style>
  <w:style w:type="paragraph" w:customStyle="1" w:styleId="SemEspaamento1">
    <w:name w:val="Sem Espaçamento1"/>
    <w:qFormat/>
    <w:rsid w:val="00CC1A43"/>
    <w:rPr>
      <w:sz w:val="22"/>
      <w:szCs w:val="22"/>
      <w:lang w:eastAsia="en-US"/>
    </w:rPr>
  </w:style>
  <w:style w:type="paragraph" w:styleId="SemEspaamento">
    <w:name w:val="No Spacing"/>
    <w:qFormat/>
    <w:rsid w:val="00E92A8F"/>
    <w:rPr>
      <w:sz w:val="22"/>
      <w:szCs w:val="22"/>
      <w:lang w:eastAsia="en-US"/>
    </w:rPr>
  </w:style>
  <w:style w:type="paragraph" w:styleId="Corpodetexto2">
    <w:name w:val="Body Text 2"/>
    <w:basedOn w:val="Normal"/>
    <w:link w:val="Corpodetexto2Carcter"/>
    <w:uiPriority w:val="99"/>
    <w:semiHidden/>
    <w:unhideWhenUsed/>
    <w:rsid w:val="002F2B3B"/>
    <w:pPr>
      <w:spacing w:after="120" w:line="480" w:lineRule="auto"/>
    </w:pPr>
  </w:style>
  <w:style w:type="character" w:customStyle="1" w:styleId="Corpodetexto2Carcter">
    <w:name w:val="Corpo de texto 2 Carácter"/>
    <w:basedOn w:val="Tipodeletrapredefinidodopargrafo"/>
    <w:link w:val="Corpodetexto2"/>
    <w:uiPriority w:val="99"/>
    <w:semiHidden/>
    <w:rsid w:val="002F2B3B"/>
    <w:rPr>
      <w:rFonts w:ascii="Arial" w:hAnsi="Arial" w:cs="Arial"/>
      <w:sz w:val="22"/>
      <w:szCs w:val="22"/>
      <w:lang w:eastAsia="en-US"/>
    </w:rPr>
  </w:style>
  <w:style w:type="paragraph" w:styleId="Avanodecorpodetexto">
    <w:name w:val="Body Text Indent"/>
    <w:basedOn w:val="Normal"/>
    <w:link w:val="AvanodecorpodetextoCarcter"/>
    <w:uiPriority w:val="99"/>
    <w:semiHidden/>
    <w:unhideWhenUsed/>
    <w:rsid w:val="002F2B3B"/>
    <w:pPr>
      <w:spacing w:after="120"/>
      <w:ind w:left="283"/>
    </w:pPr>
  </w:style>
  <w:style w:type="character" w:customStyle="1" w:styleId="AvanodecorpodetextoCarcter">
    <w:name w:val="Avanço de corpo de texto Carácter"/>
    <w:basedOn w:val="Tipodeletrapredefinidodopargrafo"/>
    <w:link w:val="Avanodecorpodetexto"/>
    <w:uiPriority w:val="99"/>
    <w:semiHidden/>
    <w:rsid w:val="002F2B3B"/>
    <w:rPr>
      <w:rFonts w:ascii="Arial" w:hAnsi="Arial" w:cs="Arial"/>
      <w:sz w:val="22"/>
      <w:szCs w:val="22"/>
      <w:lang w:eastAsia="en-US"/>
    </w:rPr>
  </w:style>
  <w:style w:type="character" w:customStyle="1" w:styleId="Ttulo2Carcter">
    <w:name w:val="Título 2 Carácter"/>
    <w:basedOn w:val="Tipodeletrapredefinidodopargrafo"/>
    <w:link w:val="Ttulo2"/>
    <w:uiPriority w:val="99"/>
    <w:rsid w:val="00277AB0"/>
    <w:rPr>
      <w:rFonts w:ascii="Arial" w:eastAsia="Times New Roman" w:hAnsi="Arial" w:cs="Arial"/>
      <w:b/>
      <w:iCs/>
      <w:sz w:val="22"/>
      <w:szCs w:val="22"/>
    </w:rPr>
  </w:style>
  <w:style w:type="paragraph" w:customStyle="1" w:styleId="Capitulo">
    <w:name w:val="Capitulo"/>
    <w:basedOn w:val="Normal"/>
    <w:qFormat/>
    <w:rsid w:val="006D5FD2"/>
    <w:pPr>
      <w:pageBreakBefore/>
      <w:spacing w:before="240" w:after="600"/>
      <w:jc w:val="left"/>
    </w:pPr>
    <w:rPr>
      <w:b/>
      <w:smallCaps/>
      <w:sz w:val="24"/>
    </w:rPr>
  </w:style>
  <w:style w:type="character" w:customStyle="1" w:styleId="Ttulo1Carcter">
    <w:name w:val="Título 1 Carácter"/>
    <w:basedOn w:val="Tipodeletrapredefinidodopargrafo"/>
    <w:link w:val="Ttulo1"/>
    <w:uiPriority w:val="9"/>
    <w:rsid w:val="00277AB0"/>
    <w:rPr>
      <w:rFonts w:ascii="Arial" w:eastAsiaTheme="majorEastAsia" w:hAnsi="Arial" w:cstheme="majorBidi"/>
      <w:b/>
      <w:bCs/>
      <w:color w:val="000000" w:themeColor="text1"/>
      <w:sz w:val="22"/>
      <w:szCs w:val="28"/>
      <w:lang w:eastAsia="en-US"/>
    </w:rPr>
  </w:style>
  <w:style w:type="character" w:customStyle="1" w:styleId="Ttulo4Carcter">
    <w:name w:val="Título 4 Carácter"/>
    <w:basedOn w:val="Tipodeletrapredefinidodopargrafo"/>
    <w:link w:val="Ttulo4"/>
    <w:uiPriority w:val="9"/>
    <w:rsid w:val="00B73BBD"/>
    <w:rPr>
      <w:rFonts w:ascii="Arial" w:eastAsiaTheme="majorEastAsia" w:hAnsi="Arial" w:cstheme="majorBidi"/>
      <w:b/>
      <w:bCs/>
      <w:iCs/>
      <w:sz w:val="22"/>
      <w:szCs w:val="22"/>
      <w:lang w:eastAsia="en-US"/>
    </w:rPr>
  </w:style>
  <w:style w:type="character" w:customStyle="1" w:styleId="Ttulo5Carcter">
    <w:name w:val="Título 5 Carácter"/>
    <w:basedOn w:val="Tipodeletrapredefinidodopargrafo"/>
    <w:link w:val="Ttulo5"/>
    <w:uiPriority w:val="9"/>
    <w:rsid w:val="00755F18"/>
    <w:rPr>
      <w:rFonts w:asciiTheme="majorHAnsi" w:eastAsiaTheme="majorEastAsia" w:hAnsiTheme="majorHAnsi" w:cstheme="majorBidi"/>
      <w:color w:val="243F60" w:themeColor="accent1" w:themeShade="7F"/>
      <w:sz w:val="22"/>
      <w:szCs w:val="22"/>
      <w:lang w:eastAsia="en-US"/>
    </w:rPr>
  </w:style>
  <w:style w:type="character" w:customStyle="1" w:styleId="LegendaCarcter">
    <w:name w:val="Legenda Carácter"/>
    <w:basedOn w:val="Tipodeletrapredefinidodopargrafo"/>
    <w:link w:val="Legenda"/>
    <w:rsid w:val="00120973"/>
    <w:rPr>
      <w:rFonts w:ascii="Arial" w:hAnsi="Arial" w:cs="Arial"/>
      <w:b/>
      <w:bCs/>
      <w:sz w:val="16"/>
      <w:lang w:eastAsia="en-US"/>
    </w:rPr>
  </w:style>
  <w:style w:type="paragraph" w:styleId="ndice1">
    <w:name w:val="toc 1"/>
    <w:basedOn w:val="Normal"/>
    <w:next w:val="Normal"/>
    <w:autoRedefine/>
    <w:uiPriority w:val="39"/>
    <w:unhideWhenUsed/>
    <w:rsid w:val="00BC3BA3"/>
    <w:pPr>
      <w:spacing w:after="100"/>
    </w:pPr>
  </w:style>
  <w:style w:type="paragraph" w:styleId="ndice2">
    <w:name w:val="toc 2"/>
    <w:basedOn w:val="Normal"/>
    <w:next w:val="Normal"/>
    <w:autoRedefine/>
    <w:uiPriority w:val="39"/>
    <w:unhideWhenUsed/>
    <w:rsid w:val="00BC3BA3"/>
    <w:pPr>
      <w:spacing w:after="100"/>
      <w:ind w:left="220"/>
    </w:pPr>
  </w:style>
  <w:style w:type="paragraph" w:styleId="ndice3">
    <w:name w:val="toc 3"/>
    <w:basedOn w:val="Normal"/>
    <w:next w:val="Normal"/>
    <w:autoRedefine/>
    <w:uiPriority w:val="39"/>
    <w:unhideWhenUsed/>
    <w:rsid w:val="00BC3BA3"/>
    <w:pPr>
      <w:spacing w:after="100"/>
      <w:ind w:left="440"/>
    </w:pPr>
  </w:style>
  <w:style w:type="paragraph" w:styleId="ndice4">
    <w:name w:val="toc 4"/>
    <w:basedOn w:val="Normal"/>
    <w:next w:val="Normal"/>
    <w:autoRedefine/>
    <w:uiPriority w:val="39"/>
    <w:unhideWhenUsed/>
    <w:rsid w:val="00BC3BA3"/>
    <w:pPr>
      <w:spacing w:after="100"/>
      <w:ind w:left="660"/>
    </w:pPr>
  </w:style>
  <w:style w:type="paragraph" w:styleId="ndice5">
    <w:name w:val="toc 5"/>
    <w:basedOn w:val="Normal"/>
    <w:next w:val="Normal"/>
    <w:autoRedefine/>
    <w:uiPriority w:val="39"/>
    <w:unhideWhenUsed/>
    <w:rsid w:val="00BC3BA3"/>
    <w:pPr>
      <w:spacing w:after="100"/>
      <w:ind w:left="880"/>
    </w:pPr>
  </w:style>
  <w:style w:type="paragraph" w:styleId="ndice6">
    <w:name w:val="toc 6"/>
    <w:basedOn w:val="Normal"/>
    <w:next w:val="Normal"/>
    <w:autoRedefine/>
    <w:uiPriority w:val="39"/>
    <w:unhideWhenUsed/>
    <w:rsid w:val="00BC3BA3"/>
    <w:pPr>
      <w:spacing w:after="100"/>
      <w:ind w:left="1100"/>
    </w:pPr>
  </w:style>
  <w:style w:type="paragraph" w:styleId="ndicedeilustraes">
    <w:name w:val="table of figures"/>
    <w:basedOn w:val="Normal"/>
    <w:next w:val="Normal"/>
    <w:uiPriority w:val="99"/>
    <w:unhideWhenUsed/>
    <w:rsid w:val="00BC3BA3"/>
    <w:pPr>
      <w:spacing w:after="0"/>
    </w:pPr>
  </w:style>
  <w:style w:type="character" w:styleId="nfase">
    <w:name w:val="Emphasis"/>
    <w:basedOn w:val="Tipodeletrapredefinidodopargrafo"/>
    <w:uiPriority w:val="20"/>
    <w:qFormat/>
    <w:rsid w:val="0029501C"/>
    <w:rPr>
      <w:b/>
      <w:bCs/>
      <w:i w:val="0"/>
      <w:iCs w:val="0"/>
    </w:rPr>
  </w:style>
</w:styles>
</file>

<file path=word/webSettings.xml><?xml version="1.0" encoding="utf-8"?>
<w:webSettings xmlns:r="http://schemas.openxmlformats.org/officeDocument/2006/relationships" xmlns:w="http://schemas.openxmlformats.org/wordprocessingml/2006/main">
  <w:divs>
    <w:div w:id="546070214">
      <w:bodyDiv w:val="1"/>
      <w:marLeft w:val="0"/>
      <w:marRight w:val="0"/>
      <w:marTop w:val="0"/>
      <w:marBottom w:val="0"/>
      <w:divBdr>
        <w:top w:val="none" w:sz="0" w:space="0" w:color="auto"/>
        <w:left w:val="none" w:sz="0" w:space="0" w:color="auto"/>
        <w:bottom w:val="none" w:sz="0" w:space="0" w:color="auto"/>
        <w:right w:val="none" w:sz="0" w:space="0" w:color="auto"/>
      </w:divBdr>
      <w:divsChild>
        <w:div w:id="1888686028">
          <w:marLeft w:val="0"/>
          <w:marRight w:val="0"/>
          <w:marTop w:val="0"/>
          <w:marBottom w:val="0"/>
          <w:divBdr>
            <w:top w:val="none" w:sz="0" w:space="0" w:color="auto"/>
            <w:left w:val="none" w:sz="0" w:space="0" w:color="auto"/>
            <w:bottom w:val="none" w:sz="0" w:space="0" w:color="auto"/>
            <w:right w:val="none" w:sz="0" w:space="0" w:color="auto"/>
          </w:divBdr>
        </w:div>
      </w:divsChild>
    </w:div>
    <w:div w:id="634528243">
      <w:bodyDiv w:val="1"/>
      <w:marLeft w:val="0"/>
      <w:marRight w:val="0"/>
      <w:marTop w:val="0"/>
      <w:marBottom w:val="0"/>
      <w:divBdr>
        <w:top w:val="none" w:sz="0" w:space="0" w:color="auto"/>
        <w:left w:val="none" w:sz="0" w:space="0" w:color="auto"/>
        <w:bottom w:val="none" w:sz="0" w:space="0" w:color="auto"/>
        <w:right w:val="none" w:sz="0" w:space="0" w:color="auto"/>
      </w:divBdr>
      <w:divsChild>
        <w:div w:id="671102427">
          <w:marLeft w:val="60"/>
          <w:marRight w:val="60"/>
          <w:marTop w:val="23"/>
          <w:marBottom w:val="0"/>
          <w:divBdr>
            <w:top w:val="none" w:sz="0" w:space="0" w:color="auto"/>
            <w:left w:val="none" w:sz="0" w:space="0" w:color="auto"/>
            <w:bottom w:val="none" w:sz="0" w:space="0" w:color="auto"/>
            <w:right w:val="none" w:sz="0" w:space="0" w:color="auto"/>
          </w:divBdr>
          <w:divsChild>
            <w:div w:id="11283541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98257980">
      <w:bodyDiv w:val="1"/>
      <w:marLeft w:val="0"/>
      <w:marRight w:val="0"/>
      <w:marTop w:val="0"/>
      <w:marBottom w:val="0"/>
      <w:divBdr>
        <w:top w:val="none" w:sz="0" w:space="0" w:color="auto"/>
        <w:left w:val="none" w:sz="0" w:space="0" w:color="auto"/>
        <w:bottom w:val="none" w:sz="0" w:space="0" w:color="auto"/>
        <w:right w:val="none" w:sz="0" w:space="0" w:color="auto"/>
      </w:divBdr>
    </w:div>
    <w:div w:id="1130243608">
      <w:bodyDiv w:val="1"/>
      <w:marLeft w:val="0"/>
      <w:marRight w:val="0"/>
      <w:marTop w:val="0"/>
      <w:marBottom w:val="0"/>
      <w:divBdr>
        <w:top w:val="none" w:sz="0" w:space="0" w:color="auto"/>
        <w:left w:val="none" w:sz="0" w:space="0" w:color="auto"/>
        <w:bottom w:val="none" w:sz="0" w:space="0" w:color="auto"/>
        <w:right w:val="none" w:sz="0" w:space="0" w:color="auto"/>
      </w:divBdr>
      <w:divsChild>
        <w:div w:id="1139421743">
          <w:marLeft w:val="60"/>
          <w:marRight w:val="60"/>
          <w:marTop w:val="23"/>
          <w:marBottom w:val="0"/>
          <w:divBdr>
            <w:top w:val="none" w:sz="0" w:space="0" w:color="auto"/>
            <w:left w:val="none" w:sz="0" w:space="0" w:color="auto"/>
            <w:bottom w:val="none" w:sz="0" w:space="0" w:color="auto"/>
            <w:right w:val="none" w:sz="0" w:space="0" w:color="auto"/>
          </w:divBdr>
          <w:divsChild>
            <w:div w:id="713162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83130631">
      <w:bodyDiv w:val="1"/>
      <w:marLeft w:val="0"/>
      <w:marRight w:val="0"/>
      <w:marTop w:val="0"/>
      <w:marBottom w:val="0"/>
      <w:divBdr>
        <w:top w:val="none" w:sz="0" w:space="0" w:color="auto"/>
        <w:left w:val="none" w:sz="0" w:space="0" w:color="auto"/>
        <w:bottom w:val="none" w:sz="0" w:space="0" w:color="auto"/>
        <w:right w:val="none" w:sz="0" w:space="0" w:color="auto"/>
      </w:divBdr>
      <w:divsChild>
        <w:div w:id="1933050996">
          <w:marLeft w:val="120"/>
          <w:marRight w:val="120"/>
          <w:marTop w:val="45"/>
          <w:marBottom w:val="0"/>
          <w:divBdr>
            <w:top w:val="none" w:sz="0" w:space="0" w:color="auto"/>
            <w:left w:val="none" w:sz="0" w:space="0" w:color="auto"/>
            <w:bottom w:val="none" w:sz="0" w:space="0" w:color="auto"/>
            <w:right w:val="none" w:sz="0" w:space="0" w:color="auto"/>
          </w:divBdr>
          <w:divsChild>
            <w:div w:id="2062754428">
              <w:marLeft w:val="2400"/>
              <w:marRight w:val="0"/>
              <w:marTop w:val="0"/>
              <w:marBottom w:val="0"/>
              <w:divBdr>
                <w:top w:val="none" w:sz="0" w:space="0" w:color="auto"/>
                <w:left w:val="single" w:sz="6" w:space="17" w:color="C9D7F1"/>
                <w:bottom w:val="none" w:sz="0" w:space="0" w:color="auto"/>
                <w:right w:val="none" w:sz="0" w:space="0" w:color="auto"/>
              </w:divBdr>
              <w:divsChild>
                <w:div w:id="1500728840">
                  <w:marLeft w:val="75"/>
                  <w:marRight w:val="0"/>
                  <w:marTop w:val="225"/>
                  <w:marBottom w:val="75"/>
                  <w:divBdr>
                    <w:top w:val="none" w:sz="0" w:space="0" w:color="auto"/>
                    <w:left w:val="none" w:sz="0" w:space="0" w:color="auto"/>
                    <w:bottom w:val="none" w:sz="0" w:space="0" w:color="auto"/>
                    <w:right w:val="none" w:sz="0" w:space="0" w:color="auto"/>
                  </w:divBdr>
                  <w:divsChild>
                    <w:div w:id="875192472">
                      <w:marLeft w:val="0"/>
                      <w:marRight w:val="0"/>
                      <w:marTop w:val="0"/>
                      <w:marBottom w:val="0"/>
                      <w:divBdr>
                        <w:top w:val="none" w:sz="0" w:space="0" w:color="auto"/>
                        <w:left w:val="none" w:sz="0" w:space="0" w:color="auto"/>
                        <w:bottom w:val="none" w:sz="0" w:space="0" w:color="auto"/>
                        <w:right w:val="none" w:sz="0" w:space="0" w:color="auto"/>
                      </w:divBdr>
                      <w:divsChild>
                        <w:div w:id="744373303">
                          <w:marLeft w:val="0"/>
                          <w:marRight w:val="90"/>
                          <w:marTop w:val="30"/>
                          <w:marBottom w:val="0"/>
                          <w:divBdr>
                            <w:top w:val="none" w:sz="0" w:space="0" w:color="auto"/>
                            <w:left w:val="none" w:sz="0" w:space="0" w:color="auto"/>
                            <w:bottom w:val="none" w:sz="0" w:space="0" w:color="auto"/>
                            <w:right w:val="none" w:sz="0" w:space="0" w:color="auto"/>
                          </w:divBdr>
                        </w:div>
                      </w:divsChild>
                    </w:div>
                  </w:divsChild>
                </w:div>
                <w:div w:id="2063671044">
                  <w:marLeft w:val="0"/>
                  <w:marRight w:val="0"/>
                  <w:marTop w:val="0"/>
                  <w:marBottom w:val="0"/>
                  <w:divBdr>
                    <w:top w:val="none" w:sz="0" w:space="0" w:color="auto"/>
                    <w:left w:val="none" w:sz="0" w:space="0" w:color="auto"/>
                    <w:bottom w:val="none" w:sz="0" w:space="0" w:color="auto"/>
                    <w:right w:val="none" w:sz="0" w:space="0" w:color="auto"/>
                  </w:divBdr>
                </w:div>
                <w:div w:id="2140495398">
                  <w:marLeft w:val="0"/>
                  <w:marRight w:val="0"/>
                  <w:marTop w:val="90"/>
                  <w:marBottom w:val="0"/>
                  <w:divBdr>
                    <w:top w:val="none" w:sz="0" w:space="0" w:color="auto"/>
                    <w:left w:val="none" w:sz="0" w:space="0" w:color="auto"/>
                    <w:bottom w:val="none" w:sz="0" w:space="0" w:color="auto"/>
                    <w:right w:val="none" w:sz="0" w:space="0" w:color="auto"/>
                  </w:divBdr>
                  <w:divsChild>
                    <w:div w:id="775565457">
                      <w:marLeft w:val="0"/>
                      <w:marRight w:val="0"/>
                      <w:marTop w:val="0"/>
                      <w:marBottom w:val="0"/>
                      <w:divBdr>
                        <w:top w:val="none" w:sz="0" w:space="0" w:color="auto"/>
                        <w:left w:val="none" w:sz="0" w:space="0" w:color="auto"/>
                        <w:bottom w:val="none" w:sz="0" w:space="0" w:color="auto"/>
                        <w:right w:val="none" w:sz="0" w:space="0" w:color="auto"/>
                      </w:divBdr>
                    </w:div>
                    <w:div w:id="10935543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image" Target="media/image2.jpeg"/><Relationship Id="rId18" Type="http://schemas.openxmlformats.org/officeDocument/2006/relationships/image" Target="media/image7.emf"/><Relationship Id="rId26" Type="http://schemas.openxmlformats.org/officeDocument/2006/relationships/image" Target="media/image15.jpeg"/><Relationship Id="rId3" Type="http://schemas.openxmlformats.org/officeDocument/2006/relationships/styles" Target="styles.xml"/><Relationship Id="rId21" Type="http://schemas.openxmlformats.org/officeDocument/2006/relationships/image" Target="media/image10.jpeg"/><Relationship Id="rId34" Type="http://schemas.openxmlformats.org/officeDocument/2006/relationships/image" Target="media/image23.jpeg"/><Relationship Id="rId7" Type="http://schemas.openxmlformats.org/officeDocument/2006/relationships/endnotes" Target="endnotes.xml"/><Relationship Id="rId12" Type="http://schemas.openxmlformats.org/officeDocument/2006/relationships/footer" Target="footer3.xml"/><Relationship Id="rId17" Type="http://schemas.openxmlformats.org/officeDocument/2006/relationships/image" Target="media/image6.jpeg"/><Relationship Id="rId25" Type="http://schemas.openxmlformats.org/officeDocument/2006/relationships/image" Target="media/image14.jpeg"/><Relationship Id="rId33" Type="http://schemas.openxmlformats.org/officeDocument/2006/relationships/image" Target="media/image22.jpeg"/><Relationship Id="rId38"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image" Target="media/image5.jpeg"/><Relationship Id="rId20" Type="http://schemas.openxmlformats.org/officeDocument/2006/relationships/image" Target="media/image9.emf"/><Relationship Id="rId29" Type="http://schemas.openxmlformats.org/officeDocument/2006/relationships/image" Target="media/image18.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24" Type="http://schemas.openxmlformats.org/officeDocument/2006/relationships/image" Target="media/image13.jpeg"/><Relationship Id="rId32" Type="http://schemas.openxmlformats.org/officeDocument/2006/relationships/image" Target="media/image21.emf"/><Relationship Id="rId37"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image" Target="media/image4.jpeg"/><Relationship Id="rId23" Type="http://schemas.openxmlformats.org/officeDocument/2006/relationships/image" Target="media/image12.jpeg"/><Relationship Id="rId28" Type="http://schemas.openxmlformats.org/officeDocument/2006/relationships/image" Target="media/image17.jpeg"/><Relationship Id="rId36" Type="http://schemas.openxmlformats.org/officeDocument/2006/relationships/footer" Target="footer5.xml"/><Relationship Id="rId10" Type="http://schemas.openxmlformats.org/officeDocument/2006/relationships/footer" Target="footer2.xml"/><Relationship Id="rId19" Type="http://schemas.openxmlformats.org/officeDocument/2006/relationships/image" Target="media/image8.emf"/><Relationship Id="rId31" Type="http://schemas.openxmlformats.org/officeDocument/2006/relationships/image" Target="media/image20.emf"/><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image" Target="media/image3.jpeg"/><Relationship Id="rId22" Type="http://schemas.openxmlformats.org/officeDocument/2006/relationships/image" Target="media/image11.emf"/><Relationship Id="rId27" Type="http://schemas.openxmlformats.org/officeDocument/2006/relationships/image" Target="media/image16.jpeg"/><Relationship Id="rId30" Type="http://schemas.openxmlformats.org/officeDocument/2006/relationships/image" Target="media/image19.jpeg"/><Relationship Id="rId35" Type="http://schemas.openxmlformats.org/officeDocument/2006/relationships/footer" Target="footer4.xml"/></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1CD8DFD-4444-483F-B727-2050E3B4635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364</TotalTime>
  <Pages>1</Pages>
  <Words>18967</Words>
  <Characters>102427</Characters>
  <Application>Microsoft Office Word</Application>
  <DocSecurity>0</DocSecurity>
  <Lines>853</Lines>
  <Paragraphs>242</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
      <vt:lpstr/>
    </vt:vector>
  </TitlesOfParts>
  <Company>TOSHIBA</Company>
  <LinksUpToDate>false</LinksUpToDate>
  <CharactersWithSpaces>121152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João</dc:creator>
  <cp:lastModifiedBy>João</cp:lastModifiedBy>
  <cp:revision>7</cp:revision>
  <cp:lastPrinted>2010-08-31T23:37:00Z</cp:lastPrinted>
  <dcterms:created xsi:type="dcterms:W3CDTF">2010-08-30T15:22:00Z</dcterms:created>
  <dcterms:modified xsi:type="dcterms:W3CDTF">2010-08-31T23:37:00Z</dcterms:modified>
</cp:coreProperties>
</file>