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523E" w:rsidRPr="0029523E" w:rsidRDefault="0029523E" w:rsidP="0029523E">
      <w:pPr>
        <w:pStyle w:val="TOC1"/>
      </w:pPr>
      <w:bookmarkStart w:id="0" w:name="_Toc199959419"/>
      <w:r w:rsidRPr="0029523E">
        <w:t>Índice</w:t>
      </w:r>
    </w:p>
    <w:p w:rsidR="002A56EA" w:rsidRDefault="002A56EA">
      <w:pPr>
        <w:pStyle w:val="TOC1"/>
      </w:pPr>
    </w:p>
    <w:p w:rsidR="00686A0A" w:rsidRDefault="0048473F">
      <w:pPr>
        <w:pStyle w:val="TOC1"/>
        <w:rPr>
          <w:rFonts w:asciiTheme="minorHAnsi" w:eastAsiaTheme="minorEastAsia" w:hAnsiTheme="minorHAnsi" w:cstheme="minorBidi"/>
          <w:b w:val="0"/>
          <w:noProof/>
          <w:szCs w:val="22"/>
          <w:lang w:val="pt-PT" w:eastAsia="pt-PT"/>
        </w:rPr>
      </w:pPr>
      <w:r w:rsidRPr="0048473F">
        <w:fldChar w:fldCharType="begin"/>
      </w:r>
      <w:r w:rsidR="00420EEE">
        <w:instrText xml:space="preserve"> TOC \o "1-4" \h \z \u </w:instrText>
      </w:r>
      <w:r w:rsidRPr="0048473F">
        <w:fldChar w:fldCharType="separate"/>
      </w:r>
      <w:hyperlink w:anchor="_Toc220484446" w:history="1">
        <w:r w:rsidR="00686A0A" w:rsidRPr="006F04E8">
          <w:rPr>
            <w:rStyle w:val="Hyperlink"/>
            <w:noProof/>
          </w:rPr>
          <w:t>1.</w:t>
        </w:r>
        <w:r w:rsidR="00686A0A">
          <w:rPr>
            <w:rFonts w:asciiTheme="minorHAnsi" w:eastAsiaTheme="minorEastAsia" w:hAnsiTheme="minorHAnsi" w:cstheme="minorBidi"/>
            <w:b w:val="0"/>
            <w:noProof/>
            <w:szCs w:val="22"/>
            <w:lang w:val="pt-PT" w:eastAsia="pt-PT"/>
          </w:rPr>
          <w:tab/>
        </w:r>
        <w:r w:rsidR="00686A0A" w:rsidRPr="006F04E8">
          <w:rPr>
            <w:rStyle w:val="Hyperlink"/>
            <w:noProof/>
          </w:rPr>
          <w:t>As políticas públicas da Justiça e a provisão pública de serviços judiciais de resolução de litígios</w:t>
        </w:r>
        <w:r w:rsidR="00686A0A">
          <w:rPr>
            <w:noProof/>
            <w:webHidden/>
          </w:rPr>
          <w:tab/>
        </w:r>
        <w:r>
          <w:rPr>
            <w:noProof/>
            <w:webHidden/>
          </w:rPr>
          <w:fldChar w:fldCharType="begin"/>
        </w:r>
        <w:r w:rsidR="00686A0A">
          <w:rPr>
            <w:noProof/>
            <w:webHidden/>
          </w:rPr>
          <w:instrText xml:space="preserve"> PAGEREF _Toc220484446 \h </w:instrText>
        </w:r>
        <w:r>
          <w:rPr>
            <w:noProof/>
            <w:webHidden/>
          </w:rPr>
        </w:r>
        <w:r>
          <w:rPr>
            <w:noProof/>
            <w:webHidden/>
          </w:rPr>
          <w:fldChar w:fldCharType="separate"/>
        </w:r>
        <w:r w:rsidR="00686A0A">
          <w:rPr>
            <w:noProof/>
            <w:webHidden/>
          </w:rPr>
          <w:t>5</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47" w:history="1">
        <w:r w:rsidR="00686A0A" w:rsidRPr="006F04E8">
          <w:rPr>
            <w:rStyle w:val="Hyperlink"/>
            <w:noProof/>
          </w:rPr>
          <w:t>1.1. Introdução</w:t>
        </w:r>
        <w:r w:rsidR="00686A0A">
          <w:rPr>
            <w:noProof/>
            <w:webHidden/>
          </w:rPr>
          <w:tab/>
        </w:r>
        <w:r>
          <w:rPr>
            <w:noProof/>
            <w:webHidden/>
          </w:rPr>
          <w:fldChar w:fldCharType="begin"/>
        </w:r>
        <w:r w:rsidR="00686A0A">
          <w:rPr>
            <w:noProof/>
            <w:webHidden/>
          </w:rPr>
          <w:instrText xml:space="preserve"> PAGEREF _Toc220484447 \h </w:instrText>
        </w:r>
        <w:r>
          <w:rPr>
            <w:noProof/>
            <w:webHidden/>
          </w:rPr>
        </w:r>
        <w:r>
          <w:rPr>
            <w:noProof/>
            <w:webHidden/>
          </w:rPr>
          <w:fldChar w:fldCharType="separate"/>
        </w:r>
        <w:r w:rsidR="00686A0A">
          <w:rPr>
            <w:noProof/>
            <w:webHidden/>
          </w:rPr>
          <w:t>5</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48" w:history="1">
        <w:r w:rsidR="00686A0A" w:rsidRPr="006F04E8">
          <w:rPr>
            <w:rStyle w:val="Hyperlink"/>
            <w:noProof/>
          </w:rPr>
          <w:t>1.2. Crescimento económico, reformas do sector da Justiça e avaliação do sistema judicial</w:t>
        </w:r>
        <w:r w:rsidR="00686A0A">
          <w:rPr>
            <w:noProof/>
            <w:webHidden/>
          </w:rPr>
          <w:tab/>
        </w:r>
        <w:r>
          <w:rPr>
            <w:noProof/>
            <w:webHidden/>
          </w:rPr>
          <w:fldChar w:fldCharType="begin"/>
        </w:r>
        <w:r w:rsidR="00686A0A">
          <w:rPr>
            <w:noProof/>
            <w:webHidden/>
          </w:rPr>
          <w:instrText xml:space="preserve"> PAGEREF _Toc220484448 \h </w:instrText>
        </w:r>
        <w:r>
          <w:rPr>
            <w:noProof/>
            <w:webHidden/>
          </w:rPr>
        </w:r>
        <w:r>
          <w:rPr>
            <w:noProof/>
            <w:webHidden/>
          </w:rPr>
          <w:fldChar w:fldCharType="separate"/>
        </w:r>
        <w:r w:rsidR="00686A0A">
          <w:rPr>
            <w:noProof/>
            <w:webHidden/>
          </w:rPr>
          <w:t>6</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49" w:history="1">
        <w:r w:rsidR="00686A0A" w:rsidRPr="006F04E8">
          <w:rPr>
            <w:rStyle w:val="Hyperlink"/>
            <w:noProof/>
          </w:rPr>
          <w:t>1.3. A provisão pública de serviços judiciais de resolução de litígios</w:t>
        </w:r>
        <w:r w:rsidR="00686A0A">
          <w:rPr>
            <w:noProof/>
            <w:webHidden/>
          </w:rPr>
          <w:tab/>
        </w:r>
        <w:r>
          <w:rPr>
            <w:noProof/>
            <w:webHidden/>
          </w:rPr>
          <w:fldChar w:fldCharType="begin"/>
        </w:r>
        <w:r w:rsidR="00686A0A">
          <w:rPr>
            <w:noProof/>
            <w:webHidden/>
          </w:rPr>
          <w:instrText xml:space="preserve"> PAGEREF _Toc220484449 \h </w:instrText>
        </w:r>
        <w:r>
          <w:rPr>
            <w:noProof/>
            <w:webHidden/>
          </w:rPr>
        </w:r>
        <w:r>
          <w:rPr>
            <w:noProof/>
            <w:webHidden/>
          </w:rPr>
          <w:fldChar w:fldCharType="separate"/>
        </w:r>
        <w:r w:rsidR="00686A0A">
          <w:rPr>
            <w:noProof/>
            <w:webHidden/>
          </w:rPr>
          <w:t>8</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50" w:history="1">
        <w:r w:rsidR="00686A0A" w:rsidRPr="006F04E8">
          <w:rPr>
            <w:rStyle w:val="Hyperlink"/>
            <w:noProof/>
          </w:rPr>
          <w:t>1.4. Estrutura da tese</w:t>
        </w:r>
        <w:r w:rsidR="00686A0A">
          <w:rPr>
            <w:noProof/>
            <w:webHidden/>
          </w:rPr>
          <w:tab/>
        </w:r>
        <w:r>
          <w:rPr>
            <w:noProof/>
            <w:webHidden/>
          </w:rPr>
          <w:fldChar w:fldCharType="begin"/>
        </w:r>
        <w:r w:rsidR="00686A0A">
          <w:rPr>
            <w:noProof/>
            <w:webHidden/>
          </w:rPr>
          <w:instrText xml:space="preserve"> PAGEREF _Toc220484450 \h </w:instrText>
        </w:r>
        <w:r>
          <w:rPr>
            <w:noProof/>
            <w:webHidden/>
          </w:rPr>
        </w:r>
        <w:r>
          <w:rPr>
            <w:noProof/>
            <w:webHidden/>
          </w:rPr>
          <w:fldChar w:fldCharType="separate"/>
        </w:r>
        <w:r w:rsidR="00686A0A">
          <w:rPr>
            <w:noProof/>
            <w:webHidden/>
          </w:rPr>
          <w:t>9</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51" w:history="1">
        <w:r w:rsidR="00686A0A" w:rsidRPr="006F04E8">
          <w:rPr>
            <w:rStyle w:val="Hyperlink"/>
            <w:noProof/>
          </w:rPr>
          <w:t>2.</w:t>
        </w:r>
        <w:r w:rsidR="00686A0A">
          <w:rPr>
            <w:rFonts w:asciiTheme="minorHAnsi" w:eastAsiaTheme="minorEastAsia" w:hAnsiTheme="minorHAnsi" w:cstheme="minorBidi"/>
            <w:b w:val="0"/>
            <w:noProof/>
            <w:szCs w:val="22"/>
            <w:lang w:val="pt-PT" w:eastAsia="pt-PT"/>
          </w:rPr>
          <w:tab/>
        </w:r>
        <w:r w:rsidR="00686A0A" w:rsidRPr="006F04E8">
          <w:rPr>
            <w:rStyle w:val="Hyperlink"/>
            <w:noProof/>
          </w:rPr>
          <w:t>Organização e evolução do sistema judicial</w:t>
        </w:r>
        <w:r w:rsidR="00686A0A">
          <w:rPr>
            <w:noProof/>
            <w:webHidden/>
          </w:rPr>
          <w:tab/>
        </w:r>
        <w:r>
          <w:rPr>
            <w:noProof/>
            <w:webHidden/>
          </w:rPr>
          <w:fldChar w:fldCharType="begin"/>
        </w:r>
        <w:r w:rsidR="00686A0A">
          <w:rPr>
            <w:noProof/>
            <w:webHidden/>
          </w:rPr>
          <w:instrText xml:space="preserve"> PAGEREF _Toc220484451 \h </w:instrText>
        </w:r>
        <w:r>
          <w:rPr>
            <w:noProof/>
            <w:webHidden/>
          </w:rPr>
        </w:r>
        <w:r>
          <w:rPr>
            <w:noProof/>
            <w:webHidden/>
          </w:rPr>
          <w:fldChar w:fldCharType="separate"/>
        </w:r>
        <w:r w:rsidR="00686A0A">
          <w:rPr>
            <w:noProof/>
            <w:webHidden/>
          </w:rPr>
          <w:t>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52" w:history="1">
        <w:r w:rsidR="00686A0A" w:rsidRPr="006F04E8">
          <w:rPr>
            <w:rStyle w:val="Hyperlink"/>
            <w:noProof/>
          </w:rPr>
          <w:t>2.1. Introdução</w:t>
        </w:r>
        <w:r w:rsidR="00686A0A">
          <w:rPr>
            <w:noProof/>
            <w:webHidden/>
          </w:rPr>
          <w:tab/>
        </w:r>
        <w:r>
          <w:rPr>
            <w:noProof/>
            <w:webHidden/>
          </w:rPr>
          <w:fldChar w:fldCharType="begin"/>
        </w:r>
        <w:r w:rsidR="00686A0A">
          <w:rPr>
            <w:noProof/>
            <w:webHidden/>
          </w:rPr>
          <w:instrText xml:space="preserve"> PAGEREF _Toc220484452 \h </w:instrText>
        </w:r>
        <w:r>
          <w:rPr>
            <w:noProof/>
            <w:webHidden/>
          </w:rPr>
        </w:r>
        <w:r>
          <w:rPr>
            <w:noProof/>
            <w:webHidden/>
          </w:rPr>
          <w:fldChar w:fldCharType="separate"/>
        </w:r>
        <w:r w:rsidR="00686A0A">
          <w:rPr>
            <w:noProof/>
            <w:webHidden/>
          </w:rPr>
          <w:t>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53" w:history="1">
        <w:r w:rsidR="00686A0A" w:rsidRPr="006F04E8">
          <w:rPr>
            <w:rStyle w:val="Hyperlink"/>
            <w:noProof/>
          </w:rPr>
          <w:t>2.2. A organização do sistema judicial português</w:t>
        </w:r>
        <w:r w:rsidR="00686A0A">
          <w:rPr>
            <w:noProof/>
            <w:webHidden/>
          </w:rPr>
          <w:tab/>
        </w:r>
        <w:r>
          <w:rPr>
            <w:noProof/>
            <w:webHidden/>
          </w:rPr>
          <w:fldChar w:fldCharType="begin"/>
        </w:r>
        <w:r w:rsidR="00686A0A">
          <w:rPr>
            <w:noProof/>
            <w:webHidden/>
          </w:rPr>
          <w:instrText xml:space="preserve"> PAGEREF _Toc220484453 \h </w:instrText>
        </w:r>
        <w:r>
          <w:rPr>
            <w:noProof/>
            <w:webHidden/>
          </w:rPr>
        </w:r>
        <w:r>
          <w:rPr>
            <w:noProof/>
            <w:webHidden/>
          </w:rPr>
          <w:fldChar w:fldCharType="separate"/>
        </w:r>
        <w:r w:rsidR="00686A0A">
          <w:rPr>
            <w:noProof/>
            <w:webHidden/>
          </w:rPr>
          <w:t>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54" w:history="1">
        <w:r w:rsidR="00686A0A" w:rsidRPr="006F04E8">
          <w:rPr>
            <w:rStyle w:val="Hyperlink"/>
            <w:noProof/>
          </w:rPr>
          <w:t>2.3. Evolução do sistema judicial no período 1991-2006</w:t>
        </w:r>
        <w:r w:rsidR="00686A0A">
          <w:rPr>
            <w:noProof/>
            <w:webHidden/>
          </w:rPr>
          <w:tab/>
        </w:r>
        <w:r>
          <w:rPr>
            <w:noProof/>
            <w:webHidden/>
          </w:rPr>
          <w:fldChar w:fldCharType="begin"/>
        </w:r>
        <w:r w:rsidR="00686A0A">
          <w:rPr>
            <w:noProof/>
            <w:webHidden/>
          </w:rPr>
          <w:instrText xml:space="preserve"> PAGEREF _Toc220484454 \h </w:instrText>
        </w:r>
        <w:r>
          <w:rPr>
            <w:noProof/>
            <w:webHidden/>
          </w:rPr>
        </w:r>
        <w:r>
          <w:rPr>
            <w:noProof/>
            <w:webHidden/>
          </w:rPr>
          <w:fldChar w:fldCharType="separate"/>
        </w:r>
        <w:r w:rsidR="00686A0A">
          <w:rPr>
            <w:noProof/>
            <w:webHidden/>
          </w:rPr>
          <w:t>15</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55" w:history="1">
        <w:r w:rsidR="00686A0A" w:rsidRPr="006F04E8">
          <w:rPr>
            <w:rStyle w:val="Hyperlink"/>
            <w:noProof/>
          </w:rPr>
          <w:t>2.3.1. Tribunais</w:t>
        </w:r>
        <w:r w:rsidR="00686A0A">
          <w:rPr>
            <w:noProof/>
            <w:webHidden/>
          </w:rPr>
          <w:tab/>
        </w:r>
        <w:r>
          <w:rPr>
            <w:noProof/>
            <w:webHidden/>
          </w:rPr>
          <w:fldChar w:fldCharType="begin"/>
        </w:r>
        <w:r w:rsidR="00686A0A">
          <w:rPr>
            <w:noProof/>
            <w:webHidden/>
          </w:rPr>
          <w:instrText xml:space="preserve"> PAGEREF _Toc220484455 \h </w:instrText>
        </w:r>
        <w:r>
          <w:rPr>
            <w:noProof/>
            <w:webHidden/>
          </w:rPr>
        </w:r>
        <w:r>
          <w:rPr>
            <w:noProof/>
            <w:webHidden/>
          </w:rPr>
          <w:fldChar w:fldCharType="separate"/>
        </w:r>
        <w:r w:rsidR="00686A0A">
          <w:rPr>
            <w:noProof/>
            <w:webHidden/>
          </w:rPr>
          <w:t>15</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56" w:history="1">
        <w:r w:rsidR="00686A0A" w:rsidRPr="006F04E8">
          <w:rPr>
            <w:rStyle w:val="Hyperlink"/>
            <w:noProof/>
          </w:rPr>
          <w:t>2.3.2. Procura e oferta de serviços judiciais</w:t>
        </w:r>
        <w:r w:rsidR="00686A0A">
          <w:rPr>
            <w:noProof/>
            <w:webHidden/>
          </w:rPr>
          <w:tab/>
        </w:r>
        <w:r>
          <w:rPr>
            <w:noProof/>
            <w:webHidden/>
          </w:rPr>
          <w:fldChar w:fldCharType="begin"/>
        </w:r>
        <w:r w:rsidR="00686A0A">
          <w:rPr>
            <w:noProof/>
            <w:webHidden/>
          </w:rPr>
          <w:instrText xml:space="preserve"> PAGEREF _Toc220484456 \h </w:instrText>
        </w:r>
        <w:r>
          <w:rPr>
            <w:noProof/>
            <w:webHidden/>
          </w:rPr>
        </w:r>
        <w:r>
          <w:rPr>
            <w:noProof/>
            <w:webHidden/>
          </w:rPr>
          <w:fldChar w:fldCharType="separate"/>
        </w:r>
        <w:r w:rsidR="00686A0A">
          <w:rPr>
            <w:noProof/>
            <w:webHidden/>
          </w:rPr>
          <w:t>16</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57" w:history="1">
        <w:r w:rsidR="00686A0A" w:rsidRPr="006F04E8">
          <w:rPr>
            <w:rStyle w:val="Hyperlink"/>
            <w:noProof/>
          </w:rPr>
          <w:t>2.3.3. Movimento de inquéritos penais e injunções</w:t>
        </w:r>
        <w:r w:rsidR="00686A0A">
          <w:rPr>
            <w:noProof/>
            <w:webHidden/>
          </w:rPr>
          <w:tab/>
        </w:r>
        <w:r>
          <w:rPr>
            <w:noProof/>
            <w:webHidden/>
          </w:rPr>
          <w:fldChar w:fldCharType="begin"/>
        </w:r>
        <w:r w:rsidR="00686A0A">
          <w:rPr>
            <w:noProof/>
            <w:webHidden/>
          </w:rPr>
          <w:instrText xml:space="preserve"> PAGEREF _Toc220484457 \h </w:instrText>
        </w:r>
        <w:r>
          <w:rPr>
            <w:noProof/>
            <w:webHidden/>
          </w:rPr>
        </w:r>
        <w:r>
          <w:rPr>
            <w:noProof/>
            <w:webHidden/>
          </w:rPr>
          <w:fldChar w:fldCharType="separate"/>
        </w:r>
        <w:r w:rsidR="00686A0A">
          <w:rPr>
            <w:noProof/>
            <w:webHidden/>
          </w:rPr>
          <w:t>20</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58" w:history="1">
        <w:r w:rsidR="00686A0A" w:rsidRPr="006F04E8">
          <w:rPr>
            <w:rStyle w:val="Hyperlink"/>
            <w:noProof/>
          </w:rPr>
          <w:t>2.3.4. A utilização de recursos humanos pelo sistema judicial</w:t>
        </w:r>
        <w:r w:rsidR="00686A0A">
          <w:rPr>
            <w:noProof/>
            <w:webHidden/>
          </w:rPr>
          <w:tab/>
        </w:r>
        <w:r>
          <w:rPr>
            <w:noProof/>
            <w:webHidden/>
          </w:rPr>
          <w:fldChar w:fldCharType="begin"/>
        </w:r>
        <w:r w:rsidR="00686A0A">
          <w:rPr>
            <w:noProof/>
            <w:webHidden/>
          </w:rPr>
          <w:instrText xml:space="preserve"> PAGEREF _Toc220484458 \h </w:instrText>
        </w:r>
        <w:r>
          <w:rPr>
            <w:noProof/>
            <w:webHidden/>
          </w:rPr>
        </w:r>
        <w:r>
          <w:rPr>
            <w:noProof/>
            <w:webHidden/>
          </w:rPr>
          <w:fldChar w:fldCharType="separate"/>
        </w:r>
        <w:r w:rsidR="00686A0A">
          <w:rPr>
            <w:noProof/>
            <w:webHidden/>
          </w:rPr>
          <w:t>22</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59" w:history="1">
        <w:r w:rsidR="00686A0A" w:rsidRPr="006F04E8">
          <w:rPr>
            <w:rStyle w:val="Hyperlink"/>
            <w:noProof/>
          </w:rPr>
          <w:t>2.3.5. Serviços jurídicos</w:t>
        </w:r>
        <w:r w:rsidR="00686A0A">
          <w:rPr>
            <w:noProof/>
            <w:webHidden/>
          </w:rPr>
          <w:tab/>
        </w:r>
        <w:r>
          <w:rPr>
            <w:noProof/>
            <w:webHidden/>
          </w:rPr>
          <w:fldChar w:fldCharType="begin"/>
        </w:r>
        <w:r w:rsidR="00686A0A">
          <w:rPr>
            <w:noProof/>
            <w:webHidden/>
          </w:rPr>
          <w:instrText xml:space="preserve"> PAGEREF _Toc220484459 \h </w:instrText>
        </w:r>
        <w:r>
          <w:rPr>
            <w:noProof/>
            <w:webHidden/>
          </w:rPr>
        </w:r>
        <w:r>
          <w:rPr>
            <w:noProof/>
            <w:webHidden/>
          </w:rPr>
          <w:fldChar w:fldCharType="separate"/>
        </w:r>
        <w:r w:rsidR="00686A0A">
          <w:rPr>
            <w:noProof/>
            <w:webHidden/>
          </w:rPr>
          <w:t>24</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60" w:history="1">
        <w:r w:rsidR="00686A0A" w:rsidRPr="006F04E8">
          <w:rPr>
            <w:rStyle w:val="Hyperlink"/>
            <w:noProof/>
          </w:rPr>
          <w:t>2.3.6. Produtividade judicial e carga processual</w:t>
        </w:r>
        <w:r w:rsidR="00686A0A">
          <w:rPr>
            <w:noProof/>
            <w:webHidden/>
          </w:rPr>
          <w:tab/>
        </w:r>
        <w:r>
          <w:rPr>
            <w:noProof/>
            <w:webHidden/>
          </w:rPr>
          <w:fldChar w:fldCharType="begin"/>
        </w:r>
        <w:r w:rsidR="00686A0A">
          <w:rPr>
            <w:noProof/>
            <w:webHidden/>
          </w:rPr>
          <w:instrText xml:space="preserve"> PAGEREF _Toc220484460 \h </w:instrText>
        </w:r>
        <w:r>
          <w:rPr>
            <w:noProof/>
            <w:webHidden/>
          </w:rPr>
        </w:r>
        <w:r>
          <w:rPr>
            <w:noProof/>
            <w:webHidden/>
          </w:rPr>
          <w:fldChar w:fldCharType="separate"/>
        </w:r>
        <w:r w:rsidR="00686A0A">
          <w:rPr>
            <w:noProof/>
            <w:webHidden/>
          </w:rPr>
          <w:t>26</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61" w:history="1">
        <w:r w:rsidR="00686A0A" w:rsidRPr="006F04E8">
          <w:rPr>
            <w:rStyle w:val="Hyperlink"/>
            <w:noProof/>
          </w:rPr>
          <w:t>2.3.7. Qualidade da decisão judicial</w:t>
        </w:r>
        <w:r w:rsidR="00686A0A">
          <w:rPr>
            <w:noProof/>
            <w:webHidden/>
          </w:rPr>
          <w:tab/>
        </w:r>
        <w:r>
          <w:rPr>
            <w:noProof/>
            <w:webHidden/>
          </w:rPr>
          <w:fldChar w:fldCharType="begin"/>
        </w:r>
        <w:r w:rsidR="00686A0A">
          <w:rPr>
            <w:noProof/>
            <w:webHidden/>
          </w:rPr>
          <w:instrText xml:space="preserve"> PAGEREF _Toc220484461 \h </w:instrText>
        </w:r>
        <w:r>
          <w:rPr>
            <w:noProof/>
            <w:webHidden/>
          </w:rPr>
        </w:r>
        <w:r>
          <w:rPr>
            <w:noProof/>
            <w:webHidden/>
          </w:rPr>
          <w:fldChar w:fldCharType="separate"/>
        </w:r>
        <w:r w:rsidR="00686A0A">
          <w:rPr>
            <w:noProof/>
            <w:webHidden/>
          </w:rPr>
          <w:t>30</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62" w:history="1">
        <w:r w:rsidR="00686A0A" w:rsidRPr="006F04E8">
          <w:rPr>
            <w:rStyle w:val="Hyperlink"/>
            <w:noProof/>
          </w:rPr>
          <w:t>2.3.8. Conclusões</w:t>
        </w:r>
        <w:r w:rsidR="00686A0A">
          <w:rPr>
            <w:noProof/>
            <w:webHidden/>
          </w:rPr>
          <w:tab/>
        </w:r>
        <w:r>
          <w:rPr>
            <w:noProof/>
            <w:webHidden/>
          </w:rPr>
          <w:fldChar w:fldCharType="begin"/>
        </w:r>
        <w:r w:rsidR="00686A0A">
          <w:rPr>
            <w:noProof/>
            <w:webHidden/>
          </w:rPr>
          <w:instrText xml:space="preserve"> PAGEREF _Toc220484462 \h </w:instrText>
        </w:r>
        <w:r>
          <w:rPr>
            <w:noProof/>
            <w:webHidden/>
          </w:rPr>
        </w:r>
        <w:r>
          <w:rPr>
            <w:noProof/>
            <w:webHidden/>
          </w:rPr>
          <w:fldChar w:fldCharType="separate"/>
        </w:r>
        <w:r w:rsidR="00686A0A">
          <w:rPr>
            <w:noProof/>
            <w:webHidden/>
          </w:rPr>
          <w:t>30</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63" w:history="1">
        <w:r w:rsidR="00686A0A" w:rsidRPr="006F04E8">
          <w:rPr>
            <w:rStyle w:val="Hyperlink"/>
            <w:noProof/>
          </w:rPr>
          <w:t>2.4. Conclusão</w:t>
        </w:r>
        <w:r w:rsidR="00686A0A">
          <w:rPr>
            <w:noProof/>
            <w:webHidden/>
          </w:rPr>
          <w:tab/>
        </w:r>
        <w:r>
          <w:rPr>
            <w:noProof/>
            <w:webHidden/>
          </w:rPr>
          <w:fldChar w:fldCharType="begin"/>
        </w:r>
        <w:r w:rsidR="00686A0A">
          <w:rPr>
            <w:noProof/>
            <w:webHidden/>
          </w:rPr>
          <w:instrText xml:space="preserve"> PAGEREF _Toc220484463 \h </w:instrText>
        </w:r>
        <w:r>
          <w:rPr>
            <w:noProof/>
            <w:webHidden/>
          </w:rPr>
        </w:r>
        <w:r>
          <w:rPr>
            <w:noProof/>
            <w:webHidden/>
          </w:rPr>
          <w:fldChar w:fldCharType="separate"/>
        </w:r>
        <w:r w:rsidR="00686A0A">
          <w:rPr>
            <w:noProof/>
            <w:webHidden/>
          </w:rPr>
          <w:t>32</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64" w:history="1">
        <w:r w:rsidR="00686A0A" w:rsidRPr="006F04E8">
          <w:rPr>
            <w:rStyle w:val="Hyperlink"/>
            <w:noProof/>
          </w:rPr>
          <w:t>3.</w:t>
        </w:r>
        <w:r w:rsidR="00686A0A">
          <w:rPr>
            <w:rFonts w:asciiTheme="minorHAnsi" w:eastAsiaTheme="minorEastAsia" w:hAnsiTheme="minorHAnsi" w:cstheme="minorBidi"/>
            <w:b w:val="0"/>
            <w:noProof/>
            <w:szCs w:val="22"/>
            <w:lang w:val="pt-PT" w:eastAsia="pt-PT"/>
          </w:rPr>
          <w:tab/>
        </w:r>
        <w:r w:rsidR="00686A0A" w:rsidRPr="006F04E8">
          <w:rPr>
            <w:rStyle w:val="Hyperlink"/>
            <w:noProof/>
          </w:rPr>
          <w:t>Literatura revista</w:t>
        </w:r>
        <w:r w:rsidR="00686A0A">
          <w:rPr>
            <w:noProof/>
            <w:webHidden/>
          </w:rPr>
          <w:tab/>
        </w:r>
        <w:r>
          <w:rPr>
            <w:noProof/>
            <w:webHidden/>
          </w:rPr>
          <w:fldChar w:fldCharType="begin"/>
        </w:r>
        <w:r w:rsidR="00686A0A">
          <w:rPr>
            <w:noProof/>
            <w:webHidden/>
          </w:rPr>
          <w:instrText xml:space="preserve"> PAGEREF _Toc220484464 \h </w:instrText>
        </w:r>
        <w:r>
          <w:rPr>
            <w:noProof/>
            <w:webHidden/>
          </w:rPr>
        </w:r>
        <w:r>
          <w:rPr>
            <w:noProof/>
            <w:webHidden/>
          </w:rPr>
          <w:fldChar w:fldCharType="separate"/>
        </w:r>
        <w:r w:rsidR="00686A0A">
          <w:rPr>
            <w:noProof/>
            <w:webHidden/>
          </w:rPr>
          <w:t>34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65" w:history="1">
        <w:r w:rsidR="00686A0A" w:rsidRPr="006F04E8">
          <w:rPr>
            <w:rStyle w:val="Hyperlink"/>
            <w:noProof/>
          </w:rPr>
          <w:t>3.1. Introdução</w:t>
        </w:r>
        <w:r w:rsidR="00686A0A">
          <w:rPr>
            <w:noProof/>
            <w:webHidden/>
          </w:rPr>
          <w:tab/>
        </w:r>
        <w:r>
          <w:rPr>
            <w:noProof/>
            <w:webHidden/>
          </w:rPr>
          <w:fldChar w:fldCharType="begin"/>
        </w:r>
        <w:r w:rsidR="00686A0A">
          <w:rPr>
            <w:noProof/>
            <w:webHidden/>
          </w:rPr>
          <w:instrText xml:space="preserve"> PAGEREF _Toc220484465 \h </w:instrText>
        </w:r>
        <w:r>
          <w:rPr>
            <w:noProof/>
            <w:webHidden/>
          </w:rPr>
        </w:r>
        <w:r>
          <w:rPr>
            <w:noProof/>
            <w:webHidden/>
          </w:rPr>
          <w:fldChar w:fldCharType="separate"/>
        </w:r>
        <w:r w:rsidR="00686A0A">
          <w:rPr>
            <w:noProof/>
            <w:webHidden/>
          </w:rPr>
          <w:t>34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66" w:history="1">
        <w:r w:rsidR="00686A0A" w:rsidRPr="006F04E8">
          <w:rPr>
            <w:rStyle w:val="Hyperlink"/>
            <w:noProof/>
          </w:rPr>
          <w:t>3.2. A provisão de serviços judiciais</w:t>
        </w:r>
        <w:r w:rsidR="00686A0A">
          <w:rPr>
            <w:noProof/>
            <w:webHidden/>
          </w:rPr>
          <w:tab/>
        </w:r>
        <w:r>
          <w:rPr>
            <w:noProof/>
            <w:webHidden/>
          </w:rPr>
          <w:fldChar w:fldCharType="begin"/>
        </w:r>
        <w:r w:rsidR="00686A0A">
          <w:rPr>
            <w:noProof/>
            <w:webHidden/>
          </w:rPr>
          <w:instrText xml:space="preserve"> PAGEREF _Toc220484466 \h </w:instrText>
        </w:r>
        <w:r>
          <w:rPr>
            <w:noProof/>
            <w:webHidden/>
          </w:rPr>
        </w:r>
        <w:r>
          <w:rPr>
            <w:noProof/>
            <w:webHidden/>
          </w:rPr>
          <w:fldChar w:fldCharType="separate"/>
        </w:r>
        <w:r w:rsidR="00686A0A">
          <w:rPr>
            <w:noProof/>
            <w:webHidden/>
          </w:rPr>
          <w:t>34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67" w:history="1">
        <w:r w:rsidR="00686A0A" w:rsidRPr="006F04E8">
          <w:rPr>
            <w:rStyle w:val="Hyperlink"/>
            <w:noProof/>
          </w:rPr>
          <w:t>3.3. A modelação econométrica da produção de serviços judiciais</w:t>
        </w:r>
        <w:r w:rsidR="00686A0A">
          <w:rPr>
            <w:noProof/>
            <w:webHidden/>
          </w:rPr>
          <w:tab/>
        </w:r>
        <w:r>
          <w:rPr>
            <w:noProof/>
            <w:webHidden/>
          </w:rPr>
          <w:fldChar w:fldCharType="begin"/>
        </w:r>
        <w:r w:rsidR="00686A0A">
          <w:rPr>
            <w:noProof/>
            <w:webHidden/>
          </w:rPr>
          <w:instrText xml:space="preserve"> PAGEREF _Toc220484467 \h </w:instrText>
        </w:r>
        <w:r>
          <w:rPr>
            <w:noProof/>
            <w:webHidden/>
          </w:rPr>
        </w:r>
        <w:r>
          <w:rPr>
            <w:noProof/>
            <w:webHidden/>
          </w:rPr>
          <w:fldChar w:fldCharType="separate"/>
        </w:r>
        <w:r w:rsidR="00686A0A">
          <w:rPr>
            <w:noProof/>
            <w:webHidden/>
          </w:rPr>
          <w:t>42</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68" w:history="1">
        <w:r w:rsidR="00686A0A" w:rsidRPr="006F04E8">
          <w:rPr>
            <w:rStyle w:val="Hyperlink"/>
            <w:noProof/>
          </w:rPr>
          <w:t>3.3.1. Serviços (</w:t>
        </w:r>
        <w:r w:rsidR="00686A0A" w:rsidRPr="006F04E8">
          <w:rPr>
            <w:rStyle w:val="Hyperlink"/>
            <w:i/>
            <w:noProof/>
          </w:rPr>
          <w:t>outputs</w:t>
        </w:r>
        <w:r w:rsidR="00686A0A" w:rsidRPr="006F04E8">
          <w:rPr>
            <w:rStyle w:val="Hyperlink"/>
            <w:noProof/>
          </w:rPr>
          <w:t>) e factores produtivos (</w:t>
        </w:r>
        <w:r w:rsidR="00686A0A" w:rsidRPr="006F04E8">
          <w:rPr>
            <w:rStyle w:val="Hyperlink"/>
            <w:i/>
            <w:noProof/>
          </w:rPr>
          <w:t>inputs</w:t>
        </w:r>
        <w:r w:rsidR="00686A0A" w:rsidRPr="006F04E8">
          <w:rPr>
            <w:rStyle w:val="Hyperlink"/>
            <w:noProof/>
          </w:rPr>
          <w:t>)</w:t>
        </w:r>
        <w:r w:rsidR="00686A0A">
          <w:rPr>
            <w:noProof/>
            <w:webHidden/>
          </w:rPr>
          <w:tab/>
        </w:r>
        <w:r>
          <w:rPr>
            <w:noProof/>
            <w:webHidden/>
          </w:rPr>
          <w:fldChar w:fldCharType="begin"/>
        </w:r>
        <w:r w:rsidR="00686A0A">
          <w:rPr>
            <w:noProof/>
            <w:webHidden/>
          </w:rPr>
          <w:instrText xml:space="preserve"> PAGEREF _Toc220484468 \h </w:instrText>
        </w:r>
        <w:r>
          <w:rPr>
            <w:noProof/>
            <w:webHidden/>
          </w:rPr>
        </w:r>
        <w:r>
          <w:rPr>
            <w:noProof/>
            <w:webHidden/>
          </w:rPr>
          <w:fldChar w:fldCharType="separate"/>
        </w:r>
        <w:r w:rsidR="00686A0A">
          <w:rPr>
            <w:noProof/>
            <w:webHidden/>
          </w:rPr>
          <w:t>42</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69" w:history="1">
        <w:r w:rsidR="00686A0A" w:rsidRPr="006F04E8">
          <w:rPr>
            <w:rStyle w:val="Hyperlink"/>
            <w:noProof/>
          </w:rPr>
          <w:t>3.3.2. A heterogeneidade das intensidades de trabalho dos serviços judiciais</w:t>
        </w:r>
        <w:r w:rsidR="00686A0A">
          <w:rPr>
            <w:noProof/>
            <w:webHidden/>
          </w:rPr>
          <w:tab/>
        </w:r>
        <w:r>
          <w:rPr>
            <w:noProof/>
            <w:webHidden/>
          </w:rPr>
          <w:fldChar w:fldCharType="begin"/>
        </w:r>
        <w:r w:rsidR="00686A0A">
          <w:rPr>
            <w:noProof/>
            <w:webHidden/>
          </w:rPr>
          <w:instrText xml:space="preserve"> PAGEREF _Toc220484469 \h </w:instrText>
        </w:r>
        <w:r>
          <w:rPr>
            <w:noProof/>
            <w:webHidden/>
          </w:rPr>
        </w:r>
        <w:r>
          <w:rPr>
            <w:noProof/>
            <w:webHidden/>
          </w:rPr>
          <w:fldChar w:fldCharType="separate"/>
        </w:r>
        <w:r w:rsidR="00686A0A">
          <w:rPr>
            <w:noProof/>
            <w:webHidden/>
          </w:rPr>
          <w:t>44</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70" w:history="1">
        <w:r w:rsidR="00686A0A" w:rsidRPr="006F04E8">
          <w:rPr>
            <w:rStyle w:val="Hyperlink"/>
            <w:noProof/>
          </w:rPr>
          <w:t>3.3.3. A qualidade da decisão judicial</w:t>
        </w:r>
        <w:r w:rsidR="00686A0A">
          <w:rPr>
            <w:noProof/>
            <w:webHidden/>
          </w:rPr>
          <w:tab/>
        </w:r>
        <w:r>
          <w:rPr>
            <w:noProof/>
            <w:webHidden/>
          </w:rPr>
          <w:fldChar w:fldCharType="begin"/>
        </w:r>
        <w:r w:rsidR="00686A0A">
          <w:rPr>
            <w:noProof/>
            <w:webHidden/>
          </w:rPr>
          <w:instrText xml:space="preserve"> PAGEREF _Toc220484470 \h </w:instrText>
        </w:r>
        <w:r>
          <w:rPr>
            <w:noProof/>
            <w:webHidden/>
          </w:rPr>
        </w:r>
        <w:r>
          <w:rPr>
            <w:noProof/>
            <w:webHidden/>
          </w:rPr>
          <w:fldChar w:fldCharType="separate"/>
        </w:r>
        <w:r w:rsidR="00686A0A">
          <w:rPr>
            <w:noProof/>
            <w:webHidden/>
          </w:rPr>
          <w:t>46</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71" w:history="1">
        <w:r w:rsidR="00686A0A" w:rsidRPr="006F04E8">
          <w:rPr>
            <w:rStyle w:val="Hyperlink"/>
            <w:noProof/>
          </w:rPr>
          <w:t>3.3.4. Representações abstractas da produção e técnicas de estimação</w:t>
        </w:r>
        <w:r w:rsidR="00686A0A">
          <w:rPr>
            <w:noProof/>
            <w:webHidden/>
          </w:rPr>
          <w:tab/>
        </w:r>
        <w:r>
          <w:rPr>
            <w:noProof/>
            <w:webHidden/>
          </w:rPr>
          <w:fldChar w:fldCharType="begin"/>
        </w:r>
        <w:r w:rsidR="00686A0A">
          <w:rPr>
            <w:noProof/>
            <w:webHidden/>
          </w:rPr>
          <w:instrText xml:space="preserve"> PAGEREF _Toc220484471 \h </w:instrText>
        </w:r>
        <w:r>
          <w:rPr>
            <w:noProof/>
            <w:webHidden/>
          </w:rPr>
        </w:r>
        <w:r>
          <w:rPr>
            <w:noProof/>
            <w:webHidden/>
          </w:rPr>
          <w:fldChar w:fldCharType="separate"/>
        </w:r>
        <w:r w:rsidR="00686A0A">
          <w:rPr>
            <w:noProof/>
            <w:webHidden/>
          </w:rPr>
          <w:t>47</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72" w:history="1">
        <w:r w:rsidR="00686A0A" w:rsidRPr="006F04E8">
          <w:rPr>
            <w:rStyle w:val="Hyperlink"/>
            <w:noProof/>
          </w:rPr>
          <w:t>4.</w:t>
        </w:r>
        <w:r w:rsidR="00686A0A">
          <w:rPr>
            <w:rFonts w:asciiTheme="minorHAnsi" w:eastAsiaTheme="minorEastAsia" w:hAnsiTheme="minorHAnsi" w:cstheme="minorBidi"/>
            <w:b w:val="0"/>
            <w:noProof/>
            <w:szCs w:val="22"/>
            <w:lang w:val="pt-PT" w:eastAsia="pt-PT"/>
          </w:rPr>
          <w:tab/>
        </w:r>
        <w:r w:rsidR="00686A0A" w:rsidRPr="006F04E8">
          <w:rPr>
            <w:rStyle w:val="Hyperlink"/>
            <w:noProof/>
          </w:rPr>
          <w:t>Análise económica da produção de serviços judiciais no sistema judicial português</w:t>
        </w:r>
        <w:r w:rsidR="00686A0A">
          <w:rPr>
            <w:noProof/>
            <w:webHidden/>
          </w:rPr>
          <w:tab/>
        </w:r>
        <w:r>
          <w:rPr>
            <w:noProof/>
            <w:webHidden/>
          </w:rPr>
          <w:fldChar w:fldCharType="begin"/>
        </w:r>
        <w:r w:rsidR="00686A0A">
          <w:rPr>
            <w:noProof/>
            <w:webHidden/>
          </w:rPr>
          <w:instrText xml:space="preserve"> PAGEREF _Toc220484472 \h </w:instrText>
        </w:r>
        <w:r>
          <w:rPr>
            <w:noProof/>
            <w:webHidden/>
          </w:rPr>
        </w:r>
        <w:r>
          <w:rPr>
            <w:noProof/>
            <w:webHidden/>
          </w:rPr>
          <w:fldChar w:fldCharType="separate"/>
        </w:r>
        <w:r w:rsidR="00686A0A">
          <w:rPr>
            <w:noProof/>
            <w:webHidden/>
          </w:rPr>
          <w:t>51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73" w:history="1">
        <w:r w:rsidR="00686A0A" w:rsidRPr="006F04E8">
          <w:rPr>
            <w:rStyle w:val="Hyperlink"/>
            <w:noProof/>
          </w:rPr>
          <w:t>4.1. Introdução</w:t>
        </w:r>
        <w:r w:rsidR="00686A0A">
          <w:rPr>
            <w:noProof/>
            <w:webHidden/>
          </w:rPr>
          <w:tab/>
        </w:r>
        <w:r>
          <w:rPr>
            <w:noProof/>
            <w:webHidden/>
          </w:rPr>
          <w:fldChar w:fldCharType="begin"/>
        </w:r>
        <w:r w:rsidR="00686A0A">
          <w:rPr>
            <w:noProof/>
            <w:webHidden/>
          </w:rPr>
          <w:instrText xml:space="preserve"> PAGEREF _Toc220484473 \h </w:instrText>
        </w:r>
        <w:r>
          <w:rPr>
            <w:noProof/>
            <w:webHidden/>
          </w:rPr>
        </w:r>
        <w:r>
          <w:rPr>
            <w:noProof/>
            <w:webHidden/>
          </w:rPr>
          <w:fldChar w:fldCharType="separate"/>
        </w:r>
        <w:r w:rsidR="00686A0A">
          <w:rPr>
            <w:noProof/>
            <w:webHidden/>
          </w:rPr>
          <w:t>51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74" w:history="1">
        <w:r w:rsidR="00686A0A" w:rsidRPr="006F04E8">
          <w:rPr>
            <w:rStyle w:val="Hyperlink"/>
            <w:noProof/>
          </w:rPr>
          <w:t>4.2. Formulação de hipóteses de teste e de relações causais exploratórias</w:t>
        </w:r>
        <w:r w:rsidR="00686A0A">
          <w:rPr>
            <w:noProof/>
            <w:webHidden/>
          </w:rPr>
          <w:tab/>
        </w:r>
        <w:r>
          <w:rPr>
            <w:noProof/>
            <w:webHidden/>
          </w:rPr>
          <w:fldChar w:fldCharType="begin"/>
        </w:r>
        <w:r w:rsidR="00686A0A">
          <w:rPr>
            <w:noProof/>
            <w:webHidden/>
          </w:rPr>
          <w:instrText xml:space="preserve"> PAGEREF _Toc220484474 \h </w:instrText>
        </w:r>
        <w:r>
          <w:rPr>
            <w:noProof/>
            <w:webHidden/>
          </w:rPr>
        </w:r>
        <w:r>
          <w:rPr>
            <w:noProof/>
            <w:webHidden/>
          </w:rPr>
          <w:fldChar w:fldCharType="separate"/>
        </w:r>
        <w:r w:rsidR="00686A0A">
          <w:rPr>
            <w:noProof/>
            <w:webHidden/>
          </w:rPr>
          <w:t>51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75" w:history="1">
        <w:r w:rsidR="00686A0A" w:rsidRPr="006F04E8">
          <w:rPr>
            <w:rStyle w:val="Hyperlink"/>
            <w:noProof/>
          </w:rPr>
          <w:t>4.3. Opções metodológicas e dados estatísticos</w:t>
        </w:r>
        <w:r w:rsidR="00686A0A">
          <w:rPr>
            <w:noProof/>
            <w:webHidden/>
          </w:rPr>
          <w:tab/>
        </w:r>
        <w:r>
          <w:rPr>
            <w:noProof/>
            <w:webHidden/>
          </w:rPr>
          <w:fldChar w:fldCharType="begin"/>
        </w:r>
        <w:r w:rsidR="00686A0A">
          <w:rPr>
            <w:noProof/>
            <w:webHidden/>
          </w:rPr>
          <w:instrText xml:space="preserve"> PAGEREF _Toc220484475 \h </w:instrText>
        </w:r>
        <w:r>
          <w:rPr>
            <w:noProof/>
            <w:webHidden/>
          </w:rPr>
        </w:r>
        <w:r>
          <w:rPr>
            <w:noProof/>
            <w:webHidden/>
          </w:rPr>
          <w:fldChar w:fldCharType="separate"/>
        </w:r>
        <w:r w:rsidR="00686A0A">
          <w:rPr>
            <w:noProof/>
            <w:webHidden/>
          </w:rPr>
          <w:t>59</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76" w:history="1">
        <w:r w:rsidR="00686A0A" w:rsidRPr="006F04E8">
          <w:rPr>
            <w:rStyle w:val="Hyperlink"/>
            <w:noProof/>
          </w:rPr>
          <w:t>4.3.1. Dados</w:t>
        </w:r>
        <w:r w:rsidR="00686A0A">
          <w:rPr>
            <w:noProof/>
            <w:webHidden/>
          </w:rPr>
          <w:tab/>
        </w:r>
        <w:r>
          <w:rPr>
            <w:noProof/>
            <w:webHidden/>
          </w:rPr>
          <w:fldChar w:fldCharType="begin"/>
        </w:r>
        <w:r w:rsidR="00686A0A">
          <w:rPr>
            <w:noProof/>
            <w:webHidden/>
          </w:rPr>
          <w:instrText xml:space="preserve"> PAGEREF _Toc220484476 \h </w:instrText>
        </w:r>
        <w:r>
          <w:rPr>
            <w:noProof/>
            <w:webHidden/>
          </w:rPr>
        </w:r>
        <w:r>
          <w:rPr>
            <w:noProof/>
            <w:webHidden/>
          </w:rPr>
          <w:fldChar w:fldCharType="separate"/>
        </w:r>
        <w:r w:rsidR="00686A0A">
          <w:rPr>
            <w:noProof/>
            <w:webHidden/>
          </w:rPr>
          <w:t>59</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77" w:history="1">
        <w:r w:rsidR="00686A0A" w:rsidRPr="006F04E8">
          <w:rPr>
            <w:rStyle w:val="Hyperlink"/>
            <w:noProof/>
          </w:rPr>
          <w:t>4.3.2. A modelação econométrica da produção de serviços judiciais nos tribunais</w:t>
        </w:r>
        <w:r w:rsidR="00686A0A">
          <w:rPr>
            <w:noProof/>
            <w:webHidden/>
          </w:rPr>
          <w:tab/>
        </w:r>
        <w:r>
          <w:rPr>
            <w:noProof/>
            <w:webHidden/>
          </w:rPr>
          <w:fldChar w:fldCharType="begin"/>
        </w:r>
        <w:r w:rsidR="00686A0A">
          <w:rPr>
            <w:noProof/>
            <w:webHidden/>
          </w:rPr>
          <w:instrText xml:space="preserve"> PAGEREF _Toc220484477 \h </w:instrText>
        </w:r>
        <w:r>
          <w:rPr>
            <w:noProof/>
            <w:webHidden/>
          </w:rPr>
        </w:r>
        <w:r>
          <w:rPr>
            <w:noProof/>
            <w:webHidden/>
          </w:rPr>
          <w:fldChar w:fldCharType="separate"/>
        </w:r>
        <w:r w:rsidR="00686A0A">
          <w:rPr>
            <w:noProof/>
            <w:webHidden/>
          </w:rPr>
          <w:t>63</w:t>
        </w:r>
        <w:r>
          <w:rPr>
            <w:noProof/>
            <w:webHidden/>
          </w:rPr>
          <w:fldChar w:fldCharType="end"/>
        </w:r>
      </w:hyperlink>
    </w:p>
    <w:p w:rsidR="00686A0A" w:rsidRDefault="0048473F">
      <w:pPr>
        <w:pStyle w:val="TOC4"/>
        <w:tabs>
          <w:tab w:val="right" w:leader="dot" w:pos="8494"/>
        </w:tabs>
        <w:rPr>
          <w:rFonts w:asciiTheme="minorHAnsi" w:eastAsiaTheme="minorEastAsia" w:hAnsiTheme="minorHAnsi" w:cstheme="minorBidi"/>
          <w:noProof/>
          <w:szCs w:val="22"/>
        </w:rPr>
      </w:pPr>
      <w:hyperlink w:anchor="_Toc220484478" w:history="1">
        <w:r w:rsidR="00686A0A" w:rsidRPr="006F04E8">
          <w:rPr>
            <w:rStyle w:val="Hyperlink"/>
            <w:noProof/>
          </w:rPr>
          <w:t>4.3.2.1. A variável explicada</w:t>
        </w:r>
        <w:r w:rsidR="00686A0A">
          <w:rPr>
            <w:noProof/>
            <w:webHidden/>
          </w:rPr>
          <w:tab/>
        </w:r>
        <w:r>
          <w:rPr>
            <w:noProof/>
            <w:webHidden/>
          </w:rPr>
          <w:fldChar w:fldCharType="begin"/>
        </w:r>
        <w:r w:rsidR="00686A0A">
          <w:rPr>
            <w:noProof/>
            <w:webHidden/>
          </w:rPr>
          <w:instrText xml:space="preserve"> PAGEREF _Toc220484478 \h </w:instrText>
        </w:r>
        <w:r>
          <w:rPr>
            <w:noProof/>
            <w:webHidden/>
          </w:rPr>
        </w:r>
        <w:r>
          <w:rPr>
            <w:noProof/>
            <w:webHidden/>
          </w:rPr>
          <w:fldChar w:fldCharType="separate"/>
        </w:r>
        <w:r w:rsidR="00686A0A">
          <w:rPr>
            <w:noProof/>
            <w:webHidden/>
          </w:rPr>
          <w:t>67</w:t>
        </w:r>
        <w:r>
          <w:rPr>
            <w:noProof/>
            <w:webHidden/>
          </w:rPr>
          <w:fldChar w:fldCharType="end"/>
        </w:r>
      </w:hyperlink>
    </w:p>
    <w:p w:rsidR="00686A0A" w:rsidRDefault="0048473F">
      <w:pPr>
        <w:pStyle w:val="TOC4"/>
        <w:tabs>
          <w:tab w:val="right" w:leader="dot" w:pos="8494"/>
        </w:tabs>
        <w:rPr>
          <w:rFonts w:asciiTheme="minorHAnsi" w:eastAsiaTheme="minorEastAsia" w:hAnsiTheme="minorHAnsi" w:cstheme="minorBidi"/>
          <w:noProof/>
          <w:szCs w:val="22"/>
        </w:rPr>
      </w:pPr>
      <w:hyperlink w:anchor="_Toc220484479" w:history="1">
        <w:r w:rsidR="00686A0A" w:rsidRPr="006F04E8">
          <w:rPr>
            <w:rStyle w:val="Hyperlink"/>
            <w:noProof/>
          </w:rPr>
          <w:t>4.3.2.3. As variáveis explicativas</w:t>
        </w:r>
        <w:r w:rsidR="00686A0A">
          <w:rPr>
            <w:noProof/>
            <w:webHidden/>
          </w:rPr>
          <w:tab/>
        </w:r>
        <w:r>
          <w:rPr>
            <w:noProof/>
            <w:webHidden/>
          </w:rPr>
          <w:fldChar w:fldCharType="begin"/>
        </w:r>
        <w:r w:rsidR="00686A0A">
          <w:rPr>
            <w:noProof/>
            <w:webHidden/>
          </w:rPr>
          <w:instrText xml:space="preserve"> PAGEREF _Toc220484479 \h </w:instrText>
        </w:r>
        <w:r>
          <w:rPr>
            <w:noProof/>
            <w:webHidden/>
          </w:rPr>
        </w:r>
        <w:r>
          <w:rPr>
            <w:noProof/>
            <w:webHidden/>
          </w:rPr>
          <w:fldChar w:fldCharType="separate"/>
        </w:r>
        <w:r w:rsidR="00686A0A">
          <w:rPr>
            <w:noProof/>
            <w:webHidden/>
          </w:rPr>
          <w:t>70</w:t>
        </w:r>
        <w:r>
          <w:rPr>
            <w:noProof/>
            <w:webHidden/>
          </w:rPr>
          <w:fldChar w:fldCharType="end"/>
        </w:r>
      </w:hyperlink>
    </w:p>
    <w:p w:rsidR="00686A0A" w:rsidRDefault="0048473F">
      <w:pPr>
        <w:pStyle w:val="TOC4"/>
        <w:tabs>
          <w:tab w:val="right" w:leader="dot" w:pos="8494"/>
        </w:tabs>
        <w:rPr>
          <w:rFonts w:asciiTheme="minorHAnsi" w:eastAsiaTheme="minorEastAsia" w:hAnsiTheme="minorHAnsi" w:cstheme="minorBidi"/>
          <w:noProof/>
          <w:szCs w:val="22"/>
        </w:rPr>
      </w:pPr>
      <w:hyperlink w:anchor="_Toc220484480" w:history="1">
        <w:r w:rsidR="00686A0A" w:rsidRPr="006F04E8">
          <w:rPr>
            <w:rStyle w:val="Hyperlink"/>
            <w:noProof/>
          </w:rPr>
          <w:t>4.3.2.4. Interpretação dos resultados</w:t>
        </w:r>
        <w:r w:rsidR="00686A0A">
          <w:rPr>
            <w:noProof/>
            <w:webHidden/>
          </w:rPr>
          <w:tab/>
        </w:r>
        <w:r>
          <w:rPr>
            <w:noProof/>
            <w:webHidden/>
          </w:rPr>
          <w:fldChar w:fldCharType="begin"/>
        </w:r>
        <w:r w:rsidR="00686A0A">
          <w:rPr>
            <w:noProof/>
            <w:webHidden/>
          </w:rPr>
          <w:instrText xml:space="preserve"> PAGEREF _Toc220484480 \h </w:instrText>
        </w:r>
        <w:r>
          <w:rPr>
            <w:noProof/>
            <w:webHidden/>
          </w:rPr>
        </w:r>
        <w:r>
          <w:rPr>
            <w:noProof/>
            <w:webHidden/>
          </w:rPr>
          <w:fldChar w:fldCharType="separate"/>
        </w:r>
        <w:r w:rsidR="00686A0A">
          <w:rPr>
            <w:noProof/>
            <w:webHidden/>
          </w:rPr>
          <w:t>72</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81" w:history="1">
        <w:r w:rsidR="00686A0A" w:rsidRPr="006F04E8">
          <w:rPr>
            <w:rStyle w:val="Hyperlink"/>
            <w:noProof/>
          </w:rPr>
          <w:t>5.</w:t>
        </w:r>
        <w:r w:rsidR="00686A0A">
          <w:rPr>
            <w:rFonts w:asciiTheme="minorHAnsi" w:eastAsiaTheme="minorEastAsia" w:hAnsiTheme="minorHAnsi" w:cstheme="minorBidi"/>
            <w:b w:val="0"/>
            <w:noProof/>
            <w:szCs w:val="22"/>
            <w:lang w:val="pt-PT" w:eastAsia="pt-PT"/>
          </w:rPr>
          <w:tab/>
        </w:r>
        <w:r w:rsidR="00686A0A" w:rsidRPr="006F04E8">
          <w:rPr>
            <w:rStyle w:val="Hyperlink"/>
            <w:noProof/>
          </w:rPr>
          <w:t>Análise econométrica</w:t>
        </w:r>
        <w:r w:rsidR="00686A0A">
          <w:rPr>
            <w:noProof/>
            <w:webHidden/>
          </w:rPr>
          <w:tab/>
        </w:r>
        <w:r>
          <w:rPr>
            <w:noProof/>
            <w:webHidden/>
          </w:rPr>
          <w:fldChar w:fldCharType="begin"/>
        </w:r>
        <w:r w:rsidR="00686A0A">
          <w:rPr>
            <w:noProof/>
            <w:webHidden/>
          </w:rPr>
          <w:instrText xml:space="preserve"> PAGEREF _Toc220484481 \h </w:instrText>
        </w:r>
        <w:r>
          <w:rPr>
            <w:noProof/>
            <w:webHidden/>
          </w:rPr>
        </w:r>
        <w:r>
          <w:rPr>
            <w:noProof/>
            <w:webHidden/>
          </w:rPr>
          <w:fldChar w:fldCharType="separate"/>
        </w:r>
        <w:r w:rsidR="00686A0A">
          <w:rPr>
            <w:noProof/>
            <w:webHidden/>
          </w:rPr>
          <w:t>74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2" w:history="1">
        <w:r w:rsidR="00686A0A" w:rsidRPr="006F04E8">
          <w:rPr>
            <w:rStyle w:val="Hyperlink"/>
            <w:noProof/>
          </w:rPr>
          <w:t>5. 1 Introdução</w:t>
        </w:r>
        <w:r w:rsidR="00686A0A">
          <w:rPr>
            <w:noProof/>
            <w:webHidden/>
          </w:rPr>
          <w:tab/>
        </w:r>
        <w:r>
          <w:rPr>
            <w:noProof/>
            <w:webHidden/>
          </w:rPr>
          <w:fldChar w:fldCharType="begin"/>
        </w:r>
        <w:r w:rsidR="00686A0A">
          <w:rPr>
            <w:noProof/>
            <w:webHidden/>
          </w:rPr>
          <w:instrText xml:space="preserve"> PAGEREF _Toc220484482 \h </w:instrText>
        </w:r>
        <w:r>
          <w:rPr>
            <w:noProof/>
            <w:webHidden/>
          </w:rPr>
        </w:r>
        <w:r>
          <w:rPr>
            <w:noProof/>
            <w:webHidden/>
          </w:rPr>
          <w:fldChar w:fldCharType="separate"/>
        </w:r>
        <w:r w:rsidR="00686A0A">
          <w:rPr>
            <w:noProof/>
            <w:webHidden/>
          </w:rPr>
          <w:t>74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3" w:history="1">
        <w:r w:rsidR="00686A0A" w:rsidRPr="006F04E8">
          <w:rPr>
            <w:rStyle w:val="Hyperlink"/>
            <w:noProof/>
          </w:rPr>
          <w:t>5.2. Análise estatística preliminar</w:t>
        </w:r>
        <w:r w:rsidR="00686A0A">
          <w:rPr>
            <w:noProof/>
            <w:webHidden/>
          </w:rPr>
          <w:tab/>
        </w:r>
        <w:r>
          <w:rPr>
            <w:noProof/>
            <w:webHidden/>
          </w:rPr>
          <w:fldChar w:fldCharType="begin"/>
        </w:r>
        <w:r w:rsidR="00686A0A">
          <w:rPr>
            <w:noProof/>
            <w:webHidden/>
          </w:rPr>
          <w:instrText xml:space="preserve"> PAGEREF _Toc220484483 \h </w:instrText>
        </w:r>
        <w:r>
          <w:rPr>
            <w:noProof/>
            <w:webHidden/>
          </w:rPr>
        </w:r>
        <w:r>
          <w:rPr>
            <w:noProof/>
            <w:webHidden/>
          </w:rPr>
          <w:fldChar w:fldCharType="separate"/>
        </w:r>
        <w:r w:rsidR="00686A0A">
          <w:rPr>
            <w:noProof/>
            <w:webHidden/>
          </w:rPr>
          <w:t>74</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4" w:history="1">
        <w:r w:rsidR="00686A0A" w:rsidRPr="006F04E8">
          <w:rPr>
            <w:rStyle w:val="Hyperlink"/>
            <w:noProof/>
          </w:rPr>
          <w:t>5.3. Análise de regressão</w:t>
        </w:r>
        <w:r w:rsidR="00686A0A">
          <w:rPr>
            <w:noProof/>
            <w:webHidden/>
          </w:rPr>
          <w:tab/>
        </w:r>
        <w:r>
          <w:rPr>
            <w:noProof/>
            <w:webHidden/>
          </w:rPr>
          <w:fldChar w:fldCharType="begin"/>
        </w:r>
        <w:r w:rsidR="00686A0A">
          <w:rPr>
            <w:noProof/>
            <w:webHidden/>
          </w:rPr>
          <w:instrText xml:space="preserve"> PAGEREF _Toc220484484 \h </w:instrText>
        </w:r>
        <w:r>
          <w:rPr>
            <w:noProof/>
            <w:webHidden/>
          </w:rPr>
        </w:r>
        <w:r>
          <w:rPr>
            <w:noProof/>
            <w:webHidden/>
          </w:rPr>
          <w:fldChar w:fldCharType="separate"/>
        </w:r>
        <w:r w:rsidR="00686A0A">
          <w:rPr>
            <w:noProof/>
            <w:webHidden/>
          </w:rPr>
          <w:t>86</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5" w:history="1">
        <w:r w:rsidR="00686A0A" w:rsidRPr="006F04E8">
          <w:rPr>
            <w:rStyle w:val="Hyperlink"/>
            <w:noProof/>
          </w:rPr>
          <w:t>5.4. Principais conclusões</w:t>
        </w:r>
        <w:r w:rsidR="00686A0A">
          <w:rPr>
            <w:noProof/>
            <w:webHidden/>
          </w:rPr>
          <w:tab/>
        </w:r>
        <w:r>
          <w:rPr>
            <w:noProof/>
            <w:webHidden/>
          </w:rPr>
          <w:fldChar w:fldCharType="begin"/>
        </w:r>
        <w:r w:rsidR="00686A0A">
          <w:rPr>
            <w:noProof/>
            <w:webHidden/>
          </w:rPr>
          <w:instrText xml:space="preserve"> PAGEREF _Toc220484485 \h </w:instrText>
        </w:r>
        <w:r>
          <w:rPr>
            <w:noProof/>
            <w:webHidden/>
          </w:rPr>
        </w:r>
        <w:r>
          <w:rPr>
            <w:noProof/>
            <w:webHidden/>
          </w:rPr>
          <w:fldChar w:fldCharType="separate"/>
        </w:r>
        <w:r w:rsidR="00686A0A">
          <w:rPr>
            <w:noProof/>
            <w:webHidden/>
          </w:rPr>
          <w:t>93</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86" w:history="1">
        <w:r w:rsidR="00686A0A" w:rsidRPr="006F04E8">
          <w:rPr>
            <w:rStyle w:val="Hyperlink"/>
            <w:noProof/>
          </w:rPr>
          <w:t>6.</w:t>
        </w:r>
        <w:r w:rsidR="00686A0A">
          <w:rPr>
            <w:rFonts w:asciiTheme="minorHAnsi" w:eastAsiaTheme="minorEastAsia" w:hAnsiTheme="minorHAnsi" w:cstheme="minorBidi"/>
            <w:b w:val="0"/>
            <w:noProof/>
            <w:szCs w:val="22"/>
            <w:lang w:val="pt-PT" w:eastAsia="pt-PT"/>
          </w:rPr>
          <w:tab/>
        </w:r>
        <w:r w:rsidR="00686A0A" w:rsidRPr="006F04E8">
          <w:rPr>
            <w:rStyle w:val="Hyperlink"/>
            <w:noProof/>
          </w:rPr>
          <w:t>Conclusões</w:t>
        </w:r>
        <w:r w:rsidR="00686A0A">
          <w:rPr>
            <w:noProof/>
            <w:webHidden/>
          </w:rPr>
          <w:tab/>
        </w:r>
        <w:r>
          <w:rPr>
            <w:noProof/>
            <w:webHidden/>
          </w:rPr>
          <w:fldChar w:fldCharType="begin"/>
        </w:r>
        <w:r w:rsidR="00686A0A">
          <w:rPr>
            <w:noProof/>
            <w:webHidden/>
          </w:rPr>
          <w:instrText xml:space="preserve"> PAGEREF _Toc220484486 \h </w:instrText>
        </w:r>
        <w:r>
          <w:rPr>
            <w:noProof/>
            <w:webHidden/>
          </w:rPr>
        </w:r>
        <w:r>
          <w:rPr>
            <w:noProof/>
            <w:webHidden/>
          </w:rPr>
          <w:fldChar w:fldCharType="separate"/>
        </w:r>
        <w:r w:rsidR="00686A0A">
          <w:rPr>
            <w:noProof/>
            <w:webHidden/>
          </w:rPr>
          <w:t>100</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7" w:history="1">
        <w:r w:rsidR="00686A0A" w:rsidRPr="006F04E8">
          <w:rPr>
            <w:rStyle w:val="Hyperlink"/>
            <w:noProof/>
          </w:rPr>
          <w:t>6.1. Introdução</w:t>
        </w:r>
        <w:r w:rsidR="00686A0A">
          <w:rPr>
            <w:noProof/>
            <w:webHidden/>
          </w:rPr>
          <w:tab/>
        </w:r>
        <w:r>
          <w:rPr>
            <w:noProof/>
            <w:webHidden/>
          </w:rPr>
          <w:fldChar w:fldCharType="begin"/>
        </w:r>
        <w:r w:rsidR="00686A0A">
          <w:rPr>
            <w:noProof/>
            <w:webHidden/>
          </w:rPr>
          <w:instrText xml:space="preserve"> PAGEREF _Toc220484487 \h </w:instrText>
        </w:r>
        <w:r>
          <w:rPr>
            <w:noProof/>
            <w:webHidden/>
          </w:rPr>
        </w:r>
        <w:r>
          <w:rPr>
            <w:noProof/>
            <w:webHidden/>
          </w:rPr>
          <w:fldChar w:fldCharType="separate"/>
        </w:r>
        <w:r w:rsidR="00686A0A">
          <w:rPr>
            <w:noProof/>
            <w:webHidden/>
          </w:rPr>
          <w:t>100</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8" w:history="1">
        <w:r w:rsidR="00686A0A" w:rsidRPr="006F04E8">
          <w:rPr>
            <w:rStyle w:val="Hyperlink"/>
            <w:noProof/>
          </w:rPr>
          <w:t>6.2. A economia do sistema judicial</w:t>
        </w:r>
        <w:r w:rsidR="00686A0A">
          <w:rPr>
            <w:noProof/>
            <w:webHidden/>
          </w:rPr>
          <w:tab/>
        </w:r>
        <w:r>
          <w:rPr>
            <w:noProof/>
            <w:webHidden/>
          </w:rPr>
          <w:fldChar w:fldCharType="begin"/>
        </w:r>
        <w:r w:rsidR="00686A0A">
          <w:rPr>
            <w:noProof/>
            <w:webHidden/>
          </w:rPr>
          <w:instrText xml:space="preserve"> PAGEREF _Toc220484488 \h </w:instrText>
        </w:r>
        <w:r>
          <w:rPr>
            <w:noProof/>
            <w:webHidden/>
          </w:rPr>
        </w:r>
        <w:r>
          <w:rPr>
            <w:noProof/>
            <w:webHidden/>
          </w:rPr>
          <w:fldChar w:fldCharType="separate"/>
        </w:r>
        <w:r w:rsidR="00686A0A">
          <w:rPr>
            <w:noProof/>
            <w:webHidden/>
          </w:rPr>
          <w:t>100</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89" w:history="1">
        <w:r w:rsidR="00686A0A" w:rsidRPr="006F04E8">
          <w:rPr>
            <w:rStyle w:val="Hyperlink"/>
            <w:noProof/>
          </w:rPr>
          <w:t>6.3. Recomendações de política pública</w:t>
        </w:r>
        <w:r w:rsidR="00686A0A">
          <w:rPr>
            <w:noProof/>
            <w:webHidden/>
          </w:rPr>
          <w:tab/>
        </w:r>
        <w:r>
          <w:rPr>
            <w:noProof/>
            <w:webHidden/>
          </w:rPr>
          <w:fldChar w:fldCharType="begin"/>
        </w:r>
        <w:r w:rsidR="00686A0A">
          <w:rPr>
            <w:noProof/>
            <w:webHidden/>
          </w:rPr>
          <w:instrText xml:space="preserve"> PAGEREF _Toc220484489 \h </w:instrText>
        </w:r>
        <w:r>
          <w:rPr>
            <w:noProof/>
            <w:webHidden/>
          </w:rPr>
        </w:r>
        <w:r>
          <w:rPr>
            <w:noProof/>
            <w:webHidden/>
          </w:rPr>
          <w:fldChar w:fldCharType="separate"/>
        </w:r>
        <w:r w:rsidR="00686A0A">
          <w:rPr>
            <w:noProof/>
            <w:webHidden/>
          </w:rPr>
          <w:t>102</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90" w:history="1">
        <w:r w:rsidR="00686A0A" w:rsidRPr="006F04E8">
          <w:rPr>
            <w:rStyle w:val="Hyperlink"/>
            <w:noProof/>
          </w:rPr>
          <w:t>7.</w:t>
        </w:r>
        <w:r w:rsidR="00686A0A">
          <w:rPr>
            <w:rFonts w:asciiTheme="minorHAnsi" w:eastAsiaTheme="minorEastAsia" w:hAnsiTheme="minorHAnsi" w:cstheme="minorBidi"/>
            <w:b w:val="0"/>
            <w:noProof/>
            <w:szCs w:val="22"/>
            <w:lang w:val="pt-PT" w:eastAsia="pt-PT"/>
          </w:rPr>
          <w:tab/>
        </w:r>
        <w:r w:rsidR="00686A0A" w:rsidRPr="006F04E8">
          <w:rPr>
            <w:rStyle w:val="Hyperlink"/>
            <w:noProof/>
          </w:rPr>
          <w:t>Bibliografia</w:t>
        </w:r>
        <w:r w:rsidR="00686A0A">
          <w:rPr>
            <w:noProof/>
            <w:webHidden/>
          </w:rPr>
          <w:tab/>
        </w:r>
        <w:r>
          <w:rPr>
            <w:noProof/>
            <w:webHidden/>
          </w:rPr>
          <w:fldChar w:fldCharType="begin"/>
        </w:r>
        <w:r w:rsidR="00686A0A">
          <w:rPr>
            <w:noProof/>
            <w:webHidden/>
          </w:rPr>
          <w:instrText xml:space="preserve"> PAGEREF _Toc220484490 \h </w:instrText>
        </w:r>
        <w:r>
          <w:rPr>
            <w:noProof/>
            <w:webHidden/>
          </w:rPr>
        </w:r>
        <w:r>
          <w:rPr>
            <w:noProof/>
            <w:webHidden/>
          </w:rPr>
          <w:fldChar w:fldCharType="separate"/>
        </w:r>
        <w:r w:rsidR="00686A0A">
          <w:rPr>
            <w:noProof/>
            <w:webHidden/>
          </w:rPr>
          <w:t>106</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91" w:history="1">
        <w:r w:rsidR="00686A0A" w:rsidRPr="006F04E8">
          <w:rPr>
            <w:rStyle w:val="Hyperlink"/>
            <w:noProof/>
          </w:rPr>
          <w:t>8.</w:t>
        </w:r>
        <w:r w:rsidR="00686A0A">
          <w:rPr>
            <w:rFonts w:asciiTheme="minorHAnsi" w:eastAsiaTheme="minorEastAsia" w:hAnsiTheme="minorHAnsi" w:cstheme="minorBidi"/>
            <w:b w:val="0"/>
            <w:noProof/>
            <w:szCs w:val="22"/>
            <w:lang w:val="pt-PT" w:eastAsia="pt-PT"/>
          </w:rPr>
          <w:tab/>
        </w:r>
        <w:r w:rsidR="00686A0A" w:rsidRPr="006F04E8">
          <w:rPr>
            <w:rStyle w:val="Hyperlink"/>
            <w:noProof/>
          </w:rPr>
          <w:t>Anexo - Dados estatísticos</w:t>
        </w:r>
        <w:r w:rsidR="00686A0A">
          <w:rPr>
            <w:noProof/>
            <w:webHidden/>
          </w:rPr>
          <w:tab/>
        </w:r>
        <w:r>
          <w:rPr>
            <w:noProof/>
            <w:webHidden/>
          </w:rPr>
          <w:fldChar w:fldCharType="begin"/>
        </w:r>
        <w:r w:rsidR="00686A0A">
          <w:rPr>
            <w:noProof/>
            <w:webHidden/>
          </w:rPr>
          <w:instrText xml:space="preserve"> PAGEREF _Toc220484491 \h </w:instrText>
        </w:r>
        <w:r>
          <w:rPr>
            <w:noProof/>
            <w:webHidden/>
          </w:rPr>
        </w:r>
        <w:r>
          <w:rPr>
            <w:noProof/>
            <w:webHidden/>
          </w:rPr>
          <w:fldChar w:fldCharType="separate"/>
        </w:r>
        <w:r w:rsidR="00686A0A">
          <w:rPr>
            <w:noProof/>
            <w:webHidden/>
          </w:rPr>
          <w:t>111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2" w:history="1">
        <w:r w:rsidR="00686A0A" w:rsidRPr="006F04E8">
          <w:rPr>
            <w:rStyle w:val="Hyperlink"/>
            <w:noProof/>
          </w:rPr>
          <w:t>8.1. Introdução</w:t>
        </w:r>
        <w:r w:rsidR="00686A0A">
          <w:rPr>
            <w:noProof/>
            <w:webHidden/>
          </w:rPr>
          <w:tab/>
        </w:r>
        <w:r>
          <w:rPr>
            <w:noProof/>
            <w:webHidden/>
          </w:rPr>
          <w:fldChar w:fldCharType="begin"/>
        </w:r>
        <w:r w:rsidR="00686A0A">
          <w:rPr>
            <w:noProof/>
            <w:webHidden/>
          </w:rPr>
          <w:instrText xml:space="preserve"> PAGEREF _Toc220484492 \h </w:instrText>
        </w:r>
        <w:r>
          <w:rPr>
            <w:noProof/>
            <w:webHidden/>
          </w:rPr>
        </w:r>
        <w:r>
          <w:rPr>
            <w:noProof/>
            <w:webHidden/>
          </w:rPr>
          <w:fldChar w:fldCharType="separate"/>
        </w:r>
        <w:r w:rsidR="00686A0A">
          <w:rPr>
            <w:noProof/>
            <w:webHidden/>
          </w:rPr>
          <w:t>111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3" w:history="1">
        <w:r w:rsidR="00686A0A" w:rsidRPr="006F04E8">
          <w:rPr>
            <w:rStyle w:val="Hyperlink"/>
            <w:noProof/>
          </w:rPr>
          <w:t>8.2. Dados de movimento processual agregados para o sistema judicial</w:t>
        </w:r>
        <w:r w:rsidR="00686A0A">
          <w:rPr>
            <w:noProof/>
            <w:webHidden/>
          </w:rPr>
          <w:tab/>
        </w:r>
        <w:r>
          <w:rPr>
            <w:noProof/>
            <w:webHidden/>
          </w:rPr>
          <w:fldChar w:fldCharType="begin"/>
        </w:r>
        <w:r w:rsidR="00686A0A">
          <w:rPr>
            <w:noProof/>
            <w:webHidden/>
          </w:rPr>
          <w:instrText xml:space="preserve"> PAGEREF _Toc220484493 \h </w:instrText>
        </w:r>
        <w:r>
          <w:rPr>
            <w:noProof/>
            <w:webHidden/>
          </w:rPr>
        </w:r>
        <w:r>
          <w:rPr>
            <w:noProof/>
            <w:webHidden/>
          </w:rPr>
          <w:fldChar w:fldCharType="separate"/>
        </w:r>
        <w:r w:rsidR="00686A0A">
          <w:rPr>
            <w:noProof/>
            <w:webHidden/>
          </w:rPr>
          <w:t>111</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4" w:history="1">
        <w:r w:rsidR="00686A0A" w:rsidRPr="006F04E8">
          <w:rPr>
            <w:rStyle w:val="Hyperlink"/>
            <w:noProof/>
          </w:rPr>
          <w:t>8.3. Dados do movimento processual desagregados ao nível do tribunal</w:t>
        </w:r>
        <w:r w:rsidR="00686A0A">
          <w:rPr>
            <w:noProof/>
            <w:webHidden/>
          </w:rPr>
          <w:tab/>
        </w:r>
        <w:r>
          <w:rPr>
            <w:noProof/>
            <w:webHidden/>
          </w:rPr>
          <w:fldChar w:fldCharType="begin"/>
        </w:r>
        <w:r w:rsidR="00686A0A">
          <w:rPr>
            <w:noProof/>
            <w:webHidden/>
          </w:rPr>
          <w:instrText xml:space="preserve"> PAGEREF _Toc220484494 \h </w:instrText>
        </w:r>
        <w:r>
          <w:rPr>
            <w:noProof/>
            <w:webHidden/>
          </w:rPr>
        </w:r>
        <w:r>
          <w:rPr>
            <w:noProof/>
            <w:webHidden/>
          </w:rPr>
          <w:fldChar w:fldCharType="separate"/>
        </w:r>
        <w:r w:rsidR="00686A0A">
          <w:rPr>
            <w:noProof/>
            <w:webHidden/>
          </w:rPr>
          <w:t>112</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5" w:history="1">
        <w:r w:rsidR="00686A0A" w:rsidRPr="006F04E8">
          <w:rPr>
            <w:rStyle w:val="Hyperlink"/>
            <w:noProof/>
          </w:rPr>
          <w:t>8.4. Dados dos recursos humanos</w:t>
        </w:r>
        <w:r w:rsidR="00686A0A">
          <w:rPr>
            <w:noProof/>
            <w:webHidden/>
          </w:rPr>
          <w:tab/>
        </w:r>
        <w:r>
          <w:rPr>
            <w:noProof/>
            <w:webHidden/>
          </w:rPr>
          <w:fldChar w:fldCharType="begin"/>
        </w:r>
        <w:r w:rsidR="00686A0A">
          <w:rPr>
            <w:noProof/>
            <w:webHidden/>
          </w:rPr>
          <w:instrText xml:space="preserve"> PAGEREF _Toc220484495 \h </w:instrText>
        </w:r>
        <w:r>
          <w:rPr>
            <w:noProof/>
            <w:webHidden/>
          </w:rPr>
        </w:r>
        <w:r>
          <w:rPr>
            <w:noProof/>
            <w:webHidden/>
          </w:rPr>
          <w:fldChar w:fldCharType="separate"/>
        </w:r>
        <w:r w:rsidR="00686A0A">
          <w:rPr>
            <w:noProof/>
            <w:webHidden/>
          </w:rPr>
          <w:t>117</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6" w:history="1">
        <w:r w:rsidR="00686A0A" w:rsidRPr="006F04E8">
          <w:rPr>
            <w:rStyle w:val="Hyperlink"/>
            <w:noProof/>
          </w:rPr>
          <w:t xml:space="preserve">8.5. Código das variáveis relativas ao </w:t>
        </w:r>
        <w:r w:rsidR="00686A0A" w:rsidRPr="006F04E8">
          <w:rPr>
            <w:rStyle w:val="Hyperlink"/>
            <w:i/>
            <w:noProof/>
          </w:rPr>
          <w:t>case mix</w:t>
        </w:r>
        <w:r w:rsidR="00686A0A">
          <w:rPr>
            <w:noProof/>
            <w:webHidden/>
          </w:rPr>
          <w:tab/>
        </w:r>
        <w:r>
          <w:rPr>
            <w:noProof/>
            <w:webHidden/>
          </w:rPr>
          <w:fldChar w:fldCharType="begin"/>
        </w:r>
        <w:r w:rsidR="00686A0A">
          <w:rPr>
            <w:noProof/>
            <w:webHidden/>
          </w:rPr>
          <w:instrText xml:space="preserve"> PAGEREF _Toc220484496 \h </w:instrText>
        </w:r>
        <w:r>
          <w:rPr>
            <w:noProof/>
            <w:webHidden/>
          </w:rPr>
        </w:r>
        <w:r>
          <w:rPr>
            <w:noProof/>
            <w:webHidden/>
          </w:rPr>
          <w:fldChar w:fldCharType="separate"/>
        </w:r>
        <w:r w:rsidR="00686A0A">
          <w:rPr>
            <w:noProof/>
            <w:webHidden/>
          </w:rPr>
          <w:t>118</w:t>
        </w:r>
        <w:r>
          <w:rPr>
            <w:noProof/>
            <w:webHidden/>
          </w:rPr>
          <w:fldChar w:fldCharType="end"/>
        </w:r>
      </w:hyperlink>
    </w:p>
    <w:p w:rsidR="00686A0A" w:rsidRDefault="0048473F">
      <w:pPr>
        <w:pStyle w:val="TOC1"/>
        <w:rPr>
          <w:rFonts w:asciiTheme="minorHAnsi" w:eastAsiaTheme="minorEastAsia" w:hAnsiTheme="minorHAnsi" w:cstheme="minorBidi"/>
          <w:b w:val="0"/>
          <w:noProof/>
          <w:szCs w:val="22"/>
          <w:lang w:val="pt-PT" w:eastAsia="pt-PT"/>
        </w:rPr>
      </w:pPr>
      <w:hyperlink w:anchor="_Toc220484497" w:history="1">
        <w:r w:rsidR="00686A0A" w:rsidRPr="006F04E8">
          <w:rPr>
            <w:rStyle w:val="Hyperlink"/>
            <w:noProof/>
          </w:rPr>
          <w:t>9.</w:t>
        </w:r>
        <w:r w:rsidR="00686A0A">
          <w:rPr>
            <w:rFonts w:asciiTheme="minorHAnsi" w:eastAsiaTheme="minorEastAsia" w:hAnsiTheme="minorHAnsi" w:cstheme="minorBidi"/>
            <w:b w:val="0"/>
            <w:noProof/>
            <w:szCs w:val="22"/>
            <w:lang w:val="pt-PT" w:eastAsia="pt-PT"/>
          </w:rPr>
          <w:tab/>
        </w:r>
        <w:r w:rsidR="00686A0A" w:rsidRPr="006F04E8">
          <w:rPr>
            <w:rStyle w:val="Hyperlink"/>
            <w:noProof/>
          </w:rPr>
          <w:t>Anexo – Gráficos e quadros auxiliares</w:t>
        </w:r>
        <w:r w:rsidR="00686A0A">
          <w:rPr>
            <w:noProof/>
            <w:webHidden/>
          </w:rPr>
          <w:tab/>
        </w:r>
        <w:r>
          <w:rPr>
            <w:noProof/>
            <w:webHidden/>
          </w:rPr>
          <w:fldChar w:fldCharType="begin"/>
        </w:r>
        <w:r w:rsidR="00686A0A">
          <w:rPr>
            <w:noProof/>
            <w:webHidden/>
          </w:rPr>
          <w:instrText xml:space="preserve"> PAGEREF _Toc220484497 \h </w:instrText>
        </w:r>
        <w:r>
          <w:rPr>
            <w:noProof/>
            <w:webHidden/>
          </w:rPr>
        </w:r>
        <w:r>
          <w:rPr>
            <w:noProof/>
            <w:webHidden/>
          </w:rPr>
          <w:fldChar w:fldCharType="separate"/>
        </w:r>
        <w:r w:rsidR="00686A0A">
          <w:rPr>
            <w:noProof/>
            <w:webHidden/>
          </w:rPr>
          <w:t>120</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498" w:history="1">
        <w:r w:rsidR="00686A0A" w:rsidRPr="006F04E8">
          <w:rPr>
            <w:rStyle w:val="Hyperlink"/>
            <w:noProof/>
          </w:rPr>
          <w:t>9.1. Análise estatística preliminar</w:t>
        </w:r>
        <w:r w:rsidR="00686A0A">
          <w:rPr>
            <w:noProof/>
            <w:webHidden/>
          </w:rPr>
          <w:tab/>
        </w:r>
        <w:r>
          <w:rPr>
            <w:noProof/>
            <w:webHidden/>
          </w:rPr>
          <w:fldChar w:fldCharType="begin"/>
        </w:r>
        <w:r w:rsidR="00686A0A">
          <w:rPr>
            <w:noProof/>
            <w:webHidden/>
          </w:rPr>
          <w:instrText xml:space="preserve"> PAGEREF _Toc220484498 \h </w:instrText>
        </w:r>
        <w:r>
          <w:rPr>
            <w:noProof/>
            <w:webHidden/>
          </w:rPr>
        </w:r>
        <w:r>
          <w:rPr>
            <w:noProof/>
            <w:webHidden/>
          </w:rPr>
          <w:fldChar w:fldCharType="separate"/>
        </w:r>
        <w:r w:rsidR="00686A0A">
          <w:rPr>
            <w:noProof/>
            <w:webHidden/>
          </w:rPr>
          <w:t>120</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499" w:history="1">
        <w:r w:rsidR="00686A0A" w:rsidRPr="006F04E8">
          <w:rPr>
            <w:rStyle w:val="Hyperlink"/>
            <w:noProof/>
          </w:rPr>
          <w:t>9.1.1. Análise univariada</w:t>
        </w:r>
        <w:r w:rsidR="00686A0A">
          <w:rPr>
            <w:noProof/>
            <w:webHidden/>
          </w:rPr>
          <w:tab/>
        </w:r>
        <w:r>
          <w:rPr>
            <w:noProof/>
            <w:webHidden/>
          </w:rPr>
          <w:fldChar w:fldCharType="begin"/>
        </w:r>
        <w:r w:rsidR="00686A0A">
          <w:rPr>
            <w:noProof/>
            <w:webHidden/>
          </w:rPr>
          <w:instrText xml:space="preserve"> PAGEREF _Toc220484499 \h </w:instrText>
        </w:r>
        <w:r>
          <w:rPr>
            <w:noProof/>
            <w:webHidden/>
          </w:rPr>
        </w:r>
        <w:r>
          <w:rPr>
            <w:noProof/>
            <w:webHidden/>
          </w:rPr>
          <w:fldChar w:fldCharType="separate"/>
        </w:r>
        <w:r w:rsidR="00686A0A">
          <w:rPr>
            <w:noProof/>
            <w:webHidden/>
          </w:rPr>
          <w:t>120</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500" w:history="1">
        <w:r w:rsidR="00686A0A" w:rsidRPr="006F04E8">
          <w:rPr>
            <w:rStyle w:val="Hyperlink"/>
            <w:noProof/>
          </w:rPr>
          <w:t xml:space="preserve">9.1.2. Estatísticas sumárias das variáveis de </w:t>
        </w:r>
        <w:r w:rsidR="00686A0A" w:rsidRPr="006F04E8">
          <w:rPr>
            <w:rStyle w:val="Hyperlink"/>
            <w:i/>
            <w:noProof/>
          </w:rPr>
          <w:t>case mix</w:t>
        </w:r>
        <w:r w:rsidR="00686A0A">
          <w:rPr>
            <w:noProof/>
            <w:webHidden/>
          </w:rPr>
          <w:tab/>
        </w:r>
        <w:r>
          <w:rPr>
            <w:noProof/>
            <w:webHidden/>
          </w:rPr>
          <w:fldChar w:fldCharType="begin"/>
        </w:r>
        <w:r w:rsidR="00686A0A">
          <w:rPr>
            <w:noProof/>
            <w:webHidden/>
          </w:rPr>
          <w:instrText xml:space="preserve"> PAGEREF _Toc220484500 \h </w:instrText>
        </w:r>
        <w:r>
          <w:rPr>
            <w:noProof/>
            <w:webHidden/>
          </w:rPr>
        </w:r>
        <w:r>
          <w:rPr>
            <w:noProof/>
            <w:webHidden/>
          </w:rPr>
          <w:fldChar w:fldCharType="separate"/>
        </w:r>
        <w:r w:rsidR="00686A0A">
          <w:rPr>
            <w:noProof/>
            <w:webHidden/>
          </w:rPr>
          <w:t>133</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501" w:history="1">
        <w:r w:rsidR="00686A0A" w:rsidRPr="006F04E8">
          <w:rPr>
            <w:rStyle w:val="Hyperlink"/>
            <w:noProof/>
          </w:rPr>
          <w:t xml:space="preserve">9.1.3. Análise de </w:t>
        </w:r>
        <w:r w:rsidR="00686A0A" w:rsidRPr="006F04E8">
          <w:rPr>
            <w:rStyle w:val="Hyperlink"/>
            <w:i/>
            <w:noProof/>
          </w:rPr>
          <w:t>clusters</w:t>
        </w:r>
        <w:r w:rsidR="00686A0A">
          <w:rPr>
            <w:noProof/>
            <w:webHidden/>
          </w:rPr>
          <w:tab/>
        </w:r>
        <w:r>
          <w:rPr>
            <w:noProof/>
            <w:webHidden/>
          </w:rPr>
          <w:fldChar w:fldCharType="begin"/>
        </w:r>
        <w:r w:rsidR="00686A0A">
          <w:rPr>
            <w:noProof/>
            <w:webHidden/>
          </w:rPr>
          <w:instrText xml:space="preserve"> PAGEREF _Toc220484501 \h </w:instrText>
        </w:r>
        <w:r>
          <w:rPr>
            <w:noProof/>
            <w:webHidden/>
          </w:rPr>
        </w:r>
        <w:r>
          <w:rPr>
            <w:noProof/>
            <w:webHidden/>
          </w:rPr>
          <w:fldChar w:fldCharType="separate"/>
        </w:r>
        <w:r w:rsidR="00686A0A">
          <w:rPr>
            <w:noProof/>
            <w:webHidden/>
          </w:rPr>
          <w:t>135</w:t>
        </w:r>
        <w:r>
          <w:rPr>
            <w:noProof/>
            <w:webHidden/>
          </w:rPr>
          <w:fldChar w:fldCharType="end"/>
        </w:r>
      </w:hyperlink>
    </w:p>
    <w:p w:rsidR="00686A0A" w:rsidRDefault="0048473F">
      <w:pPr>
        <w:pStyle w:val="TOC3"/>
        <w:tabs>
          <w:tab w:val="right" w:leader="dot" w:pos="8494"/>
        </w:tabs>
        <w:rPr>
          <w:rFonts w:asciiTheme="minorHAnsi" w:eastAsiaTheme="minorEastAsia" w:hAnsiTheme="minorHAnsi" w:cstheme="minorBidi"/>
          <w:noProof/>
          <w:lang w:val="pt-PT" w:eastAsia="pt-PT"/>
        </w:rPr>
      </w:pPr>
      <w:hyperlink w:anchor="_Toc220484502" w:history="1">
        <w:r w:rsidR="00686A0A" w:rsidRPr="006F04E8">
          <w:rPr>
            <w:rStyle w:val="Hyperlink"/>
            <w:noProof/>
          </w:rPr>
          <w:t>9.1.4. Análise bivariada</w:t>
        </w:r>
        <w:r w:rsidR="00686A0A">
          <w:rPr>
            <w:noProof/>
            <w:webHidden/>
          </w:rPr>
          <w:tab/>
        </w:r>
        <w:r>
          <w:rPr>
            <w:noProof/>
            <w:webHidden/>
          </w:rPr>
          <w:fldChar w:fldCharType="begin"/>
        </w:r>
        <w:r w:rsidR="00686A0A">
          <w:rPr>
            <w:noProof/>
            <w:webHidden/>
          </w:rPr>
          <w:instrText xml:space="preserve"> PAGEREF _Toc220484502 \h </w:instrText>
        </w:r>
        <w:r>
          <w:rPr>
            <w:noProof/>
            <w:webHidden/>
          </w:rPr>
        </w:r>
        <w:r>
          <w:rPr>
            <w:noProof/>
            <w:webHidden/>
          </w:rPr>
          <w:fldChar w:fldCharType="separate"/>
        </w:r>
        <w:r w:rsidR="00686A0A">
          <w:rPr>
            <w:noProof/>
            <w:webHidden/>
          </w:rPr>
          <w:t>138</w:t>
        </w:r>
        <w:r>
          <w:rPr>
            <w:noProof/>
            <w:webHidden/>
          </w:rPr>
          <w:fldChar w:fldCharType="end"/>
        </w:r>
      </w:hyperlink>
    </w:p>
    <w:p w:rsidR="00686A0A" w:rsidRDefault="0048473F">
      <w:pPr>
        <w:pStyle w:val="TOC2"/>
        <w:tabs>
          <w:tab w:val="right" w:leader="dot" w:pos="8494"/>
        </w:tabs>
        <w:rPr>
          <w:rFonts w:asciiTheme="minorHAnsi" w:eastAsiaTheme="minorEastAsia" w:hAnsiTheme="minorHAnsi" w:cstheme="minorBidi"/>
          <w:noProof/>
          <w:lang w:val="pt-PT" w:eastAsia="pt-PT"/>
        </w:rPr>
      </w:pPr>
      <w:hyperlink w:anchor="_Toc220484503" w:history="1">
        <w:r w:rsidR="00686A0A" w:rsidRPr="006F04E8">
          <w:rPr>
            <w:rStyle w:val="Hyperlink"/>
            <w:noProof/>
          </w:rPr>
          <w:t>9.2. Análise de regressão</w:t>
        </w:r>
        <w:r w:rsidR="00686A0A">
          <w:rPr>
            <w:noProof/>
            <w:webHidden/>
          </w:rPr>
          <w:tab/>
        </w:r>
        <w:r>
          <w:rPr>
            <w:noProof/>
            <w:webHidden/>
          </w:rPr>
          <w:fldChar w:fldCharType="begin"/>
        </w:r>
        <w:r w:rsidR="00686A0A">
          <w:rPr>
            <w:noProof/>
            <w:webHidden/>
          </w:rPr>
          <w:instrText xml:space="preserve"> PAGEREF _Toc220484503 \h </w:instrText>
        </w:r>
        <w:r>
          <w:rPr>
            <w:noProof/>
            <w:webHidden/>
          </w:rPr>
        </w:r>
        <w:r>
          <w:rPr>
            <w:noProof/>
            <w:webHidden/>
          </w:rPr>
          <w:fldChar w:fldCharType="separate"/>
        </w:r>
        <w:r w:rsidR="00686A0A">
          <w:rPr>
            <w:noProof/>
            <w:webHidden/>
          </w:rPr>
          <w:t>144</w:t>
        </w:r>
        <w:r>
          <w:rPr>
            <w:noProof/>
            <w:webHidden/>
          </w:rPr>
          <w:fldChar w:fldCharType="end"/>
        </w:r>
      </w:hyperlink>
    </w:p>
    <w:p w:rsidR="0029523E" w:rsidRDefault="0048473F" w:rsidP="00890FA0">
      <w:pPr>
        <w:rPr>
          <w:rFonts w:ascii="Perpetua" w:hAnsi="Perpetua"/>
          <w:sz w:val="22"/>
          <w:lang w:val="en-US" w:eastAsia="en-US"/>
        </w:rPr>
      </w:pPr>
      <w:r>
        <w:rPr>
          <w:rFonts w:ascii="Perpetua" w:hAnsi="Perpetua"/>
          <w:sz w:val="22"/>
          <w:lang w:val="en-US" w:eastAsia="en-US"/>
        </w:rPr>
        <w:fldChar w:fldCharType="end"/>
      </w: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033AD2" w:rsidRDefault="00033AD2" w:rsidP="00890FA0">
      <w:pPr>
        <w:rPr>
          <w:rFonts w:ascii="Perpetua" w:hAnsi="Perpetua"/>
          <w:sz w:val="22"/>
          <w:lang w:val="en-US" w:eastAsia="en-US"/>
        </w:rPr>
      </w:pPr>
    </w:p>
    <w:p w:rsidR="00033AD2" w:rsidRDefault="00033AD2" w:rsidP="00890FA0">
      <w:pPr>
        <w:rPr>
          <w:rFonts w:ascii="Perpetua" w:hAnsi="Perpetua"/>
          <w:sz w:val="22"/>
          <w:lang w:val="en-US" w:eastAsia="en-US"/>
        </w:rPr>
      </w:pPr>
    </w:p>
    <w:p w:rsidR="00A74873" w:rsidRDefault="00A74873" w:rsidP="00890FA0">
      <w:pPr>
        <w:rPr>
          <w:rFonts w:ascii="Perpetua" w:hAnsi="Perpetua"/>
          <w:sz w:val="22"/>
          <w:lang w:val="en-US" w:eastAsia="en-US"/>
        </w:rPr>
      </w:pPr>
    </w:p>
    <w:p w:rsidR="002A56EA" w:rsidRDefault="002A56EA" w:rsidP="00890FA0">
      <w:pPr>
        <w:rPr>
          <w:rFonts w:ascii="Perpetua" w:hAnsi="Perpetua"/>
          <w:sz w:val="22"/>
          <w:lang w:val="en-US" w:eastAsia="en-US"/>
        </w:rPr>
      </w:pPr>
    </w:p>
    <w:p w:rsidR="0029523E" w:rsidRPr="00CE6829" w:rsidRDefault="006738AA" w:rsidP="00890FA0">
      <w:pPr>
        <w:rPr>
          <w:rFonts w:ascii="Perpetua" w:hAnsi="Perpetua"/>
        </w:rPr>
      </w:pPr>
      <w:r w:rsidRPr="00CE6829">
        <w:rPr>
          <w:rFonts w:ascii="Perpetua" w:hAnsi="Perpetua"/>
          <w:b/>
        </w:rPr>
        <w:lastRenderedPageBreak/>
        <w:t>Índice</w:t>
      </w:r>
      <w:r w:rsidR="00D14440">
        <w:rPr>
          <w:rFonts w:ascii="Perpetua" w:hAnsi="Perpetua"/>
          <w:b/>
        </w:rPr>
        <w:t xml:space="preserve"> das</w:t>
      </w:r>
      <w:r w:rsidRPr="00CE6829">
        <w:rPr>
          <w:rFonts w:ascii="Perpetua" w:hAnsi="Perpetua"/>
          <w:b/>
        </w:rPr>
        <w:t xml:space="preserve"> </w:t>
      </w:r>
      <w:r w:rsidR="00EC3260">
        <w:rPr>
          <w:rFonts w:ascii="Perpetua" w:hAnsi="Perpetua"/>
          <w:b/>
        </w:rPr>
        <w:t>figuras</w:t>
      </w:r>
    </w:p>
    <w:p w:rsidR="0029523E" w:rsidRDefault="0029523E" w:rsidP="00890FA0"/>
    <w:p w:rsidR="007E6423" w:rsidRDefault="0048473F">
      <w:pPr>
        <w:pStyle w:val="TableofFigures"/>
        <w:tabs>
          <w:tab w:val="right" w:leader="dot" w:pos="8494"/>
        </w:tabs>
        <w:rPr>
          <w:rFonts w:asciiTheme="minorHAnsi" w:eastAsiaTheme="minorEastAsia" w:hAnsiTheme="minorHAnsi" w:cstheme="minorBidi"/>
          <w:noProof/>
          <w:sz w:val="22"/>
          <w:szCs w:val="22"/>
        </w:rPr>
      </w:pPr>
      <w:r w:rsidRPr="0048473F">
        <w:fldChar w:fldCharType="begin"/>
      </w:r>
      <w:r w:rsidR="00EC3260">
        <w:instrText xml:space="preserve"> TOC \h \z \c "Figura" </w:instrText>
      </w:r>
      <w:r w:rsidRPr="0048473F">
        <w:fldChar w:fldCharType="separate"/>
      </w:r>
      <w:hyperlink w:anchor="_Toc215081910" w:history="1">
        <w:r w:rsidR="007E6423" w:rsidRPr="002A4BE8">
          <w:rPr>
            <w:rStyle w:val="Hyperlink"/>
            <w:noProof/>
          </w:rPr>
          <w:t>Figura 2.1 – Organograma do sistema judicial português</w:t>
        </w:r>
        <w:r w:rsidR="007E6423">
          <w:rPr>
            <w:noProof/>
            <w:webHidden/>
          </w:rPr>
          <w:tab/>
        </w:r>
        <w:r>
          <w:rPr>
            <w:noProof/>
            <w:webHidden/>
          </w:rPr>
          <w:fldChar w:fldCharType="begin"/>
        </w:r>
        <w:r w:rsidR="007E6423">
          <w:rPr>
            <w:noProof/>
            <w:webHidden/>
          </w:rPr>
          <w:instrText xml:space="preserve"> PAGEREF _Toc215081910 \h </w:instrText>
        </w:r>
        <w:r>
          <w:rPr>
            <w:noProof/>
            <w:webHidden/>
          </w:rPr>
        </w:r>
        <w:r>
          <w:rPr>
            <w:noProof/>
            <w:webHidden/>
          </w:rPr>
          <w:fldChar w:fldCharType="separate"/>
        </w:r>
        <w:r w:rsidR="00FF37B9">
          <w:rPr>
            <w:noProof/>
            <w:webHidden/>
          </w:rPr>
          <w:t>19</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1" w:history="1">
        <w:r w:rsidR="007E6423" w:rsidRPr="002A4BE8">
          <w:rPr>
            <w:rStyle w:val="Hyperlink"/>
            <w:noProof/>
          </w:rPr>
          <w:t>Figura 2.2 – Organograma dos tribunais judiciais de 1.ª instância</w:t>
        </w:r>
        <w:r w:rsidR="007E6423">
          <w:rPr>
            <w:noProof/>
            <w:webHidden/>
          </w:rPr>
          <w:tab/>
        </w:r>
        <w:r>
          <w:rPr>
            <w:noProof/>
            <w:webHidden/>
          </w:rPr>
          <w:fldChar w:fldCharType="begin"/>
        </w:r>
        <w:r w:rsidR="007E6423">
          <w:rPr>
            <w:noProof/>
            <w:webHidden/>
          </w:rPr>
          <w:instrText xml:space="preserve"> PAGEREF _Toc215081911 \h </w:instrText>
        </w:r>
        <w:r>
          <w:rPr>
            <w:noProof/>
            <w:webHidden/>
          </w:rPr>
        </w:r>
        <w:r>
          <w:rPr>
            <w:noProof/>
            <w:webHidden/>
          </w:rPr>
          <w:fldChar w:fldCharType="separate"/>
        </w:r>
        <w:r w:rsidR="00FF37B9">
          <w:rPr>
            <w:noProof/>
            <w:webHidden/>
          </w:rPr>
          <w:t>21</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2" w:history="1">
        <w:r w:rsidR="007E6423" w:rsidRPr="002A4BE8">
          <w:rPr>
            <w:rStyle w:val="Hyperlink"/>
            <w:noProof/>
          </w:rPr>
          <w:t>Figura 4.1 – Função de produção de serviços judiciais com um factor produtivo (n.º de magistrados)</w:t>
        </w:r>
        <w:r w:rsidR="007E6423">
          <w:rPr>
            <w:noProof/>
            <w:webHidden/>
          </w:rPr>
          <w:tab/>
        </w:r>
        <w:r>
          <w:rPr>
            <w:noProof/>
            <w:webHidden/>
          </w:rPr>
          <w:fldChar w:fldCharType="begin"/>
        </w:r>
        <w:r w:rsidR="007E6423">
          <w:rPr>
            <w:noProof/>
            <w:webHidden/>
          </w:rPr>
          <w:instrText xml:space="preserve"> PAGEREF _Toc215081912 \h </w:instrText>
        </w:r>
        <w:r>
          <w:rPr>
            <w:noProof/>
            <w:webHidden/>
          </w:rPr>
        </w:r>
        <w:r>
          <w:rPr>
            <w:noProof/>
            <w:webHidden/>
          </w:rPr>
          <w:fldChar w:fldCharType="separate"/>
        </w:r>
        <w:r w:rsidR="00FF37B9">
          <w:rPr>
            <w:noProof/>
            <w:webHidden/>
          </w:rPr>
          <w:t>73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3" w:history="1">
        <w:r w:rsidR="007E6423" w:rsidRPr="002A4BE8">
          <w:rPr>
            <w:rStyle w:val="Hyperlink"/>
            <w:noProof/>
          </w:rPr>
          <w:t>Figura 8.1 – Critérios de agregação de processos Área Processual, Tipo de Espécie de Processo e Espécie do Processo e respectivas categorias</w:t>
        </w:r>
        <w:r w:rsidR="007E6423">
          <w:rPr>
            <w:noProof/>
            <w:webHidden/>
          </w:rPr>
          <w:tab/>
        </w:r>
        <w:r>
          <w:rPr>
            <w:noProof/>
            <w:webHidden/>
          </w:rPr>
          <w:fldChar w:fldCharType="begin"/>
        </w:r>
        <w:r w:rsidR="007E6423">
          <w:rPr>
            <w:noProof/>
            <w:webHidden/>
          </w:rPr>
          <w:instrText xml:space="preserve"> PAGEREF _Toc215081913 \h </w:instrText>
        </w:r>
        <w:r>
          <w:rPr>
            <w:noProof/>
            <w:webHidden/>
          </w:rPr>
        </w:r>
        <w:r>
          <w:rPr>
            <w:noProof/>
            <w:webHidden/>
          </w:rPr>
          <w:fldChar w:fldCharType="separate"/>
        </w:r>
        <w:r w:rsidR="00FF37B9">
          <w:rPr>
            <w:noProof/>
            <w:webHidden/>
          </w:rPr>
          <w:t>121</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4" w:history="1">
        <w:r w:rsidR="007E6423" w:rsidRPr="002A4BE8">
          <w:rPr>
            <w:rStyle w:val="Hyperlink"/>
            <w:noProof/>
          </w:rPr>
          <w:t>Figura 8.2 – Critérios de agregação de processos Área Processual, Tipo de Espécie de Processo e Espécie do Processo e respectivas categorias (continuação)</w:t>
        </w:r>
        <w:r w:rsidR="007E6423">
          <w:rPr>
            <w:noProof/>
            <w:webHidden/>
          </w:rPr>
          <w:tab/>
        </w:r>
        <w:r>
          <w:rPr>
            <w:noProof/>
            <w:webHidden/>
          </w:rPr>
          <w:fldChar w:fldCharType="begin"/>
        </w:r>
        <w:r w:rsidR="007E6423">
          <w:rPr>
            <w:noProof/>
            <w:webHidden/>
          </w:rPr>
          <w:instrText xml:space="preserve"> PAGEREF _Toc215081914 \h </w:instrText>
        </w:r>
        <w:r>
          <w:rPr>
            <w:noProof/>
            <w:webHidden/>
          </w:rPr>
        </w:r>
        <w:r>
          <w:rPr>
            <w:noProof/>
            <w:webHidden/>
          </w:rPr>
          <w:fldChar w:fldCharType="separate"/>
        </w:r>
        <w:r w:rsidR="00FF37B9">
          <w:rPr>
            <w:noProof/>
            <w:webHidden/>
          </w:rPr>
          <w:t>122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5" w:history="1">
        <w:r w:rsidR="007E6423" w:rsidRPr="002A4BE8">
          <w:rPr>
            <w:rStyle w:val="Hyperlink"/>
            <w:noProof/>
          </w:rPr>
          <w:t>Figura 8.3 – Categorias do critério de agregação Termo do Processo</w:t>
        </w:r>
        <w:r w:rsidR="007E6423">
          <w:rPr>
            <w:noProof/>
            <w:webHidden/>
          </w:rPr>
          <w:tab/>
        </w:r>
        <w:r>
          <w:rPr>
            <w:noProof/>
            <w:webHidden/>
          </w:rPr>
          <w:fldChar w:fldCharType="begin"/>
        </w:r>
        <w:r w:rsidR="007E6423">
          <w:rPr>
            <w:noProof/>
            <w:webHidden/>
          </w:rPr>
          <w:instrText xml:space="preserve"> PAGEREF _Toc215081915 \h </w:instrText>
        </w:r>
        <w:r>
          <w:rPr>
            <w:noProof/>
            <w:webHidden/>
          </w:rPr>
        </w:r>
        <w:r>
          <w:rPr>
            <w:noProof/>
            <w:webHidden/>
          </w:rPr>
          <w:fldChar w:fldCharType="separate"/>
        </w:r>
        <w:r w:rsidR="00FF37B9">
          <w:rPr>
            <w:noProof/>
            <w:webHidden/>
          </w:rPr>
          <w:t>123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6" w:history="1">
        <w:r w:rsidR="007E6423" w:rsidRPr="002A4BE8">
          <w:rPr>
            <w:rStyle w:val="Hyperlink"/>
            <w:noProof/>
          </w:rPr>
          <w:t>Figura 8.4 – Categorias do critério de agregação forma processual</w:t>
        </w:r>
        <w:r w:rsidR="007E6423">
          <w:rPr>
            <w:noProof/>
            <w:webHidden/>
          </w:rPr>
          <w:tab/>
        </w:r>
        <w:r>
          <w:rPr>
            <w:noProof/>
            <w:webHidden/>
          </w:rPr>
          <w:fldChar w:fldCharType="begin"/>
        </w:r>
        <w:r w:rsidR="007E6423">
          <w:rPr>
            <w:noProof/>
            <w:webHidden/>
          </w:rPr>
          <w:instrText xml:space="preserve"> PAGEREF _Toc215081916 \h </w:instrText>
        </w:r>
        <w:r>
          <w:rPr>
            <w:noProof/>
            <w:webHidden/>
          </w:rPr>
        </w:r>
        <w:r>
          <w:rPr>
            <w:noProof/>
            <w:webHidden/>
          </w:rPr>
          <w:fldChar w:fldCharType="separate"/>
        </w:r>
        <w:r w:rsidR="00FF37B9">
          <w:rPr>
            <w:noProof/>
            <w:webHidden/>
          </w:rPr>
          <w:t>123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7" w:history="1">
        <w:r w:rsidR="007E6423" w:rsidRPr="002A4BE8">
          <w:rPr>
            <w:rStyle w:val="Hyperlink"/>
            <w:noProof/>
          </w:rPr>
          <w:t>Figura 9.1 – Resultados das estimações da equação 1</w:t>
        </w:r>
        <w:r w:rsidR="007E6423">
          <w:rPr>
            <w:noProof/>
            <w:webHidden/>
          </w:rPr>
          <w:tab/>
        </w:r>
        <w:r>
          <w:rPr>
            <w:noProof/>
            <w:webHidden/>
          </w:rPr>
          <w:fldChar w:fldCharType="begin"/>
        </w:r>
        <w:r w:rsidR="007E6423">
          <w:rPr>
            <w:noProof/>
            <w:webHidden/>
          </w:rPr>
          <w:instrText xml:space="preserve"> PAGEREF _Toc215081917 \h </w:instrText>
        </w:r>
        <w:r>
          <w:rPr>
            <w:noProof/>
            <w:webHidden/>
          </w:rPr>
        </w:r>
        <w:r>
          <w:rPr>
            <w:noProof/>
            <w:webHidden/>
          </w:rPr>
          <w:fldChar w:fldCharType="separate"/>
        </w:r>
        <w:r w:rsidR="00FF37B9">
          <w:rPr>
            <w:noProof/>
            <w:webHidden/>
          </w:rPr>
          <w:t>151</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18" w:history="1">
        <w:r w:rsidR="007E6423" w:rsidRPr="002A4BE8">
          <w:rPr>
            <w:rStyle w:val="Hyperlink"/>
            <w:noProof/>
          </w:rPr>
          <w:t>Figura 9.2 – Resultados das estimações da equação 1 (continuação)</w:t>
        </w:r>
        <w:r w:rsidR="007E6423">
          <w:rPr>
            <w:noProof/>
            <w:webHidden/>
          </w:rPr>
          <w:tab/>
        </w:r>
        <w:r>
          <w:rPr>
            <w:noProof/>
            <w:webHidden/>
          </w:rPr>
          <w:fldChar w:fldCharType="begin"/>
        </w:r>
        <w:r w:rsidR="007E6423">
          <w:rPr>
            <w:noProof/>
            <w:webHidden/>
          </w:rPr>
          <w:instrText xml:space="preserve"> PAGEREF _Toc215081918 \h </w:instrText>
        </w:r>
        <w:r>
          <w:rPr>
            <w:noProof/>
            <w:webHidden/>
          </w:rPr>
        </w:r>
        <w:r>
          <w:rPr>
            <w:noProof/>
            <w:webHidden/>
          </w:rPr>
          <w:fldChar w:fldCharType="separate"/>
        </w:r>
        <w:r w:rsidR="00FF37B9">
          <w:rPr>
            <w:noProof/>
            <w:webHidden/>
          </w:rPr>
          <w:t>151</w:t>
        </w:r>
        <w:r>
          <w:rPr>
            <w:noProof/>
            <w:webHidden/>
          </w:rPr>
          <w:fldChar w:fldCharType="end"/>
        </w:r>
      </w:hyperlink>
    </w:p>
    <w:p w:rsidR="0029523E" w:rsidRDefault="0048473F" w:rsidP="00890FA0">
      <w:r>
        <w:fldChar w:fldCharType="end"/>
      </w:r>
    </w:p>
    <w:p w:rsidR="00A74873" w:rsidRDefault="00A74873" w:rsidP="00890FA0">
      <w:pPr>
        <w:rPr>
          <w:rFonts w:ascii="Perpetua" w:hAnsi="Perpetua"/>
          <w:b/>
        </w:rPr>
      </w:pPr>
    </w:p>
    <w:p w:rsidR="0029523E" w:rsidRPr="00EC3260" w:rsidRDefault="00EC3260" w:rsidP="00890FA0">
      <w:pPr>
        <w:rPr>
          <w:rFonts w:ascii="Perpetua" w:hAnsi="Perpetua"/>
          <w:b/>
        </w:rPr>
      </w:pPr>
      <w:r w:rsidRPr="00EC3260">
        <w:rPr>
          <w:rFonts w:ascii="Perpetua" w:hAnsi="Perpetua"/>
          <w:b/>
        </w:rPr>
        <w:t>Índice d</w:t>
      </w:r>
      <w:r w:rsidR="00D14440">
        <w:rPr>
          <w:rFonts w:ascii="Perpetua" w:hAnsi="Perpetua"/>
          <w:b/>
        </w:rPr>
        <w:t>os</w:t>
      </w:r>
      <w:r w:rsidRPr="00EC3260">
        <w:rPr>
          <w:rFonts w:ascii="Perpetua" w:hAnsi="Perpetua"/>
          <w:b/>
        </w:rPr>
        <w:t xml:space="preserve"> gráficos</w:t>
      </w:r>
    </w:p>
    <w:p w:rsidR="0029523E" w:rsidRDefault="0029523E" w:rsidP="00890FA0"/>
    <w:p w:rsidR="007E6423" w:rsidRDefault="0048473F">
      <w:pPr>
        <w:pStyle w:val="TableofFigures"/>
        <w:tabs>
          <w:tab w:val="right" w:leader="dot" w:pos="8494"/>
        </w:tabs>
        <w:rPr>
          <w:rFonts w:asciiTheme="minorHAnsi" w:eastAsiaTheme="minorEastAsia" w:hAnsiTheme="minorHAnsi" w:cstheme="minorBidi"/>
          <w:noProof/>
          <w:sz w:val="22"/>
          <w:szCs w:val="22"/>
        </w:rPr>
      </w:pPr>
      <w:r>
        <w:fldChar w:fldCharType="begin"/>
      </w:r>
      <w:r w:rsidR="00E925C5">
        <w:instrText xml:space="preserve"> TOC \h \z \c "Gráfico" </w:instrText>
      </w:r>
      <w:r>
        <w:fldChar w:fldCharType="separate"/>
      </w:r>
      <w:hyperlink w:anchor="_Toc215081919" w:history="1">
        <w:r w:rsidR="007E6423" w:rsidRPr="00C82FDE">
          <w:rPr>
            <w:rStyle w:val="Hyperlink"/>
            <w:noProof/>
          </w:rPr>
          <w:t>Gráfico 2.1 – Peso relativo (%) dos tribunais de 1.ª, 2.ª e da 3.ª instâncias (STJ) no total de tribunais do sistema judicial</w:t>
        </w:r>
        <w:r w:rsidR="007E6423">
          <w:rPr>
            <w:noProof/>
            <w:webHidden/>
          </w:rPr>
          <w:tab/>
        </w:r>
        <w:r>
          <w:rPr>
            <w:noProof/>
            <w:webHidden/>
          </w:rPr>
          <w:fldChar w:fldCharType="begin"/>
        </w:r>
        <w:r w:rsidR="007E6423">
          <w:rPr>
            <w:noProof/>
            <w:webHidden/>
          </w:rPr>
          <w:instrText xml:space="preserve"> PAGEREF _Toc215081919 \h </w:instrText>
        </w:r>
        <w:r>
          <w:rPr>
            <w:noProof/>
            <w:webHidden/>
          </w:rPr>
        </w:r>
        <w:r>
          <w:rPr>
            <w:noProof/>
            <w:webHidden/>
          </w:rPr>
          <w:fldChar w:fldCharType="separate"/>
        </w:r>
        <w:r w:rsidR="00FF37B9">
          <w:rPr>
            <w:noProof/>
            <w:webHidden/>
          </w:rPr>
          <w:t>22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0" w:history="1">
        <w:r w:rsidR="007E6423" w:rsidRPr="00C82FDE">
          <w:rPr>
            <w:rStyle w:val="Hyperlink"/>
            <w:noProof/>
          </w:rPr>
          <w:t>Gráfico 2.2 – Movimento nos tribunais judiciais de 1.ª instância por 10.000 habitantes</w:t>
        </w:r>
        <w:r w:rsidR="007E6423">
          <w:rPr>
            <w:noProof/>
            <w:webHidden/>
          </w:rPr>
          <w:tab/>
        </w:r>
        <w:r>
          <w:rPr>
            <w:noProof/>
            <w:webHidden/>
          </w:rPr>
          <w:fldChar w:fldCharType="begin"/>
        </w:r>
        <w:r w:rsidR="007E6423">
          <w:rPr>
            <w:noProof/>
            <w:webHidden/>
          </w:rPr>
          <w:instrText xml:space="preserve"> PAGEREF _Toc215081920 \h </w:instrText>
        </w:r>
        <w:r>
          <w:rPr>
            <w:noProof/>
            <w:webHidden/>
          </w:rPr>
        </w:r>
        <w:r>
          <w:rPr>
            <w:noProof/>
            <w:webHidden/>
          </w:rPr>
          <w:fldChar w:fldCharType="separate"/>
        </w:r>
        <w:r w:rsidR="00FF37B9">
          <w:rPr>
            <w:noProof/>
            <w:webHidden/>
          </w:rPr>
          <w:t>23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1" w:history="1">
        <w:r w:rsidR="007E6423" w:rsidRPr="00C82FDE">
          <w:rPr>
            <w:rStyle w:val="Hyperlink"/>
            <w:noProof/>
          </w:rPr>
          <w:t>Gráfico 2.3 – Taxa de acumulação processual do sistema judicial</w:t>
        </w:r>
        <w:r w:rsidR="007E6423">
          <w:rPr>
            <w:noProof/>
            <w:webHidden/>
          </w:rPr>
          <w:tab/>
        </w:r>
        <w:r>
          <w:rPr>
            <w:noProof/>
            <w:webHidden/>
          </w:rPr>
          <w:fldChar w:fldCharType="begin"/>
        </w:r>
        <w:r w:rsidR="007E6423">
          <w:rPr>
            <w:noProof/>
            <w:webHidden/>
          </w:rPr>
          <w:instrText xml:space="preserve"> PAGEREF _Toc215081921 \h </w:instrText>
        </w:r>
        <w:r>
          <w:rPr>
            <w:noProof/>
            <w:webHidden/>
          </w:rPr>
        </w:r>
        <w:r>
          <w:rPr>
            <w:noProof/>
            <w:webHidden/>
          </w:rPr>
          <w:fldChar w:fldCharType="separate"/>
        </w:r>
        <w:r w:rsidR="00FF37B9">
          <w:rPr>
            <w:noProof/>
            <w:webHidden/>
          </w:rPr>
          <w:t>24</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2" w:history="1">
        <w:r w:rsidR="007E6423" w:rsidRPr="00C82FDE">
          <w:rPr>
            <w:rStyle w:val="Hyperlink"/>
            <w:noProof/>
          </w:rPr>
          <w:t>Gráfico 2.4 – Duração média de resolução processual do sistema judicial</w:t>
        </w:r>
        <w:r w:rsidR="007E6423">
          <w:rPr>
            <w:noProof/>
            <w:webHidden/>
          </w:rPr>
          <w:tab/>
        </w:r>
        <w:r>
          <w:rPr>
            <w:noProof/>
            <w:webHidden/>
          </w:rPr>
          <w:fldChar w:fldCharType="begin"/>
        </w:r>
        <w:r w:rsidR="007E6423">
          <w:rPr>
            <w:noProof/>
            <w:webHidden/>
          </w:rPr>
          <w:instrText xml:space="preserve"> PAGEREF _Toc215081922 \h </w:instrText>
        </w:r>
        <w:r>
          <w:rPr>
            <w:noProof/>
            <w:webHidden/>
          </w:rPr>
        </w:r>
        <w:r>
          <w:rPr>
            <w:noProof/>
            <w:webHidden/>
          </w:rPr>
          <w:fldChar w:fldCharType="separate"/>
        </w:r>
        <w:r w:rsidR="00FF37B9">
          <w:rPr>
            <w:noProof/>
            <w:webHidden/>
          </w:rPr>
          <w:t>24</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3" w:history="1">
        <w:r w:rsidR="007E6423" w:rsidRPr="00C82FDE">
          <w:rPr>
            <w:rStyle w:val="Hyperlink"/>
            <w:noProof/>
          </w:rPr>
          <w:t>Gráfico 2.5 – Taxa de acumulação processual da 1.ª instância do sistema judicial</w:t>
        </w:r>
        <w:r w:rsidR="007E6423">
          <w:rPr>
            <w:noProof/>
            <w:webHidden/>
          </w:rPr>
          <w:tab/>
        </w:r>
        <w:r>
          <w:rPr>
            <w:noProof/>
            <w:webHidden/>
          </w:rPr>
          <w:fldChar w:fldCharType="begin"/>
        </w:r>
        <w:r w:rsidR="007E6423">
          <w:rPr>
            <w:noProof/>
            <w:webHidden/>
          </w:rPr>
          <w:instrText xml:space="preserve"> PAGEREF _Toc215081923 \h </w:instrText>
        </w:r>
        <w:r>
          <w:rPr>
            <w:noProof/>
            <w:webHidden/>
          </w:rPr>
        </w:r>
        <w:r>
          <w:rPr>
            <w:noProof/>
            <w:webHidden/>
          </w:rPr>
          <w:fldChar w:fldCharType="separate"/>
        </w:r>
        <w:r w:rsidR="00FF37B9">
          <w:rPr>
            <w:noProof/>
            <w:webHidden/>
          </w:rPr>
          <w:t>25</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4" w:history="1">
        <w:r w:rsidR="007E6423" w:rsidRPr="00C82FDE">
          <w:rPr>
            <w:rStyle w:val="Hyperlink"/>
            <w:noProof/>
          </w:rPr>
          <w:t>Gráfico 2.6 – Durações médias de resolução processual na área processual cível</w:t>
        </w:r>
        <w:r w:rsidR="007E6423">
          <w:rPr>
            <w:noProof/>
            <w:webHidden/>
          </w:rPr>
          <w:tab/>
        </w:r>
        <w:r>
          <w:rPr>
            <w:noProof/>
            <w:webHidden/>
          </w:rPr>
          <w:fldChar w:fldCharType="begin"/>
        </w:r>
        <w:r w:rsidR="007E6423">
          <w:rPr>
            <w:noProof/>
            <w:webHidden/>
          </w:rPr>
          <w:instrText xml:space="preserve"> PAGEREF _Toc215081924 \h </w:instrText>
        </w:r>
        <w:r>
          <w:rPr>
            <w:noProof/>
            <w:webHidden/>
          </w:rPr>
        </w:r>
        <w:r>
          <w:rPr>
            <w:noProof/>
            <w:webHidden/>
          </w:rPr>
          <w:fldChar w:fldCharType="separate"/>
        </w:r>
        <w:r w:rsidR="00FF37B9">
          <w:rPr>
            <w:noProof/>
            <w:webHidden/>
          </w:rPr>
          <w:t>26</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5" w:history="1">
        <w:r w:rsidR="007E6423" w:rsidRPr="00C82FDE">
          <w:rPr>
            <w:rStyle w:val="Hyperlink"/>
            <w:noProof/>
          </w:rPr>
          <w:t>Gráfico 2.7 – Movimento de inquéritos penais nos tribunais judiciais de 1.ª instância por 10.000 habitantes</w:t>
        </w:r>
        <w:r w:rsidR="007E6423">
          <w:rPr>
            <w:noProof/>
            <w:webHidden/>
          </w:rPr>
          <w:tab/>
        </w:r>
        <w:r>
          <w:rPr>
            <w:noProof/>
            <w:webHidden/>
          </w:rPr>
          <w:fldChar w:fldCharType="begin"/>
        </w:r>
        <w:r w:rsidR="007E6423">
          <w:rPr>
            <w:noProof/>
            <w:webHidden/>
          </w:rPr>
          <w:instrText xml:space="preserve"> PAGEREF _Toc215081925 \h </w:instrText>
        </w:r>
        <w:r>
          <w:rPr>
            <w:noProof/>
            <w:webHidden/>
          </w:rPr>
        </w:r>
        <w:r>
          <w:rPr>
            <w:noProof/>
            <w:webHidden/>
          </w:rPr>
          <w:fldChar w:fldCharType="separate"/>
        </w:r>
        <w:r w:rsidR="00FF37B9">
          <w:rPr>
            <w:noProof/>
            <w:webHidden/>
          </w:rPr>
          <w:t>28</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6" w:history="1">
        <w:r w:rsidR="007E6423" w:rsidRPr="00C82FDE">
          <w:rPr>
            <w:rStyle w:val="Hyperlink"/>
            <w:noProof/>
          </w:rPr>
          <w:t>Gráfico 2.8 – Movimento de injunções nos tribunais de 1.ª instância por 10.000 habitantes</w:t>
        </w:r>
        <w:r w:rsidR="007E6423">
          <w:rPr>
            <w:noProof/>
            <w:webHidden/>
          </w:rPr>
          <w:tab/>
        </w:r>
        <w:r>
          <w:rPr>
            <w:noProof/>
            <w:webHidden/>
          </w:rPr>
          <w:fldChar w:fldCharType="begin"/>
        </w:r>
        <w:r w:rsidR="007E6423">
          <w:rPr>
            <w:noProof/>
            <w:webHidden/>
          </w:rPr>
          <w:instrText xml:space="preserve"> PAGEREF _Toc215081926 \h </w:instrText>
        </w:r>
        <w:r>
          <w:rPr>
            <w:noProof/>
            <w:webHidden/>
          </w:rPr>
        </w:r>
        <w:r>
          <w:rPr>
            <w:noProof/>
            <w:webHidden/>
          </w:rPr>
          <w:fldChar w:fldCharType="separate"/>
        </w:r>
        <w:r w:rsidR="00FF37B9">
          <w:rPr>
            <w:noProof/>
            <w:webHidden/>
          </w:rPr>
          <w:t>28</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7" w:history="1">
        <w:r w:rsidR="007E6423" w:rsidRPr="00C82FDE">
          <w:rPr>
            <w:rStyle w:val="Hyperlink"/>
            <w:noProof/>
          </w:rPr>
          <w:t>Gráfico 2.9 – Advogados por 10.000 habitantes</w:t>
        </w:r>
        <w:r w:rsidR="007E6423">
          <w:rPr>
            <w:noProof/>
            <w:webHidden/>
          </w:rPr>
          <w:tab/>
        </w:r>
        <w:r>
          <w:rPr>
            <w:noProof/>
            <w:webHidden/>
          </w:rPr>
          <w:fldChar w:fldCharType="begin"/>
        </w:r>
        <w:r w:rsidR="007E6423">
          <w:rPr>
            <w:noProof/>
            <w:webHidden/>
          </w:rPr>
          <w:instrText xml:space="preserve"> PAGEREF _Toc215081927 \h </w:instrText>
        </w:r>
        <w:r>
          <w:rPr>
            <w:noProof/>
            <w:webHidden/>
          </w:rPr>
        </w:r>
        <w:r>
          <w:rPr>
            <w:noProof/>
            <w:webHidden/>
          </w:rPr>
          <w:fldChar w:fldCharType="separate"/>
        </w:r>
        <w:r w:rsidR="00FF37B9">
          <w:rPr>
            <w:noProof/>
            <w:webHidden/>
          </w:rPr>
          <w:t>32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8" w:history="1">
        <w:r w:rsidR="007E6423" w:rsidRPr="00C82FDE">
          <w:rPr>
            <w:rStyle w:val="Hyperlink"/>
            <w:noProof/>
          </w:rPr>
          <w:t>Gráfico 2.10 – Solicitadores por 100.000 habitantes</w:t>
        </w:r>
        <w:r w:rsidR="007E6423">
          <w:rPr>
            <w:noProof/>
            <w:webHidden/>
          </w:rPr>
          <w:tab/>
        </w:r>
        <w:r>
          <w:rPr>
            <w:noProof/>
            <w:webHidden/>
          </w:rPr>
          <w:fldChar w:fldCharType="begin"/>
        </w:r>
        <w:r w:rsidR="007E6423">
          <w:rPr>
            <w:noProof/>
            <w:webHidden/>
          </w:rPr>
          <w:instrText xml:space="preserve"> PAGEREF _Toc215081928 \h </w:instrText>
        </w:r>
        <w:r>
          <w:rPr>
            <w:noProof/>
            <w:webHidden/>
          </w:rPr>
        </w:r>
        <w:r>
          <w:rPr>
            <w:noProof/>
            <w:webHidden/>
          </w:rPr>
          <w:fldChar w:fldCharType="separate"/>
        </w:r>
        <w:r w:rsidR="00FF37B9">
          <w:rPr>
            <w:noProof/>
            <w:webHidden/>
          </w:rPr>
          <w:t>32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29" w:history="1">
        <w:r w:rsidR="007E6423" w:rsidRPr="00C82FDE">
          <w:rPr>
            <w:rStyle w:val="Hyperlink"/>
            <w:noProof/>
          </w:rPr>
          <w:t>Gráfico 2.11 – Evolução da produtividade judicial e da carga processual na 1.ª instância do sistema judicial</w:t>
        </w:r>
        <w:r w:rsidR="007E6423">
          <w:rPr>
            <w:noProof/>
            <w:webHidden/>
          </w:rPr>
          <w:tab/>
        </w:r>
        <w:r>
          <w:rPr>
            <w:noProof/>
            <w:webHidden/>
          </w:rPr>
          <w:fldChar w:fldCharType="begin"/>
        </w:r>
        <w:r w:rsidR="007E6423">
          <w:rPr>
            <w:noProof/>
            <w:webHidden/>
          </w:rPr>
          <w:instrText xml:space="preserve"> PAGEREF _Toc215081929 \h </w:instrText>
        </w:r>
        <w:r>
          <w:rPr>
            <w:noProof/>
            <w:webHidden/>
          </w:rPr>
        </w:r>
        <w:r>
          <w:rPr>
            <w:noProof/>
            <w:webHidden/>
          </w:rPr>
          <w:fldChar w:fldCharType="separate"/>
        </w:r>
        <w:r w:rsidR="00FF37B9">
          <w:rPr>
            <w:noProof/>
            <w:webHidden/>
          </w:rPr>
          <w:t>33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0" w:history="1">
        <w:r w:rsidR="007E6423" w:rsidRPr="00C82FDE">
          <w:rPr>
            <w:rStyle w:val="Hyperlink"/>
            <w:noProof/>
          </w:rPr>
          <w:t>Gráfico 2.12 – Produtividade judicial e carga processual na área processual laboral</w:t>
        </w:r>
        <w:r w:rsidR="007E6423">
          <w:rPr>
            <w:noProof/>
            <w:webHidden/>
          </w:rPr>
          <w:tab/>
        </w:r>
        <w:r>
          <w:rPr>
            <w:noProof/>
            <w:webHidden/>
          </w:rPr>
          <w:fldChar w:fldCharType="begin"/>
        </w:r>
        <w:r w:rsidR="007E6423">
          <w:rPr>
            <w:noProof/>
            <w:webHidden/>
          </w:rPr>
          <w:instrText xml:space="preserve"> PAGEREF _Toc215081930 \h </w:instrText>
        </w:r>
        <w:r>
          <w:rPr>
            <w:noProof/>
            <w:webHidden/>
          </w:rPr>
        </w:r>
        <w:r>
          <w:rPr>
            <w:noProof/>
            <w:webHidden/>
          </w:rPr>
          <w:fldChar w:fldCharType="separate"/>
        </w:r>
        <w:r w:rsidR="00FF37B9">
          <w:rPr>
            <w:noProof/>
            <w:webHidden/>
          </w:rPr>
          <w:t>34</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1" w:history="1">
        <w:r w:rsidR="007E6423" w:rsidRPr="00C82FDE">
          <w:rPr>
            <w:rStyle w:val="Hyperlink"/>
            <w:noProof/>
          </w:rPr>
          <w:t>Gráfico 2.13 – Produtividade judicial e carga processual tutelar</w:t>
        </w:r>
        <w:r w:rsidR="007E6423">
          <w:rPr>
            <w:noProof/>
            <w:webHidden/>
          </w:rPr>
          <w:tab/>
        </w:r>
        <w:r>
          <w:rPr>
            <w:noProof/>
            <w:webHidden/>
          </w:rPr>
          <w:fldChar w:fldCharType="begin"/>
        </w:r>
        <w:r w:rsidR="007E6423">
          <w:rPr>
            <w:noProof/>
            <w:webHidden/>
          </w:rPr>
          <w:instrText xml:space="preserve"> PAGEREF _Toc215081931 \h </w:instrText>
        </w:r>
        <w:r>
          <w:rPr>
            <w:noProof/>
            <w:webHidden/>
          </w:rPr>
        </w:r>
        <w:r>
          <w:rPr>
            <w:noProof/>
            <w:webHidden/>
          </w:rPr>
          <w:fldChar w:fldCharType="separate"/>
        </w:r>
        <w:r w:rsidR="00FF37B9">
          <w:rPr>
            <w:noProof/>
            <w:webHidden/>
          </w:rPr>
          <w:t>35</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2" w:history="1">
        <w:r w:rsidR="007E6423" w:rsidRPr="00C82FDE">
          <w:rPr>
            <w:rStyle w:val="Hyperlink"/>
            <w:noProof/>
          </w:rPr>
          <w:t>Gráfico 2.14 – Produtividade judicial e carga processual das áreas processuais cível e penal</w:t>
        </w:r>
        <w:r w:rsidR="007E6423">
          <w:rPr>
            <w:noProof/>
            <w:webHidden/>
          </w:rPr>
          <w:tab/>
        </w:r>
        <w:r>
          <w:rPr>
            <w:noProof/>
            <w:webHidden/>
          </w:rPr>
          <w:fldChar w:fldCharType="begin"/>
        </w:r>
        <w:r w:rsidR="007E6423">
          <w:rPr>
            <w:noProof/>
            <w:webHidden/>
          </w:rPr>
          <w:instrText xml:space="preserve"> PAGEREF _Toc215081932 \h </w:instrText>
        </w:r>
        <w:r>
          <w:rPr>
            <w:noProof/>
            <w:webHidden/>
          </w:rPr>
        </w:r>
        <w:r>
          <w:rPr>
            <w:noProof/>
            <w:webHidden/>
          </w:rPr>
          <w:fldChar w:fldCharType="separate"/>
        </w:r>
        <w:r w:rsidR="00FF37B9">
          <w:rPr>
            <w:noProof/>
            <w:webHidden/>
          </w:rPr>
          <w:t>36</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3" w:history="1">
        <w:r w:rsidR="007E6423" w:rsidRPr="00C82FDE">
          <w:rPr>
            <w:rStyle w:val="Hyperlink"/>
            <w:noProof/>
          </w:rPr>
          <w:t>Gráfico 5.1 – Dispersão da produtividade judicial média dos tribunais, 2001</w:t>
        </w:r>
        <w:r w:rsidR="007E6423">
          <w:rPr>
            <w:noProof/>
            <w:webHidden/>
          </w:rPr>
          <w:tab/>
        </w:r>
        <w:r>
          <w:rPr>
            <w:noProof/>
            <w:webHidden/>
          </w:rPr>
          <w:fldChar w:fldCharType="begin"/>
        </w:r>
        <w:r w:rsidR="007E6423">
          <w:rPr>
            <w:noProof/>
            <w:webHidden/>
          </w:rPr>
          <w:instrText xml:space="preserve"> PAGEREF _Toc215081933 \h </w:instrText>
        </w:r>
        <w:r>
          <w:rPr>
            <w:noProof/>
            <w:webHidden/>
          </w:rPr>
        </w:r>
        <w:r>
          <w:rPr>
            <w:noProof/>
            <w:webHidden/>
          </w:rPr>
          <w:fldChar w:fldCharType="separate"/>
        </w:r>
        <w:r w:rsidR="00FF37B9">
          <w:rPr>
            <w:noProof/>
            <w:webHidden/>
          </w:rPr>
          <w:t>82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4" w:history="1">
        <w:r w:rsidR="007E6423" w:rsidRPr="00C82FDE">
          <w:rPr>
            <w:rStyle w:val="Hyperlink"/>
            <w:noProof/>
          </w:rPr>
          <w:t>Gráfico 5.2 – Dispersão da produtividade judicial (ordenadas) e da carga judicial (abcissas)</w:t>
        </w:r>
        <w:r w:rsidR="007E6423">
          <w:rPr>
            <w:noProof/>
            <w:webHidden/>
          </w:rPr>
          <w:tab/>
        </w:r>
        <w:r>
          <w:rPr>
            <w:noProof/>
            <w:webHidden/>
          </w:rPr>
          <w:fldChar w:fldCharType="begin"/>
        </w:r>
        <w:r w:rsidR="007E6423">
          <w:rPr>
            <w:noProof/>
            <w:webHidden/>
          </w:rPr>
          <w:instrText xml:space="preserve"> PAGEREF _Toc215081934 \h </w:instrText>
        </w:r>
        <w:r>
          <w:rPr>
            <w:noProof/>
            <w:webHidden/>
          </w:rPr>
        </w:r>
        <w:r>
          <w:rPr>
            <w:noProof/>
            <w:webHidden/>
          </w:rPr>
          <w:fldChar w:fldCharType="separate"/>
        </w:r>
        <w:r w:rsidR="00FF37B9">
          <w:rPr>
            <w:noProof/>
            <w:webHidden/>
          </w:rPr>
          <w:t>82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5" w:history="1">
        <w:r w:rsidR="007E6423" w:rsidRPr="00C82FDE">
          <w:rPr>
            <w:rStyle w:val="Hyperlink"/>
            <w:noProof/>
          </w:rPr>
          <w:t>Gráfico 5.3 – Caixa de Bigodes do coeficiente de funcionários judiciais por magistrado judicial</w:t>
        </w:r>
        <w:r w:rsidR="007E6423">
          <w:rPr>
            <w:noProof/>
            <w:webHidden/>
          </w:rPr>
          <w:tab/>
        </w:r>
        <w:r>
          <w:rPr>
            <w:noProof/>
            <w:webHidden/>
          </w:rPr>
          <w:fldChar w:fldCharType="begin"/>
        </w:r>
        <w:r w:rsidR="007E6423">
          <w:rPr>
            <w:noProof/>
            <w:webHidden/>
          </w:rPr>
          <w:instrText xml:space="preserve"> PAGEREF _Toc215081935 \h </w:instrText>
        </w:r>
        <w:r>
          <w:rPr>
            <w:noProof/>
            <w:webHidden/>
          </w:rPr>
        </w:r>
        <w:r>
          <w:rPr>
            <w:noProof/>
            <w:webHidden/>
          </w:rPr>
          <w:fldChar w:fldCharType="separate"/>
        </w:r>
        <w:r w:rsidR="00FF37B9">
          <w:rPr>
            <w:noProof/>
            <w:webHidden/>
          </w:rPr>
          <w:t>86</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6" w:history="1">
        <w:r w:rsidR="007E6423" w:rsidRPr="00C82FDE">
          <w:rPr>
            <w:rStyle w:val="Hyperlink"/>
            <w:noProof/>
          </w:rPr>
          <w:t>Gráfico 5.4 – Evolução da semi-elasticidade (%) da produtividade judicial à carga judicial para valores da carga judicial média</w:t>
        </w:r>
        <w:r w:rsidR="007E6423">
          <w:rPr>
            <w:noProof/>
            <w:webHidden/>
          </w:rPr>
          <w:tab/>
        </w:r>
        <w:r>
          <w:rPr>
            <w:noProof/>
            <w:webHidden/>
          </w:rPr>
          <w:fldChar w:fldCharType="begin"/>
        </w:r>
        <w:r w:rsidR="007E6423">
          <w:rPr>
            <w:noProof/>
            <w:webHidden/>
          </w:rPr>
          <w:instrText xml:space="preserve"> PAGEREF _Toc215081936 \h </w:instrText>
        </w:r>
        <w:r>
          <w:rPr>
            <w:noProof/>
            <w:webHidden/>
          </w:rPr>
        </w:r>
        <w:r>
          <w:rPr>
            <w:noProof/>
            <w:webHidden/>
          </w:rPr>
          <w:fldChar w:fldCharType="separate"/>
        </w:r>
        <w:r w:rsidR="00FF37B9">
          <w:rPr>
            <w:noProof/>
            <w:webHidden/>
          </w:rPr>
          <w:t>96</w:t>
        </w:r>
        <w:r>
          <w:rPr>
            <w:noProof/>
            <w:webHidden/>
          </w:rPr>
          <w:fldChar w:fldCharType="end"/>
        </w:r>
      </w:hyperlink>
    </w:p>
    <w:p w:rsidR="0029523E" w:rsidRDefault="0048473F" w:rsidP="00890FA0">
      <w:pPr>
        <w:rPr>
          <w:rFonts w:ascii="Perpetua" w:hAnsi="Perpetua"/>
        </w:rPr>
      </w:pPr>
      <w:r>
        <w:rPr>
          <w:rFonts w:ascii="Perpetua" w:hAnsi="Perpetua"/>
        </w:rPr>
        <w:fldChar w:fldCharType="end"/>
      </w:r>
    </w:p>
    <w:p w:rsidR="00AF1752" w:rsidRDefault="00AF1752"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E925C5" w:rsidRPr="00EC3260" w:rsidRDefault="00E925C5" w:rsidP="00E925C5">
      <w:pPr>
        <w:rPr>
          <w:rFonts w:ascii="Perpetua" w:hAnsi="Perpetua"/>
          <w:b/>
        </w:rPr>
      </w:pPr>
      <w:r w:rsidRPr="00EC3260">
        <w:rPr>
          <w:rFonts w:ascii="Perpetua" w:hAnsi="Perpetua"/>
          <w:b/>
        </w:rPr>
        <w:lastRenderedPageBreak/>
        <w:t>Índice d</w:t>
      </w:r>
      <w:r w:rsidR="00D14440">
        <w:rPr>
          <w:rFonts w:ascii="Perpetua" w:hAnsi="Perpetua"/>
          <w:b/>
        </w:rPr>
        <w:t>os</w:t>
      </w:r>
      <w:r w:rsidRPr="00EC3260">
        <w:rPr>
          <w:rFonts w:ascii="Perpetua" w:hAnsi="Perpetua"/>
          <w:b/>
        </w:rPr>
        <w:t xml:space="preserve"> quadros</w:t>
      </w:r>
    </w:p>
    <w:p w:rsidR="00EC3260" w:rsidRDefault="00EC3260" w:rsidP="00890FA0"/>
    <w:p w:rsidR="007E6423" w:rsidRDefault="0048473F">
      <w:pPr>
        <w:pStyle w:val="TableofFigures"/>
        <w:tabs>
          <w:tab w:val="right" w:leader="dot" w:pos="8494"/>
        </w:tabs>
        <w:rPr>
          <w:rFonts w:asciiTheme="minorHAnsi" w:eastAsiaTheme="minorEastAsia" w:hAnsiTheme="minorHAnsi" w:cstheme="minorBidi"/>
          <w:noProof/>
          <w:sz w:val="22"/>
          <w:szCs w:val="22"/>
        </w:rPr>
      </w:pPr>
      <w:r w:rsidRPr="0048473F">
        <w:fldChar w:fldCharType="begin"/>
      </w:r>
      <w:r w:rsidR="00CC2629">
        <w:instrText xml:space="preserve"> TOC \h \z \c "Quadro" </w:instrText>
      </w:r>
      <w:r w:rsidRPr="0048473F">
        <w:fldChar w:fldCharType="separate"/>
      </w:r>
      <w:hyperlink w:anchor="_Toc215081937" w:history="1">
        <w:r w:rsidR="007E6423" w:rsidRPr="005E6578">
          <w:rPr>
            <w:rStyle w:val="Hyperlink"/>
            <w:noProof/>
          </w:rPr>
          <w:t>Quadro 2.1 – Recursos humanos por 100.000 habitantes e taxa de variação anual média da utilização de recursos humanos pelo sistema judicial, 1991-2006</w:t>
        </w:r>
        <w:r w:rsidR="007E6423">
          <w:rPr>
            <w:noProof/>
            <w:webHidden/>
          </w:rPr>
          <w:tab/>
        </w:r>
        <w:r>
          <w:rPr>
            <w:noProof/>
            <w:webHidden/>
          </w:rPr>
          <w:fldChar w:fldCharType="begin"/>
        </w:r>
        <w:r w:rsidR="007E6423">
          <w:rPr>
            <w:noProof/>
            <w:webHidden/>
          </w:rPr>
          <w:instrText xml:space="preserve"> PAGEREF _Toc215081937 \h </w:instrText>
        </w:r>
        <w:r>
          <w:rPr>
            <w:noProof/>
            <w:webHidden/>
          </w:rPr>
        </w:r>
        <w:r>
          <w:rPr>
            <w:noProof/>
            <w:webHidden/>
          </w:rPr>
          <w:fldChar w:fldCharType="separate"/>
        </w:r>
        <w:r w:rsidR="00FF37B9">
          <w:rPr>
            <w:noProof/>
            <w:webHidden/>
          </w:rPr>
          <w:t>30</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8" w:history="1">
        <w:r w:rsidR="007E6423" w:rsidRPr="005E6578">
          <w:rPr>
            <w:rStyle w:val="Hyperlink"/>
            <w:noProof/>
          </w:rPr>
          <w:t>Quadro 2.2 – Taxa de variação anual média da procura judicial por 10.000 habitantes, 1991-2006</w:t>
        </w:r>
        <w:r w:rsidR="007E6423">
          <w:rPr>
            <w:noProof/>
            <w:webHidden/>
          </w:rPr>
          <w:tab/>
        </w:r>
        <w:r>
          <w:rPr>
            <w:noProof/>
            <w:webHidden/>
          </w:rPr>
          <w:fldChar w:fldCharType="begin"/>
        </w:r>
        <w:r w:rsidR="007E6423">
          <w:rPr>
            <w:noProof/>
            <w:webHidden/>
          </w:rPr>
          <w:instrText xml:space="preserve"> PAGEREF _Toc215081938 \h </w:instrText>
        </w:r>
        <w:r>
          <w:rPr>
            <w:noProof/>
            <w:webHidden/>
          </w:rPr>
        </w:r>
        <w:r>
          <w:rPr>
            <w:noProof/>
            <w:webHidden/>
          </w:rPr>
          <w:fldChar w:fldCharType="separate"/>
        </w:r>
        <w:r w:rsidR="00FF37B9">
          <w:rPr>
            <w:noProof/>
            <w:webHidden/>
          </w:rPr>
          <w:t>31</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39" w:history="1">
        <w:r w:rsidR="007E6423" w:rsidRPr="005E6578">
          <w:rPr>
            <w:rStyle w:val="Hyperlink"/>
            <w:noProof/>
          </w:rPr>
          <w:t xml:space="preserve">Quadro 4.1 </w:t>
        </w:r>
        <w:r w:rsidR="007E6423" w:rsidRPr="005E6578">
          <w:rPr>
            <w:rStyle w:val="Hyperlink"/>
            <w:rFonts w:cs="Arial"/>
            <w:noProof/>
          </w:rPr>
          <w:t>- Peso relativo da amostra de tribunais de competência genérica no movimento e recursos dos tribunais judiciais de 1.ª instância portugueses</w:t>
        </w:r>
        <w:r w:rsidR="007E6423">
          <w:rPr>
            <w:noProof/>
            <w:webHidden/>
          </w:rPr>
          <w:tab/>
        </w:r>
        <w:r>
          <w:rPr>
            <w:noProof/>
            <w:webHidden/>
          </w:rPr>
          <w:fldChar w:fldCharType="begin"/>
        </w:r>
        <w:r w:rsidR="007E6423">
          <w:rPr>
            <w:noProof/>
            <w:webHidden/>
          </w:rPr>
          <w:instrText xml:space="preserve"> PAGEREF _Toc215081939 \h </w:instrText>
        </w:r>
        <w:r>
          <w:rPr>
            <w:noProof/>
            <w:webHidden/>
          </w:rPr>
        </w:r>
        <w:r>
          <w:rPr>
            <w:noProof/>
            <w:webHidden/>
          </w:rPr>
          <w:fldChar w:fldCharType="separate"/>
        </w:r>
        <w:r w:rsidR="00FF37B9">
          <w:rPr>
            <w:noProof/>
            <w:webHidden/>
          </w:rPr>
          <w:t>69</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0" w:history="1">
        <w:r w:rsidR="007E6423" w:rsidRPr="005E6578">
          <w:rPr>
            <w:rStyle w:val="Hyperlink"/>
            <w:noProof/>
          </w:rPr>
          <w:t>Quadro 4.2 – Vector das intensidades relativas de trabalho judicial dos processos cíveis</w:t>
        </w:r>
        <w:r w:rsidR="007E6423">
          <w:rPr>
            <w:noProof/>
            <w:webHidden/>
          </w:rPr>
          <w:tab/>
        </w:r>
        <w:r>
          <w:rPr>
            <w:noProof/>
            <w:webHidden/>
          </w:rPr>
          <w:fldChar w:fldCharType="begin"/>
        </w:r>
        <w:r w:rsidR="007E6423">
          <w:rPr>
            <w:noProof/>
            <w:webHidden/>
          </w:rPr>
          <w:instrText xml:space="preserve"> PAGEREF _Toc215081940 \h </w:instrText>
        </w:r>
        <w:r>
          <w:rPr>
            <w:noProof/>
            <w:webHidden/>
          </w:rPr>
        </w:r>
        <w:r>
          <w:rPr>
            <w:noProof/>
            <w:webHidden/>
          </w:rPr>
          <w:fldChar w:fldCharType="separate"/>
        </w:r>
        <w:r w:rsidR="00FF37B9">
          <w:rPr>
            <w:noProof/>
            <w:webHidden/>
          </w:rPr>
          <w:t>76</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1" w:history="1">
        <w:r w:rsidR="007E6423" w:rsidRPr="005E6578">
          <w:rPr>
            <w:rStyle w:val="Hyperlink"/>
            <w:noProof/>
          </w:rPr>
          <w:t>Quadro 5.1 – Estatísticas sumárias das variáveis de movimento processual por magistrado judicial</w:t>
        </w:r>
        <w:r w:rsidR="007E6423">
          <w:rPr>
            <w:noProof/>
            <w:webHidden/>
          </w:rPr>
          <w:tab/>
        </w:r>
        <w:r>
          <w:rPr>
            <w:noProof/>
            <w:webHidden/>
          </w:rPr>
          <w:fldChar w:fldCharType="begin"/>
        </w:r>
        <w:r w:rsidR="007E6423">
          <w:rPr>
            <w:noProof/>
            <w:webHidden/>
          </w:rPr>
          <w:instrText xml:space="preserve"> PAGEREF _Toc215081941 \h </w:instrText>
        </w:r>
        <w:r>
          <w:rPr>
            <w:noProof/>
            <w:webHidden/>
          </w:rPr>
        </w:r>
        <w:r>
          <w:rPr>
            <w:noProof/>
            <w:webHidden/>
          </w:rPr>
          <w:fldChar w:fldCharType="separate"/>
        </w:r>
        <w:r w:rsidR="00FF37B9">
          <w:rPr>
            <w:noProof/>
            <w:webHidden/>
          </w:rPr>
          <w:t>83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2" w:history="1">
        <w:r w:rsidR="007E6423" w:rsidRPr="005E6578">
          <w:rPr>
            <w:rStyle w:val="Hyperlink"/>
            <w:noProof/>
          </w:rPr>
          <w:t>Quadro 5.2 – Estatísticas sumárias das variáveis recursos humanos</w:t>
        </w:r>
        <w:r w:rsidR="007E6423">
          <w:rPr>
            <w:noProof/>
            <w:webHidden/>
          </w:rPr>
          <w:tab/>
        </w:r>
        <w:r>
          <w:rPr>
            <w:noProof/>
            <w:webHidden/>
          </w:rPr>
          <w:fldChar w:fldCharType="begin"/>
        </w:r>
        <w:r w:rsidR="007E6423">
          <w:rPr>
            <w:noProof/>
            <w:webHidden/>
          </w:rPr>
          <w:instrText xml:space="preserve"> PAGEREF _Toc215081942 \h </w:instrText>
        </w:r>
        <w:r>
          <w:rPr>
            <w:noProof/>
            <w:webHidden/>
          </w:rPr>
        </w:r>
        <w:r>
          <w:rPr>
            <w:noProof/>
            <w:webHidden/>
          </w:rPr>
          <w:fldChar w:fldCharType="separate"/>
        </w:r>
        <w:r w:rsidR="00FF37B9">
          <w:rPr>
            <w:noProof/>
            <w:webHidden/>
          </w:rPr>
          <w:t>84</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3" w:history="1">
        <w:r w:rsidR="007E6423" w:rsidRPr="005E6578">
          <w:rPr>
            <w:rStyle w:val="Hyperlink"/>
            <w:noProof/>
          </w:rPr>
          <w:t>Quadro 5.3 – Estatísticas sumárias dos recursos humanos por magistrado judicial</w:t>
        </w:r>
        <w:r w:rsidR="007E6423">
          <w:rPr>
            <w:noProof/>
            <w:webHidden/>
          </w:rPr>
          <w:tab/>
        </w:r>
        <w:r>
          <w:rPr>
            <w:noProof/>
            <w:webHidden/>
          </w:rPr>
          <w:fldChar w:fldCharType="begin"/>
        </w:r>
        <w:r w:rsidR="007E6423">
          <w:rPr>
            <w:noProof/>
            <w:webHidden/>
          </w:rPr>
          <w:instrText xml:space="preserve"> PAGEREF _Toc215081943 \h </w:instrText>
        </w:r>
        <w:r>
          <w:rPr>
            <w:noProof/>
            <w:webHidden/>
          </w:rPr>
        </w:r>
        <w:r>
          <w:rPr>
            <w:noProof/>
            <w:webHidden/>
          </w:rPr>
          <w:fldChar w:fldCharType="separate"/>
        </w:r>
        <w:r w:rsidR="00FF37B9">
          <w:rPr>
            <w:noProof/>
            <w:webHidden/>
          </w:rPr>
          <w:t>85</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4" w:history="1">
        <w:r w:rsidR="007E6423" w:rsidRPr="005E6578">
          <w:rPr>
            <w:rStyle w:val="Hyperlink"/>
            <w:noProof/>
          </w:rPr>
          <w:t>Quadro 5.4 – Estatísticas sumárias das medidas indirectas da produtividade dos funcionários judiciais e dos magistrados do M.P.</w:t>
        </w:r>
        <w:r w:rsidR="007E6423">
          <w:rPr>
            <w:noProof/>
            <w:webHidden/>
          </w:rPr>
          <w:tab/>
        </w:r>
        <w:r>
          <w:rPr>
            <w:noProof/>
            <w:webHidden/>
          </w:rPr>
          <w:fldChar w:fldCharType="begin"/>
        </w:r>
        <w:r w:rsidR="007E6423">
          <w:rPr>
            <w:noProof/>
            <w:webHidden/>
          </w:rPr>
          <w:instrText xml:space="preserve"> PAGEREF _Toc215081944 \h </w:instrText>
        </w:r>
        <w:r>
          <w:rPr>
            <w:noProof/>
            <w:webHidden/>
          </w:rPr>
        </w:r>
        <w:r>
          <w:rPr>
            <w:noProof/>
            <w:webHidden/>
          </w:rPr>
          <w:fldChar w:fldCharType="separate"/>
        </w:r>
        <w:r w:rsidR="00FF37B9">
          <w:rPr>
            <w:noProof/>
            <w:webHidden/>
          </w:rPr>
          <w:t>87</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5" w:history="1">
        <w:r w:rsidR="007E6423" w:rsidRPr="005E6578">
          <w:rPr>
            <w:rStyle w:val="Hyperlink"/>
            <w:noProof/>
          </w:rPr>
          <w:t>Quadro 5.5 – Estatísticas descritivas dos factores de contexto</w:t>
        </w:r>
        <w:r w:rsidR="007E6423">
          <w:rPr>
            <w:noProof/>
            <w:webHidden/>
          </w:rPr>
          <w:tab/>
        </w:r>
        <w:r>
          <w:rPr>
            <w:noProof/>
            <w:webHidden/>
          </w:rPr>
          <w:fldChar w:fldCharType="begin"/>
        </w:r>
        <w:r w:rsidR="007E6423">
          <w:rPr>
            <w:noProof/>
            <w:webHidden/>
          </w:rPr>
          <w:instrText xml:space="preserve"> PAGEREF _Toc215081945 \h </w:instrText>
        </w:r>
        <w:r>
          <w:rPr>
            <w:noProof/>
            <w:webHidden/>
          </w:rPr>
        </w:r>
        <w:r>
          <w:rPr>
            <w:noProof/>
            <w:webHidden/>
          </w:rPr>
          <w:fldChar w:fldCharType="separate"/>
        </w:r>
        <w:r w:rsidR="00FF37B9">
          <w:rPr>
            <w:noProof/>
            <w:webHidden/>
          </w:rPr>
          <w:t>88</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6" w:history="1">
        <w:r w:rsidR="007E6423" w:rsidRPr="005E6578">
          <w:rPr>
            <w:rStyle w:val="Hyperlink"/>
            <w:noProof/>
          </w:rPr>
          <w:t>Quadro 5.6 – Cluster 1</w:t>
        </w:r>
        <w:r w:rsidR="007E6423">
          <w:rPr>
            <w:noProof/>
            <w:webHidden/>
          </w:rPr>
          <w:tab/>
        </w:r>
        <w:r>
          <w:rPr>
            <w:noProof/>
            <w:webHidden/>
          </w:rPr>
          <w:fldChar w:fldCharType="begin"/>
        </w:r>
        <w:r w:rsidR="007E6423">
          <w:rPr>
            <w:noProof/>
            <w:webHidden/>
          </w:rPr>
          <w:instrText xml:space="preserve"> PAGEREF _Toc215081946 \h </w:instrText>
        </w:r>
        <w:r>
          <w:rPr>
            <w:noProof/>
            <w:webHidden/>
          </w:rPr>
        </w:r>
        <w:r>
          <w:rPr>
            <w:noProof/>
            <w:webHidden/>
          </w:rPr>
          <w:fldChar w:fldCharType="separate"/>
        </w:r>
        <w:r w:rsidR="00FF37B9">
          <w:rPr>
            <w:noProof/>
            <w:webHidden/>
          </w:rPr>
          <w:t>91</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7" w:history="1">
        <w:r w:rsidR="007E6423" w:rsidRPr="005E6578">
          <w:rPr>
            <w:rStyle w:val="Hyperlink"/>
            <w:noProof/>
          </w:rPr>
          <w:t>Quadro 5.7 – Cluster 2</w:t>
        </w:r>
        <w:r w:rsidR="007E6423">
          <w:rPr>
            <w:noProof/>
            <w:webHidden/>
          </w:rPr>
          <w:tab/>
        </w:r>
        <w:r>
          <w:rPr>
            <w:noProof/>
            <w:webHidden/>
          </w:rPr>
          <w:fldChar w:fldCharType="begin"/>
        </w:r>
        <w:r w:rsidR="007E6423">
          <w:rPr>
            <w:noProof/>
            <w:webHidden/>
          </w:rPr>
          <w:instrText xml:space="preserve"> PAGEREF _Toc215081947 \h </w:instrText>
        </w:r>
        <w:r>
          <w:rPr>
            <w:noProof/>
            <w:webHidden/>
          </w:rPr>
        </w:r>
        <w:r>
          <w:rPr>
            <w:noProof/>
            <w:webHidden/>
          </w:rPr>
          <w:fldChar w:fldCharType="separate"/>
        </w:r>
        <w:r w:rsidR="00FF37B9">
          <w:rPr>
            <w:noProof/>
            <w:webHidden/>
          </w:rPr>
          <w:t>92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8" w:history="1">
        <w:r w:rsidR="007E6423" w:rsidRPr="005E6578">
          <w:rPr>
            <w:rStyle w:val="Hyperlink"/>
            <w:noProof/>
          </w:rPr>
          <w:t>Quadro 5.8 – Cluster 3</w:t>
        </w:r>
        <w:r w:rsidR="007E6423">
          <w:rPr>
            <w:noProof/>
            <w:webHidden/>
          </w:rPr>
          <w:tab/>
        </w:r>
        <w:r>
          <w:rPr>
            <w:noProof/>
            <w:webHidden/>
          </w:rPr>
          <w:fldChar w:fldCharType="begin"/>
        </w:r>
        <w:r w:rsidR="007E6423">
          <w:rPr>
            <w:noProof/>
            <w:webHidden/>
          </w:rPr>
          <w:instrText xml:space="preserve"> PAGEREF _Toc215081948 \h </w:instrText>
        </w:r>
        <w:r>
          <w:rPr>
            <w:noProof/>
            <w:webHidden/>
          </w:rPr>
        </w:r>
        <w:r>
          <w:rPr>
            <w:noProof/>
            <w:webHidden/>
          </w:rPr>
          <w:fldChar w:fldCharType="separate"/>
        </w:r>
        <w:r w:rsidR="00FF37B9">
          <w:rPr>
            <w:noProof/>
            <w:webHidden/>
          </w:rPr>
          <w:t>92</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49" w:history="1">
        <w:r w:rsidR="007E6423" w:rsidRPr="005E6578">
          <w:rPr>
            <w:rStyle w:val="Hyperlink"/>
            <w:noProof/>
          </w:rPr>
          <w:t xml:space="preserve">Quadro 5.9 – Produtividade judicial média por </w:t>
        </w:r>
        <w:r w:rsidR="007E6423" w:rsidRPr="005E6578">
          <w:rPr>
            <w:rStyle w:val="Hyperlink"/>
            <w:i/>
            <w:noProof/>
          </w:rPr>
          <w:t>cluster</w:t>
        </w:r>
        <w:r w:rsidR="007E6423">
          <w:rPr>
            <w:noProof/>
            <w:webHidden/>
          </w:rPr>
          <w:tab/>
        </w:r>
        <w:r>
          <w:rPr>
            <w:noProof/>
            <w:webHidden/>
          </w:rPr>
          <w:fldChar w:fldCharType="begin"/>
        </w:r>
        <w:r w:rsidR="007E6423">
          <w:rPr>
            <w:noProof/>
            <w:webHidden/>
          </w:rPr>
          <w:instrText xml:space="preserve"> PAGEREF _Toc215081949 \h </w:instrText>
        </w:r>
        <w:r>
          <w:rPr>
            <w:noProof/>
            <w:webHidden/>
          </w:rPr>
        </w:r>
        <w:r>
          <w:rPr>
            <w:noProof/>
            <w:webHidden/>
          </w:rPr>
          <w:fldChar w:fldCharType="separate"/>
        </w:r>
        <w:r w:rsidR="00FF37B9">
          <w:rPr>
            <w:noProof/>
            <w:webHidden/>
          </w:rPr>
          <w:t>93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50" w:history="1">
        <w:r w:rsidR="007E6423" w:rsidRPr="005E6578">
          <w:rPr>
            <w:rStyle w:val="Hyperlink"/>
            <w:noProof/>
          </w:rPr>
          <w:t xml:space="preserve">Quadro 5.10 – Teste de igualdade de médias da produtividade judicial média dos </w:t>
        </w:r>
        <w:r w:rsidR="007E6423" w:rsidRPr="005E6578">
          <w:rPr>
            <w:rStyle w:val="Hyperlink"/>
            <w:i/>
            <w:noProof/>
          </w:rPr>
          <w:t>clusters</w:t>
        </w:r>
        <w:r w:rsidR="007E6423">
          <w:rPr>
            <w:noProof/>
            <w:webHidden/>
          </w:rPr>
          <w:tab/>
        </w:r>
        <w:r>
          <w:rPr>
            <w:noProof/>
            <w:webHidden/>
          </w:rPr>
          <w:fldChar w:fldCharType="begin"/>
        </w:r>
        <w:r w:rsidR="007E6423">
          <w:rPr>
            <w:noProof/>
            <w:webHidden/>
          </w:rPr>
          <w:instrText xml:space="preserve"> PAGEREF _Toc215081950 \h </w:instrText>
        </w:r>
        <w:r>
          <w:rPr>
            <w:noProof/>
            <w:webHidden/>
          </w:rPr>
        </w:r>
        <w:r>
          <w:rPr>
            <w:noProof/>
            <w:webHidden/>
          </w:rPr>
          <w:fldChar w:fldCharType="separate"/>
        </w:r>
        <w:r w:rsidR="00FF37B9">
          <w:rPr>
            <w:noProof/>
            <w:webHidden/>
          </w:rPr>
          <w:t>93</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51" w:history="1">
        <w:r w:rsidR="007E6423" w:rsidRPr="005E6578">
          <w:rPr>
            <w:rStyle w:val="Hyperlink"/>
            <w:noProof/>
          </w:rPr>
          <w:t>Quadro 5.11 – Resultados das estimações econométricas da Equação 1</w:t>
        </w:r>
        <w:r w:rsidR="007E6423">
          <w:rPr>
            <w:noProof/>
            <w:webHidden/>
          </w:rPr>
          <w:tab/>
        </w:r>
        <w:r>
          <w:rPr>
            <w:noProof/>
            <w:webHidden/>
          </w:rPr>
          <w:fldChar w:fldCharType="begin"/>
        </w:r>
        <w:r w:rsidR="007E6423">
          <w:rPr>
            <w:noProof/>
            <w:webHidden/>
          </w:rPr>
          <w:instrText xml:space="preserve"> PAGEREF _Toc215081951 \h </w:instrText>
        </w:r>
        <w:r>
          <w:rPr>
            <w:noProof/>
            <w:webHidden/>
          </w:rPr>
        </w:r>
        <w:r>
          <w:rPr>
            <w:noProof/>
            <w:webHidden/>
          </w:rPr>
          <w:fldChar w:fldCharType="separate"/>
        </w:r>
        <w:r w:rsidR="00FF37B9">
          <w:rPr>
            <w:noProof/>
            <w:webHidden/>
          </w:rPr>
          <w:t>95</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52" w:history="1">
        <w:r w:rsidR="007E6423" w:rsidRPr="005E6578">
          <w:rPr>
            <w:rStyle w:val="Hyperlink"/>
            <w:noProof/>
          </w:rPr>
          <w:t>Quadro 5.12 – Resultados das estimações econométricas da Equação 1 (continuação)</w:t>
        </w:r>
        <w:r w:rsidR="007E6423">
          <w:rPr>
            <w:noProof/>
            <w:webHidden/>
          </w:rPr>
          <w:tab/>
        </w:r>
        <w:r>
          <w:rPr>
            <w:noProof/>
            <w:webHidden/>
          </w:rPr>
          <w:fldChar w:fldCharType="begin"/>
        </w:r>
        <w:r w:rsidR="007E6423">
          <w:rPr>
            <w:noProof/>
            <w:webHidden/>
          </w:rPr>
          <w:instrText xml:space="preserve"> PAGEREF _Toc215081952 \h </w:instrText>
        </w:r>
        <w:r>
          <w:rPr>
            <w:noProof/>
            <w:webHidden/>
          </w:rPr>
        </w:r>
        <w:r>
          <w:rPr>
            <w:noProof/>
            <w:webHidden/>
          </w:rPr>
          <w:fldChar w:fldCharType="separate"/>
        </w:r>
        <w:r w:rsidR="00FF37B9">
          <w:rPr>
            <w:noProof/>
            <w:webHidden/>
          </w:rPr>
          <w:t>95</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53" w:history="1">
        <w:r w:rsidR="007E6423" w:rsidRPr="005E6578">
          <w:rPr>
            <w:rStyle w:val="Hyperlink"/>
            <w:noProof/>
          </w:rPr>
          <w:t>Quadro 5.13 – Resultados das estimações econométricas da Equação 2</w:t>
        </w:r>
        <w:r w:rsidR="007E6423">
          <w:rPr>
            <w:noProof/>
            <w:webHidden/>
          </w:rPr>
          <w:tab/>
        </w:r>
        <w:r>
          <w:rPr>
            <w:noProof/>
            <w:webHidden/>
          </w:rPr>
          <w:fldChar w:fldCharType="begin"/>
        </w:r>
        <w:r w:rsidR="007E6423">
          <w:rPr>
            <w:noProof/>
            <w:webHidden/>
          </w:rPr>
          <w:instrText xml:space="preserve"> PAGEREF _Toc215081953 \h </w:instrText>
        </w:r>
        <w:r>
          <w:rPr>
            <w:noProof/>
            <w:webHidden/>
          </w:rPr>
        </w:r>
        <w:r>
          <w:rPr>
            <w:noProof/>
            <w:webHidden/>
          </w:rPr>
          <w:fldChar w:fldCharType="separate"/>
        </w:r>
        <w:r w:rsidR="00FF37B9">
          <w:rPr>
            <w:noProof/>
            <w:webHidden/>
          </w:rPr>
          <w:t>99</w:t>
        </w:r>
        <w:r>
          <w:rPr>
            <w:noProof/>
            <w:webHidden/>
          </w:rPr>
          <w:fldChar w:fldCharType="end"/>
        </w:r>
      </w:hyperlink>
    </w:p>
    <w:p w:rsidR="007E6423" w:rsidRDefault="0048473F">
      <w:pPr>
        <w:pStyle w:val="TableofFigures"/>
        <w:tabs>
          <w:tab w:val="right" w:leader="dot" w:pos="8494"/>
        </w:tabs>
        <w:rPr>
          <w:rFonts w:asciiTheme="minorHAnsi" w:eastAsiaTheme="minorEastAsia" w:hAnsiTheme="minorHAnsi" w:cstheme="minorBidi"/>
          <w:noProof/>
          <w:sz w:val="22"/>
          <w:szCs w:val="22"/>
        </w:rPr>
      </w:pPr>
      <w:hyperlink w:anchor="_Toc215081954" w:history="1">
        <w:r w:rsidR="007E6423" w:rsidRPr="005E6578">
          <w:rPr>
            <w:rStyle w:val="Hyperlink"/>
            <w:noProof/>
          </w:rPr>
          <w:t>Quadro 5.14 – Resultados das estimações econométricas da Equação 2 (continuação)</w:t>
        </w:r>
        <w:r w:rsidR="007E6423">
          <w:rPr>
            <w:noProof/>
            <w:webHidden/>
          </w:rPr>
          <w:tab/>
        </w:r>
        <w:r>
          <w:rPr>
            <w:noProof/>
            <w:webHidden/>
          </w:rPr>
          <w:fldChar w:fldCharType="begin"/>
        </w:r>
        <w:r w:rsidR="007E6423">
          <w:rPr>
            <w:noProof/>
            <w:webHidden/>
          </w:rPr>
          <w:instrText xml:space="preserve"> PAGEREF _Toc215081954 \h </w:instrText>
        </w:r>
        <w:r>
          <w:rPr>
            <w:noProof/>
            <w:webHidden/>
          </w:rPr>
        </w:r>
        <w:r>
          <w:rPr>
            <w:noProof/>
            <w:webHidden/>
          </w:rPr>
          <w:fldChar w:fldCharType="separate"/>
        </w:r>
        <w:r w:rsidR="00FF37B9">
          <w:rPr>
            <w:noProof/>
            <w:webHidden/>
          </w:rPr>
          <w:t>99</w:t>
        </w:r>
        <w:r>
          <w:rPr>
            <w:noProof/>
            <w:webHidden/>
          </w:rPr>
          <w:fldChar w:fldCharType="end"/>
        </w:r>
      </w:hyperlink>
    </w:p>
    <w:p w:rsidR="00EC3260" w:rsidRDefault="0048473F" w:rsidP="00890FA0">
      <w:r>
        <w:fldChar w:fldCharType="end"/>
      </w:r>
    </w:p>
    <w:p w:rsidR="00DF2238" w:rsidRDefault="00DF2238"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A74873" w:rsidRDefault="00A74873" w:rsidP="00890FA0"/>
    <w:p w:rsidR="00890FA0" w:rsidRPr="003F0303" w:rsidRDefault="00890FA0" w:rsidP="006D0C0A">
      <w:pPr>
        <w:pStyle w:val="Heading1"/>
      </w:pPr>
      <w:bookmarkStart w:id="1" w:name="_Toc206648412"/>
      <w:bookmarkStart w:id="2" w:name="_Toc206652045"/>
      <w:bookmarkStart w:id="3" w:name="_Toc220484446"/>
      <w:r w:rsidRPr="003F0303">
        <w:lastRenderedPageBreak/>
        <w:t>As políticas públicas da Justiça e a provisão pública de serviços judiciais de resolução de litígios</w:t>
      </w:r>
      <w:bookmarkEnd w:id="1"/>
      <w:bookmarkEnd w:id="2"/>
      <w:bookmarkEnd w:id="3"/>
    </w:p>
    <w:p w:rsidR="00890FA0" w:rsidRDefault="00890FA0" w:rsidP="003F0303">
      <w:pPr>
        <w:spacing w:line="360" w:lineRule="auto"/>
        <w:jc w:val="both"/>
        <w:rPr>
          <w:rFonts w:ascii="Perpetua" w:hAnsi="Perpetua" w:cs="Arial"/>
        </w:rPr>
      </w:pPr>
    </w:p>
    <w:p w:rsidR="003F0303" w:rsidRPr="00A66E20" w:rsidRDefault="00F72F49" w:rsidP="00A66E20">
      <w:pPr>
        <w:pStyle w:val="Heading2"/>
      </w:pPr>
      <w:bookmarkStart w:id="4" w:name="_Toc206648413"/>
      <w:bookmarkStart w:id="5" w:name="_Toc206652046"/>
      <w:bookmarkStart w:id="6" w:name="_Toc220484447"/>
      <w:r w:rsidRPr="00A66E20">
        <w:t xml:space="preserve">1.1. </w:t>
      </w:r>
      <w:r w:rsidR="003F0303" w:rsidRPr="00A66E20">
        <w:t>Introdução</w:t>
      </w:r>
      <w:bookmarkEnd w:id="4"/>
      <w:bookmarkEnd w:id="5"/>
      <w:bookmarkEnd w:id="6"/>
    </w:p>
    <w:p w:rsidR="000043AA" w:rsidRPr="003F0303" w:rsidRDefault="000043AA" w:rsidP="000043AA">
      <w:pPr>
        <w:rPr>
          <w:rFonts w:ascii="Perpetua" w:hAnsi="Perpetua" w:cs="Arial"/>
        </w:rPr>
      </w:pPr>
    </w:p>
    <w:p w:rsidR="0080386E" w:rsidRPr="0080386E" w:rsidRDefault="008310BE" w:rsidP="0080386E">
      <w:pPr>
        <w:keepNext/>
        <w:framePr w:dropCap="drop" w:lines="3" w:wrap="around" w:vAnchor="text" w:hAnchor="text"/>
        <w:spacing w:line="1237" w:lineRule="exact"/>
        <w:jc w:val="both"/>
        <w:textAlignment w:val="baseline"/>
        <w:rPr>
          <w:rFonts w:ascii="Perpetua" w:hAnsi="Perpetua" w:cs="Arial"/>
          <w:position w:val="-3"/>
          <w:sz w:val="172"/>
        </w:rPr>
      </w:pPr>
      <w:r>
        <w:rPr>
          <w:rFonts w:ascii="Perpetua" w:hAnsi="Perpetua" w:cs="Arial"/>
          <w:position w:val="-3"/>
          <w:sz w:val="172"/>
        </w:rPr>
        <w:t>F</w:t>
      </w:r>
    </w:p>
    <w:p w:rsidR="00117B93" w:rsidRDefault="008310BE" w:rsidP="003F0303">
      <w:pPr>
        <w:spacing w:line="360" w:lineRule="auto"/>
        <w:jc w:val="both"/>
        <w:rPr>
          <w:rFonts w:ascii="Perpetua" w:hAnsi="Perpetua" w:cs="Arial"/>
        </w:rPr>
      </w:pPr>
      <w:r>
        <w:rPr>
          <w:rFonts w:ascii="Perpetua" w:hAnsi="Perpetua" w:cs="Arial"/>
        </w:rPr>
        <w:t xml:space="preserve">oram essencialmente dois os </w:t>
      </w:r>
      <w:r w:rsidR="003F0303" w:rsidRPr="003F0303">
        <w:rPr>
          <w:rFonts w:ascii="Perpetua" w:hAnsi="Perpetua" w:cs="Arial"/>
        </w:rPr>
        <w:t xml:space="preserve">motivos que </w:t>
      </w:r>
      <w:r>
        <w:rPr>
          <w:rFonts w:ascii="Perpetua" w:hAnsi="Perpetua" w:cs="Arial"/>
        </w:rPr>
        <w:t>presidiram o estudo</w:t>
      </w:r>
      <w:r w:rsidR="003F0303" w:rsidRPr="003F0303">
        <w:rPr>
          <w:rFonts w:ascii="Perpetua" w:hAnsi="Perpetua" w:cs="Arial"/>
        </w:rPr>
        <w:t xml:space="preserve"> teórico e empírico </w:t>
      </w:r>
      <w:r>
        <w:rPr>
          <w:rFonts w:ascii="Perpetua" w:hAnsi="Perpetua" w:cs="Arial"/>
        </w:rPr>
        <w:t>d</w:t>
      </w:r>
      <w:r w:rsidR="003F0303" w:rsidRPr="003F0303">
        <w:rPr>
          <w:rFonts w:ascii="Perpetua" w:hAnsi="Perpetua" w:cs="Arial"/>
        </w:rPr>
        <w:t>a oferta pública de serviços de resolução judicial de litígios</w:t>
      </w:r>
      <w:r w:rsidR="00A37CA8">
        <w:rPr>
          <w:rStyle w:val="FootnoteReference"/>
          <w:rFonts w:ascii="Perpetua" w:hAnsi="Perpetua" w:cs="Arial"/>
        </w:rPr>
        <w:footnoteReference w:id="2"/>
      </w:r>
      <w:r>
        <w:rPr>
          <w:rFonts w:ascii="Perpetua" w:hAnsi="Perpetua" w:cs="Arial"/>
        </w:rPr>
        <w:t xml:space="preserve"> que se apresenta neste trabalho</w:t>
      </w:r>
      <w:r w:rsidR="00CA708E">
        <w:rPr>
          <w:rFonts w:ascii="Perpetua" w:hAnsi="Perpetua" w:cs="Arial"/>
        </w:rPr>
        <w:t>. O primeiro está relacionado com as po</w:t>
      </w:r>
      <w:r w:rsidR="003F0303" w:rsidRPr="003F0303">
        <w:rPr>
          <w:rFonts w:ascii="Perpetua" w:hAnsi="Perpetua" w:cs="Arial"/>
        </w:rPr>
        <w:t>lítica</w:t>
      </w:r>
      <w:r w:rsidR="00CA708E">
        <w:rPr>
          <w:rFonts w:ascii="Perpetua" w:hAnsi="Perpetua" w:cs="Arial"/>
        </w:rPr>
        <w:t>s</w:t>
      </w:r>
      <w:r w:rsidR="003F0303" w:rsidRPr="003F0303">
        <w:rPr>
          <w:rFonts w:ascii="Perpetua" w:hAnsi="Perpetua" w:cs="Arial"/>
        </w:rPr>
        <w:t xml:space="preserve"> pública</w:t>
      </w:r>
      <w:r w:rsidR="00CA708E">
        <w:rPr>
          <w:rFonts w:ascii="Perpetua" w:hAnsi="Perpetua" w:cs="Arial"/>
        </w:rPr>
        <w:t>s</w:t>
      </w:r>
      <w:r w:rsidR="003F0303" w:rsidRPr="003F0303">
        <w:rPr>
          <w:rFonts w:ascii="Perpetua" w:hAnsi="Perpetua" w:cs="Arial"/>
        </w:rPr>
        <w:t xml:space="preserve"> </w:t>
      </w:r>
      <w:r w:rsidR="00CA708E">
        <w:rPr>
          <w:rFonts w:ascii="Perpetua" w:hAnsi="Perpetua" w:cs="Arial"/>
        </w:rPr>
        <w:t>do sector da Justiça e,</w:t>
      </w:r>
      <w:r w:rsidR="001658CE">
        <w:rPr>
          <w:rFonts w:ascii="Perpetua" w:hAnsi="Perpetua" w:cs="Arial"/>
        </w:rPr>
        <w:t xml:space="preserve"> </w:t>
      </w:r>
      <w:r w:rsidR="00CA708E">
        <w:rPr>
          <w:rFonts w:ascii="Perpetua" w:hAnsi="Perpetua" w:cs="Arial"/>
        </w:rPr>
        <w:t xml:space="preserve">em particular, </w:t>
      </w:r>
      <w:r w:rsidR="003F0303" w:rsidRPr="003F0303">
        <w:rPr>
          <w:rFonts w:ascii="Perpetua" w:hAnsi="Perpetua" w:cs="Arial"/>
        </w:rPr>
        <w:t xml:space="preserve">com a agenda reformista do sector da Justiça actualmente em curso em fóruns internacionais (Banco Mundial e Comissão Europeia para a Eficácia da Justiça, CEPEJ) e a sua aplicação ao sistema judicial português. Como </w:t>
      </w:r>
      <w:r w:rsidR="00CA708E">
        <w:rPr>
          <w:rFonts w:ascii="Perpetua" w:hAnsi="Perpetua" w:cs="Arial"/>
        </w:rPr>
        <w:t xml:space="preserve">vários </w:t>
      </w:r>
      <w:r w:rsidR="003F0303" w:rsidRPr="003F0303">
        <w:rPr>
          <w:rFonts w:ascii="Perpetua" w:hAnsi="Perpetua" w:cs="Arial"/>
        </w:rPr>
        <w:t>autores têm vindo a repetir insistentemente, os objectivos e os instrumentos, bem como as metodologias empregues (análises estatística e legislativa de natureza meramente descri</w:t>
      </w:r>
      <w:r w:rsidR="00CA708E">
        <w:rPr>
          <w:rFonts w:ascii="Perpetua" w:hAnsi="Perpetua" w:cs="Arial"/>
        </w:rPr>
        <w:t xml:space="preserve">tiva), das políticas públicas do sector da </w:t>
      </w:r>
      <w:r w:rsidR="003F0303" w:rsidRPr="003F0303">
        <w:rPr>
          <w:rFonts w:ascii="Perpetua" w:hAnsi="Perpetua" w:cs="Arial"/>
        </w:rPr>
        <w:t>Justiça que têm sido aplicadas em Portugal</w:t>
      </w:r>
      <w:r w:rsidR="003F0303" w:rsidRPr="003F0303">
        <w:rPr>
          <w:rStyle w:val="FootnoteReference"/>
          <w:rFonts w:ascii="Perpetua" w:hAnsi="Perpetua" w:cs="Arial"/>
        </w:rPr>
        <w:footnoteReference w:id="3"/>
      </w:r>
      <w:r w:rsidR="003F0303" w:rsidRPr="003F0303">
        <w:rPr>
          <w:rFonts w:ascii="Perpetua" w:hAnsi="Perpetua" w:cs="Arial"/>
        </w:rPr>
        <w:t xml:space="preserve"> têm muito a beneficiar com a contribuição da ciência económica. Com efeito, o estabelecimento de conhecimento empírico sobre os problemas, os instrumentos e as possíveis soluções, implica, no nosso entender, a noção da </w:t>
      </w:r>
      <w:r w:rsidR="003F0303" w:rsidRPr="003F0303">
        <w:rPr>
          <w:rFonts w:ascii="Perpetua" w:hAnsi="Perpetua" w:cs="Arial"/>
          <w:i/>
        </w:rPr>
        <w:t>economia</w:t>
      </w:r>
      <w:r w:rsidR="003F0303" w:rsidRPr="003F0303">
        <w:rPr>
          <w:rFonts w:ascii="Perpetua" w:hAnsi="Perpetua" w:cs="Arial"/>
        </w:rPr>
        <w:t xml:space="preserve"> do sector da Justiça. </w:t>
      </w:r>
    </w:p>
    <w:p w:rsidR="00117B93" w:rsidRDefault="00117B93" w:rsidP="003F0303">
      <w:pPr>
        <w:spacing w:line="360" w:lineRule="auto"/>
        <w:jc w:val="both"/>
        <w:rPr>
          <w:rFonts w:ascii="Perpetua" w:hAnsi="Perpetua" w:cs="Arial"/>
        </w:rPr>
      </w:pPr>
    </w:p>
    <w:p w:rsidR="003F0303" w:rsidRPr="003F0303" w:rsidRDefault="003F0303" w:rsidP="003F0303">
      <w:pPr>
        <w:spacing w:line="360" w:lineRule="auto"/>
        <w:jc w:val="both"/>
        <w:rPr>
          <w:rFonts w:ascii="Perpetua" w:hAnsi="Perpetua" w:cs="Arial"/>
        </w:rPr>
      </w:pPr>
      <w:r w:rsidRPr="003F0303">
        <w:rPr>
          <w:rFonts w:ascii="Perpetua" w:hAnsi="Perpetua" w:cs="Arial"/>
        </w:rPr>
        <w:t xml:space="preserve">O segundo objectivo deste trabalho é contribuir para o conhecimento </w:t>
      </w:r>
      <w:r w:rsidR="00CA708E">
        <w:rPr>
          <w:rFonts w:ascii="Perpetua" w:hAnsi="Perpetua" w:cs="Arial"/>
        </w:rPr>
        <w:t xml:space="preserve">científico </w:t>
      </w:r>
      <w:r w:rsidRPr="003F0303">
        <w:rPr>
          <w:rFonts w:ascii="Perpetua" w:hAnsi="Perpetua" w:cs="Arial"/>
        </w:rPr>
        <w:t>sobre a pro</w:t>
      </w:r>
      <w:r w:rsidR="00CA708E">
        <w:rPr>
          <w:rFonts w:ascii="Perpetua" w:hAnsi="Perpetua" w:cs="Arial"/>
        </w:rPr>
        <w:t xml:space="preserve">visão </w:t>
      </w:r>
      <w:r w:rsidRPr="003F0303">
        <w:rPr>
          <w:rFonts w:ascii="Perpetua" w:hAnsi="Perpetua" w:cs="Arial"/>
        </w:rPr>
        <w:t xml:space="preserve">de serviços públicos de resolução </w:t>
      </w:r>
      <w:r w:rsidR="00CA708E">
        <w:rPr>
          <w:rFonts w:ascii="Perpetua" w:hAnsi="Perpetua" w:cs="Arial"/>
        </w:rPr>
        <w:t xml:space="preserve">judicial de litígios, mediante a </w:t>
      </w:r>
      <w:r w:rsidR="008465E3">
        <w:rPr>
          <w:rFonts w:ascii="Perpetua" w:hAnsi="Perpetua" w:cs="Arial"/>
        </w:rPr>
        <w:t>realização de</w:t>
      </w:r>
      <w:r w:rsidR="00CA708E">
        <w:rPr>
          <w:rFonts w:ascii="Perpetua" w:hAnsi="Perpetua" w:cs="Arial"/>
        </w:rPr>
        <w:t xml:space="preserve"> </w:t>
      </w:r>
      <w:r w:rsidR="003E1D20">
        <w:rPr>
          <w:rFonts w:ascii="Perpetua" w:hAnsi="Perpetua" w:cs="Arial"/>
        </w:rPr>
        <w:t>testes estatísticos d</w:t>
      </w:r>
      <w:r w:rsidRPr="003F0303">
        <w:rPr>
          <w:rFonts w:ascii="Perpetua" w:hAnsi="Perpetua" w:cs="Arial"/>
        </w:rPr>
        <w:t xml:space="preserve">e um conjunto </w:t>
      </w:r>
      <w:r w:rsidR="008465E3">
        <w:rPr>
          <w:rFonts w:ascii="Perpetua" w:hAnsi="Perpetua" w:cs="Arial"/>
        </w:rPr>
        <w:t xml:space="preserve">de </w:t>
      </w:r>
      <w:r w:rsidRPr="003F0303">
        <w:rPr>
          <w:rFonts w:ascii="Perpetua" w:hAnsi="Perpetua" w:cs="Arial"/>
        </w:rPr>
        <w:t>hipóteses teóricas no contexto do sistema judicial português</w:t>
      </w:r>
      <w:r w:rsidR="003E1D20">
        <w:rPr>
          <w:rFonts w:ascii="Perpetua" w:hAnsi="Perpetua" w:cs="Arial"/>
        </w:rPr>
        <w:t xml:space="preserve"> e a exploração de relações estatísticas que</w:t>
      </w:r>
      <w:r w:rsidR="00CA708E">
        <w:rPr>
          <w:rFonts w:ascii="Perpetua" w:hAnsi="Perpetua" w:cs="Arial"/>
        </w:rPr>
        <w:t>,</w:t>
      </w:r>
      <w:r w:rsidR="003E1D20">
        <w:rPr>
          <w:rFonts w:ascii="Perpetua" w:hAnsi="Perpetua" w:cs="Arial"/>
        </w:rPr>
        <w:t xml:space="preserve"> não s</w:t>
      </w:r>
      <w:r w:rsidR="00CA708E">
        <w:rPr>
          <w:rFonts w:ascii="Perpetua" w:hAnsi="Perpetua" w:cs="Arial"/>
        </w:rPr>
        <w:t>endo</w:t>
      </w:r>
      <w:r w:rsidR="003E1D20">
        <w:rPr>
          <w:rFonts w:ascii="Perpetua" w:hAnsi="Perpetua" w:cs="Arial"/>
        </w:rPr>
        <w:t xml:space="preserve"> previstas por nenhuma teoria </w:t>
      </w:r>
      <w:r w:rsidR="00CA708E">
        <w:rPr>
          <w:rFonts w:ascii="Perpetua" w:hAnsi="Perpetua" w:cs="Arial"/>
        </w:rPr>
        <w:t>particular, têm um poder explicativo potencial dos diferenciais de produtividade judicial observados.</w:t>
      </w:r>
      <w:r w:rsidRPr="003F0303">
        <w:rPr>
          <w:rFonts w:ascii="Perpetua" w:hAnsi="Perpetua" w:cs="Arial"/>
        </w:rPr>
        <w:t xml:space="preserve"> A revisão </w:t>
      </w:r>
      <w:r w:rsidR="003E1D20">
        <w:rPr>
          <w:rFonts w:ascii="Perpetua" w:hAnsi="Perpetua" w:cs="Arial"/>
        </w:rPr>
        <w:t xml:space="preserve">da literatura </w:t>
      </w:r>
      <w:r w:rsidR="00CA708E">
        <w:rPr>
          <w:rFonts w:ascii="Perpetua" w:hAnsi="Perpetua" w:cs="Arial"/>
        </w:rPr>
        <w:t>efectuada no âmbito d</w:t>
      </w:r>
      <w:r w:rsidRPr="003F0303">
        <w:rPr>
          <w:rFonts w:ascii="Perpetua" w:hAnsi="Perpetua" w:cs="Arial"/>
        </w:rPr>
        <w:t>este trabalho leva-nos a concluir que, ao contrário dos sectores da Saúde e da Educação, o sector da Justiça não dispõe ainda, no seio da ciência económica, de um ramo do conhecimento dedicado ao estudo teórico e empírico do seu funcionamento – embora, como veremos mais adiante, a Análise Económica do Direito</w:t>
      </w:r>
      <w:r w:rsidRPr="003F0303">
        <w:rPr>
          <w:rStyle w:val="FootnoteReference"/>
          <w:rFonts w:ascii="Perpetua" w:hAnsi="Perpetua"/>
        </w:rPr>
        <w:footnoteReference w:id="4"/>
      </w:r>
      <w:r w:rsidRPr="003F0303">
        <w:rPr>
          <w:rFonts w:ascii="Perpetua" w:hAnsi="Perpetua"/>
        </w:rPr>
        <w:t xml:space="preserve"> </w:t>
      </w:r>
      <w:r w:rsidRPr="003F0303">
        <w:rPr>
          <w:rFonts w:ascii="Perpetua" w:hAnsi="Perpetua" w:cs="Arial"/>
        </w:rPr>
        <w:t>po</w:t>
      </w:r>
      <w:r w:rsidR="008465E3">
        <w:rPr>
          <w:rFonts w:ascii="Perpetua" w:hAnsi="Perpetua" w:cs="Arial"/>
        </w:rPr>
        <w:t>ssa</w:t>
      </w:r>
      <w:r w:rsidRPr="003F0303">
        <w:rPr>
          <w:rFonts w:ascii="Perpetua" w:hAnsi="Perpetua" w:cs="Arial"/>
        </w:rPr>
        <w:t xml:space="preserve">, no futuro, assumir esse papel. </w:t>
      </w:r>
      <w:r w:rsidR="00CA708E">
        <w:rPr>
          <w:rFonts w:ascii="Perpetua" w:hAnsi="Perpetua" w:cs="Arial"/>
        </w:rPr>
        <w:t xml:space="preserve">Esta constatação contribuiu para que este trabalho não se enquadrasse em nenhuma literatura </w:t>
      </w:r>
      <w:r w:rsidR="00117B93">
        <w:rPr>
          <w:rFonts w:ascii="Perpetua" w:hAnsi="Perpetua" w:cs="Arial"/>
        </w:rPr>
        <w:t xml:space="preserve">específica e que, em alternativa, procurasse reunir contribuições das várias literaturas que estudam a provisão de serviços judiciais de resolução de litígios. </w:t>
      </w:r>
      <w:r w:rsidR="00CA708E">
        <w:rPr>
          <w:rFonts w:ascii="Perpetua" w:hAnsi="Perpetua" w:cs="Arial"/>
        </w:rPr>
        <w:t xml:space="preserve"> </w:t>
      </w:r>
    </w:p>
    <w:p w:rsidR="000043AA" w:rsidRDefault="000043AA" w:rsidP="003F0303">
      <w:pPr>
        <w:spacing w:line="360" w:lineRule="auto"/>
        <w:jc w:val="both"/>
        <w:rPr>
          <w:rFonts w:ascii="Perpetua" w:hAnsi="Perpetua" w:cs="Arial"/>
        </w:rPr>
      </w:pPr>
    </w:p>
    <w:p w:rsidR="003F0303" w:rsidRPr="00A66E20" w:rsidRDefault="00F72F49" w:rsidP="00A66E20">
      <w:pPr>
        <w:pStyle w:val="Heading2"/>
      </w:pPr>
      <w:bookmarkStart w:id="7" w:name="_Toc206648414"/>
      <w:bookmarkStart w:id="8" w:name="_Toc206652047"/>
      <w:bookmarkStart w:id="9" w:name="_Toc220484448"/>
      <w:r w:rsidRPr="00A66E20">
        <w:lastRenderedPageBreak/>
        <w:t xml:space="preserve">1.2. </w:t>
      </w:r>
      <w:r w:rsidR="003F0303" w:rsidRPr="00A66E20">
        <w:t>C</w:t>
      </w:r>
      <w:r w:rsidR="003F0303" w:rsidRPr="00CE6829">
        <w:rPr>
          <w:b w:val="0"/>
        </w:rPr>
        <w:t>r</w:t>
      </w:r>
      <w:r w:rsidR="003F0303" w:rsidRPr="00A66E20">
        <w:t>e</w:t>
      </w:r>
      <w:r w:rsidR="0052311D">
        <w:t xml:space="preserve">scimento económico, reformas do sector da </w:t>
      </w:r>
      <w:r w:rsidR="003F0303" w:rsidRPr="00A66E20">
        <w:t>Justiça e avaliação do sistema judicial</w:t>
      </w:r>
      <w:bookmarkEnd w:id="7"/>
      <w:bookmarkEnd w:id="8"/>
      <w:bookmarkEnd w:id="9"/>
    </w:p>
    <w:p w:rsidR="003F0303" w:rsidRDefault="003F0303" w:rsidP="003F0303">
      <w:pPr>
        <w:spacing w:line="360" w:lineRule="auto"/>
        <w:jc w:val="both"/>
        <w:rPr>
          <w:rFonts w:ascii="Perpetua" w:hAnsi="Perpetua" w:cs="Arial"/>
        </w:rPr>
      </w:pPr>
    </w:p>
    <w:p w:rsidR="003F0303" w:rsidRPr="003F0303" w:rsidRDefault="003F0303" w:rsidP="003F0303">
      <w:pPr>
        <w:spacing w:line="360" w:lineRule="auto"/>
        <w:jc w:val="both"/>
        <w:rPr>
          <w:rFonts w:ascii="Perpetua" w:hAnsi="Perpetua" w:cs="Arial"/>
        </w:rPr>
      </w:pPr>
      <w:r w:rsidRPr="003F0303">
        <w:rPr>
          <w:rFonts w:ascii="Perpetua" w:hAnsi="Perpetua" w:cs="Arial"/>
        </w:rPr>
        <w:t>A importância da qualidade das instituições para o desenvolvimento económico dos países é um dos principais resultados da moderna teoria do crescimento</w:t>
      </w:r>
      <w:r w:rsidRPr="003F0303">
        <w:rPr>
          <w:rStyle w:val="FootnoteReference"/>
          <w:rFonts w:ascii="Perpetua" w:hAnsi="Perpetua" w:cs="Arial"/>
        </w:rPr>
        <w:footnoteReference w:id="5"/>
      </w:r>
      <w:r w:rsidRPr="003F0303">
        <w:rPr>
          <w:rFonts w:ascii="Perpetua" w:hAnsi="Perpetua" w:cs="Arial"/>
        </w:rPr>
        <w:t>. Tavares (2004) explora a relação quantitativa entre um conjunto de variáveis institucionais e o crescimento económico para o caso português. O respeito pela lei e pelo direito (</w:t>
      </w:r>
      <w:proofErr w:type="spellStart"/>
      <w:r w:rsidRPr="003F0303">
        <w:rPr>
          <w:rFonts w:ascii="Perpetua" w:hAnsi="Perpetua" w:cs="Arial"/>
          <w:i/>
        </w:rPr>
        <w:t>rule</w:t>
      </w:r>
      <w:proofErr w:type="spellEnd"/>
      <w:r w:rsidRPr="003F0303">
        <w:rPr>
          <w:rFonts w:ascii="Perpetua" w:hAnsi="Perpetua" w:cs="Arial"/>
          <w:i/>
        </w:rPr>
        <w:t xml:space="preserve"> </w:t>
      </w:r>
      <w:proofErr w:type="spellStart"/>
      <w:r w:rsidRPr="003F0303">
        <w:rPr>
          <w:rFonts w:ascii="Perpetua" w:hAnsi="Perpetua" w:cs="Arial"/>
          <w:i/>
        </w:rPr>
        <w:t>of</w:t>
      </w:r>
      <w:proofErr w:type="spellEnd"/>
      <w:r w:rsidRPr="003F0303">
        <w:rPr>
          <w:rFonts w:ascii="Perpetua" w:hAnsi="Perpetua" w:cs="Arial"/>
          <w:i/>
        </w:rPr>
        <w:t xml:space="preserve"> </w:t>
      </w:r>
      <w:proofErr w:type="spellStart"/>
      <w:r w:rsidRPr="003F0303">
        <w:rPr>
          <w:rFonts w:ascii="Perpetua" w:hAnsi="Perpetua" w:cs="Arial"/>
          <w:i/>
        </w:rPr>
        <w:t>law</w:t>
      </w:r>
      <w:proofErr w:type="spellEnd"/>
      <w:r w:rsidRPr="003F0303">
        <w:rPr>
          <w:rFonts w:ascii="Perpetua" w:hAnsi="Perpetua" w:cs="Arial"/>
        </w:rPr>
        <w:t>), a consolidação da democracia e a protecção efectiva de uma concepção lata de direitos humanos são instituições que contribuem de forma determinante para o desenvolvimento económico e social dos países. A qualidade dessas instituições está, em boa medida, dependente do bom funcionamento do sistema judicial – que seja capaz de interpretar e fazer aplicar a lei de forma equitativa e eficiente</w:t>
      </w:r>
      <w:r w:rsidRPr="003F0303">
        <w:rPr>
          <w:rStyle w:val="FootnoteReference"/>
          <w:rFonts w:ascii="Perpetua" w:hAnsi="Perpetua" w:cs="Arial"/>
        </w:rPr>
        <w:footnoteReference w:id="6"/>
      </w:r>
      <w:r w:rsidRPr="003F0303">
        <w:rPr>
          <w:rFonts w:ascii="Perpetua" w:hAnsi="Perpetua" w:cs="Arial"/>
        </w:rPr>
        <w:t xml:space="preserve">. A nível internacional, a percepção </w:t>
      </w:r>
      <w:r w:rsidR="00A02985">
        <w:rPr>
          <w:rFonts w:ascii="Perpetua" w:hAnsi="Perpetua" w:cs="Arial"/>
        </w:rPr>
        <w:t>do</w:t>
      </w:r>
      <w:r w:rsidRPr="003F0303">
        <w:rPr>
          <w:rFonts w:ascii="Perpetua" w:hAnsi="Perpetua" w:cs="Arial"/>
        </w:rPr>
        <w:t xml:space="preserve"> funcionamento dos sistemas judiciais é de que estes são lentos e aplicam a lei de forma inconsistente</w:t>
      </w:r>
      <w:r w:rsidRPr="003F0303">
        <w:rPr>
          <w:rStyle w:val="FootnoteReference"/>
          <w:rFonts w:ascii="Perpetua" w:hAnsi="Perpetua" w:cs="Arial"/>
        </w:rPr>
        <w:footnoteReference w:id="7"/>
      </w:r>
      <w:r w:rsidRPr="003F0303">
        <w:rPr>
          <w:rFonts w:ascii="Perpetua" w:hAnsi="Perpetua" w:cs="Arial"/>
        </w:rPr>
        <w:t>, o que tem motivado a inclusão das reformas da Justiça na agenda do desenvolvimento económico e social, não apenas de instituições internacionais como o Banco Mundial e o Conselho da Europa, mas também das economias mundiais mais desenvolvidas</w:t>
      </w:r>
      <w:r w:rsidRPr="003F0303">
        <w:rPr>
          <w:rStyle w:val="FootnoteReference"/>
          <w:rFonts w:ascii="Perpetua" w:hAnsi="Perpetua" w:cs="Arial"/>
        </w:rPr>
        <w:footnoteReference w:id="8"/>
      </w:r>
      <w:r w:rsidRPr="003F0303">
        <w:rPr>
          <w:rFonts w:ascii="Perpetua" w:hAnsi="Perpetua" w:cs="Arial"/>
        </w:rPr>
        <w:t>. O diagnóstico do funcionamento do sistema judicial português é recente, e ainda incompleto</w:t>
      </w:r>
      <w:r w:rsidRPr="003F0303">
        <w:rPr>
          <w:rStyle w:val="FootnoteReference"/>
          <w:rFonts w:ascii="Perpetua" w:hAnsi="Perpetua" w:cs="Arial"/>
        </w:rPr>
        <w:footnoteReference w:id="9"/>
      </w:r>
      <w:r w:rsidRPr="003F0303">
        <w:rPr>
          <w:rFonts w:ascii="Perpetua" w:hAnsi="Perpetua" w:cs="Arial"/>
        </w:rPr>
        <w:t>, a despeito dos esforços de alguns actores institucionais</w:t>
      </w:r>
      <w:r w:rsidR="00117B93">
        <w:rPr>
          <w:rStyle w:val="FootnoteReference"/>
          <w:rFonts w:ascii="Perpetua" w:hAnsi="Perpetua" w:cs="Arial"/>
        </w:rPr>
        <w:footnoteReference w:id="10"/>
      </w:r>
      <w:r w:rsidRPr="003F0303">
        <w:rPr>
          <w:rFonts w:ascii="Perpetua" w:hAnsi="Perpetua" w:cs="Arial"/>
        </w:rPr>
        <w:t xml:space="preserve"> e individuais</w:t>
      </w:r>
      <w:r w:rsidRPr="003F0303">
        <w:rPr>
          <w:rStyle w:val="FootnoteReference"/>
          <w:rFonts w:ascii="Perpetua" w:hAnsi="Perpetua" w:cs="Arial"/>
        </w:rPr>
        <w:footnoteReference w:id="11"/>
      </w:r>
      <w:r w:rsidRPr="003F0303">
        <w:rPr>
          <w:rFonts w:ascii="Perpetua" w:hAnsi="Perpetua" w:cs="Arial"/>
        </w:rPr>
        <w:t xml:space="preserve">. Garoupa, Simões </w:t>
      </w:r>
      <w:r w:rsidR="003A79EC">
        <w:rPr>
          <w:rFonts w:ascii="Perpetua" w:hAnsi="Perpetua" w:cs="Arial"/>
        </w:rPr>
        <w:t>e</w:t>
      </w:r>
      <w:r w:rsidRPr="003F0303">
        <w:rPr>
          <w:rFonts w:ascii="Perpetua" w:hAnsi="Perpetua" w:cs="Arial"/>
        </w:rPr>
        <w:t xml:space="preserve"> Silveira (2006) ensaiaram uma avaliação comparativa perfunctória do desempenho institucional português </w:t>
      </w:r>
      <w:proofErr w:type="spellStart"/>
      <w:r w:rsidRPr="003F0303">
        <w:rPr>
          <w:rFonts w:ascii="Perpetua" w:hAnsi="Perpetua" w:cs="Arial"/>
          <w:i/>
        </w:rPr>
        <w:t>vis-à-vis</w:t>
      </w:r>
      <w:proofErr w:type="spellEnd"/>
      <w:r w:rsidRPr="003F0303">
        <w:rPr>
          <w:rFonts w:ascii="Perpetua" w:hAnsi="Perpetua" w:cs="Arial"/>
        </w:rPr>
        <w:t xml:space="preserve"> os países da OCDE, utilizando para o efeito dados do índice d</w:t>
      </w:r>
      <w:r w:rsidR="003A79EC">
        <w:rPr>
          <w:rFonts w:ascii="Perpetua" w:hAnsi="Perpetua" w:cs="Arial"/>
        </w:rPr>
        <w:t>o</w:t>
      </w:r>
      <w:r w:rsidRPr="003F0303">
        <w:rPr>
          <w:rFonts w:ascii="Perpetua" w:hAnsi="Perpetua" w:cs="Arial"/>
        </w:rPr>
        <w:t xml:space="preserve"> Banco Mundial, </w:t>
      </w:r>
      <w:proofErr w:type="spellStart"/>
      <w:r w:rsidRPr="003F0303">
        <w:rPr>
          <w:rFonts w:ascii="Perpetua" w:hAnsi="Perpetua" w:cs="Arial"/>
          <w:i/>
        </w:rPr>
        <w:t>Doing</w:t>
      </w:r>
      <w:proofErr w:type="spellEnd"/>
      <w:r w:rsidRPr="003F0303">
        <w:rPr>
          <w:rFonts w:ascii="Perpetua" w:hAnsi="Perpetua" w:cs="Arial"/>
          <w:i/>
        </w:rPr>
        <w:t xml:space="preserve"> </w:t>
      </w:r>
      <w:proofErr w:type="spellStart"/>
      <w:r w:rsidRPr="003F0303">
        <w:rPr>
          <w:rFonts w:ascii="Perpetua" w:hAnsi="Perpetua" w:cs="Arial"/>
          <w:i/>
        </w:rPr>
        <w:t>Business</w:t>
      </w:r>
      <w:proofErr w:type="spellEnd"/>
      <w:r w:rsidRPr="003F0303">
        <w:rPr>
          <w:rFonts w:ascii="Perpetua" w:hAnsi="Perpetua" w:cs="Arial"/>
        </w:rPr>
        <w:t xml:space="preserve"> (edição de 2006) e da CEPEJ (edição de 2006 com dados de 2004), tendo concluído que o desempenho institucional português é inferior, especialmente no que respeita à execução contratual e à eficiência do sistema judicial</w:t>
      </w:r>
      <w:r w:rsidRPr="003F0303">
        <w:rPr>
          <w:rStyle w:val="FootnoteReference"/>
          <w:rFonts w:ascii="Perpetua" w:hAnsi="Perpetua" w:cs="Arial"/>
        </w:rPr>
        <w:footnoteReference w:id="12"/>
      </w:r>
      <w:r w:rsidRPr="003F0303">
        <w:rPr>
          <w:rFonts w:ascii="Perpetua" w:hAnsi="Perpetua" w:cs="Arial"/>
        </w:rPr>
        <w:t>. No mesmo artigo apresenta-se uma análise quantitativa do desempenho da área cível do sistema judicial durante o período 1970-2002, através de indicadores de desempenho como a taxa de resolução processual (</w:t>
      </w:r>
      <w:proofErr w:type="spellStart"/>
      <w:r w:rsidRPr="003F0303">
        <w:rPr>
          <w:rFonts w:ascii="Perpetua" w:hAnsi="Perpetua" w:cs="Arial"/>
          <w:i/>
        </w:rPr>
        <w:t>clear</w:t>
      </w:r>
      <w:r w:rsidR="009D6D11">
        <w:rPr>
          <w:rFonts w:ascii="Perpetua" w:hAnsi="Perpetua" w:cs="Arial"/>
          <w:i/>
        </w:rPr>
        <w:t>a</w:t>
      </w:r>
      <w:r w:rsidRPr="003F0303">
        <w:rPr>
          <w:rFonts w:ascii="Perpetua" w:hAnsi="Perpetua" w:cs="Arial"/>
          <w:i/>
        </w:rPr>
        <w:t>nce</w:t>
      </w:r>
      <w:proofErr w:type="spellEnd"/>
      <w:r w:rsidRPr="003F0303">
        <w:rPr>
          <w:rFonts w:ascii="Perpetua" w:hAnsi="Perpetua" w:cs="Arial"/>
          <w:i/>
        </w:rPr>
        <w:t xml:space="preserve"> rate</w:t>
      </w:r>
      <w:r w:rsidRPr="003F0303">
        <w:rPr>
          <w:rFonts w:ascii="Perpetua" w:hAnsi="Perpetua" w:cs="Arial"/>
        </w:rPr>
        <w:t>), a taxa de congestionamento (</w:t>
      </w:r>
      <w:proofErr w:type="spellStart"/>
      <w:r w:rsidRPr="003F0303">
        <w:rPr>
          <w:rFonts w:ascii="Perpetua" w:hAnsi="Perpetua" w:cs="Arial"/>
          <w:i/>
        </w:rPr>
        <w:t>congestion</w:t>
      </w:r>
      <w:proofErr w:type="spellEnd"/>
      <w:r w:rsidRPr="003F0303">
        <w:rPr>
          <w:rFonts w:ascii="Perpetua" w:hAnsi="Perpetua" w:cs="Arial"/>
          <w:i/>
        </w:rPr>
        <w:t xml:space="preserve"> rate</w:t>
      </w:r>
      <w:r w:rsidRPr="003F0303">
        <w:rPr>
          <w:rFonts w:ascii="Perpetua" w:hAnsi="Perpetua" w:cs="Arial"/>
        </w:rPr>
        <w:t>), a taxa de acumulação processual (</w:t>
      </w:r>
      <w:proofErr w:type="spellStart"/>
      <w:r w:rsidRPr="003F0303">
        <w:rPr>
          <w:rFonts w:ascii="Perpetua" w:hAnsi="Perpetua" w:cs="Arial"/>
          <w:i/>
        </w:rPr>
        <w:t>backlog</w:t>
      </w:r>
      <w:proofErr w:type="spellEnd"/>
      <w:r w:rsidRPr="003F0303">
        <w:rPr>
          <w:rFonts w:ascii="Perpetua" w:hAnsi="Perpetua" w:cs="Arial"/>
          <w:i/>
        </w:rPr>
        <w:t xml:space="preserve"> rate</w:t>
      </w:r>
      <w:r w:rsidRPr="003F0303">
        <w:rPr>
          <w:rFonts w:ascii="Perpetua" w:hAnsi="Perpetua" w:cs="Arial"/>
        </w:rPr>
        <w:t>) e a produtividade judicial. Os autores concluíram que o desempenho do sistema judicial na área cível se deteriorou nas últimas duas décadas do período analisado.</w:t>
      </w:r>
    </w:p>
    <w:p w:rsidR="003F0303" w:rsidRPr="003F0303" w:rsidRDefault="003F0303" w:rsidP="003F0303">
      <w:pPr>
        <w:spacing w:line="360" w:lineRule="auto"/>
        <w:jc w:val="both"/>
        <w:rPr>
          <w:rFonts w:ascii="Perpetua" w:hAnsi="Perpetua" w:cs="Arial"/>
        </w:rPr>
      </w:pPr>
    </w:p>
    <w:p w:rsidR="003F0303" w:rsidRPr="003F0303" w:rsidRDefault="003F0303" w:rsidP="003F0303">
      <w:pPr>
        <w:spacing w:line="360" w:lineRule="auto"/>
        <w:jc w:val="both"/>
        <w:rPr>
          <w:rFonts w:ascii="Perpetua" w:hAnsi="Perpetua" w:cs="Arial"/>
        </w:rPr>
      </w:pPr>
      <w:r w:rsidRPr="003F0303">
        <w:rPr>
          <w:rFonts w:ascii="Perpetua" w:hAnsi="Perpetua" w:cs="Arial"/>
        </w:rPr>
        <w:lastRenderedPageBreak/>
        <w:t xml:space="preserve">Para além da percepção do desempenho do sistema judicial enquanto factor de desenvolvimento económico e social, outros factores contribuem para a pressão reformista nos sectores judiciais, </w:t>
      </w:r>
      <w:r w:rsidR="00C56E48">
        <w:rPr>
          <w:rFonts w:ascii="Perpetua" w:hAnsi="Perpetua" w:cs="Arial"/>
        </w:rPr>
        <w:t xml:space="preserve">nomeadamente </w:t>
      </w:r>
      <w:r w:rsidRPr="003F0303">
        <w:rPr>
          <w:rFonts w:ascii="Perpetua" w:hAnsi="Perpetua" w:cs="Arial"/>
        </w:rPr>
        <w:t>no sentido do aumento da sua eficiência</w:t>
      </w:r>
      <w:r w:rsidRPr="003F0303">
        <w:rPr>
          <w:rStyle w:val="FootnoteReference"/>
          <w:rFonts w:ascii="Perpetua" w:hAnsi="Perpetua" w:cs="Arial"/>
        </w:rPr>
        <w:footnoteReference w:id="13"/>
      </w:r>
      <w:r w:rsidRPr="003F0303">
        <w:rPr>
          <w:rFonts w:ascii="Perpetua" w:hAnsi="Perpetua" w:cs="Arial"/>
        </w:rPr>
        <w:t xml:space="preserve">. As limitações </w:t>
      </w:r>
      <w:r w:rsidR="003E1D20">
        <w:rPr>
          <w:rFonts w:ascii="Perpetua" w:hAnsi="Perpetua" w:cs="Arial"/>
        </w:rPr>
        <w:t xml:space="preserve">ao défice público </w:t>
      </w:r>
      <w:r w:rsidRPr="003F0303">
        <w:rPr>
          <w:rFonts w:ascii="Perpetua" w:hAnsi="Perpetua" w:cs="Arial"/>
        </w:rPr>
        <w:t>impostas pelo Pacto Estabilidade e Crescimento foram acompanhadas por um aumento da competição pelos recursos públicos pelos vários serviços dentro das administrações e pela maior exigência dos cidadãos no que respeita à qualidade dos serviços e à prestação de contas sobre a utilização dos recursos públicos. Em resposta a estes desafios, as administrações públicas têm prosseguido o objectivo de reformar os serviços públicos com vista ao aumento da eficiência da provisão desses serviços. Assim, existem pontos de contacto entre as reformas do sector da Justiça e a reforma da provisão de serviços públicos, especialmente em países com tradição jurídica continental, onde o funcionamento do sector da Justiça mais se aproxima de um modelo burocrático de provisão de serviços públicos</w:t>
      </w:r>
      <w:r w:rsidRPr="003F0303">
        <w:rPr>
          <w:rStyle w:val="FootnoteReference"/>
          <w:rFonts w:ascii="Perpetua" w:hAnsi="Perpetua" w:cs="Arial"/>
        </w:rPr>
        <w:footnoteReference w:id="14"/>
      </w:r>
      <w:r w:rsidRPr="003F0303">
        <w:rPr>
          <w:rFonts w:ascii="Perpetua" w:hAnsi="Perpetua" w:cs="Arial"/>
        </w:rPr>
        <w:t>.</w:t>
      </w:r>
    </w:p>
    <w:p w:rsidR="003F0303" w:rsidRPr="003F0303" w:rsidRDefault="003F0303" w:rsidP="003F0303">
      <w:pPr>
        <w:spacing w:line="360" w:lineRule="auto"/>
        <w:jc w:val="both"/>
        <w:rPr>
          <w:rFonts w:ascii="Perpetua" w:hAnsi="Perpetua" w:cs="Arial"/>
        </w:rPr>
      </w:pPr>
    </w:p>
    <w:p w:rsidR="003F0303" w:rsidRPr="003F0303" w:rsidRDefault="003F0303" w:rsidP="003F0303">
      <w:pPr>
        <w:spacing w:line="360" w:lineRule="auto"/>
        <w:jc w:val="both"/>
        <w:rPr>
          <w:rFonts w:ascii="Perpetua" w:hAnsi="Perpetua" w:cs="Arial"/>
        </w:rPr>
      </w:pPr>
      <w:r w:rsidRPr="003F0303">
        <w:rPr>
          <w:rFonts w:ascii="Perpetua" w:hAnsi="Perpetua" w:cs="Arial"/>
        </w:rPr>
        <w:t>As reformas do sector da Justiça e do sistema judicial</w:t>
      </w:r>
      <w:r w:rsidR="00C56E48">
        <w:rPr>
          <w:rFonts w:ascii="Perpetua" w:hAnsi="Perpetua" w:cs="Arial"/>
        </w:rPr>
        <w:t>, em particular,</w:t>
      </w:r>
      <w:r w:rsidRPr="003F0303">
        <w:rPr>
          <w:rFonts w:ascii="Perpetua" w:hAnsi="Perpetua" w:cs="Arial"/>
        </w:rPr>
        <w:t xml:space="preserve"> têm estimulado a utilização de abordagens teóricas e empíricas de diferentes áreas do conhecimento até então tradicionalmente excluídas da análise do funcionamento do sistema judicial (caso</w:t>
      </w:r>
      <w:r w:rsidR="003A79EC">
        <w:rPr>
          <w:rFonts w:ascii="Perpetua" w:hAnsi="Perpetua" w:cs="Arial"/>
        </w:rPr>
        <w:t>s</w:t>
      </w:r>
      <w:r w:rsidRPr="003F0303">
        <w:rPr>
          <w:rFonts w:ascii="Perpetua" w:hAnsi="Perpetua" w:cs="Arial"/>
        </w:rPr>
        <w:t xml:space="preserve"> da economia, da gestão, da sociologia). Em termos gerais, a utilização destas abordagens tem pretendido descrever a evolução do sistema judicial (análise positiva) e o sentido que as reformas devem adoptar (análise normativa). As abordagens que têm sido empregues até ao momento são variadas e uma revisão completa destas está bem além dos objectivos deste trabalho. No entanto, uma breve apresentação dos principais aspectos da literatura relacionada directa ou indirectamente com a reforma do sistema judicial parece-nos indispensável, visto permitir, por um lado, sublinhar o carácter multidisciplinar da empresa (de reformar o sistema judicial, bem entendido) e, por outro, delimitar os objectivos prosseguidos por cada abordagem e os instrumentos que têm à sua disposição para os atingir. </w:t>
      </w:r>
    </w:p>
    <w:p w:rsidR="003F0303" w:rsidRPr="003F0303" w:rsidRDefault="003F0303" w:rsidP="003F0303">
      <w:pPr>
        <w:spacing w:line="360" w:lineRule="auto"/>
        <w:jc w:val="both"/>
        <w:rPr>
          <w:rFonts w:ascii="Perpetua" w:hAnsi="Perpetua" w:cs="Arial"/>
        </w:rPr>
      </w:pPr>
    </w:p>
    <w:p w:rsidR="003F0303" w:rsidRPr="003F0303" w:rsidRDefault="003F0303" w:rsidP="003F0303">
      <w:pPr>
        <w:spacing w:line="360" w:lineRule="auto"/>
        <w:jc w:val="both"/>
        <w:rPr>
          <w:rFonts w:ascii="Perpetua" w:hAnsi="Perpetua" w:cs="Arial"/>
        </w:rPr>
      </w:pPr>
      <w:r w:rsidRPr="003F0303">
        <w:rPr>
          <w:rFonts w:ascii="Perpetua" w:hAnsi="Perpetua" w:cs="Arial"/>
        </w:rPr>
        <w:t xml:space="preserve">A </w:t>
      </w:r>
      <w:r w:rsidR="00C56E48">
        <w:rPr>
          <w:rFonts w:ascii="Perpetua" w:hAnsi="Perpetua" w:cs="Arial"/>
        </w:rPr>
        <w:t xml:space="preserve">literatura da </w:t>
      </w:r>
      <w:r w:rsidRPr="003F0303">
        <w:rPr>
          <w:rFonts w:ascii="Perpetua" w:hAnsi="Perpetua" w:cs="Arial"/>
        </w:rPr>
        <w:t xml:space="preserve">avaliação e gestão do desempenho do sistema judicial </w:t>
      </w:r>
      <w:r w:rsidR="00C56E48">
        <w:rPr>
          <w:rFonts w:ascii="Perpetua" w:hAnsi="Perpetua" w:cs="Arial"/>
        </w:rPr>
        <w:t>compreende várias abordagens e é</w:t>
      </w:r>
      <w:r w:rsidRPr="003F0303">
        <w:rPr>
          <w:rFonts w:ascii="Perpetua" w:hAnsi="Perpetua" w:cs="Arial"/>
        </w:rPr>
        <w:t>,</w:t>
      </w:r>
      <w:r w:rsidR="00C56E48">
        <w:rPr>
          <w:rFonts w:ascii="Perpetua" w:hAnsi="Perpetua" w:cs="Arial"/>
        </w:rPr>
        <w:t xml:space="preserve"> em si mesma,</w:t>
      </w:r>
      <w:r w:rsidRPr="003F0303">
        <w:rPr>
          <w:rFonts w:ascii="Perpetua" w:hAnsi="Perpetua" w:cs="Arial"/>
        </w:rPr>
        <w:t xml:space="preserve"> dificilmente destrinçável da actuação pública e da própria agenda das reformas do sistema judicial, assumindo uma vertente quase exclusivamente prática</w:t>
      </w:r>
      <w:r w:rsidR="00C56E48">
        <w:rPr>
          <w:rFonts w:ascii="Perpetua" w:hAnsi="Perpetua" w:cs="Arial"/>
        </w:rPr>
        <w:t xml:space="preserve"> e</w:t>
      </w:r>
      <w:r w:rsidRPr="003F0303">
        <w:rPr>
          <w:rFonts w:ascii="Perpetua" w:hAnsi="Perpetua" w:cs="Arial"/>
        </w:rPr>
        <w:t xml:space="preserve"> tendo como objectivo o desenvolvimento de instrumentos que permitam medir o desempenho dos sistemas judicia</w:t>
      </w:r>
      <w:r w:rsidR="00EA7D0E">
        <w:rPr>
          <w:rFonts w:ascii="Perpetua" w:hAnsi="Perpetua" w:cs="Arial"/>
        </w:rPr>
        <w:t>i</w:t>
      </w:r>
      <w:r w:rsidRPr="003F0303">
        <w:rPr>
          <w:rFonts w:ascii="Perpetua" w:hAnsi="Perpetua" w:cs="Arial"/>
        </w:rPr>
        <w:t xml:space="preserve">s (diagnóstico), monitorizar (monitorização) e avaliar (avaliação) os efeitos das políticas destinadas a reformá-los. A avaliação de desempenho dos sistemas judiciais consiste na </w:t>
      </w:r>
      <w:r w:rsidRPr="003F0303">
        <w:rPr>
          <w:rFonts w:ascii="Perpetua" w:hAnsi="Perpetua" w:cs="Arial"/>
        </w:rPr>
        <w:lastRenderedPageBreak/>
        <w:t>definição e comparação, no tempo e no espaço, de um conjunto de indicadores qualitativos e quantitativos sobre as várias dimensões relevantes do sistema judicial. As metodologias e técnicas utilizadas variam substancialmente: os estudos de jurimetria efectuados pelo Banco Mundial</w:t>
      </w:r>
      <w:r w:rsidRPr="003F0303">
        <w:rPr>
          <w:rStyle w:val="FootnoteReference"/>
          <w:rFonts w:ascii="Perpetua" w:hAnsi="Perpetua" w:cs="Arial"/>
        </w:rPr>
        <w:footnoteReference w:id="15"/>
      </w:r>
      <w:r w:rsidRPr="003F0303">
        <w:rPr>
          <w:rFonts w:ascii="Perpetua" w:hAnsi="Perpetua" w:cs="Arial"/>
        </w:rPr>
        <w:t xml:space="preserve"> utilizam técnicas clássicas de regressão, enquanto outros estudos adoptam uma perspectiva mais descritiva ou utilizam outras técnicas predominantes nas ciências sociais, como a realização de inquéritos e de entrevistas. Para além de factores de natureza económica, a promoção da avaliação de desempenho do sistema judicial resulta de factores de natureza jurídica (</w:t>
      </w:r>
      <w:proofErr w:type="spellStart"/>
      <w:r w:rsidR="004E5D3A" w:rsidRPr="004E5D3A">
        <w:rPr>
          <w:rFonts w:ascii="Perpetua" w:hAnsi="Perpetua" w:cs="Arial"/>
          <w:i/>
        </w:rPr>
        <w:t>v.g</w:t>
      </w:r>
      <w:proofErr w:type="spellEnd"/>
      <w:r w:rsidR="004E5D3A" w:rsidRPr="004E5D3A">
        <w:rPr>
          <w:rFonts w:ascii="Perpetua" w:hAnsi="Perpetua" w:cs="Arial"/>
          <w:i/>
        </w:rPr>
        <w:t>.</w:t>
      </w:r>
      <w:r w:rsidR="00A02985">
        <w:rPr>
          <w:rFonts w:ascii="Perpetua" w:hAnsi="Perpetua" w:cs="Arial"/>
        </w:rPr>
        <w:t xml:space="preserve">, </w:t>
      </w:r>
      <w:r w:rsidRPr="003F0303">
        <w:rPr>
          <w:rFonts w:ascii="Perpetua" w:hAnsi="Perpetua" w:cs="Arial"/>
        </w:rPr>
        <w:t>o desempenho do sistema judicial condiciona diversos valores jurídicos, como a celeridade processual) e política (</w:t>
      </w:r>
      <w:proofErr w:type="spellStart"/>
      <w:r w:rsidR="004E5D3A" w:rsidRPr="004E5D3A">
        <w:rPr>
          <w:rFonts w:ascii="Perpetua" w:hAnsi="Perpetua" w:cs="Arial"/>
          <w:i/>
        </w:rPr>
        <w:t>v.g</w:t>
      </w:r>
      <w:proofErr w:type="spellEnd"/>
      <w:r w:rsidR="004E5D3A" w:rsidRPr="004E5D3A">
        <w:rPr>
          <w:rFonts w:ascii="Perpetua" w:hAnsi="Perpetua" w:cs="Arial"/>
          <w:i/>
        </w:rPr>
        <w:t>.</w:t>
      </w:r>
      <w:r w:rsidR="00A02985">
        <w:rPr>
          <w:rFonts w:ascii="Perpetua" w:hAnsi="Perpetua" w:cs="Arial"/>
        </w:rPr>
        <w:t xml:space="preserve">, </w:t>
      </w:r>
      <w:r w:rsidRPr="003F0303">
        <w:rPr>
          <w:rFonts w:ascii="Perpetua" w:hAnsi="Perpetua" w:cs="Arial"/>
        </w:rPr>
        <w:t xml:space="preserve">as sociedades exigem maior transparência sobre os resultados </w:t>
      </w:r>
      <w:r w:rsidR="003A79EC">
        <w:rPr>
          <w:rFonts w:ascii="Perpetua" w:hAnsi="Perpetua" w:cs="Arial"/>
        </w:rPr>
        <w:t>da utilização dos</w:t>
      </w:r>
      <w:r w:rsidRPr="003F0303">
        <w:rPr>
          <w:rFonts w:ascii="Perpetua" w:hAnsi="Perpetua" w:cs="Arial"/>
        </w:rPr>
        <w:t xml:space="preserve"> recursos públicos). Uma revisão das experiências de avaliação de desempenho do sistema judicial que acompanharam as reformas judiciais </w:t>
      </w:r>
      <w:r w:rsidR="00C56E48">
        <w:rPr>
          <w:rFonts w:ascii="Perpetua" w:hAnsi="Perpetua" w:cs="Arial"/>
        </w:rPr>
        <w:t>em alguns</w:t>
      </w:r>
      <w:r w:rsidRPr="003F0303">
        <w:rPr>
          <w:rFonts w:ascii="Perpetua" w:hAnsi="Perpetua" w:cs="Arial"/>
        </w:rPr>
        <w:t xml:space="preserve"> países desenvolvidos é apresentada em </w:t>
      </w:r>
      <w:proofErr w:type="spellStart"/>
      <w:r w:rsidRPr="003F0303">
        <w:rPr>
          <w:rFonts w:ascii="Perpetua" w:hAnsi="Perpetua" w:cs="Arial"/>
        </w:rPr>
        <w:t>Breen</w:t>
      </w:r>
      <w:proofErr w:type="spellEnd"/>
      <w:r w:rsidR="00A02985">
        <w:rPr>
          <w:rFonts w:ascii="Perpetua" w:hAnsi="Perpetua" w:cs="Arial"/>
        </w:rPr>
        <w:t xml:space="preserve"> (ed.)</w:t>
      </w:r>
      <w:r w:rsidRPr="003F0303">
        <w:rPr>
          <w:rFonts w:ascii="Perpetua" w:hAnsi="Perpetua" w:cs="Arial"/>
        </w:rPr>
        <w:t xml:space="preserve"> (2002:77-116). O principal ímpeto da reforma e avaliação dos sistemas judiciais dos países com economias em transição e em desenvolvimento tem sido promovido pelo Banco Mundial, através do departamento </w:t>
      </w:r>
      <w:proofErr w:type="spellStart"/>
      <w:r w:rsidRPr="00EA7D0E">
        <w:rPr>
          <w:rFonts w:ascii="Perpetua" w:hAnsi="Perpetua" w:cs="Arial"/>
          <w:i/>
        </w:rPr>
        <w:t>Law</w:t>
      </w:r>
      <w:proofErr w:type="spellEnd"/>
      <w:r w:rsidRPr="00EA7D0E">
        <w:rPr>
          <w:rFonts w:ascii="Perpetua" w:hAnsi="Perpetua" w:cs="Arial"/>
          <w:i/>
        </w:rPr>
        <w:t xml:space="preserve"> </w:t>
      </w:r>
      <w:proofErr w:type="spellStart"/>
      <w:r w:rsidRPr="00EA7D0E">
        <w:rPr>
          <w:rFonts w:ascii="Perpetua" w:hAnsi="Perpetua" w:cs="Arial"/>
          <w:i/>
        </w:rPr>
        <w:t>and</w:t>
      </w:r>
      <w:proofErr w:type="spellEnd"/>
      <w:r w:rsidRPr="00EA7D0E">
        <w:rPr>
          <w:rFonts w:ascii="Perpetua" w:hAnsi="Perpetua" w:cs="Arial"/>
          <w:i/>
        </w:rPr>
        <w:t xml:space="preserve"> Justice </w:t>
      </w:r>
      <w:proofErr w:type="spellStart"/>
      <w:r w:rsidRPr="00EA7D0E">
        <w:rPr>
          <w:rFonts w:ascii="Perpetua" w:hAnsi="Perpetua" w:cs="Arial"/>
          <w:i/>
        </w:rPr>
        <w:t>Institutions</w:t>
      </w:r>
      <w:proofErr w:type="spellEnd"/>
      <w:r w:rsidRPr="003F0303">
        <w:rPr>
          <w:rStyle w:val="FootnoteReference"/>
          <w:rFonts w:ascii="Perpetua" w:hAnsi="Perpetua" w:cs="Arial"/>
          <w:i/>
        </w:rPr>
        <w:footnoteReference w:id="16"/>
      </w:r>
      <w:r w:rsidRPr="003F0303">
        <w:rPr>
          <w:rFonts w:ascii="Perpetua" w:hAnsi="Perpetua" w:cs="Arial"/>
          <w:i/>
        </w:rPr>
        <w:t>.</w:t>
      </w:r>
      <w:r w:rsidRPr="003F0303">
        <w:rPr>
          <w:rFonts w:ascii="Perpetua" w:hAnsi="Perpetua" w:cs="Arial"/>
        </w:rPr>
        <w:t xml:space="preserve"> Em Portugal, uma revisão exaustiva dos estudos empíricos relacionados com a avaliação, gestão e reforma do sistema judicial foi feita </w:t>
      </w:r>
      <w:r w:rsidR="003E1D20">
        <w:rPr>
          <w:rFonts w:ascii="Perpetua" w:hAnsi="Perpetua" w:cs="Arial"/>
        </w:rPr>
        <w:t xml:space="preserve">em </w:t>
      </w:r>
      <w:r w:rsidRPr="003F0303">
        <w:rPr>
          <w:rFonts w:ascii="Perpetua" w:hAnsi="Perpetua" w:cs="Arial"/>
        </w:rPr>
        <w:t xml:space="preserve">Garoupa, Garcia </w:t>
      </w:r>
      <w:r w:rsidR="003A79EC">
        <w:rPr>
          <w:rFonts w:ascii="Perpetua" w:hAnsi="Perpetua" w:cs="Arial"/>
        </w:rPr>
        <w:t>e</w:t>
      </w:r>
      <w:r w:rsidRPr="003F0303">
        <w:rPr>
          <w:rFonts w:ascii="Perpetua" w:hAnsi="Perpetua" w:cs="Arial"/>
        </w:rPr>
        <w:t xml:space="preserve"> Vilaça (2007:17-71). </w:t>
      </w:r>
    </w:p>
    <w:p w:rsidR="003F0303" w:rsidRDefault="003F0303" w:rsidP="003F0303">
      <w:pPr>
        <w:spacing w:line="360" w:lineRule="auto"/>
        <w:jc w:val="both"/>
        <w:rPr>
          <w:rFonts w:ascii="Perpetua" w:hAnsi="Perpetua"/>
        </w:rPr>
      </w:pPr>
    </w:p>
    <w:p w:rsidR="003F0303" w:rsidRPr="003F0303" w:rsidRDefault="00F72F49" w:rsidP="00F72F49">
      <w:pPr>
        <w:pStyle w:val="Heading2"/>
        <w:rPr>
          <w:b w:val="0"/>
        </w:rPr>
      </w:pPr>
      <w:bookmarkStart w:id="10" w:name="_Toc206648415"/>
      <w:bookmarkStart w:id="11" w:name="_Toc206652048"/>
      <w:bookmarkStart w:id="12" w:name="_Toc220484449"/>
      <w:r>
        <w:rPr>
          <w:b w:val="0"/>
        </w:rPr>
        <w:t>1</w:t>
      </w:r>
      <w:r w:rsidRPr="00A66E20">
        <w:t xml:space="preserve">.3. </w:t>
      </w:r>
      <w:r w:rsidR="003F0303" w:rsidRPr="00A66E20">
        <w:t>A provisão pública de serviços judiciais de resolução de litígios</w:t>
      </w:r>
      <w:bookmarkEnd w:id="10"/>
      <w:bookmarkEnd w:id="11"/>
      <w:bookmarkEnd w:id="12"/>
    </w:p>
    <w:p w:rsidR="003F0303" w:rsidRDefault="003F0303" w:rsidP="003F0303">
      <w:pPr>
        <w:spacing w:line="360" w:lineRule="auto"/>
        <w:jc w:val="both"/>
        <w:rPr>
          <w:rFonts w:ascii="Perpetua" w:hAnsi="Perpetua"/>
        </w:rPr>
      </w:pPr>
    </w:p>
    <w:p w:rsidR="003F0303" w:rsidRPr="003F0303" w:rsidRDefault="003F0303" w:rsidP="003F0303">
      <w:pPr>
        <w:spacing w:line="360" w:lineRule="auto"/>
        <w:jc w:val="both"/>
        <w:rPr>
          <w:rFonts w:ascii="Perpetua" w:hAnsi="Perpetua"/>
        </w:rPr>
      </w:pPr>
      <w:r w:rsidRPr="003F0303">
        <w:rPr>
          <w:rFonts w:ascii="Perpetua" w:hAnsi="Perpetua"/>
        </w:rPr>
        <w:t xml:space="preserve">A segunda motivação do presente trabalho está relacionada com a apreciação do estado actual da literatura económica sobre a provisão pública de serviços judiciais de resolução de litígios e, em especial, a vontade de contribuir para essa literatura através da apresentação de resultados </w:t>
      </w:r>
      <w:r w:rsidR="003E1D20">
        <w:rPr>
          <w:rFonts w:ascii="Perpetua" w:hAnsi="Perpetua"/>
        </w:rPr>
        <w:t xml:space="preserve">empíricos sobre </w:t>
      </w:r>
      <w:r w:rsidRPr="003F0303">
        <w:rPr>
          <w:rFonts w:ascii="Perpetua" w:hAnsi="Perpetua"/>
        </w:rPr>
        <w:t xml:space="preserve">o sistema judicial português. </w:t>
      </w:r>
      <w:r w:rsidR="00C56E48">
        <w:rPr>
          <w:rFonts w:ascii="Perpetua" w:hAnsi="Perpetua"/>
        </w:rPr>
        <w:t xml:space="preserve">Como foi referido na introdução a este capítulo, ao contrário de </w:t>
      </w:r>
      <w:r w:rsidRPr="003F0303">
        <w:rPr>
          <w:rFonts w:ascii="Perpetua" w:hAnsi="Perpetua"/>
        </w:rPr>
        <w:t>outros sectores de provisão pública de serviços (ou programas de despesa pública) como a Saúde e a Educação, o estudo do funcionamento do sector da Justiça tem recebido pouca atenção da ciência económica</w:t>
      </w:r>
      <w:r w:rsidRPr="003F0303">
        <w:rPr>
          <w:rStyle w:val="FootnoteReference"/>
          <w:rFonts w:ascii="Perpetua" w:hAnsi="Perpetua"/>
        </w:rPr>
        <w:footnoteReference w:id="17"/>
      </w:r>
      <w:r w:rsidRPr="003F0303">
        <w:rPr>
          <w:rFonts w:ascii="Perpetua" w:hAnsi="Perpetua"/>
        </w:rPr>
        <w:t>. A Análise Económica do Direito tem-se dedicado à aplicação, no plano teórico, do instrumental microeconómico ao estudo das leis, procedimentos e instituições legais, mas não assumiu ainda uma abordagem empírica vocacionada para a política pública</w:t>
      </w:r>
      <w:r w:rsidRPr="003F0303">
        <w:rPr>
          <w:rStyle w:val="FootnoteReference"/>
          <w:rFonts w:ascii="Perpetua" w:hAnsi="Perpetua"/>
        </w:rPr>
        <w:footnoteReference w:id="18"/>
      </w:r>
      <w:r w:rsidRPr="003F0303">
        <w:rPr>
          <w:rFonts w:ascii="Perpetua" w:hAnsi="Perpetua"/>
        </w:rPr>
        <w:t xml:space="preserve">, como acontece com a Economia da Saúde e a Economia da Educação. Há sinais de que esse trabalho de investigação já se iniciou, tendo sido publicados nos últimos anos alguns artigos em revistas de Análise Económica do Direito com o objectivo explícito de analisar empiricamente a procura e a oferta de serviços públicos de resolução judicial de litígios com base na teoria económica e nas metodologias e técnicas econométricas por ela utilizadas. </w:t>
      </w:r>
      <w:proofErr w:type="spellStart"/>
      <w:r w:rsidRPr="003F0303">
        <w:rPr>
          <w:rFonts w:ascii="Perpetua" w:hAnsi="Perpetua"/>
        </w:rPr>
        <w:t>Posner</w:t>
      </w:r>
      <w:proofErr w:type="spellEnd"/>
      <w:r w:rsidRPr="003F0303">
        <w:rPr>
          <w:rFonts w:ascii="Perpetua" w:hAnsi="Perpetua"/>
        </w:rPr>
        <w:t xml:space="preserve"> (2006: 412-413) defende que a evolução futura da disciplina passa forçosamente pela exploração empírica das previsões teóricas existentes e a sua utilização para efectuar recomendações de política pública para o s</w:t>
      </w:r>
      <w:r w:rsidR="00A8346D">
        <w:rPr>
          <w:rFonts w:ascii="Perpetua" w:hAnsi="Perpetua"/>
        </w:rPr>
        <w:t xml:space="preserve">ector da </w:t>
      </w:r>
      <w:r w:rsidR="003E1D20">
        <w:rPr>
          <w:rFonts w:ascii="Perpetua" w:hAnsi="Perpetua"/>
        </w:rPr>
        <w:t>Justiça.</w:t>
      </w:r>
    </w:p>
    <w:p w:rsidR="003F0303" w:rsidRPr="003F0303" w:rsidRDefault="003F0303" w:rsidP="003F0303">
      <w:pPr>
        <w:spacing w:line="360" w:lineRule="auto"/>
        <w:jc w:val="both"/>
        <w:rPr>
          <w:rFonts w:ascii="Perpetua" w:hAnsi="Perpetua"/>
        </w:rPr>
      </w:pPr>
    </w:p>
    <w:p w:rsidR="003F0303" w:rsidRPr="003F0303" w:rsidRDefault="003F0303" w:rsidP="003F0303">
      <w:pPr>
        <w:spacing w:line="360" w:lineRule="auto"/>
        <w:jc w:val="both"/>
        <w:rPr>
          <w:rFonts w:ascii="Perpetua" w:hAnsi="Perpetua" w:cs="Arial"/>
        </w:rPr>
      </w:pPr>
      <w:r w:rsidRPr="003F0303">
        <w:rPr>
          <w:rFonts w:ascii="Perpetua" w:hAnsi="Perpetua" w:cs="Arial"/>
        </w:rPr>
        <w:t xml:space="preserve">Paralelamente, o crescimento exponencial da </w:t>
      </w:r>
      <w:r w:rsidR="008310BE">
        <w:rPr>
          <w:rFonts w:ascii="Perpetua" w:hAnsi="Perpetua" w:cs="Arial"/>
        </w:rPr>
        <w:t xml:space="preserve">literatura da </w:t>
      </w:r>
      <w:r w:rsidR="006935CF">
        <w:rPr>
          <w:rFonts w:ascii="Perpetua" w:hAnsi="Perpetua" w:cs="Arial"/>
        </w:rPr>
        <w:t>A</w:t>
      </w:r>
      <w:r w:rsidRPr="003F0303">
        <w:rPr>
          <w:rFonts w:ascii="Perpetua" w:hAnsi="Perpetua" w:cs="Arial"/>
        </w:rPr>
        <w:t>nálise d</w:t>
      </w:r>
      <w:r w:rsidR="006935CF">
        <w:rPr>
          <w:rFonts w:ascii="Perpetua" w:hAnsi="Perpetua" w:cs="Arial"/>
        </w:rPr>
        <w:t>e</w:t>
      </w:r>
      <w:r w:rsidRPr="003F0303">
        <w:rPr>
          <w:rFonts w:ascii="Perpetua" w:hAnsi="Perpetua" w:cs="Arial"/>
        </w:rPr>
        <w:t xml:space="preserve"> </w:t>
      </w:r>
      <w:r w:rsidR="006935CF">
        <w:rPr>
          <w:rFonts w:ascii="Perpetua" w:hAnsi="Perpetua" w:cs="Arial"/>
        </w:rPr>
        <w:t>E</w:t>
      </w:r>
      <w:r w:rsidRPr="003F0303">
        <w:rPr>
          <w:rFonts w:ascii="Perpetua" w:hAnsi="Perpetua" w:cs="Arial"/>
        </w:rPr>
        <w:t xml:space="preserve">ficiência </w:t>
      </w:r>
      <w:r w:rsidR="00806D9D">
        <w:rPr>
          <w:rFonts w:ascii="Perpetua" w:hAnsi="Perpetua" w:cs="Arial"/>
        </w:rPr>
        <w:t xml:space="preserve">e </w:t>
      </w:r>
      <w:r w:rsidR="006935CF">
        <w:rPr>
          <w:rFonts w:ascii="Perpetua" w:hAnsi="Perpetua" w:cs="Arial"/>
        </w:rPr>
        <w:t>P</w:t>
      </w:r>
      <w:r w:rsidR="00806D9D">
        <w:rPr>
          <w:rFonts w:ascii="Perpetua" w:hAnsi="Perpetua" w:cs="Arial"/>
        </w:rPr>
        <w:t>rodutividade</w:t>
      </w:r>
      <w:r w:rsidR="006935CF">
        <w:rPr>
          <w:rStyle w:val="FootnoteReference"/>
          <w:rFonts w:ascii="Perpetua" w:hAnsi="Perpetua" w:cs="Arial"/>
        </w:rPr>
        <w:footnoteReference w:id="19"/>
      </w:r>
      <w:r w:rsidR="00A8346D">
        <w:rPr>
          <w:rFonts w:ascii="Perpetua" w:hAnsi="Perpetua" w:cs="Arial"/>
        </w:rPr>
        <w:t xml:space="preserve"> e, muito particularmente, os m</w:t>
      </w:r>
      <w:r w:rsidRPr="003F0303">
        <w:rPr>
          <w:rFonts w:ascii="Perpetua" w:hAnsi="Perpetua" w:cs="Arial"/>
        </w:rPr>
        <w:t>étodos de fronteira</w:t>
      </w:r>
      <w:r w:rsidR="00806D9D">
        <w:rPr>
          <w:rStyle w:val="FootnoteReference"/>
          <w:rFonts w:ascii="Perpetua" w:hAnsi="Perpetua" w:cs="Arial"/>
        </w:rPr>
        <w:footnoteReference w:id="20"/>
      </w:r>
      <w:r w:rsidR="003A79EC">
        <w:rPr>
          <w:rFonts w:ascii="Perpetua" w:hAnsi="Perpetua" w:cs="Arial"/>
        </w:rPr>
        <w:t xml:space="preserve"> motivaram</w:t>
      </w:r>
      <w:r w:rsidRPr="003F0303">
        <w:rPr>
          <w:rFonts w:ascii="Perpetua" w:hAnsi="Perpetua" w:cs="Arial"/>
        </w:rPr>
        <w:t xml:space="preserve"> a aplicação desses métodos ao estudo da eficiência da provisão de serviços judiciais pelos tribunais. No essencial, as contribuições apresentadas procuram demonstrar o poder dos métodos de fronteira</w:t>
      </w:r>
      <w:r w:rsidR="006935CF">
        <w:rPr>
          <w:rFonts w:ascii="Perpetua" w:hAnsi="Perpetua" w:cs="Arial"/>
        </w:rPr>
        <w:t>, e</w:t>
      </w:r>
      <w:r w:rsidRPr="003F0303">
        <w:rPr>
          <w:rFonts w:ascii="Perpetua" w:hAnsi="Perpetua" w:cs="Arial"/>
        </w:rPr>
        <w:t xml:space="preserve"> da análise de envelope de dados em particular, para modelar e estudar o funcionamento dos tribunais</w:t>
      </w:r>
      <w:r w:rsidR="003E1D20">
        <w:rPr>
          <w:rFonts w:ascii="Perpetua" w:hAnsi="Perpetua" w:cs="Arial"/>
        </w:rPr>
        <w:t>, sobretudo no que respeita ao estabelecimentos de metas para as unidades produtivas analisadas que lhes permitam</w:t>
      </w:r>
      <w:r w:rsidR="008310BE">
        <w:rPr>
          <w:rFonts w:ascii="Perpetua" w:hAnsi="Perpetua" w:cs="Arial"/>
        </w:rPr>
        <w:t xml:space="preserve"> tomar medidas concretas para </w:t>
      </w:r>
      <w:r w:rsidR="003E1D20">
        <w:rPr>
          <w:rFonts w:ascii="Perpetua" w:hAnsi="Perpetua" w:cs="Arial"/>
        </w:rPr>
        <w:t>aumentar a sua eficiência produtiva</w:t>
      </w:r>
      <w:r w:rsidRPr="003F0303">
        <w:rPr>
          <w:rFonts w:ascii="Perpetua" w:hAnsi="Perpetua" w:cs="Arial"/>
        </w:rPr>
        <w:t xml:space="preserve">. Uma </w:t>
      </w:r>
      <w:r w:rsidR="008310BE">
        <w:rPr>
          <w:rFonts w:ascii="Perpetua" w:hAnsi="Perpetua" w:cs="Arial"/>
        </w:rPr>
        <w:t xml:space="preserve">introdução </w:t>
      </w:r>
      <w:r w:rsidR="008310BE" w:rsidRPr="008310BE">
        <w:rPr>
          <w:rFonts w:ascii="Perpetua" w:hAnsi="Perpetua" w:cs="Arial"/>
        </w:rPr>
        <w:t xml:space="preserve">não técnica e iluminadora da aplicação dos métodos de fronteira à avaliação do desempenho dos prestadores públicos de serviços </w:t>
      </w:r>
      <w:r w:rsidR="008310BE">
        <w:rPr>
          <w:rFonts w:ascii="Perpetua" w:hAnsi="Perpetua" w:cs="Arial"/>
        </w:rPr>
        <w:t>é feita em</w:t>
      </w:r>
      <w:r w:rsidR="008310BE" w:rsidRPr="008310BE">
        <w:rPr>
          <w:rFonts w:ascii="Perpetua" w:hAnsi="Perpetua" w:cs="Arial"/>
        </w:rPr>
        <w:t xml:space="preserve"> </w:t>
      </w:r>
      <w:proofErr w:type="spellStart"/>
      <w:r w:rsidR="008310BE" w:rsidRPr="008310BE">
        <w:rPr>
          <w:rFonts w:ascii="Perpetua" w:hAnsi="Perpetua" w:cs="Arial"/>
        </w:rPr>
        <w:t>Blank</w:t>
      </w:r>
      <w:proofErr w:type="spellEnd"/>
      <w:r w:rsidR="008310BE" w:rsidRPr="008310BE">
        <w:rPr>
          <w:rFonts w:ascii="Perpetua" w:hAnsi="Perpetua" w:cs="Arial"/>
        </w:rPr>
        <w:t xml:space="preserve"> </w:t>
      </w:r>
      <w:r w:rsidR="00DC5E09">
        <w:rPr>
          <w:rFonts w:ascii="Perpetua" w:hAnsi="Perpetua" w:cs="Arial"/>
        </w:rPr>
        <w:t xml:space="preserve">e </w:t>
      </w:r>
      <w:proofErr w:type="spellStart"/>
      <w:r w:rsidR="00DC5E09">
        <w:rPr>
          <w:rFonts w:ascii="Perpetua" w:hAnsi="Perpetua" w:cs="Arial"/>
        </w:rPr>
        <w:t>Lovell</w:t>
      </w:r>
      <w:proofErr w:type="spellEnd"/>
      <w:r w:rsidR="00DC5E09">
        <w:rPr>
          <w:rFonts w:ascii="Perpetua" w:hAnsi="Perpetua" w:cs="Arial"/>
        </w:rPr>
        <w:t xml:space="preserve"> </w:t>
      </w:r>
      <w:r w:rsidR="008310BE" w:rsidRPr="008310BE">
        <w:rPr>
          <w:rFonts w:ascii="Perpetua" w:hAnsi="Perpetua" w:cs="Arial"/>
        </w:rPr>
        <w:t xml:space="preserve">(2000) e, em especial, </w:t>
      </w:r>
      <w:r w:rsidR="008310BE">
        <w:rPr>
          <w:rFonts w:ascii="Perpetua" w:hAnsi="Perpetua" w:cs="Arial"/>
        </w:rPr>
        <w:t xml:space="preserve">em </w:t>
      </w:r>
      <w:proofErr w:type="spellStart"/>
      <w:r w:rsidR="008310BE" w:rsidRPr="008310BE">
        <w:rPr>
          <w:rFonts w:ascii="Perpetua" w:hAnsi="Perpetua" w:cs="Arial"/>
        </w:rPr>
        <w:t>Lovell</w:t>
      </w:r>
      <w:proofErr w:type="spellEnd"/>
      <w:r w:rsidR="008310BE" w:rsidRPr="008310BE">
        <w:rPr>
          <w:rFonts w:ascii="Perpetua" w:hAnsi="Perpetua" w:cs="Arial"/>
        </w:rPr>
        <w:t xml:space="preserve"> (2000).</w:t>
      </w:r>
      <w:r w:rsidR="008310BE">
        <w:rPr>
          <w:rFonts w:ascii="Perpetua" w:hAnsi="Perpetua" w:cs="Arial"/>
        </w:rPr>
        <w:t xml:space="preserve"> </w:t>
      </w:r>
      <w:r w:rsidRPr="003F0303">
        <w:rPr>
          <w:rFonts w:ascii="Perpetua" w:hAnsi="Perpetua" w:cs="Arial"/>
        </w:rPr>
        <w:t>No capítulo 3</w:t>
      </w:r>
      <w:r w:rsidR="00A8346D">
        <w:rPr>
          <w:rFonts w:ascii="Perpetua" w:hAnsi="Perpetua" w:cs="Arial"/>
        </w:rPr>
        <w:t xml:space="preserve"> apresenta-se </w:t>
      </w:r>
      <w:r w:rsidR="00EF6F40">
        <w:rPr>
          <w:rFonts w:ascii="Perpetua" w:hAnsi="Perpetua" w:cs="Arial"/>
        </w:rPr>
        <w:t>uma revisão dos artigos de ambas as literaturas mencionadas que estudam a provisão de serviços judiciais de resolução de litígios.</w:t>
      </w:r>
      <w:bookmarkEnd w:id="0"/>
    </w:p>
    <w:p w:rsidR="00825F90" w:rsidRDefault="00825F90" w:rsidP="003F0303">
      <w:pPr>
        <w:jc w:val="both"/>
        <w:rPr>
          <w:rFonts w:ascii="Perpetua" w:hAnsi="Perpetua"/>
        </w:rPr>
      </w:pPr>
    </w:p>
    <w:p w:rsidR="00825F90" w:rsidRPr="00A66E20" w:rsidRDefault="00F72F49" w:rsidP="00A66E20">
      <w:pPr>
        <w:pStyle w:val="Heading2"/>
      </w:pPr>
      <w:bookmarkStart w:id="13" w:name="_Toc206648416"/>
      <w:bookmarkStart w:id="14" w:name="_Toc206652049"/>
      <w:bookmarkStart w:id="15" w:name="_Toc220484450"/>
      <w:r w:rsidRPr="00A66E20">
        <w:t xml:space="preserve">1.4. </w:t>
      </w:r>
      <w:r w:rsidR="00825F90" w:rsidRPr="00A66E20">
        <w:t>Estrutura da tese</w:t>
      </w:r>
      <w:bookmarkEnd w:id="13"/>
      <w:bookmarkEnd w:id="14"/>
      <w:bookmarkEnd w:id="15"/>
    </w:p>
    <w:p w:rsidR="00825F90" w:rsidRDefault="00825F90" w:rsidP="00BD764B">
      <w:pPr>
        <w:spacing w:line="360" w:lineRule="auto"/>
        <w:jc w:val="both"/>
        <w:rPr>
          <w:rFonts w:ascii="Perpetua" w:hAnsi="Perpetua"/>
        </w:rPr>
      </w:pPr>
    </w:p>
    <w:p w:rsidR="00806D9D" w:rsidRDefault="00806D9D" w:rsidP="00806D9D">
      <w:pPr>
        <w:spacing w:line="360" w:lineRule="auto"/>
        <w:jc w:val="both"/>
        <w:rPr>
          <w:rFonts w:ascii="Perpetua" w:hAnsi="Perpetua"/>
        </w:rPr>
      </w:pPr>
      <w:r>
        <w:rPr>
          <w:rFonts w:ascii="Perpetua" w:hAnsi="Perpetua"/>
        </w:rPr>
        <w:t>Para além do presente capítulo, cujo objectivo é introduzir a moti</w:t>
      </w:r>
      <w:r w:rsidR="0051394F">
        <w:rPr>
          <w:rFonts w:ascii="Perpetua" w:hAnsi="Perpetua"/>
        </w:rPr>
        <w:t>vação, o tema e os objectivos deste</w:t>
      </w:r>
      <w:r>
        <w:rPr>
          <w:rFonts w:ascii="Perpetua" w:hAnsi="Perpetua"/>
        </w:rPr>
        <w:t xml:space="preserve"> trabalho, a tese compreende </w:t>
      </w:r>
      <w:r w:rsidR="00EF6F40">
        <w:rPr>
          <w:rFonts w:ascii="Perpetua" w:hAnsi="Perpetua"/>
        </w:rPr>
        <w:t xml:space="preserve">cinco </w:t>
      </w:r>
      <w:r>
        <w:rPr>
          <w:rFonts w:ascii="Perpetua" w:hAnsi="Perpetua"/>
        </w:rPr>
        <w:t>outros capítulos, os quais se descrevem sucintamente nos parágrafos seguintes.</w:t>
      </w:r>
    </w:p>
    <w:p w:rsidR="00806D9D" w:rsidRDefault="00806D9D" w:rsidP="00806D9D">
      <w:pPr>
        <w:spacing w:line="360" w:lineRule="auto"/>
        <w:jc w:val="both"/>
        <w:rPr>
          <w:rFonts w:ascii="Perpetua" w:hAnsi="Perpetua"/>
        </w:rPr>
      </w:pPr>
    </w:p>
    <w:p w:rsidR="00806D9D" w:rsidRPr="00806D9D" w:rsidRDefault="00806D9D" w:rsidP="00806D9D">
      <w:pPr>
        <w:spacing w:line="360" w:lineRule="auto"/>
        <w:jc w:val="both"/>
        <w:rPr>
          <w:rFonts w:ascii="Perpetua" w:hAnsi="Perpetua"/>
        </w:rPr>
      </w:pPr>
      <w:r w:rsidRPr="00806D9D">
        <w:rPr>
          <w:rFonts w:ascii="Perpetua" w:hAnsi="Perpetua"/>
        </w:rPr>
        <w:t xml:space="preserve">O capítulo </w:t>
      </w:r>
      <w:r>
        <w:rPr>
          <w:rFonts w:ascii="Perpetua" w:hAnsi="Perpetua"/>
        </w:rPr>
        <w:t xml:space="preserve">2 </w:t>
      </w:r>
      <w:r w:rsidRPr="00806D9D">
        <w:rPr>
          <w:rFonts w:ascii="Perpetua" w:hAnsi="Perpetua"/>
        </w:rPr>
        <w:t>descreve de forma sumária a organização do sistema judicial português e apresenta uma análise estatística da evolução d</w:t>
      </w:r>
      <w:r w:rsidR="00DC5E09">
        <w:rPr>
          <w:rFonts w:ascii="Perpetua" w:hAnsi="Perpetua"/>
        </w:rPr>
        <w:t>esse</w:t>
      </w:r>
      <w:r w:rsidRPr="00806D9D">
        <w:rPr>
          <w:rFonts w:ascii="Perpetua" w:hAnsi="Perpetua"/>
        </w:rPr>
        <w:t xml:space="preserve"> sistema no período de 1991 a 2006. </w:t>
      </w:r>
      <w:r w:rsidR="00EF6F40">
        <w:rPr>
          <w:rFonts w:ascii="Perpetua" w:hAnsi="Perpetua"/>
        </w:rPr>
        <w:t>A análise apresentada pretende</w:t>
      </w:r>
      <w:r>
        <w:rPr>
          <w:rFonts w:ascii="Perpetua" w:hAnsi="Perpetua"/>
        </w:rPr>
        <w:t xml:space="preserve"> contextualizar as análises empíricas e econométricas que serão efectuadas nos capítulos 4 e 5. </w:t>
      </w:r>
      <w:r w:rsidRPr="00806D9D">
        <w:rPr>
          <w:rFonts w:ascii="Perpetua" w:hAnsi="Perpetua"/>
        </w:rPr>
        <w:t xml:space="preserve"> </w:t>
      </w:r>
    </w:p>
    <w:p w:rsidR="00806D9D" w:rsidRPr="00806D9D" w:rsidRDefault="00806D9D" w:rsidP="00806D9D">
      <w:pPr>
        <w:spacing w:line="360" w:lineRule="auto"/>
        <w:jc w:val="both"/>
        <w:rPr>
          <w:rFonts w:ascii="Perpetua" w:hAnsi="Perpetua"/>
        </w:rPr>
      </w:pPr>
    </w:p>
    <w:p w:rsidR="00207CB5" w:rsidRDefault="00806D9D" w:rsidP="00806D9D">
      <w:pPr>
        <w:spacing w:line="360" w:lineRule="auto"/>
        <w:jc w:val="both"/>
        <w:rPr>
          <w:rFonts w:ascii="Perpetua" w:hAnsi="Perpetua"/>
        </w:rPr>
      </w:pPr>
      <w:r w:rsidRPr="00806D9D">
        <w:rPr>
          <w:rFonts w:ascii="Perpetua" w:hAnsi="Perpetua"/>
        </w:rPr>
        <w:t xml:space="preserve">O capítulo </w:t>
      </w:r>
      <w:r w:rsidR="00207CB5">
        <w:rPr>
          <w:rFonts w:ascii="Perpetua" w:hAnsi="Perpetua"/>
        </w:rPr>
        <w:t xml:space="preserve">3 </w:t>
      </w:r>
      <w:r>
        <w:rPr>
          <w:rFonts w:ascii="Perpetua" w:hAnsi="Perpetua"/>
        </w:rPr>
        <w:t xml:space="preserve">é dedicado à revisão da literatura pertinente para o presente trabalho, compreendendo duas secções. A primeira secção apresenta uma </w:t>
      </w:r>
      <w:r w:rsidRPr="00806D9D">
        <w:rPr>
          <w:rFonts w:ascii="Perpetua" w:hAnsi="Perpetua"/>
        </w:rPr>
        <w:t>revisão dos principais resultados alcançados e as metodologias utilizadas no estudo empírico da produção de serviços judiciais no âmbito da Análise Económica do Direito</w:t>
      </w:r>
      <w:r w:rsidR="00207CB5">
        <w:rPr>
          <w:rFonts w:ascii="Perpetua" w:hAnsi="Perpetua"/>
        </w:rPr>
        <w:t xml:space="preserve"> e da </w:t>
      </w:r>
      <w:r w:rsidR="00EF6F40">
        <w:rPr>
          <w:rFonts w:ascii="Perpetua" w:hAnsi="Perpetua"/>
        </w:rPr>
        <w:t>Análise de Eficiência e P</w:t>
      </w:r>
      <w:r w:rsidR="00207CB5">
        <w:rPr>
          <w:rFonts w:ascii="Perpetua" w:hAnsi="Perpetua"/>
        </w:rPr>
        <w:t>rodutividade. A segunda secção</w:t>
      </w:r>
      <w:r>
        <w:rPr>
          <w:rFonts w:ascii="Perpetua" w:hAnsi="Perpetua"/>
        </w:rPr>
        <w:t xml:space="preserve"> </w:t>
      </w:r>
      <w:r w:rsidR="00207CB5">
        <w:rPr>
          <w:rFonts w:ascii="Perpetua" w:hAnsi="Perpetua"/>
        </w:rPr>
        <w:t xml:space="preserve">discute os aspectos da </w:t>
      </w:r>
      <w:r>
        <w:rPr>
          <w:rFonts w:ascii="Perpetua" w:hAnsi="Perpetua"/>
        </w:rPr>
        <w:t xml:space="preserve">literatura </w:t>
      </w:r>
      <w:r w:rsidR="00207CB5">
        <w:rPr>
          <w:rFonts w:ascii="Perpetua" w:hAnsi="Perpetua"/>
        </w:rPr>
        <w:t>relevantes para a modelação econométrica da pro</w:t>
      </w:r>
      <w:r w:rsidR="00EF6F40">
        <w:rPr>
          <w:rFonts w:ascii="Perpetua" w:hAnsi="Perpetua"/>
        </w:rPr>
        <w:t xml:space="preserve">visão </w:t>
      </w:r>
      <w:r w:rsidR="00207CB5">
        <w:rPr>
          <w:rFonts w:ascii="Perpetua" w:hAnsi="Perpetua"/>
        </w:rPr>
        <w:t xml:space="preserve">de serviços judiciais no contexto do sistema judicial português. </w:t>
      </w:r>
    </w:p>
    <w:p w:rsidR="00EF6F40" w:rsidRDefault="00EF6F40" w:rsidP="00806D9D">
      <w:pPr>
        <w:spacing w:line="360" w:lineRule="auto"/>
        <w:jc w:val="both"/>
        <w:rPr>
          <w:rFonts w:ascii="Perpetua" w:hAnsi="Perpetua"/>
        </w:rPr>
      </w:pPr>
    </w:p>
    <w:p w:rsidR="00806D9D" w:rsidRPr="00806D9D" w:rsidRDefault="00207CB5" w:rsidP="00806D9D">
      <w:pPr>
        <w:spacing w:line="360" w:lineRule="auto"/>
        <w:jc w:val="both"/>
        <w:rPr>
          <w:rFonts w:ascii="Perpetua" w:hAnsi="Perpetua"/>
        </w:rPr>
      </w:pPr>
      <w:r>
        <w:rPr>
          <w:rFonts w:ascii="Perpetua" w:hAnsi="Perpetua"/>
        </w:rPr>
        <w:t xml:space="preserve">O capítulo 4 inicia-se com uma formulação de </w:t>
      </w:r>
      <w:r w:rsidR="00806D9D" w:rsidRPr="00806D9D">
        <w:rPr>
          <w:rFonts w:ascii="Perpetua" w:hAnsi="Perpetua"/>
        </w:rPr>
        <w:t xml:space="preserve">um conjunto de hipóteses teóricas sobre a produção de serviços judiciais no sistema judicial português, </w:t>
      </w:r>
      <w:r w:rsidR="00EF6F40">
        <w:rPr>
          <w:rFonts w:ascii="Perpetua" w:hAnsi="Perpetua"/>
        </w:rPr>
        <w:t>a par da exploração de relações causais entre</w:t>
      </w:r>
      <w:r w:rsidR="00806D9D" w:rsidRPr="00806D9D">
        <w:rPr>
          <w:rFonts w:ascii="Perpetua" w:hAnsi="Perpetua"/>
        </w:rPr>
        <w:t xml:space="preserve"> factores </w:t>
      </w:r>
      <w:r w:rsidR="00EF6F40">
        <w:rPr>
          <w:rFonts w:ascii="Perpetua" w:hAnsi="Perpetua"/>
        </w:rPr>
        <w:t xml:space="preserve">tecnológicos e de contexto e </w:t>
      </w:r>
      <w:r w:rsidR="001658CE">
        <w:rPr>
          <w:rFonts w:ascii="Perpetua" w:hAnsi="Perpetua"/>
        </w:rPr>
        <w:t xml:space="preserve">a medida de </w:t>
      </w:r>
      <w:r w:rsidR="00EF6F40">
        <w:rPr>
          <w:rFonts w:ascii="Perpetua" w:hAnsi="Perpetua"/>
        </w:rPr>
        <w:t xml:space="preserve">produtividade judicial média observada do conjunto de </w:t>
      </w:r>
      <w:r w:rsidR="00806D9D" w:rsidRPr="00806D9D">
        <w:rPr>
          <w:rFonts w:ascii="Perpetua" w:hAnsi="Perpetua"/>
        </w:rPr>
        <w:t xml:space="preserve">tribunais </w:t>
      </w:r>
      <w:r w:rsidR="00EF6F40">
        <w:rPr>
          <w:rFonts w:ascii="Perpetua" w:hAnsi="Perpetua"/>
        </w:rPr>
        <w:t>analisados no</w:t>
      </w:r>
      <w:r w:rsidR="00806D9D" w:rsidRPr="00806D9D">
        <w:rPr>
          <w:rFonts w:ascii="Perpetua" w:hAnsi="Perpetua"/>
        </w:rPr>
        <w:t xml:space="preserve"> mesmo período temporal.</w:t>
      </w:r>
      <w:r>
        <w:rPr>
          <w:rFonts w:ascii="Perpetua" w:hAnsi="Perpetua"/>
        </w:rPr>
        <w:t xml:space="preserve"> Na segunda secção do capítulo 4 apresenta-se </w:t>
      </w:r>
      <w:r w:rsidR="00EF6F40">
        <w:rPr>
          <w:rFonts w:ascii="Perpetua" w:hAnsi="Perpetua"/>
        </w:rPr>
        <w:t xml:space="preserve">o modelo econométrico da provisão de serviços judiciais, discutindo-se </w:t>
      </w:r>
      <w:r w:rsidR="00806D9D" w:rsidRPr="00806D9D">
        <w:rPr>
          <w:rFonts w:ascii="Perpetua" w:hAnsi="Perpetua"/>
        </w:rPr>
        <w:t>as opções metodológicas</w:t>
      </w:r>
      <w:r w:rsidR="00EF6F40">
        <w:rPr>
          <w:rFonts w:ascii="Perpetua" w:hAnsi="Perpetua"/>
        </w:rPr>
        <w:t xml:space="preserve"> respeitantes</w:t>
      </w:r>
      <w:r w:rsidR="00806D9D" w:rsidRPr="00806D9D">
        <w:rPr>
          <w:rFonts w:ascii="Perpetua" w:hAnsi="Perpetua"/>
        </w:rPr>
        <w:t xml:space="preserve"> </w:t>
      </w:r>
      <w:r>
        <w:rPr>
          <w:rFonts w:ascii="Perpetua" w:hAnsi="Perpetua"/>
        </w:rPr>
        <w:t xml:space="preserve">à estrutura dos dados utilizados na análise empírica, ao conjunto dos </w:t>
      </w:r>
      <w:r w:rsidR="00806D9D" w:rsidRPr="00806D9D">
        <w:rPr>
          <w:rFonts w:ascii="Perpetua" w:hAnsi="Perpetua"/>
        </w:rPr>
        <w:t xml:space="preserve">tribunais </w:t>
      </w:r>
      <w:r>
        <w:rPr>
          <w:rFonts w:ascii="Perpetua" w:hAnsi="Perpetua"/>
        </w:rPr>
        <w:t xml:space="preserve">analisados, </w:t>
      </w:r>
      <w:r w:rsidR="00806D9D" w:rsidRPr="00806D9D">
        <w:rPr>
          <w:rFonts w:ascii="Perpetua" w:hAnsi="Perpetua"/>
        </w:rPr>
        <w:t xml:space="preserve">à medida de produtividade judicial </w:t>
      </w:r>
      <w:r>
        <w:rPr>
          <w:rFonts w:ascii="Perpetua" w:hAnsi="Perpetua"/>
        </w:rPr>
        <w:t xml:space="preserve">média </w:t>
      </w:r>
      <w:r w:rsidR="00806D9D" w:rsidRPr="00806D9D">
        <w:rPr>
          <w:rFonts w:ascii="Perpetua" w:hAnsi="Perpetua"/>
        </w:rPr>
        <w:t xml:space="preserve">utilizada como variável </w:t>
      </w:r>
      <w:r>
        <w:rPr>
          <w:rFonts w:ascii="Perpetua" w:hAnsi="Perpetua"/>
        </w:rPr>
        <w:t xml:space="preserve">indirecta </w:t>
      </w:r>
      <w:r w:rsidR="00806D9D" w:rsidRPr="00806D9D">
        <w:rPr>
          <w:rFonts w:ascii="Perpetua" w:hAnsi="Perpetua"/>
        </w:rPr>
        <w:t xml:space="preserve">da eficiência </w:t>
      </w:r>
      <w:r w:rsidR="00EF6F40">
        <w:rPr>
          <w:rFonts w:ascii="Perpetua" w:hAnsi="Perpetua"/>
        </w:rPr>
        <w:t xml:space="preserve">produtiva </w:t>
      </w:r>
      <w:r w:rsidR="00806D9D" w:rsidRPr="00806D9D">
        <w:rPr>
          <w:rFonts w:ascii="Perpetua" w:hAnsi="Perpetua"/>
        </w:rPr>
        <w:t>da provisão pública de serviços jud</w:t>
      </w:r>
      <w:r>
        <w:rPr>
          <w:rFonts w:ascii="Perpetua" w:hAnsi="Perpetua"/>
        </w:rPr>
        <w:t>iciais e</w:t>
      </w:r>
      <w:r w:rsidR="00EF6F40">
        <w:rPr>
          <w:rFonts w:ascii="Perpetua" w:hAnsi="Perpetua"/>
        </w:rPr>
        <w:t>, por fim,</w:t>
      </w:r>
      <w:r>
        <w:rPr>
          <w:rFonts w:ascii="Perpetua" w:hAnsi="Perpetua"/>
        </w:rPr>
        <w:t xml:space="preserve"> </w:t>
      </w:r>
      <w:r w:rsidR="00EF6F40">
        <w:rPr>
          <w:rFonts w:ascii="Perpetua" w:hAnsi="Perpetua"/>
        </w:rPr>
        <w:t>à</w:t>
      </w:r>
      <w:r>
        <w:rPr>
          <w:rFonts w:ascii="Perpetua" w:hAnsi="Perpetua"/>
        </w:rPr>
        <w:t xml:space="preserve">s </w:t>
      </w:r>
      <w:r w:rsidR="00806D9D" w:rsidRPr="00806D9D">
        <w:rPr>
          <w:rFonts w:ascii="Perpetua" w:hAnsi="Perpetua"/>
        </w:rPr>
        <w:t xml:space="preserve">variáveis </w:t>
      </w:r>
      <w:r>
        <w:rPr>
          <w:rFonts w:ascii="Perpetua" w:hAnsi="Perpetua"/>
        </w:rPr>
        <w:t>explicativas</w:t>
      </w:r>
      <w:r w:rsidR="00806D9D" w:rsidRPr="00806D9D">
        <w:rPr>
          <w:rFonts w:ascii="Perpetua" w:hAnsi="Perpetua"/>
        </w:rPr>
        <w:t xml:space="preserve"> utilizadas para medir as hipóteses teóricas formuladas</w:t>
      </w:r>
      <w:r w:rsidR="007B30C1">
        <w:rPr>
          <w:rFonts w:ascii="Perpetua" w:hAnsi="Perpetua"/>
        </w:rPr>
        <w:t xml:space="preserve"> e as relações causais exploratórias</w:t>
      </w:r>
      <w:r w:rsidR="00EF6F40">
        <w:rPr>
          <w:rFonts w:ascii="Perpetua" w:hAnsi="Perpetua"/>
        </w:rPr>
        <w:t>.</w:t>
      </w:r>
    </w:p>
    <w:p w:rsidR="00806D9D" w:rsidRPr="00806D9D" w:rsidRDefault="00806D9D" w:rsidP="00806D9D">
      <w:pPr>
        <w:spacing w:line="360" w:lineRule="auto"/>
        <w:jc w:val="both"/>
        <w:rPr>
          <w:rFonts w:ascii="Perpetua" w:hAnsi="Perpetua"/>
        </w:rPr>
      </w:pPr>
    </w:p>
    <w:p w:rsidR="00806D9D" w:rsidRPr="00806D9D" w:rsidRDefault="00806D9D" w:rsidP="00BD764B">
      <w:pPr>
        <w:spacing w:line="360" w:lineRule="auto"/>
        <w:jc w:val="both"/>
        <w:rPr>
          <w:rFonts w:ascii="Perpetua" w:hAnsi="Perpetua"/>
        </w:rPr>
      </w:pPr>
      <w:r w:rsidRPr="00806D9D">
        <w:rPr>
          <w:rFonts w:ascii="Perpetua" w:hAnsi="Perpetua"/>
        </w:rPr>
        <w:t xml:space="preserve">O capítulo </w:t>
      </w:r>
      <w:r w:rsidR="007B30C1">
        <w:rPr>
          <w:rFonts w:ascii="Perpetua" w:hAnsi="Perpetua"/>
        </w:rPr>
        <w:t xml:space="preserve">5 </w:t>
      </w:r>
      <w:r w:rsidRPr="00806D9D">
        <w:rPr>
          <w:rFonts w:ascii="Perpetua" w:hAnsi="Perpetua"/>
        </w:rPr>
        <w:t xml:space="preserve">é dedicado à análise </w:t>
      </w:r>
      <w:r w:rsidR="00BD764B">
        <w:rPr>
          <w:rFonts w:ascii="Perpetua" w:hAnsi="Perpetua"/>
        </w:rPr>
        <w:t>econométrica</w:t>
      </w:r>
      <w:r w:rsidRPr="00806D9D">
        <w:rPr>
          <w:rFonts w:ascii="Perpetua" w:hAnsi="Perpetua"/>
        </w:rPr>
        <w:t xml:space="preserve"> </w:t>
      </w:r>
      <w:r w:rsidR="00BD764B">
        <w:rPr>
          <w:rFonts w:ascii="Perpetua" w:hAnsi="Perpetua"/>
        </w:rPr>
        <w:t xml:space="preserve">da </w:t>
      </w:r>
      <w:r w:rsidRPr="00806D9D">
        <w:rPr>
          <w:rFonts w:ascii="Perpetua" w:hAnsi="Perpetua"/>
        </w:rPr>
        <w:t>produção de serviços judiciais</w:t>
      </w:r>
      <w:r w:rsidR="00BD764B">
        <w:rPr>
          <w:rFonts w:ascii="Perpetua" w:hAnsi="Perpetua"/>
        </w:rPr>
        <w:t xml:space="preserve">, iniciando-se </w:t>
      </w:r>
      <w:r w:rsidRPr="00806D9D">
        <w:rPr>
          <w:rFonts w:ascii="Perpetua" w:hAnsi="Perpetua"/>
        </w:rPr>
        <w:t>com uma análise preliminar dos dados estatísticos,</w:t>
      </w:r>
      <w:r w:rsidR="00BD764B">
        <w:rPr>
          <w:rFonts w:ascii="Perpetua" w:hAnsi="Perpetua"/>
        </w:rPr>
        <w:t xml:space="preserve"> que inclui o agrupamento dos tribunais analisados em três </w:t>
      </w:r>
      <w:r w:rsidR="00BD764B" w:rsidRPr="0051394F">
        <w:rPr>
          <w:rFonts w:ascii="Perpetua" w:hAnsi="Perpetua"/>
          <w:i/>
        </w:rPr>
        <w:t>clusters</w:t>
      </w:r>
      <w:r w:rsidR="00BD764B">
        <w:rPr>
          <w:rFonts w:ascii="Perpetua" w:hAnsi="Perpetua"/>
        </w:rPr>
        <w:t xml:space="preserve"> com base na homogeneidade do </w:t>
      </w:r>
      <w:r w:rsidR="00BD764B" w:rsidRPr="00BD764B">
        <w:rPr>
          <w:rFonts w:ascii="Perpetua" w:hAnsi="Perpetua"/>
          <w:i/>
        </w:rPr>
        <w:t xml:space="preserve">case </w:t>
      </w:r>
      <w:proofErr w:type="spellStart"/>
      <w:r w:rsidR="00BD764B" w:rsidRPr="00BD764B">
        <w:rPr>
          <w:rFonts w:ascii="Perpetua" w:hAnsi="Perpetua"/>
          <w:i/>
        </w:rPr>
        <w:t>mix</w:t>
      </w:r>
      <w:proofErr w:type="spellEnd"/>
      <w:r w:rsidR="00BD764B">
        <w:rPr>
          <w:rFonts w:ascii="Perpetua" w:hAnsi="Perpetua"/>
        </w:rPr>
        <w:t xml:space="preserve"> resolvido em 2001. A segunda secção do capítulo 5 </w:t>
      </w:r>
      <w:r w:rsidRPr="00806D9D">
        <w:rPr>
          <w:rFonts w:ascii="Perpetua" w:hAnsi="Perpetua"/>
        </w:rPr>
        <w:t>apresenta</w:t>
      </w:r>
      <w:r w:rsidR="00BD764B">
        <w:rPr>
          <w:rFonts w:ascii="Perpetua" w:hAnsi="Perpetua"/>
        </w:rPr>
        <w:t xml:space="preserve"> e discute os </w:t>
      </w:r>
      <w:r w:rsidRPr="00806D9D">
        <w:rPr>
          <w:rFonts w:ascii="Perpetua" w:hAnsi="Perpetua"/>
        </w:rPr>
        <w:t>resultados das estimações econométricas</w:t>
      </w:r>
      <w:r w:rsidR="00EF6F40">
        <w:rPr>
          <w:rFonts w:ascii="Perpetua" w:hAnsi="Perpetua"/>
        </w:rPr>
        <w:t xml:space="preserve"> efectuadas</w:t>
      </w:r>
      <w:r w:rsidR="00BD764B">
        <w:rPr>
          <w:rFonts w:ascii="Perpetua" w:hAnsi="Perpetua"/>
        </w:rPr>
        <w:t xml:space="preserve">. </w:t>
      </w:r>
      <w:r w:rsidR="000D22C2">
        <w:rPr>
          <w:rFonts w:ascii="Perpetua" w:hAnsi="Perpetua"/>
        </w:rPr>
        <w:t xml:space="preserve">Por último, a </w:t>
      </w:r>
      <w:r w:rsidR="00AE6823">
        <w:rPr>
          <w:rFonts w:ascii="Perpetua" w:hAnsi="Perpetua"/>
        </w:rPr>
        <w:t xml:space="preserve">secção </w:t>
      </w:r>
      <w:r w:rsidR="000D22C2">
        <w:rPr>
          <w:rFonts w:ascii="Perpetua" w:hAnsi="Perpetua"/>
        </w:rPr>
        <w:t xml:space="preserve">3 </w:t>
      </w:r>
      <w:r w:rsidR="00AE6823">
        <w:rPr>
          <w:rFonts w:ascii="Perpetua" w:hAnsi="Perpetua"/>
        </w:rPr>
        <w:t>d</w:t>
      </w:r>
      <w:r w:rsidR="00BD764B">
        <w:rPr>
          <w:rFonts w:ascii="Perpetua" w:hAnsi="Perpetua"/>
        </w:rPr>
        <w:t xml:space="preserve">o capítulo </w:t>
      </w:r>
      <w:r w:rsidR="00EF6F40">
        <w:rPr>
          <w:rFonts w:ascii="Perpetua" w:hAnsi="Perpetua"/>
        </w:rPr>
        <w:t xml:space="preserve">5 </w:t>
      </w:r>
      <w:r w:rsidR="00AE6823">
        <w:rPr>
          <w:rFonts w:ascii="Perpetua" w:hAnsi="Perpetua"/>
        </w:rPr>
        <w:t xml:space="preserve">sintetiza as </w:t>
      </w:r>
      <w:r w:rsidR="00BD764B">
        <w:rPr>
          <w:rFonts w:ascii="Perpetua" w:hAnsi="Perpetua"/>
        </w:rPr>
        <w:t>principais conclusões</w:t>
      </w:r>
      <w:r w:rsidR="000D22C2">
        <w:rPr>
          <w:rFonts w:ascii="Perpetua" w:hAnsi="Perpetua"/>
        </w:rPr>
        <w:t xml:space="preserve"> da análise empírica efectuada.</w:t>
      </w:r>
    </w:p>
    <w:p w:rsidR="00806D9D" w:rsidRPr="00806D9D" w:rsidRDefault="00806D9D" w:rsidP="00806D9D">
      <w:pPr>
        <w:spacing w:line="360" w:lineRule="auto"/>
        <w:jc w:val="both"/>
        <w:rPr>
          <w:rFonts w:ascii="Perpetua" w:hAnsi="Perpetua"/>
        </w:rPr>
      </w:pPr>
    </w:p>
    <w:p w:rsidR="00825F90" w:rsidRDefault="000D22C2" w:rsidP="00806D9D">
      <w:pPr>
        <w:spacing w:line="360" w:lineRule="auto"/>
        <w:jc w:val="both"/>
        <w:rPr>
          <w:rFonts w:ascii="Perpetua" w:hAnsi="Perpetua"/>
        </w:rPr>
      </w:pPr>
      <w:r>
        <w:rPr>
          <w:rFonts w:ascii="Perpetua" w:hAnsi="Perpetua"/>
        </w:rPr>
        <w:t>Por fim, o</w:t>
      </w:r>
      <w:r w:rsidR="00806D9D" w:rsidRPr="00806D9D">
        <w:rPr>
          <w:rFonts w:ascii="Perpetua" w:hAnsi="Perpetua"/>
        </w:rPr>
        <w:t xml:space="preserve"> capítulo </w:t>
      </w:r>
      <w:r w:rsidR="00AE6823">
        <w:rPr>
          <w:rFonts w:ascii="Perpetua" w:hAnsi="Perpetua"/>
        </w:rPr>
        <w:t>6</w:t>
      </w:r>
      <w:r w:rsidR="00BD764B">
        <w:rPr>
          <w:rFonts w:ascii="Perpetua" w:hAnsi="Perpetua"/>
        </w:rPr>
        <w:t xml:space="preserve"> </w:t>
      </w:r>
      <w:r w:rsidR="00806D9D" w:rsidRPr="00806D9D">
        <w:rPr>
          <w:rFonts w:ascii="Perpetua" w:hAnsi="Perpetua"/>
        </w:rPr>
        <w:t>condensa as conclusões da análise efectuada</w:t>
      </w:r>
      <w:r w:rsidR="00AE6823">
        <w:rPr>
          <w:rFonts w:ascii="Perpetua" w:hAnsi="Perpetua"/>
        </w:rPr>
        <w:t xml:space="preserve"> aos longos dos capítulos 2 a 5</w:t>
      </w:r>
      <w:r w:rsidR="00BD764B">
        <w:rPr>
          <w:rFonts w:ascii="Perpetua" w:hAnsi="Perpetua"/>
        </w:rPr>
        <w:t>,</w:t>
      </w:r>
      <w:r w:rsidR="00806D9D" w:rsidRPr="00806D9D">
        <w:rPr>
          <w:rFonts w:ascii="Perpetua" w:hAnsi="Perpetua"/>
        </w:rPr>
        <w:t xml:space="preserve"> aponta caminhos pa</w:t>
      </w:r>
      <w:r w:rsidR="00BD764B">
        <w:rPr>
          <w:rFonts w:ascii="Perpetua" w:hAnsi="Perpetua"/>
        </w:rPr>
        <w:t xml:space="preserve">ra investigação </w:t>
      </w:r>
      <w:r w:rsidR="00AE6823">
        <w:rPr>
          <w:rFonts w:ascii="Perpetua" w:hAnsi="Perpetua"/>
        </w:rPr>
        <w:t xml:space="preserve">futura </w:t>
      </w:r>
      <w:r w:rsidR="00BD764B">
        <w:rPr>
          <w:rFonts w:ascii="Perpetua" w:hAnsi="Perpetua"/>
        </w:rPr>
        <w:t>na produção de serviços judiciais no sistema judicial português e apresenta um conjunto de recomendações de política pública derivadas da</w:t>
      </w:r>
      <w:r w:rsidR="00AE6823">
        <w:rPr>
          <w:rFonts w:ascii="Perpetua" w:hAnsi="Perpetua"/>
        </w:rPr>
        <w:t>s</w:t>
      </w:r>
      <w:r w:rsidR="00BD764B">
        <w:rPr>
          <w:rFonts w:ascii="Perpetua" w:hAnsi="Perpetua"/>
        </w:rPr>
        <w:t xml:space="preserve"> análise</w:t>
      </w:r>
      <w:r w:rsidR="00AE6823">
        <w:rPr>
          <w:rFonts w:ascii="Perpetua" w:hAnsi="Perpetua"/>
        </w:rPr>
        <w:t>s</w:t>
      </w:r>
      <w:r w:rsidR="00BD764B">
        <w:rPr>
          <w:rFonts w:ascii="Perpetua" w:hAnsi="Perpetua"/>
        </w:rPr>
        <w:t xml:space="preserve"> efectuada</w:t>
      </w:r>
      <w:r w:rsidR="00AE6823">
        <w:rPr>
          <w:rFonts w:ascii="Perpetua" w:hAnsi="Perpetua"/>
        </w:rPr>
        <w:t>s</w:t>
      </w:r>
      <w:r w:rsidR="00BD764B">
        <w:rPr>
          <w:rFonts w:ascii="Perpetua" w:hAnsi="Perpetua"/>
        </w:rPr>
        <w:t>.</w:t>
      </w: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25F90" w:rsidRDefault="00825F90" w:rsidP="003F0303">
      <w:pPr>
        <w:jc w:val="both"/>
        <w:rPr>
          <w:rFonts w:ascii="Perpetua" w:hAnsi="Perpetua"/>
        </w:rPr>
      </w:pPr>
    </w:p>
    <w:p w:rsidR="0080386E" w:rsidRPr="00F3610A" w:rsidRDefault="0080386E" w:rsidP="006D0C0A">
      <w:pPr>
        <w:pStyle w:val="Heading1"/>
      </w:pPr>
      <w:bookmarkStart w:id="16" w:name="_Toc220484451"/>
      <w:bookmarkStart w:id="17" w:name="_Toc194131224"/>
      <w:bookmarkStart w:id="18" w:name="_Toc206648417"/>
      <w:bookmarkStart w:id="19" w:name="_Toc206652050"/>
      <w:r>
        <w:t xml:space="preserve">Organização </w:t>
      </w:r>
      <w:r w:rsidR="005A70A9">
        <w:t xml:space="preserve">e evolução </w:t>
      </w:r>
      <w:r>
        <w:t>do sistema judicial</w:t>
      </w:r>
      <w:bookmarkEnd w:id="16"/>
      <w:r>
        <w:t xml:space="preserve"> </w:t>
      </w:r>
      <w:bookmarkEnd w:id="17"/>
      <w:bookmarkEnd w:id="18"/>
      <w:bookmarkEnd w:id="19"/>
    </w:p>
    <w:p w:rsidR="0080386E" w:rsidRDefault="0080386E" w:rsidP="0080386E">
      <w:pPr>
        <w:spacing w:line="360" w:lineRule="auto"/>
        <w:jc w:val="both"/>
        <w:rPr>
          <w:rFonts w:ascii="Perpetua" w:hAnsi="Perpetua"/>
        </w:rPr>
      </w:pPr>
    </w:p>
    <w:p w:rsidR="0080386E" w:rsidRPr="00A66E20" w:rsidRDefault="000043AA" w:rsidP="00A66E20">
      <w:pPr>
        <w:pStyle w:val="Heading2"/>
      </w:pPr>
      <w:bookmarkStart w:id="20" w:name="_Toc206652051"/>
      <w:bookmarkStart w:id="21" w:name="_Toc220484452"/>
      <w:r w:rsidRPr="00A66E20">
        <w:t xml:space="preserve">2.1. </w:t>
      </w:r>
      <w:r w:rsidR="0080386E" w:rsidRPr="00A66E20">
        <w:t>Introdução</w:t>
      </w:r>
      <w:bookmarkEnd w:id="20"/>
      <w:bookmarkEnd w:id="21"/>
    </w:p>
    <w:p w:rsidR="0080386E" w:rsidRDefault="0080386E" w:rsidP="00A66E20">
      <w:pPr>
        <w:pStyle w:val="Heading2"/>
      </w:pPr>
    </w:p>
    <w:p w:rsidR="0080386E" w:rsidRPr="004F1834" w:rsidRDefault="0080386E" w:rsidP="0080386E">
      <w:pPr>
        <w:keepNext/>
        <w:framePr w:dropCap="drop" w:lines="3" w:wrap="around" w:vAnchor="text" w:hAnchor="text"/>
        <w:spacing w:line="1237" w:lineRule="exact"/>
        <w:jc w:val="both"/>
        <w:textAlignment w:val="baseline"/>
        <w:rPr>
          <w:rFonts w:ascii="Perpetua" w:hAnsi="Perpetua"/>
          <w:position w:val="-3"/>
          <w:sz w:val="172"/>
        </w:rPr>
      </w:pPr>
      <w:r w:rsidRPr="004F1834">
        <w:rPr>
          <w:rFonts w:ascii="Perpetua" w:hAnsi="Perpetua"/>
          <w:position w:val="-3"/>
          <w:sz w:val="172"/>
        </w:rPr>
        <w:t>N</w:t>
      </w:r>
    </w:p>
    <w:p w:rsidR="0080386E" w:rsidRDefault="0080386E" w:rsidP="0080386E">
      <w:pPr>
        <w:spacing w:line="360" w:lineRule="auto"/>
        <w:jc w:val="both"/>
        <w:rPr>
          <w:rFonts w:ascii="Perpetua" w:hAnsi="Perpetua"/>
        </w:rPr>
      </w:pPr>
      <w:r>
        <w:rPr>
          <w:rFonts w:ascii="Perpetua" w:hAnsi="Perpetua"/>
        </w:rPr>
        <w:t xml:space="preserve">este capítulo pretende-se descrever de forma sumária a organização do sistema judicial português e apresentar uma análise de estatística descritiva da </w:t>
      </w:r>
      <w:r w:rsidR="00EA7D0E">
        <w:rPr>
          <w:rFonts w:ascii="Perpetua" w:hAnsi="Perpetua"/>
        </w:rPr>
        <w:t xml:space="preserve">sua </w:t>
      </w:r>
      <w:r>
        <w:rPr>
          <w:rFonts w:ascii="Perpetua" w:hAnsi="Perpetua"/>
        </w:rPr>
        <w:t>evolução</w:t>
      </w:r>
      <w:r w:rsidR="00B06B0C">
        <w:rPr>
          <w:rFonts w:ascii="Perpetua" w:hAnsi="Perpetua"/>
        </w:rPr>
        <w:t xml:space="preserve"> </w:t>
      </w:r>
      <w:r>
        <w:rPr>
          <w:rFonts w:ascii="Perpetua" w:hAnsi="Perpetua"/>
        </w:rPr>
        <w:t xml:space="preserve">durante o período de 1991 a 2006. Da análise de estatística descritiva resulta um retrato bastante negativo do desempenho do sistema judicial português durante </w:t>
      </w:r>
      <w:r w:rsidR="0051394F">
        <w:rPr>
          <w:rFonts w:ascii="Perpetua" w:hAnsi="Perpetua"/>
        </w:rPr>
        <w:t>aquele</w:t>
      </w:r>
      <w:r>
        <w:rPr>
          <w:rFonts w:ascii="Perpetua" w:hAnsi="Perpetua"/>
        </w:rPr>
        <w:t xml:space="preserve"> período,</w:t>
      </w:r>
      <w:r w:rsidR="00FD7A04">
        <w:rPr>
          <w:rFonts w:ascii="Perpetua" w:hAnsi="Perpetua"/>
        </w:rPr>
        <w:t xml:space="preserve"> o</w:t>
      </w:r>
      <w:r>
        <w:rPr>
          <w:rFonts w:ascii="Perpetua" w:hAnsi="Perpetua"/>
        </w:rPr>
        <w:t xml:space="preserve"> que vai ao encontro d</w:t>
      </w:r>
      <w:r w:rsidR="00B06B0C">
        <w:rPr>
          <w:rFonts w:ascii="Perpetua" w:hAnsi="Perpetua"/>
        </w:rPr>
        <w:t xml:space="preserve">o que havia já sido referido </w:t>
      </w:r>
      <w:r>
        <w:rPr>
          <w:rFonts w:ascii="Perpetua" w:hAnsi="Perpetua"/>
        </w:rPr>
        <w:t>no capítulo 1</w:t>
      </w:r>
      <w:r w:rsidR="00B06B0C">
        <w:rPr>
          <w:rFonts w:ascii="Perpetua" w:hAnsi="Perpetua"/>
        </w:rPr>
        <w:t xml:space="preserve">. </w:t>
      </w:r>
      <w:r>
        <w:rPr>
          <w:rFonts w:ascii="Perpetua" w:hAnsi="Perpetua"/>
        </w:rPr>
        <w:t>Nesse sentido, a análise de estatística descritiva apresentada dá corpo empírico à motivação de política pública deste trabalho e permite contextualizar a análise empírica efectuada no capítulo 4, que constitui a parte principal deste trabalho.</w:t>
      </w:r>
    </w:p>
    <w:p w:rsidR="0080386E" w:rsidRDefault="0080386E" w:rsidP="0080386E">
      <w:pPr>
        <w:spacing w:line="360" w:lineRule="auto"/>
        <w:jc w:val="both"/>
        <w:rPr>
          <w:rFonts w:ascii="Perpetua" w:hAnsi="Perpetua"/>
        </w:rPr>
      </w:pPr>
    </w:p>
    <w:p w:rsidR="0080386E" w:rsidRPr="0020068E" w:rsidRDefault="000043AA" w:rsidP="00A66E20">
      <w:pPr>
        <w:pStyle w:val="Heading2"/>
      </w:pPr>
      <w:bookmarkStart w:id="22" w:name="_Toc206652052"/>
      <w:bookmarkStart w:id="23" w:name="_Toc220484453"/>
      <w:r>
        <w:t xml:space="preserve">2.2. </w:t>
      </w:r>
      <w:r w:rsidR="0080386E" w:rsidRPr="0020068E">
        <w:t>A organização do sistema judicial português</w:t>
      </w:r>
      <w:r w:rsidR="0080386E">
        <w:rPr>
          <w:rStyle w:val="FootnoteReference"/>
          <w:b w:val="0"/>
        </w:rPr>
        <w:footnoteReference w:id="21"/>
      </w:r>
      <w:bookmarkEnd w:id="22"/>
      <w:bookmarkEnd w:id="23"/>
      <w:r w:rsidR="0080386E" w:rsidRPr="0020068E">
        <w:t xml:space="preserve"> </w:t>
      </w:r>
    </w:p>
    <w:p w:rsidR="004B7547" w:rsidRDefault="004B7547" w:rsidP="0080386E">
      <w:pPr>
        <w:spacing w:line="360" w:lineRule="auto"/>
        <w:jc w:val="both"/>
        <w:rPr>
          <w:rFonts w:ascii="Perpetua" w:hAnsi="Perpetua"/>
        </w:rPr>
      </w:pPr>
    </w:p>
    <w:p w:rsidR="0080386E" w:rsidRDefault="00C1273A" w:rsidP="0080386E">
      <w:pPr>
        <w:spacing w:line="360" w:lineRule="auto"/>
        <w:jc w:val="both"/>
        <w:rPr>
          <w:rFonts w:ascii="Perpetua" w:hAnsi="Perpetua"/>
        </w:rPr>
      </w:pPr>
      <w:r>
        <w:rPr>
          <w:rFonts w:ascii="Perpetua" w:hAnsi="Perpetua"/>
        </w:rPr>
        <w:t>A administração da justiça em Portugal</w:t>
      </w:r>
      <w:r w:rsidR="00C455A5">
        <w:rPr>
          <w:rFonts w:ascii="Perpetua" w:hAnsi="Perpetua"/>
        </w:rPr>
        <w:t xml:space="preserve"> </w:t>
      </w:r>
      <w:r w:rsidR="002B481A">
        <w:rPr>
          <w:rFonts w:ascii="Perpetua" w:hAnsi="Perpetua"/>
        </w:rPr>
        <w:t xml:space="preserve">é garantida pelos tribunais, organizados </w:t>
      </w:r>
      <w:r w:rsidR="0080386E">
        <w:rPr>
          <w:rFonts w:ascii="Perpetua" w:hAnsi="Perpetua"/>
        </w:rPr>
        <w:t xml:space="preserve">em diferentes agrupamentos, denominados jurisdições. </w:t>
      </w:r>
      <w:r w:rsidR="002B481A">
        <w:rPr>
          <w:rFonts w:ascii="Perpetua" w:hAnsi="Perpetua"/>
        </w:rPr>
        <w:t xml:space="preserve">Do ponto de vista económico, as principais funções dos tribunais são a </w:t>
      </w:r>
      <w:r w:rsidR="003F04AC">
        <w:rPr>
          <w:rFonts w:ascii="Perpetua" w:hAnsi="Perpetua"/>
        </w:rPr>
        <w:t xml:space="preserve">protecção </w:t>
      </w:r>
      <w:r w:rsidR="002B481A">
        <w:rPr>
          <w:rFonts w:ascii="Perpetua" w:hAnsi="Perpetua"/>
        </w:rPr>
        <w:t>de direitos e interesses legalmente pr</w:t>
      </w:r>
      <w:r w:rsidR="003F04AC">
        <w:rPr>
          <w:rFonts w:ascii="Perpetua" w:hAnsi="Perpetua"/>
        </w:rPr>
        <w:t xml:space="preserve">evistos </w:t>
      </w:r>
      <w:r w:rsidR="002B481A">
        <w:rPr>
          <w:rFonts w:ascii="Perpetua" w:hAnsi="Perpetua"/>
        </w:rPr>
        <w:t xml:space="preserve">e a resolução de conflitos de natureza pública e privada. </w:t>
      </w:r>
      <w:r w:rsidR="0080386E">
        <w:rPr>
          <w:rFonts w:ascii="Perpetua" w:hAnsi="Perpetua"/>
        </w:rPr>
        <w:t>Para além do</w:t>
      </w:r>
      <w:r w:rsidR="00C455A5">
        <w:rPr>
          <w:rFonts w:ascii="Perpetua" w:hAnsi="Perpetua"/>
        </w:rPr>
        <w:t xml:space="preserve"> conjunto do</w:t>
      </w:r>
      <w:r w:rsidR="0080386E">
        <w:rPr>
          <w:rFonts w:ascii="Perpetua" w:hAnsi="Perpetua"/>
        </w:rPr>
        <w:t xml:space="preserve">s </w:t>
      </w:r>
      <w:r w:rsidR="00C455A5">
        <w:rPr>
          <w:rFonts w:ascii="Perpetua" w:hAnsi="Perpetua"/>
        </w:rPr>
        <w:t>tribunais j</w:t>
      </w:r>
      <w:r w:rsidR="0080386E">
        <w:rPr>
          <w:rFonts w:ascii="Perpetua" w:hAnsi="Perpetua"/>
        </w:rPr>
        <w:t>udiciais</w:t>
      </w:r>
      <w:r w:rsidR="00C455A5">
        <w:rPr>
          <w:rFonts w:ascii="Perpetua" w:hAnsi="Perpetua"/>
        </w:rPr>
        <w:t xml:space="preserve"> </w:t>
      </w:r>
      <w:r w:rsidR="0080386E">
        <w:rPr>
          <w:rFonts w:ascii="Perpetua" w:hAnsi="Perpetua"/>
        </w:rPr>
        <w:t xml:space="preserve">distinguem-se </w:t>
      </w:r>
      <w:r w:rsidR="00C455A5">
        <w:rPr>
          <w:rFonts w:ascii="Perpetua" w:hAnsi="Perpetua"/>
        </w:rPr>
        <w:t xml:space="preserve">o Tribunal Constitucional, </w:t>
      </w:r>
      <w:r w:rsidR="00335A3D">
        <w:rPr>
          <w:rFonts w:ascii="Perpetua" w:hAnsi="Perpetua"/>
        </w:rPr>
        <w:t xml:space="preserve">o Tribunal de Contas, </w:t>
      </w:r>
      <w:r w:rsidR="00C455A5">
        <w:rPr>
          <w:rFonts w:ascii="Perpetua" w:hAnsi="Perpetua"/>
        </w:rPr>
        <w:t>os t</w:t>
      </w:r>
      <w:r w:rsidR="0080386E">
        <w:rPr>
          <w:rFonts w:ascii="Perpetua" w:hAnsi="Perpetua"/>
        </w:rPr>
        <w:t xml:space="preserve">ribunais </w:t>
      </w:r>
      <w:r w:rsidR="00C455A5">
        <w:rPr>
          <w:rFonts w:ascii="Perpetua" w:hAnsi="Perpetua"/>
        </w:rPr>
        <w:t>a</w:t>
      </w:r>
      <w:r w:rsidR="0080386E">
        <w:rPr>
          <w:rFonts w:ascii="Perpetua" w:hAnsi="Perpetua"/>
        </w:rPr>
        <w:t xml:space="preserve">dministrativos e </w:t>
      </w:r>
      <w:r w:rsidR="00C455A5">
        <w:rPr>
          <w:rFonts w:ascii="Perpetua" w:hAnsi="Perpetua"/>
        </w:rPr>
        <w:t>f</w:t>
      </w:r>
      <w:r w:rsidR="0080386E">
        <w:rPr>
          <w:rFonts w:ascii="Perpetua" w:hAnsi="Perpetua"/>
        </w:rPr>
        <w:t xml:space="preserve">iscais, os </w:t>
      </w:r>
      <w:r w:rsidR="00C455A5">
        <w:rPr>
          <w:rFonts w:ascii="Perpetua" w:hAnsi="Perpetua"/>
        </w:rPr>
        <w:t>tribunais m</w:t>
      </w:r>
      <w:r w:rsidR="0080386E">
        <w:rPr>
          <w:rFonts w:ascii="Perpetua" w:hAnsi="Perpetua"/>
        </w:rPr>
        <w:t>ilitares,</w:t>
      </w:r>
      <w:r w:rsidR="00C455A5">
        <w:rPr>
          <w:rFonts w:ascii="Perpetua" w:hAnsi="Perpetua"/>
        </w:rPr>
        <w:t xml:space="preserve"> os tribunais a</w:t>
      </w:r>
      <w:r w:rsidR="0080386E">
        <w:rPr>
          <w:rFonts w:ascii="Perpetua" w:hAnsi="Perpetua"/>
        </w:rPr>
        <w:t>rbitrais</w:t>
      </w:r>
      <w:r w:rsidR="00C455A5">
        <w:rPr>
          <w:rFonts w:ascii="Perpetua" w:hAnsi="Perpetua"/>
        </w:rPr>
        <w:t xml:space="preserve">, </w:t>
      </w:r>
      <w:r w:rsidR="00335A3D">
        <w:rPr>
          <w:rFonts w:ascii="Perpetua" w:hAnsi="Perpetua"/>
        </w:rPr>
        <w:t>os tribunais marítimos, o</w:t>
      </w:r>
      <w:r w:rsidR="00C455A5">
        <w:rPr>
          <w:rFonts w:ascii="Perpetua" w:hAnsi="Perpetua"/>
        </w:rPr>
        <w:t>s tribunais de c</w:t>
      </w:r>
      <w:r w:rsidR="0080386E">
        <w:rPr>
          <w:rFonts w:ascii="Perpetua" w:hAnsi="Perpetua"/>
        </w:rPr>
        <w:t>onflitos</w:t>
      </w:r>
      <w:r w:rsidR="00335A3D">
        <w:rPr>
          <w:rFonts w:ascii="Perpetua" w:hAnsi="Perpetua"/>
        </w:rPr>
        <w:t xml:space="preserve"> e os julgados de paz</w:t>
      </w:r>
      <w:r w:rsidR="00335A3D">
        <w:rPr>
          <w:rStyle w:val="FootnoteReference"/>
          <w:rFonts w:ascii="Perpetua" w:hAnsi="Perpetua"/>
        </w:rPr>
        <w:footnoteReference w:id="22"/>
      </w:r>
      <w:r w:rsidR="0080386E">
        <w:rPr>
          <w:rFonts w:ascii="Perpetua" w:hAnsi="Perpetua"/>
        </w:rPr>
        <w:t xml:space="preserve">. O âmbito da nossa análise estará restringido </w:t>
      </w:r>
      <w:r w:rsidR="00C455A5">
        <w:rPr>
          <w:rFonts w:ascii="Perpetua" w:hAnsi="Perpetua"/>
        </w:rPr>
        <w:t>aos tribunais j</w:t>
      </w:r>
      <w:r w:rsidR="0080386E">
        <w:rPr>
          <w:rFonts w:ascii="Perpetua" w:hAnsi="Perpetua"/>
        </w:rPr>
        <w:t>udiciais</w:t>
      </w:r>
      <w:r w:rsidR="00A974C7">
        <w:rPr>
          <w:rFonts w:ascii="Perpetua" w:hAnsi="Perpetua"/>
        </w:rPr>
        <w:t xml:space="preserve">, o que chamaremos neste trabalho </w:t>
      </w:r>
      <w:r w:rsidR="00A751DF">
        <w:rPr>
          <w:rFonts w:ascii="Perpetua" w:hAnsi="Perpetua"/>
        </w:rPr>
        <w:t>«</w:t>
      </w:r>
      <w:r w:rsidR="00A974C7">
        <w:rPr>
          <w:rFonts w:ascii="Perpetua" w:hAnsi="Perpetua"/>
        </w:rPr>
        <w:t>sistema judicial</w:t>
      </w:r>
      <w:r w:rsidR="00A751DF">
        <w:rPr>
          <w:rFonts w:ascii="Perpetua" w:hAnsi="Perpetua"/>
        </w:rPr>
        <w:t>»</w:t>
      </w:r>
      <w:r w:rsidR="00C24988">
        <w:rPr>
          <w:rStyle w:val="FootnoteReference"/>
          <w:rFonts w:ascii="Perpetua" w:hAnsi="Perpetua"/>
        </w:rPr>
        <w:footnoteReference w:id="23"/>
      </w:r>
      <w:r w:rsidR="0080386E">
        <w:rPr>
          <w:rFonts w:ascii="Perpetua" w:hAnsi="Perpetua"/>
        </w:rPr>
        <w:t xml:space="preserve">. </w:t>
      </w:r>
      <w:r w:rsidR="002B481A">
        <w:rPr>
          <w:rFonts w:ascii="Perpetua" w:hAnsi="Perpetua"/>
        </w:rPr>
        <w:t>O sistema judicial está dividido</w:t>
      </w:r>
      <w:r w:rsidR="0080386E">
        <w:rPr>
          <w:rFonts w:ascii="Perpetua" w:hAnsi="Perpetua"/>
        </w:rPr>
        <w:t xml:space="preserve"> em três instâncias: a 1.ª instância, composta pelos </w:t>
      </w:r>
      <w:r w:rsidR="0080386E" w:rsidRPr="00A974C7">
        <w:rPr>
          <w:rFonts w:ascii="Perpetua" w:hAnsi="Perpetua"/>
        </w:rPr>
        <w:t>tribunais de 1.ª instância</w:t>
      </w:r>
      <w:r w:rsidR="0080386E">
        <w:rPr>
          <w:rFonts w:ascii="Perpetua" w:hAnsi="Perpetua"/>
        </w:rPr>
        <w:t xml:space="preserve">, a 2.ª instância, que integra os tribunais de Relação e, por fim, </w:t>
      </w:r>
      <w:r w:rsidR="00FB6C6C">
        <w:rPr>
          <w:rFonts w:ascii="Perpetua" w:hAnsi="Perpetua"/>
        </w:rPr>
        <w:t>o Supremo Tribunal de Justiça</w:t>
      </w:r>
      <w:r w:rsidR="00EA081D">
        <w:rPr>
          <w:rFonts w:ascii="Perpetua" w:hAnsi="Perpetua"/>
        </w:rPr>
        <w:t xml:space="preserve"> (STJ)</w:t>
      </w:r>
      <w:r w:rsidR="00FB6C6C">
        <w:rPr>
          <w:rFonts w:ascii="Perpetua" w:hAnsi="Perpetua"/>
        </w:rPr>
        <w:t>, que, entre outras funções, desempenha a de</w:t>
      </w:r>
      <w:r w:rsidR="0080386E">
        <w:rPr>
          <w:rFonts w:ascii="Perpetua" w:hAnsi="Perpetua"/>
        </w:rPr>
        <w:t xml:space="preserve"> 3.ª instância</w:t>
      </w:r>
      <w:r w:rsidR="00FB6C6C">
        <w:rPr>
          <w:rFonts w:ascii="Perpetua" w:hAnsi="Perpetua"/>
        </w:rPr>
        <w:t xml:space="preserve"> de resolução judicial</w:t>
      </w:r>
      <w:r w:rsidR="0080386E">
        <w:rPr>
          <w:rFonts w:ascii="Perpetua" w:hAnsi="Perpetua"/>
        </w:rPr>
        <w:t xml:space="preserve">. </w:t>
      </w:r>
      <w:r w:rsidR="00FB6C6C">
        <w:rPr>
          <w:rFonts w:ascii="Perpetua" w:hAnsi="Perpetua"/>
        </w:rPr>
        <w:t xml:space="preserve">Desse modo, </w:t>
      </w:r>
      <w:r w:rsidR="002B481A">
        <w:rPr>
          <w:rFonts w:ascii="Perpetua" w:hAnsi="Perpetua"/>
        </w:rPr>
        <w:t>o</w:t>
      </w:r>
      <w:r w:rsidR="00FB6C6C">
        <w:rPr>
          <w:rFonts w:ascii="Perpetua" w:hAnsi="Perpetua"/>
        </w:rPr>
        <w:t xml:space="preserve"> </w:t>
      </w:r>
      <w:r w:rsidR="0080386E">
        <w:rPr>
          <w:rFonts w:ascii="Perpetua" w:hAnsi="Perpetua"/>
        </w:rPr>
        <w:t xml:space="preserve">STJ </w:t>
      </w:r>
      <w:r w:rsidR="00FB6C6C">
        <w:rPr>
          <w:rFonts w:ascii="Perpetua" w:hAnsi="Perpetua"/>
        </w:rPr>
        <w:t>pronuncia-se sobre as decisões dos tribunais d</w:t>
      </w:r>
      <w:r w:rsidR="0080386E">
        <w:rPr>
          <w:rFonts w:ascii="Perpetua" w:hAnsi="Perpetua"/>
        </w:rPr>
        <w:t xml:space="preserve">e </w:t>
      </w:r>
      <w:r w:rsidR="00FB6C6C">
        <w:rPr>
          <w:rFonts w:ascii="Perpetua" w:hAnsi="Perpetua"/>
        </w:rPr>
        <w:t xml:space="preserve">1.ª e 2.ª instância, os Tribunais de </w:t>
      </w:r>
      <w:r w:rsidR="0080386E">
        <w:rPr>
          <w:rFonts w:ascii="Perpetua" w:hAnsi="Perpetua"/>
        </w:rPr>
        <w:t>Relação</w:t>
      </w:r>
      <w:r w:rsidR="00FB6C6C">
        <w:rPr>
          <w:rFonts w:ascii="Perpetua" w:hAnsi="Perpetua"/>
        </w:rPr>
        <w:t xml:space="preserve"> </w:t>
      </w:r>
      <w:r w:rsidR="0080386E">
        <w:rPr>
          <w:rFonts w:ascii="Perpetua" w:hAnsi="Perpetua"/>
        </w:rPr>
        <w:t>pronuncia</w:t>
      </w:r>
      <w:r w:rsidR="00FB6C6C">
        <w:rPr>
          <w:rFonts w:ascii="Perpetua" w:hAnsi="Perpetua"/>
        </w:rPr>
        <w:t>m</w:t>
      </w:r>
      <w:r w:rsidR="0080386E">
        <w:rPr>
          <w:rFonts w:ascii="Perpetua" w:hAnsi="Perpetua"/>
        </w:rPr>
        <w:t xml:space="preserve">-se sobre recursos das decisões dos tribunais judiciais de 1.ª instância, enquanto os tribunais de 1ª instância </w:t>
      </w:r>
      <w:r w:rsidR="00FB6C6C">
        <w:rPr>
          <w:rFonts w:ascii="Perpetua" w:hAnsi="Perpetua"/>
        </w:rPr>
        <w:t xml:space="preserve">apreciam pedidos apresentados </w:t>
      </w:r>
      <w:r w:rsidR="0080386E">
        <w:rPr>
          <w:rFonts w:ascii="Perpetua" w:hAnsi="Perpetua"/>
        </w:rPr>
        <w:t>em primeira instância.</w:t>
      </w:r>
    </w:p>
    <w:p w:rsidR="0080386E" w:rsidRDefault="0080386E" w:rsidP="0080386E">
      <w:pPr>
        <w:spacing w:line="360" w:lineRule="auto"/>
        <w:jc w:val="both"/>
        <w:rPr>
          <w:rFonts w:ascii="Perpetua" w:hAnsi="Perpetua"/>
        </w:rPr>
      </w:pPr>
      <w:r>
        <w:rPr>
          <w:rFonts w:ascii="Perpetua" w:hAnsi="Perpetua"/>
        </w:rPr>
        <w:t xml:space="preserve">   </w:t>
      </w:r>
    </w:p>
    <w:p w:rsidR="0080386E" w:rsidRDefault="00D14731" w:rsidP="00D14731">
      <w:pPr>
        <w:pStyle w:val="Caption"/>
        <w:jc w:val="center"/>
        <w:rPr>
          <w:rFonts w:ascii="Perpetua" w:hAnsi="Perpetua"/>
        </w:rPr>
      </w:pPr>
      <w:bookmarkStart w:id="24" w:name="_Toc215081910"/>
      <w:r w:rsidRPr="00D14731">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0080386E" w:rsidRPr="00D14731">
        <w:rPr>
          <w:rFonts w:ascii="Perpetua" w:hAnsi="Perpetua"/>
        </w:rPr>
        <w:t xml:space="preserve"> – Organograma do sistema judicial português</w:t>
      </w:r>
      <w:bookmarkEnd w:id="24"/>
    </w:p>
    <w:p w:rsidR="003F04AC" w:rsidRDefault="003F04AC" w:rsidP="003F04AC"/>
    <w:p w:rsidR="00B0366A" w:rsidRDefault="00B0366A" w:rsidP="00B0366A">
      <w:pPr>
        <w:jc w:val="center"/>
      </w:pPr>
      <w:r>
        <w:object w:dxaOrig="7419" w:dyaOrig="65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2pt;height:327pt" o:ole="">
            <v:imagedata r:id="rId8" o:title=""/>
          </v:shape>
          <o:OLEObject Type="Embed" ProgID="Visio.Drawing.11" ShapeID="_x0000_i1025" DrawAspect="Content" ObjectID="_1294230242" r:id="rId9"/>
        </w:object>
      </w:r>
    </w:p>
    <w:p w:rsidR="00B0366A" w:rsidRDefault="00B0366A" w:rsidP="003F04AC"/>
    <w:p w:rsidR="0080386E" w:rsidRPr="00C15979" w:rsidRDefault="0080386E" w:rsidP="0080386E">
      <w:pPr>
        <w:pStyle w:val="Caption"/>
        <w:jc w:val="center"/>
        <w:rPr>
          <w:rFonts w:ascii="Perpetua" w:hAnsi="Perpetua"/>
          <w:b w:val="0"/>
        </w:rPr>
      </w:pPr>
      <w:r w:rsidRPr="00C15979">
        <w:rPr>
          <w:rFonts w:ascii="Perpetua" w:hAnsi="Perpetua"/>
          <w:b w:val="0"/>
        </w:rPr>
        <w:t xml:space="preserve">Fonte: </w:t>
      </w:r>
      <w:r w:rsidR="007B1EAA">
        <w:rPr>
          <w:rFonts w:ascii="Perpetua" w:hAnsi="Perpetua"/>
          <w:b w:val="0"/>
        </w:rPr>
        <w:t>Adaptado de Conselho Superior da</w:t>
      </w:r>
      <w:r w:rsidRPr="00C15979">
        <w:rPr>
          <w:rFonts w:ascii="Perpetua" w:hAnsi="Perpetua"/>
          <w:b w:val="0"/>
        </w:rPr>
        <w:t xml:space="preserve"> Magistratura</w:t>
      </w:r>
      <w:r w:rsidR="00C24988">
        <w:rPr>
          <w:rStyle w:val="FootnoteReference"/>
          <w:rFonts w:ascii="Perpetua" w:hAnsi="Perpetua"/>
          <w:b w:val="0"/>
        </w:rPr>
        <w:footnoteReference w:id="24"/>
      </w:r>
      <w:r w:rsidRPr="00C15979">
        <w:rPr>
          <w:rFonts w:ascii="Perpetua" w:hAnsi="Perpetua"/>
          <w:b w:val="0"/>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Os tribunais de 1ª instância, em número muito superior, são responsáveis pela maior parte do movimento processual do sistema judicial e podem subdividir-se em juízos. Os tribunais de 1.ª instância e respectivos juízos estão organizados em função das suas competências material e territorial. Em geral, a competência material é atribuída ao tribunal, porém, em tribunais de maior dimensão a competência pode ser atribuída também aos juízos</w:t>
      </w:r>
      <w:r>
        <w:rPr>
          <w:rStyle w:val="FootnoteReference"/>
          <w:rFonts w:ascii="Perpetua" w:hAnsi="Perpetua"/>
        </w:rPr>
        <w:footnoteReference w:id="25"/>
      </w:r>
      <w:r>
        <w:rPr>
          <w:rFonts w:ascii="Perpetua" w:hAnsi="Perpetua"/>
        </w:rPr>
        <w:t xml:space="preserve">. A competência territorial é atribuída com base na unidade territorial mínima da organização do sistema judicial, a comarca. As comarcas são compostas por freguesias </w:t>
      </w:r>
      <w:r w:rsidR="007B1EAA">
        <w:rPr>
          <w:rFonts w:ascii="Perpetua" w:hAnsi="Perpetua"/>
        </w:rPr>
        <w:t>que</w:t>
      </w:r>
      <w:r>
        <w:rPr>
          <w:rFonts w:ascii="Perpetua" w:hAnsi="Perpetua"/>
        </w:rPr>
        <w:t>, por razões históricas, não coincidem com as que compõem as unidades primaciais da divisão administrativa do Estado português, os concelhos. As comarcas, por sua vez, agregam-se em círculos judiciais e, por fim, os círculos judiciais agregam-</w:t>
      </w:r>
      <w:r w:rsidR="007B1EAA">
        <w:rPr>
          <w:rFonts w:ascii="Perpetua" w:hAnsi="Perpetua"/>
        </w:rPr>
        <w:t>se em quatro</w:t>
      </w:r>
      <w:r>
        <w:rPr>
          <w:rFonts w:ascii="Perpetua" w:hAnsi="Perpetua"/>
        </w:rPr>
        <w:t xml:space="preserve"> distritos judiciais (Coimbra, Évora, Lisboa e Porto). A maior parte dos tribunais de 1.ª instância são tribunais de comarca, ou seja, tribunais com competência territorial para a comarca onde estão instalados</w:t>
      </w:r>
      <w:r>
        <w:rPr>
          <w:rStyle w:val="FootnoteReference"/>
          <w:rFonts w:ascii="Perpetua" w:hAnsi="Perpetua"/>
        </w:rPr>
        <w:footnoteReference w:id="26"/>
      </w:r>
      <w:r>
        <w:rPr>
          <w:rFonts w:ascii="Perpetua" w:hAnsi="Perpetua"/>
        </w:rPr>
        <w:t>. No que concerne à competência material, distinguem-se três tipos de competência: genérica, especializada e específica. A competência genérica consiste na atribuição da competência para dirimir todo o tipo de litígios. A competência genérica é limitada pela atribuição de competência específica ou especializada a um outro tribunal</w:t>
      </w:r>
      <w:r w:rsidR="008966B6">
        <w:rPr>
          <w:rFonts w:ascii="Perpetua" w:hAnsi="Perpetua"/>
        </w:rPr>
        <w:t>/juízo</w:t>
      </w:r>
      <w:r>
        <w:rPr>
          <w:rFonts w:ascii="Perpetua" w:hAnsi="Perpetua"/>
        </w:rPr>
        <w:t xml:space="preserve"> com competência territorial na mesma comarca. A competência específica consiste na atribuição a um ou mais tribunais de comarca da competência para dirimir certas categorias de litígios em função da sua forma e matéria processual</w:t>
      </w:r>
      <w:r>
        <w:rPr>
          <w:rStyle w:val="FootnoteReference"/>
          <w:rFonts w:ascii="Perpetua" w:hAnsi="Perpetua"/>
        </w:rPr>
        <w:footnoteReference w:id="27"/>
      </w:r>
      <w:r>
        <w:rPr>
          <w:rFonts w:ascii="Perpetua" w:hAnsi="Perpetua"/>
        </w:rPr>
        <w:t>. Por fim, a competência especializada consiste na atribuição exclusiva a um tribunal da competência para dirimir certas categorias de litígios em função da sua matéria</w:t>
      </w:r>
      <w:r>
        <w:rPr>
          <w:rStyle w:val="FootnoteReference"/>
          <w:rFonts w:ascii="Perpetua" w:hAnsi="Perpetua"/>
        </w:rPr>
        <w:footnoteReference w:id="28"/>
      </w:r>
      <w:r>
        <w:rPr>
          <w:rFonts w:ascii="Perpetua" w:hAnsi="Perpetua"/>
        </w:rPr>
        <w:t xml:space="preserve"> numa ou mais comarcas. Por regra, os tribunais de comarca e os tribunais de competência específica têm competência apenas na comarca onde estão localizados, enquanto a competência territorial dos tribunais </w:t>
      </w:r>
      <w:r w:rsidRPr="001248F9">
        <w:rPr>
          <w:rFonts w:ascii="Perpetua" w:hAnsi="Perpetua"/>
        </w:rPr>
        <w:t>de competência especializada</w:t>
      </w:r>
      <w:r>
        <w:rPr>
          <w:rFonts w:ascii="Perpetua" w:hAnsi="Perpetua"/>
        </w:rPr>
        <w:t xml:space="preserve"> </w:t>
      </w:r>
      <w:r w:rsidR="00C15979">
        <w:rPr>
          <w:rFonts w:ascii="Perpetua" w:hAnsi="Perpetua"/>
        </w:rPr>
        <w:t>costuma</w:t>
      </w:r>
      <w:r>
        <w:rPr>
          <w:rFonts w:ascii="Perpetua" w:hAnsi="Perpetua"/>
        </w:rPr>
        <w:t xml:space="preserve"> compreender </w:t>
      </w:r>
      <w:r w:rsidRPr="001248F9">
        <w:rPr>
          <w:rFonts w:ascii="Perpetua" w:hAnsi="Perpetua"/>
        </w:rPr>
        <w:t>várias comarcas.</w:t>
      </w:r>
      <w:r>
        <w:rPr>
          <w:rFonts w:ascii="Perpetua" w:hAnsi="Perpetua"/>
        </w:rPr>
        <w:t xml:space="preserve"> </w:t>
      </w:r>
      <w:r w:rsidR="008966B6">
        <w:rPr>
          <w:rFonts w:ascii="Perpetua" w:hAnsi="Perpetua"/>
        </w:rPr>
        <w:t xml:space="preserve">A </w:t>
      </w:r>
      <w:r>
        <w:rPr>
          <w:rFonts w:ascii="Perpetua" w:hAnsi="Perpetua"/>
        </w:rPr>
        <w:t>lógica subjacente à criação de tribunais de competência específica numa comarca (Lisboa, Porto</w:t>
      </w:r>
      <w:r w:rsidR="008932FB">
        <w:rPr>
          <w:rFonts w:ascii="Perpetua" w:hAnsi="Perpetua"/>
        </w:rPr>
        <w:t>,</w:t>
      </w:r>
      <w:r>
        <w:rPr>
          <w:rFonts w:ascii="Perpetua" w:hAnsi="Perpetua"/>
        </w:rPr>
        <w:t xml:space="preserve"> etc.) é ajustar a oferta judiciária de 1ª instância a um elevado volume de litigação ou quando a </w:t>
      </w:r>
      <w:r w:rsidR="008966B6">
        <w:rPr>
          <w:rFonts w:ascii="Perpetua" w:hAnsi="Perpetua"/>
        </w:rPr>
        <w:t>litigação apresenta um perfil especial</w:t>
      </w:r>
      <w:r>
        <w:rPr>
          <w:rFonts w:ascii="Perpetua" w:hAnsi="Perpetua"/>
        </w:rPr>
        <w:t>.</w:t>
      </w:r>
    </w:p>
    <w:p w:rsidR="0080386E" w:rsidRDefault="0080386E" w:rsidP="0080386E">
      <w:pPr>
        <w:spacing w:line="360" w:lineRule="auto"/>
        <w:jc w:val="both"/>
        <w:rPr>
          <w:rFonts w:ascii="Perpetua" w:hAnsi="Perpetua"/>
        </w:rPr>
      </w:pPr>
    </w:p>
    <w:p w:rsidR="0080386E" w:rsidRDefault="0080386E" w:rsidP="0080386E">
      <w:pPr>
        <w:tabs>
          <w:tab w:val="left" w:pos="6225"/>
        </w:tabs>
        <w:spacing w:line="360" w:lineRule="auto"/>
        <w:jc w:val="both"/>
        <w:rPr>
          <w:rFonts w:ascii="Perpetua" w:hAnsi="Perpetua"/>
        </w:rPr>
      </w:pPr>
      <w:r>
        <w:rPr>
          <w:rFonts w:ascii="Perpetua" w:hAnsi="Perpetua"/>
        </w:rPr>
        <w:t>No que respeita à caracterização dos tribunais de 1.ª instância, a interacção entre as competências territorial e material permite identificar três grupos de tribunais:</w:t>
      </w:r>
      <w:r w:rsidRPr="002D61C2">
        <w:rPr>
          <w:rFonts w:ascii="Perpetua" w:hAnsi="Perpetua"/>
        </w:rPr>
        <w:t xml:space="preserve"> </w:t>
      </w:r>
      <w:r>
        <w:rPr>
          <w:rFonts w:ascii="Perpetua" w:hAnsi="Perpetua"/>
        </w:rPr>
        <w:t>os tribunais de comarca de competência específica (varas, juízos e tribunais de pequena instância da área cível, criminal ou de ambas) instalados em comarcas urbanizadas e populosas do Litoral (Lisboa, Porto, Braga, Setúbal</w:t>
      </w:r>
      <w:r w:rsidR="008932FB">
        <w:rPr>
          <w:rFonts w:ascii="Perpetua" w:hAnsi="Perpetua"/>
        </w:rPr>
        <w:t>,</w:t>
      </w:r>
      <w:r>
        <w:rPr>
          <w:rFonts w:ascii="Perpetua" w:hAnsi="Perpetua"/>
        </w:rPr>
        <w:t xml:space="preserve"> etc.) e que substituem os tribunais de competência genérica</w:t>
      </w:r>
      <w:r w:rsidRPr="002D61C2">
        <w:rPr>
          <w:rFonts w:ascii="Perpetua" w:hAnsi="Perpetua"/>
        </w:rPr>
        <w:t xml:space="preserve"> </w:t>
      </w:r>
      <w:r>
        <w:rPr>
          <w:rFonts w:ascii="Perpetua" w:hAnsi="Perpetua"/>
        </w:rPr>
        <w:t>da respectiva comarca; os tribunais de comarca de competência genérica instalados nas restantes comarcas do País; e os tribunais de competência especializada</w:t>
      </w:r>
      <w:r w:rsidRPr="002D61C2">
        <w:rPr>
          <w:rFonts w:ascii="Perpetua" w:hAnsi="Perpetua"/>
        </w:rPr>
        <w:t xml:space="preserve"> </w:t>
      </w:r>
      <w:r>
        <w:rPr>
          <w:rFonts w:ascii="Perpetua" w:hAnsi="Perpetua"/>
        </w:rPr>
        <w:t>com competência para várias comarcas (tribunais de Trabalho, de Família e Menores</w:t>
      </w:r>
      <w:r w:rsidR="008932FB">
        <w:rPr>
          <w:rFonts w:ascii="Perpetua" w:hAnsi="Perpetua"/>
        </w:rPr>
        <w:t>,</w:t>
      </w:r>
      <w:r>
        <w:rPr>
          <w:rFonts w:ascii="Perpetua" w:hAnsi="Perpetua"/>
        </w:rPr>
        <w:t xml:space="preserve"> etc.)</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Quanto aos tribunais superiores, o S</w:t>
      </w:r>
      <w:r w:rsidR="004165D5">
        <w:rPr>
          <w:rFonts w:ascii="Perpetua" w:hAnsi="Perpetua"/>
        </w:rPr>
        <w:t>T</w:t>
      </w:r>
      <w:r>
        <w:rPr>
          <w:rFonts w:ascii="Perpetua" w:hAnsi="Perpetua"/>
        </w:rPr>
        <w:t>J</w:t>
      </w:r>
      <w:r w:rsidR="00B0366A">
        <w:rPr>
          <w:rFonts w:ascii="Perpetua" w:hAnsi="Perpetua"/>
        </w:rPr>
        <w:t xml:space="preserve"> </w:t>
      </w:r>
      <w:r>
        <w:rPr>
          <w:rFonts w:ascii="Perpetua" w:hAnsi="Perpetua"/>
        </w:rPr>
        <w:t>tem competência territorial sobre todo o País e está subdividido em secções que julgam em razão da matéria. Os tribunais da 2.ª instância subdi</w:t>
      </w:r>
      <w:r w:rsidR="00B0366A">
        <w:rPr>
          <w:rFonts w:ascii="Perpetua" w:hAnsi="Perpetua"/>
        </w:rPr>
        <w:t>videm</w:t>
      </w:r>
      <w:r>
        <w:rPr>
          <w:rFonts w:ascii="Perpetua" w:hAnsi="Perpetua"/>
        </w:rPr>
        <w:t>-se em secções especializadas em razão das matérias das acções e distribuem-se no território em função dos distritos judiciais, podendo cada distrito judicial ter um ou mais Tribunais de Relação. Para o período analisado o n</w:t>
      </w:r>
      <w:r w:rsidR="008966B6">
        <w:rPr>
          <w:rFonts w:ascii="Perpetua" w:hAnsi="Perpetua"/>
        </w:rPr>
        <w:t xml:space="preserve">úmero </w:t>
      </w:r>
      <w:r>
        <w:rPr>
          <w:rFonts w:ascii="Perpetua" w:hAnsi="Perpetua"/>
        </w:rPr>
        <w:t xml:space="preserve">de tribunais de Relação </w:t>
      </w:r>
      <w:r w:rsidR="008966B6">
        <w:rPr>
          <w:rFonts w:ascii="Perpetua" w:hAnsi="Perpetua"/>
        </w:rPr>
        <w:t>é d</w:t>
      </w:r>
      <w:r>
        <w:rPr>
          <w:rFonts w:ascii="Perpetua" w:hAnsi="Perpetua"/>
        </w:rPr>
        <w:t>e 4 (Tribunais de Relação de Coimbra, Évora, Lisboa e Porto) até 2002, ano da criação do Tribunal de Relação de Guimarães, mantendo-se nos 5 de aí em diante.</w:t>
      </w:r>
    </w:p>
    <w:p w:rsidR="0080386E" w:rsidRDefault="0080386E" w:rsidP="0080386E">
      <w:pPr>
        <w:spacing w:line="360" w:lineRule="auto"/>
        <w:jc w:val="both"/>
        <w:rPr>
          <w:rFonts w:ascii="Perpetua" w:hAnsi="Perpetua"/>
        </w:rPr>
      </w:pPr>
    </w:p>
    <w:p w:rsidR="0080386E" w:rsidRDefault="00D14731" w:rsidP="00D14731">
      <w:pPr>
        <w:pStyle w:val="Caption"/>
        <w:jc w:val="center"/>
        <w:rPr>
          <w:rFonts w:ascii="Perpetua" w:hAnsi="Perpetua"/>
        </w:rPr>
      </w:pPr>
      <w:bookmarkStart w:id="25" w:name="_Toc215081911"/>
      <w:r w:rsidRPr="00D14731">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 xml:space="preserve"> </w:t>
      </w:r>
      <w:r w:rsidR="0080386E" w:rsidRPr="00D14731">
        <w:rPr>
          <w:rFonts w:ascii="Perpetua" w:hAnsi="Perpetua"/>
        </w:rPr>
        <w:t>– Organograma dos tribunais judiciais de 1.ª instância</w:t>
      </w:r>
      <w:bookmarkEnd w:id="25"/>
    </w:p>
    <w:p w:rsidR="001F0D7F" w:rsidRDefault="001F0D7F" w:rsidP="001F0D7F"/>
    <w:p w:rsidR="001F0D7F" w:rsidRPr="001F0D7F" w:rsidRDefault="001F0D7F" w:rsidP="001F0D7F">
      <w:r>
        <w:object w:dxaOrig="8361" w:dyaOrig="11044">
          <v:shape id="_x0000_i1026" type="#_x0000_t75" style="width:417pt;height:552pt" o:ole="">
            <v:imagedata r:id="rId10" o:title=""/>
          </v:shape>
          <o:OLEObject Type="Embed" ProgID="Visio.Drawing.11" ShapeID="_x0000_i1026" DrawAspect="Content" ObjectID="_1294230243" r:id="rId11"/>
        </w:object>
      </w:r>
    </w:p>
    <w:p w:rsidR="001F0D7F" w:rsidRDefault="001F0D7F" w:rsidP="0080386E">
      <w:pPr>
        <w:pStyle w:val="Caption"/>
        <w:jc w:val="center"/>
        <w:rPr>
          <w:rFonts w:ascii="Perpetua" w:hAnsi="Perpetua"/>
          <w:b w:val="0"/>
        </w:rPr>
      </w:pPr>
    </w:p>
    <w:p w:rsidR="0080386E" w:rsidRPr="00C15979" w:rsidRDefault="0080386E" w:rsidP="0080386E">
      <w:pPr>
        <w:pStyle w:val="Caption"/>
        <w:jc w:val="center"/>
        <w:rPr>
          <w:rFonts w:ascii="Perpetua" w:hAnsi="Perpetua"/>
          <w:b w:val="0"/>
        </w:rPr>
      </w:pPr>
      <w:r w:rsidRPr="00C15979">
        <w:rPr>
          <w:rFonts w:ascii="Perpetua" w:hAnsi="Perpetua"/>
          <w:b w:val="0"/>
        </w:rPr>
        <w:t xml:space="preserve">Fonte: </w:t>
      </w:r>
      <w:r w:rsidR="004165D5">
        <w:rPr>
          <w:rFonts w:ascii="Perpetua" w:hAnsi="Perpetua"/>
          <w:b w:val="0"/>
        </w:rPr>
        <w:t>Adaptado de Conselho Superior da</w:t>
      </w:r>
      <w:r w:rsidRPr="00C15979">
        <w:rPr>
          <w:rFonts w:ascii="Perpetua" w:hAnsi="Perpetua"/>
          <w:b w:val="0"/>
        </w:rPr>
        <w:t xml:space="preserve"> Magistratura.</w:t>
      </w:r>
    </w:p>
    <w:p w:rsidR="0080386E" w:rsidRDefault="0080386E" w:rsidP="0080386E">
      <w:pPr>
        <w:pStyle w:val="Caption"/>
        <w:jc w:val="both"/>
        <w:rPr>
          <w:rFonts w:ascii="Perpetua" w:hAnsi="Perpetua"/>
        </w:rPr>
      </w:pPr>
    </w:p>
    <w:p w:rsidR="0080386E" w:rsidRPr="00A66E20" w:rsidRDefault="000043AA" w:rsidP="00A66E20">
      <w:pPr>
        <w:pStyle w:val="Heading2"/>
      </w:pPr>
      <w:bookmarkStart w:id="26" w:name="_Toc206652053"/>
      <w:bookmarkStart w:id="27" w:name="_Toc220484454"/>
      <w:r>
        <w:t>2</w:t>
      </w:r>
      <w:r w:rsidRPr="00A66E20">
        <w:t xml:space="preserve">.3. </w:t>
      </w:r>
      <w:r w:rsidR="0080386E" w:rsidRPr="00A66E20">
        <w:t>Evolução do sistema judicial no período 1991</w:t>
      </w:r>
      <w:r w:rsidR="00420EEE">
        <w:t>-</w:t>
      </w:r>
      <w:r w:rsidR="0080386E" w:rsidRPr="00A66E20">
        <w:t>2006</w:t>
      </w:r>
      <w:bookmarkEnd w:id="26"/>
      <w:bookmarkEnd w:id="27"/>
    </w:p>
    <w:p w:rsidR="0080386E" w:rsidRDefault="0080386E" w:rsidP="0080386E">
      <w:pPr>
        <w:spacing w:line="360" w:lineRule="auto"/>
        <w:jc w:val="both"/>
        <w:rPr>
          <w:rFonts w:ascii="Perpetua" w:hAnsi="Perpetua"/>
        </w:rPr>
      </w:pPr>
    </w:p>
    <w:p w:rsidR="0080386E" w:rsidRPr="00A66E20" w:rsidRDefault="000043AA" w:rsidP="004B7547">
      <w:pPr>
        <w:pStyle w:val="Heading3"/>
      </w:pPr>
      <w:bookmarkStart w:id="28" w:name="_Toc206652054"/>
      <w:bookmarkStart w:id="29" w:name="_Toc220484455"/>
      <w:r w:rsidRPr="00A66E20">
        <w:t xml:space="preserve">2.3.1. </w:t>
      </w:r>
      <w:r w:rsidR="0080386E" w:rsidRPr="00A66E20">
        <w:t>Tribunais</w:t>
      </w:r>
      <w:r w:rsidR="0080386E" w:rsidRPr="00A66E20">
        <w:rPr>
          <w:rStyle w:val="FootnoteReference"/>
          <w:bCs w:val="0"/>
        </w:rPr>
        <w:footnoteReference w:id="29"/>
      </w:r>
      <w:bookmarkEnd w:id="28"/>
      <w:bookmarkEnd w:id="29"/>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De 1990 a 2005</w:t>
      </w:r>
      <w:r w:rsidR="00EA081D">
        <w:rPr>
          <w:rFonts w:ascii="Perpetua" w:hAnsi="Perpetua"/>
        </w:rPr>
        <w:t>,</w:t>
      </w:r>
      <w:r>
        <w:rPr>
          <w:rFonts w:ascii="Perpetua" w:hAnsi="Perpetua"/>
        </w:rPr>
        <w:t xml:space="preserve"> a organização do sistema judicial</w:t>
      </w:r>
      <w:r w:rsidR="00C15979" w:rsidRPr="00C15979">
        <w:rPr>
          <w:rFonts w:ascii="Perpetua" w:hAnsi="Perpetua"/>
        </w:rPr>
        <w:t xml:space="preserve"> </w:t>
      </w:r>
      <w:r w:rsidR="00C15979">
        <w:rPr>
          <w:rFonts w:ascii="Perpetua" w:hAnsi="Perpetua"/>
        </w:rPr>
        <w:t>sofreu poucas alterações</w:t>
      </w:r>
      <w:r>
        <w:rPr>
          <w:rFonts w:ascii="Perpetua" w:hAnsi="Perpetua"/>
        </w:rPr>
        <w:t xml:space="preserve"> </w:t>
      </w:r>
      <w:r w:rsidR="00C15979">
        <w:rPr>
          <w:rFonts w:ascii="Perpetua" w:hAnsi="Perpetua"/>
        </w:rPr>
        <w:t xml:space="preserve">em termos de </w:t>
      </w:r>
      <w:r>
        <w:rPr>
          <w:rFonts w:ascii="Perpetua" w:hAnsi="Perpetua"/>
        </w:rPr>
        <w:t>quantidade, composição</w:t>
      </w:r>
      <w:r w:rsidR="00366942">
        <w:rPr>
          <w:rFonts w:ascii="Perpetua" w:hAnsi="Perpetua"/>
        </w:rPr>
        <w:t xml:space="preserve"> e especialização dos tribunais</w:t>
      </w:r>
      <w:r>
        <w:rPr>
          <w:rFonts w:ascii="Perpetua" w:hAnsi="Perpetua"/>
        </w:rPr>
        <w:t>. No que respeita aos tribunais superiores registou-se apenas uma alteração, através da criação do Tribunal de Relação de Guimarães em 2002. Quanto aos tribunais de 1.ª instância, registou-se um ligeiro aumento no número de tribunais (eram 320 em 1990, e 329 em 2005), sendo de assinalar um aumento relativo dos tribunais de competência especializada/específica a partir de 1998. No essencial, a estrutura organizacional adaptou-se às mutações da organização territorial do sistema judicial, tendo-se verificado um aumento do número das comarcas de 223, em 1991, para 233, em 2004, e dos círculos, de 49, em 1991, para 58, em 2004</w:t>
      </w:r>
      <w:r>
        <w:rPr>
          <w:rStyle w:val="FootnoteReference"/>
          <w:rFonts w:ascii="Perpetua" w:hAnsi="Perpetua"/>
        </w:rPr>
        <w:footnoteReference w:id="30"/>
      </w:r>
      <w:r>
        <w:rPr>
          <w:rFonts w:ascii="Perpetua" w:hAnsi="Perpetua"/>
        </w:rPr>
        <w:t xml:space="preserve">. </w:t>
      </w:r>
    </w:p>
    <w:p w:rsidR="0080386E" w:rsidRPr="003B4AE8" w:rsidRDefault="0080386E" w:rsidP="003B4AE8">
      <w:pPr>
        <w:pStyle w:val="Caption"/>
        <w:keepNext/>
        <w:jc w:val="both"/>
        <w:rPr>
          <w:rFonts w:ascii="Perpetua" w:hAnsi="Perpetua"/>
        </w:rPr>
      </w:pPr>
    </w:p>
    <w:p w:rsidR="00366942" w:rsidRPr="003B4AE8" w:rsidRDefault="00366942" w:rsidP="00366942">
      <w:pPr>
        <w:rPr>
          <w:rFonts w:ascii="Perpetua" w:hAnsi="Perpetua"/>
        </w:rPr>
      </w:pPr>
    </w:p>
    <w:p w:rsidR="0080386E" w:rsidRPr="00A023D8" w:rsidRDefault="00A023D8" w:rsidP="00A023D8">
      <w:pPr>
        <w:pStyle w:val="Caption"/>
        <w:jc w:val="center"/>
        <w:rPr>
          <w:rFonts w:ascii="Perpetua" w:hAnsi="Perpetua"/>
        </w:rPr>
      </w:pPr>
      <w:bookmarkStart w:id="30" w:name="_Toc215081919"/>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0080386E" w:rsidRPr="00A023D8">
        <w:rPr>
          <w:rFonts w:ascii="Perpetua" w:hAnsi="Perpetua"/>
        </w:rPr>
        <w:t xml:space="preserve"> – Peso relativo (%) dos tribunais de 1.ª, 2.ª e </w:t>
      </w:r>
      <w:r w:rsidR="00EA081D">
        <w:rPr>
          <w:rFonts w:ascii="Perpetua" w:hAnsi="Perpetua"/>
        </w:rPr>
        <w:t xml:space="preserve">da 3.ª </w:t>
      </w:r>
      <w:r w:rsidR="0080386E" w:rsidRPr="00A023D8">
        <w:rPr>
          <w:rFonts w:ascii="Perpetua" w:hAnsi="Perpetua"/>
        </w:rPr>
        <w:t>instâncias</w:t>
      </w:r>
      <w:r w:rsidR="00EA081D">
        <w:rPr>
          <w:rFonts w:ascii="Perpetua" w:hAnsi="Perpetua"/>
        </w:rPr>
        <w:t xml:space="preserve"> (STJ)</w:t>
      </w:r>
      <w:r w:rsidR="0080386E" w:rsidRPr="00A023D8">
        <w:rPr>
          <w:rFonts w:ascii="Perpetua" w:hAnsi="Perpetua"/>
        </w:rPr>
        <w:t xml:space="preserve"> no total de tribunais do sistema judicial</w:t>
      </w:r>
      <w:bookmarkEnd w:id="30"/>
    </w:p>
    <w:p w:rsidR="0080386E" w:rsidRDefault="006220F9" w:rsidP="0080386E">
      <w:pPr>
        <w:keepNext/>
        <w:jc w:val="center"/>
      </w:pPr>
      <w:r>
        <w:rPr>
          <w:noProof/>
        </w:rPr>
        <w:object w:dxaOrig="7655" w:dyaOrig="4839">
          <v:shape id="_x0000_i1027" type="#_x0000_t75" style="width:382pt;height:241pt" o:ole="">
            <v:imagedata r:id="rId12" o:title=""/>
          </v:shape>
          <o:OLEObject Type="Embed" ProgID="Excel.Sheet.12" ShapeID="_x0000_i1027" DrawAspect="Content" ObjectID="_1294230244" r:id="rId13"/>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 INE</w:t>
      </w:r>
      <w:r w:rsidR="00EC3260">
        <w:rPr>
          <w:rFonts w:ascii="Perpetua" w:hAnsi="Perpetua"/>
          <w:b w:val="0"/>
          <w:sz w:val="18"/>
          <w:szCs w:val="18"/>
        </w:rPr>
        <w:t xml:space="preserve"> e cálculos próprios.</w:t>
      </w:r>
    </w:p>
    <w:p w:rsidR="0080386E" w:rsidRDefault="0080386E" w:rsidP="0080386E">
      <w:pPr>
        <w:spacing w:line="360" w:lineRule="auto"/>
        <w:jc w:val="both"/>
        <w:rPr>
          <w:rFonts w:ascii="Perpetua" w:hAnsi="Perpetua"/>
        </w:rPr>
      </w:pPr>
    </w:p>
    <w:p w:rsidR="0080386E" w:rsidRPr="0080386E" w:rsidRDefault="000043AA" w:rsidP="004B7547">
      <w:pPr>
        <w:pStyle w:val="Heading3"/>
      </w:pPr>
      <w:bookmarkStart w:id="31" w:name="_Toc206652055"/>
      <w:bookmarkStart w:id="32" w:name="_Toc220484456"/>
      <w:r>
        <w:t xml:space="preserve">2.3.2. </w:t>
      </w:r>
      <w:r w:rsidR="0080386E" w:rsidRPr="0080386E">
        <w:t>Procura e oferta de serviços judiciais</w:t>
      </w:r>
      <w:bookmarkEnd w:id="31"/>
      <w:bookmarkEnd w:id="32"/>
      <w:r w:rsidR="0080386E" w:rsidRPr="0080386E">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Ao longo do período 1991-2006, verificou-se um desajustamento progressivo da oferta de serviços judiciais</w:t>
      </w:r>
      <w:r w:rsidR="00366942">
        <w:rPr>
          <w:rFonts w:ascii="Perpetua" w:hAnsi="Perpetua"/>
        </w:rPr>
        <w:t xml:space="preserve"> (volume de processos findos </w:t>
      </w:r>
      <w:r w:rsidR="00B60517">
        <w:rPr>
          <w:rFonts w:ascii="Perpetua" w:hAnsi="Perpetua"/>
        </w:rPr>
        <w:t>no ano por 10.000 habitantes</w:t>
      </w:r>
      <w:r w:rsidR="00366942">
        <w:rPr>
          <w:rFonts w:ascii="Perpetua" w:hAnsi="Perpetua"/>
        </w:rPr>
        <w:t xml:space="preserve">) </w:t>
      </w:r>
      <w:r>
        <w:rPr>
          <w:rFonts w:ascii="Perpetua" w:hAnsi="Perpetua"/>
        </w:rPr>
        <w:t>à procura de serviços judiciais</w:t>
      </w:r>
      <w:r w:rsidR="00366942">
        <w:rPr>
          <w:rFonts w:ascii="Perpetua" w:hAnsi="Perpetua"/>
        </w:rPr>
        <w:t xml:space="preserve"> (volume de processos entrados </w:t>
      </w:r>
      <w:r w:rsidR="00B60517">
        <w:rPr>
          <w:rFonts w:ascii="Perpetua" w:hAnsi="Perpetua"/>
        </w:rPr>
        <w:t>no</w:t>
      </w:r>
      <w:r w:rsidR="00366942">
        <w:rPr>
          <w:rFonts w:ascii="Perpetua" w:hAnsi="Perpetua"/>
        </w:rPr>
        <w:t xml:space="preserve"> ano</w:t>
      </w:r>
      <w:r w:rsidR="00B60517">
        <w:rPr>
          <w:rFonts w:ascii="Perpetua" w:hAnsi="Perpetua"/>
        </w:rPr>
        <w:t xml:space="preserve"> por 10.000 habitantes</w:t>
      </w:r>
      <w:r w:rsidR="00366942">
        <w:rPr>
          <w:rFonts w:ascii="Perpetua" w:hAnsi="Perpetua"/>
        </w:rPr>
        <w:t>)</w:t>
      </w:r>
      <w:r>
        <w:rPr>
          <w:rFonts w:ascii="Perpetua" w:hAnsi="Perpetua"/>
        </w:rPr>
        <w:t>, tendo-se observado um aumento continuado da pendência</w:t>
      </w:r>
      <w:r w:rsidR="00B60517">
        <w:rPr>
          <w:rFonts w:ascii="Perpetua" w:hAnsi="Perpetua"/>
        </w:rPr>
        <w:t xml:space="preserve"> processual</w:t>
      </w:r>
      <w:r>
        <w:rPr>
          <w:rStyle w:val="FootnoteReference"/>
          <w:rFonts w:ascii="Perpetua" w:hAnsi="Perpetua"/>
        </w:rPr>
        <w:footnoteReference w:id="31"/>
      </w:r>
      <w:r>
        <w:rPr>
          <w:rFonts w:ascii="Perpetua" w:hAnsi="Perpetua"/>
        </w:rPr>
        <w:t xml:space="preserve"> </w:t>
      </w:r>
      <w:r w:rsidR="00366942">
        <w:rPr>
          <w:rFonts w:ascii="Perpetua" w:hAnsi="Perpetua"/>
        </w:rPr>
        <w:t xml:space="preserve">(volume de processos pendentes </w:t>
      </w:r>
      <w:r w:rsidR="00B60517">
        <w:rPr>
          <w:rFonts w:ascii="Perpetua" w:hAnsi="Perpetua"/>
        </w:rPr>
        <w:t>no</w:t>
      </w:r>
      <w:r w:rsidR="00366942">
        <w:rPr>
          <w:rFonts w:ascii="Perpetua" w:hAnsi="Perpetua"/>
        </w:rPr>
        <w:t xml:space="preserve"> ano</w:t>
      </w:r>
      <w:r w:rsidR="00B60517">
        <w:rPr>
          <w:rFonts w:ascii="Perpetua" w:hAnsi="Perpetua"/>
        </w:rPr>
        <w:t xml:space="preserve"> por 10.000 habitantes</w:t>
      </w:r>
      <w:r w:rsidR="00366942">
        <w:rPr>
          <w:rFonts w:ascii="Perpetua" w:hAnsi="Perpetua"/>
        </w:rPr>
        <w:t xml:space="preserve">) </w:t>
      </w:r>
      <w:r>
        <w:rPr>
          <w:rFonts w:ascii="Perpetua" w:hAnsi="Perpetua"/>
        </w:rPr>
        <w:t>dos tribunais judiciais de 1.ª instância – responsáveis pela quase totalidade do movimento processual do sistema judicial. O aumento anual médio da pendência processual (cerca de 6,5%) resultou da observação de valores anuais da taxa de resolução processual (volume de processos findos no ano sobre volume de processos entrados nesse mesmo ano</w:t>
      </w:r>
      <w:r>
        <w:rPr>
          <w:rStyle w:val="FootnoteReference"/>
          <w:rFonts w:ascii="Perpetua" w:hAnsi="Perpetua"/>
        </w:rPr>
        <w:footnoteReference w:id="32"/>
      </w:r>
      <w:r>
        <w:rPr>
          <w:rFonts w:ascii="Perpetua" w:hAnsi="Perpetua"/>
        </w:rPr>
        <w:t xml:space="preserve">) inferiores a 1 em quase todos os períodos, efeito </w:t>
      </w:r>
      <w:r w:rsidR="006A203A">
        <w:rPr>
          <w:rFonts w:ascii="Perpetua" w:hAnsi="Perpetua"/>
        </w:rPr>
        <w:t xml:space="preserve">amenizado </w:t>
      </w:r>
      <w:r>
        <w:rPr>
          <w:rFonts w:ascii="Perpetua" w:hAnsi="Perpetua"/>
        </w:rPr>
        <w:t>pelo facto de a taxa de crescimento médio do volume de processos findos ter sido superior, em cerca de 1%, à taxa de crescimento médio dos processos entrados ao longo do período. O desajustamento da oferta à procura de serviços judiciais manifestou-se também num maior racionamento do acesso ao sistema judicial, através do crescimento das filas de espera (</w:t>
      </w:r>
      <w:r w:rsidR="00EA081D">
        <w:rPr>
          <w:rFonts w:ascii="Perpetua" w:hAnsi="Perpetua"/>
        </w:rPr>
        <w:t xml:space="preserve">medida indirectamente </w:t>
      </w:r>
      <w:r>
        <w:rPr>
          <w:rFonts w:ascii="Perpetua" w:hAnsi="Perpetua"/>
        </w:rPr>
        <w:t>pela duração média anual da resolução dos processos findos</w:t>
      </w:r>
      <w:r w:rsidR="00366942">
        <w:rPr>
          <w:rFonts w:ascii="Perpetua" w:hAnsi="Perpetua"/>
        </w:rPr>
        <w:t xml:space="preserve"> por ano</w:t>
      </w:r>
      <w:r>
        <w:rPr>
          <w:rFonts w:ascii="Perpetua" w:hAnsi="Perpetua"/>
        </w:rPr>
        <w:t xml:space="preserve">). </w:t>
      </w:r>
    </w:p>
    <w:p w:rsidR="0080386E" w:rsidRDefault="0080386E" w:rsidP="0080386E">
      <w:pPr>
        <w:spacing w:line="360" w:lineRule="auto"/>
        <w:jc w:val="both"/>
        <w:rPr>
          <w:rFonts w:ascii="Perpetua" w:hAnsi="Perpetua"/>
        </w:rPr>
      </w:pPr>
    </w:p>
    <w:p w:rsidR="00EA081D" w:rsidRPr="00EA081D" w:rsidRDefault="00A023D8" w:rsidP="006220F9">
      <w:pPr>
        <w:pStyle w:val="Caption"/>
        <w:jc w:val="center"/>
      </w:pPr>
      <w:bookmarkStart w:id="33" w:name="_Toc215081920"/>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80386E" w:rsidRPr="00A023D8">
        <w:rPr>
          <w:rFonts w:ascii="Perpetua" w:hAnsi="Perpetua"/>
        </w:rPr>
        <w:t xml:space="preserve"> – Movimento nos tribunais judiciais de 1.ª instância por 10.000 habitantes</w:t>
      </w:r>
      <w:bookmarkEnd w:id="33"/>
    </w:p>
    <w:p w:rsidR="0080386E" w:rsidRPr="00EC3260" w:rsidRDefault="006220F9" w:rsidP="0080386E">
      <w:pPr>
        <w:spacing w:line="360" w:lineRule="auto"/>
        <w:jc w:val="center"/>
        <w:rPr>
          <w:rFonts w:ascii="Perpetua" w:hAnsi="Perpetua"/>
        </w:rPr>
      </w:pPr>
      <w:r w:rsidRPr="006A2A38">
        <w:rPr>
          <w:rFonts w:ascii="Perpetua" w:hAnsi="Perpetua"/>
          <w:noProof/>
        </w:rPr>
        <w:object w:dxaOrig="7698" w:dyaOrig="4660">
          <v:shape id="_x0000_i1028" type="#_x0000_t75" style="width:386pt;height:233pt" o:ole="">
            <v:imagedata r:id="rId14" o:title=""/>
          </v:shape>
          <o:OLEObject Type="Embed" ProgID="Excel.Sheet.12" ShapeID="_x0000_i1028" DrawAspect="Content" ObjectID="_1294230245" r:id="rId15"/>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sidR="00EC3260">
        <w:rPr>
          <w:rFonts w:ascii="Perpetua" w:hAnsi="Perpetua"/>
          <w:b w:val="0"/>
          <w:sz w:val="18"/>
          <w:szCs w:val="18"/>
        </w:rPr>
        <w:t xml:space="preserve">: Estatísticas da Justiça, INE e cálculos próprios. </w:t>
      </w:r>
    </w:p>
    <w:p w:rsidR="00366942" w:rsidRDefault="00366942"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 desajustamento da oferta judicial à procura judicial observado na 1.ª instância contrasta com a evolução do movimento processual nas instâncias superiores, tendo a taxa de acumulação processual (volume de processos pendentes no início do ano sobre o volume de processos findos nesse ano</w:t>
      </w:r>
      <w:r>
        <w:rPr>
          <w:rStyle w:val="FootnoteReference"/>
          <w:rFonts w:ascii="Perpetua" w:hAnsi="Perpetua"/>
        </w:rPr>
        <w:footnoteReference w:id="33"/>
      </w:r>
      <w:r>
        <w:rPr>
          <w:rFonts w:ascii="Perpetua" w:hAnsi="Perpetua"/>
        </w:rPr>
        <w:t xml:space="preserve">) da 1.ª instância crescido ao longo de todo o período, enquanto as taxas de acumulação processual nos tribunais superiores diminuíram. </w:t>
      </w:r>
      <w:r w:rsidRPr="00467E9E">
        <w:rPr>
          <w:rFonts w:ascii="Perpetua" w:hAnsi="Perpetua"/>
        </w:rPr>
        <w:t>A mesma tendê</w:t>
      </w:r>
      <w:r>
        <w:rPr>
          <w:rFonts w:ascii="Perpetua" w:hAnsi="Perpetua"/>
        </w:rPr>
        <w:t>ncia é observável na evolução das filas de espera para aceder a cada uma das três instâncias do sistema judicial.</w:t>
      </w:r>
    </w:p>
    <w:p w:rsidR="0080386E" w:rsidRDefault="0080386E" w:rsidP="0080386E">
      <w:pPr>
        <w:spacing w:line="360" w:lineRule="auto"/>
        <w:jc w:val="both"/>
      </w:pPr>
    </w:p>
    <w:p w:rsidR="0080386E" w:rsidRPr="00A023D8" w:rsidRDefault="00A023D8" w:rsidP="00A023D8">
      <w:pPr>
        <w:pStyle w:val="Caption"/>
        <w:jc w:val="center"/>
        <w:rPr>
          <w:rFonts w:ascii="Perpetua" w:hAnsi="Perpetua"/>
        </w:rPr>
      </w:pPr>
      <w:bookmarkStart w:id="34" w:name="_Toc215081921"/>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3</w:t>
      </w:r>
      <w:r w:rsidR="0048473F">
        <w:rPr>
          <w:rFonts w:ascii="Perpetua" w:hAnsi="Perpetua"/>
        </w:rPr>
        <w:fldChar w:fldCharType="end"/>
      </w:r>
      <w:r w:rsidR="00EC3260" w:rsidRPr="00A023D8">
        <w:rPr>
          <w:rFonts w:ascii="Perpetua" w:hAnsi="Perpetua"/>
        </w:rPr>
        <w:t xml:space="preserve"> </w:t>
      </w:r>
      <w:r w:rsidR="0080386E" w:rsidRPr="00A023D8">
        <w:rPr>
          <w:rFonts w:ascii="Perpetua" w:hAnsi="Perpetua"/>
        </w:rPr>
        <w:t>– Taxa de acumulação processual do sistema judicial</w:t>
      </w:r>
      <w:bookmarkEnd w:id="34"/>
    </w:p>
    <w:p w:rsidR="0080386E" w:rsidRDefault="00A629BB" w:rsidP="0080386E">
      <w:pPr>
        <w:spacing w:line="360" w:lineRule="auto"/>
        <w:jc w:val="center"/>
      </w:pPr>
      <w:r>
        <w:object w:dxaOrig="7655" w:dyaOrig="4674">
          <v:shape id="_x0000_i1029" type="#_x0000_t75" style="width:382pt;height:219pt" o:ole="">
            <v:imagedata r:id="rId16" o:title=""/>
          </v:shape>
          <o:OLEObject Type="Embed" ProgID="Excel.Sheet.12" ShapeID="_x0000_i1029" DrawAspect="Content" ObjectID="_1294230246" r:id="rId17"/>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sidR="00C35CDF">
        <w:rPr>
          <w:rFonts w:ascii="Perpetua" w:hAnsi="Perpetua"/>
          <w:b w:val="0"/>
          <w:sz w:val="18"/>
          <w:szCs w:val="18"/>
        </w:rPr>
        <w:t>: Estatísticas da Justiça e cálculos próprios.</w:t>
      </w:r>
    </w:p>
    <w:p w:rsidR="0080386E" w:rsidRDefault="0080386E" w:rsidP="0080386E">
      <w:pPr>
        <w:spacing w:line="360" w:lineRule="auto"/>
        <w:jc w:val="center"/>
      </w:pPr>
    </w:p>
    <w:p w:rsidR="0080386E" w:rsidRPr="00A023D8" w:rsidRDefault="00A023D8" w:rsidP="00A023D8">
      <w:pPr>
        <w:pStyle w:val="Caption"/>
        <w:jc w:val="center"/>
        <w:rPr>
          <w:rFonts w:ascii="Perpetua" w:hAnsi="Perpetua"/>
        </w:rPr>
      </w:pPr>
      <w:bookmarkStart w:id="35" w:name="_Toc215081922"/>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0080386E" w:rsidRPr="00A023D8">
        <w:rPr>
          <w:rFonts w:ascii="Perpetua" w:hAnsi="Perpetua"/>
        </w:rPr>
        <w:t xml:space="preserve"> – Duração média de resolução processual do sistema judicial</w:t>
      </w:r>
      <w:bookmarkEnd w:id="35"/>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886325" cy="2857500"/>
            <wp:effectExtent l="0" t="0" r="0" b="0"/>
            <wp:docPr id="7"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p>
    <w:p w:rsidR="0080386E" w:rsidRDefault="0080386E" w:rsidP="0080386E">
      <w:pPr>
        <w:spacing w:line="360" w:lineRule="auto"/>
        <w:jc w:val="both"/>
        <w:rPr>
          <w:rFonts w:ascii="Perpetua" w:hAnsi="Perpetua"/>
        </w:rPr>
      </w:pPr>
      <w:r>
        <w:rPr>
          <w:rFonts w:ascii="Perpetua" w:hAnsi="Perpetua"/>
        </w:rPr>
        <w:t>A evolução do movimento processual judicial da 1.ª instância traduz, no essencial, a evolução verificada na área processual cível</w:t>
      </w:r>
      <w:r w:rsidR="000D66F0">
        <w:rPr>
          <w:rFonts w:ascii="Perpetua" w:hAnsi="Perpetua"/>
        </w:rPr>
        <w:t xml:space="preserve"> (a área processual </w:t>
      </w:r>
      <w:r w:rsidR="00032388">
        <w:rPr>
          <w:rFonts w:ascii="Perpetua" w:hAnsi="Perpetua"/>
        </w:rPr>
        <w:t>decorre da natureza jurídica das questões discutidas no processo</w:t>
      </w:r>
      <w:r w:rsidR="00366942">
        <w:rPr>
          <w:rStyle w:val="FootnoteReference"/>
          <w:rFonts w:ascii="Perpetua" w:hAnsi="Perpetua"/>
        </w:rPr>
        <w:footnoteReference w:id="34"/>
      </w:r>
      <w:r w:rsidR="006A203A">
        <w:rPr>
          <w:rFonts w:ascii="Perpetua" w:hAnsi="Perpetua"/>
        </w:rPr>
        <w:t>)</w:t>
      </w:r>
      <w:r>
        <w:rPr>
          <w:rFonts w:ascii="Perpetua" w:hAnsi="Perpetua"/>
        </w:rPr>
        <w:t xml:space="preserve">. Com efeito, a área processual cível tem vindo a representar uma percentagem cada vez maior da procura judicial (de 30% dos processos entrados na 1.ª instância, em 1991, passou para cerca de 60%, em 2006) e o desajustamento da oferta à procura de serviços judiciais na área cível é distintamente superior </w:t>
      </w:r>
      <w:r w:rsidR="00223166">
        <w:rPr>
          <w:rFonts w:ascii="Perpetua" w:hAnsi="Perpetua"/>
        </w:rPr>
        <w:t>ao da</w:t>
      </w:r>
      <w:r>
        <w:rPr>
          <w:rFonts w:ascii="Perpetua" w:hAnsi="Perpetua"/>
        </w:rPr>
        <w:t xml:space="preserve">s restantes áreas processuais (Penal, Laboral e Tutelar), como é constatável pela observação da taxa de acumulação processual, a mais elevada (sempre superior a 1) e aquela que mais cresceu ao longo do período. Em 2006, a área </w:t>
      </w:r>
      <w:r w:rsidR="00366942">
        <w:rPr>
          <w:rFonts w:ascii="Perpetua" w:hAnsi="Perpetua"/>
        </w:rPr>
        <w:t xml:space="preserve">processual </w:t>
      </w:r>
      <w:r>
        <w:rPr>
          <w:rFonts w:ascii="Perpetua" w:hAnsi="Perpetua"/>
        </w:rPr>
        <w:t>cível era responsável por quase 80% da pendência processual na 1.ª instância, contrastando com uma percentagem homóloga ligeiramente superior a 40%, em 1991.</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36" w:name="_Toc215081923"/>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0386E" w:rsidRPr="00A023D8">
        <w:rPr>
          <w:rFonts w:ascii="Perpetua" w:hAnsi="Perpetua"/>
        </w:rPr>
        <w:t xml:space="preserve"> – Taxa de acumulação processual da 1.ª instância do sistema judicial</w:t>
      </w:r>
      <w:bookmarkEnd w:id="36"/>
    </w:p>
    <w:p w:rsidR="0080386E" w:rsidRDefault="003926F6" w:rsidP="0080386E">
      <w:pPr>
        <w:spacing w:line="360" w:lineRule="auto"/>
        <w:jc w:val="center"/>
        <w:rPr>
          <w:rFonts w:ascii="Perpetua" w:hAnsi="Perpetua"/>
        </w:rPr>
      </w:pPr>
      <w:r w:rsidRPr="00787B7F">
        <w:rPr>
          <w:rFonts w:ascii="Perpetua" w:hAnsi="Perpetua"/>
        </w:rPr>
        <w:object w:dxaOrig="7953" w:dyaOrig="4689">
          <v:shape id="_x0000_i1030" type="#_x0000_t75" style="width:398pt;height:235pt" o:ole="">
            <v:imagedata r:id="rId19" o:title=""/>
          </v:shape>
          <o:OLEObject Type="Embed" ProgID="Excel.Sheet.12" ShapeID="_x0000_i1030" DrawAspect="Content" ObjectID="_1294230247" r:id="rId20"/>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r w:rsidR="00C35CDF">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evolução do comportamento da oferta judicial e da procura judicial na área cível de 1991 a 2006, por seu lado, é bem retratada pelo comportamento dos dois tipos de espécie processual </w:t>
      </w:r>
      <w:r w:rsidR="00C132D0">
        <w:rPr>
          <w:rFonts w:ascii="Perpetua" w:hAnsi="Perpetua"/>
        </w:rPr>
        <w:t>(a espécie processual refere-se à finalidade da acção/processo)</w:t>
      </w:r>
      <w:r w:rsidR="00C132D0">
        <w:rPr>
          <w:rStyle w:val="FootnoteReference"/>
          <w:rFonts w:ascii="Perpetua" w:hAnsi="Perpetua"/>
        </w:rPr>
        <w:footnoteReference w:id="35"/>
      </w:r>
      <w:r w:rsidR="00C132D0">
        <w:rPr>
          <w:rFonts w:ascii="Perpetua" w:hAnsi="Perpetua"/>
        </w:rPr>
        <w:t xml:space="preserve"> </w:t>
      </w:r>
      <w:r>
        <w:rPr>
          <w:rFonts w:ascii="Perpetua" w:hAnsi="Perpetua"/>
        </w:rPr>
        <w:t xml:space="preserve">mais representativos desta área processual, as acções declarativas </w:t>
      </w:r>
      <w:r w:rsidR="000D66F0">
        <w:rPr>
          <w:rFonts w:ascii="Perpetua" w:hAnsi="Perpetua"/>
        </w:rPr>
        <w:t xml:space="preserve">(acções em que o tribunal decide sobre que direitos assistem às partes em litígio) </w:t>
      </w:r>
      <w:r>
        <w:rPr>
          <w:rFonts w:ascii="Perpetua" w:hAnsi="Perpetua"/>
        </w:rPr>
        <w:t>e as acções executivas</w:t>
      </w:r>
      <w:r w:rsidR="000D66F0">
        <w:rPr>
          <w:rFonts w:ascii="Perpetua" w:hAnsi="Perpetua"/>
        </w:rPr>
        <w:t xml:space="preserve"> (acções em que uma das parte, o exequente, solicita ao tribunal que lhe execute um direito que lhe foi reconhecido por um</w:t>
      </w:r>
      <w:r w:rsidR="00EA7D0E">
        <w:rPr>
          <w:rFonts w:ascii="Perpetua" w:hAnsi="Perpetua"/>
        </w:rPr>
        <w:t>a</w:t>
      </w:r>
      <w:r w:rsidR="000D66F0">
        <w:rPr>
          <w:rFonts w:ascii="Perpetua" w:hAnsi="Perpetua"/>
        </w:rPr>
        <w:t xml:space="preserve"> decisão judicial ou outro </w:t>
      </w:r>
      <w:r w:rsidR="00032388">
        <w:rPr>
          <w:rFonts w:ascii="Perpetua" w:hAnsi="Perpetua"/>
        </w:rPr>
        <w:t>título</w:t>
      </w:r>
      <w:r w:rsidR="000D66F0">
        <w:rPr>
          <w:rFonts w:ascii="Perpetua" w:hAnsi="Perpetua"/>
        </w:rPr>
        <w:t>)</w:t>
      </w:r>
      <w:r>
        <w:rPr>
          <w:rFonts w:ascii="Perpetua" w:hAnsi="Perpetua"/>
        </w:rPr>
        <w:t>. Os dois tipos de espécie processual representaram ao longo do período cerca de 80% da procura judicial da 1.ª instância cível, tendo-se registado um aumento significativo do peso relativo das acções executivas face às acções declarativas. A importância destes tipos de espécie processual</w:t>
      </w:r>
      <w:r w:rsidRPr="00F63293">
        <w:rPr>
          <w:rFonts w:ascii="Perpetua" w:hAnsi="Perpetua"/>
        </w:rPr>
        <w:t xml:space="preserve"> </w:t>
      </w:r>
      <w:r>
        <w:rPr>
          <w:rFonts w:ascii="Perpetua" w:hAnsi="Perpetua"/>
        </w:rPr>
        <w:t xml:space="preserve">na produção de serviços judiciais, e da acção executiva em particular, aumenta se </w:t>
      </w:r>
      <w:r w:rsidR="006A203A">
        <w:rPr>
          <w:rFonts w:ascii="Perpetua" w:hAnsi="Perpetua"/>
        </w:rPr>
        <w:t>se atentar n</w:t>
      </w:r>
      <w:r>
        <w:rPr>
          <w:rFonts w:ascii="Perpetua" w:hAnsi="Perpetua"/>
        </w:rPr>
        <w:t xml:space="preserve">o tempo médio da sua resolução processual, e </w:t>
      </w:r>
      <w:r w:rsidR="000834DF">
        <w:rPr>
          <w:rFonts w:ascii="Perpetua" w:hAnsi="Perpetua"/>
        </w:rPr>
        <w:t>na</w:t>
      </w:r>
      <w:r>
        <w:rPr>
          <w:rFonts w:ascii="Perpetua" w:hAnsi="Perpetua"/>
        </w:rPr>
        <w:t xml:space="preserve"> sua evolução ao longo do período, face aos restantes tipos de espécies processuais. Com efeito, foram as durações que mais cresceram, sendo a duração das acções executivas a mais elevada de todos os tipos de espécie processual. O ano de 2006 cristaliza bem a evolução verificada ao longo do período: a percentagem da pendência processual de ambos os tipos de espécie processual era cerca de 90%, com primazia da acção executiva, com um peso de 75% dessa pendência processual. </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37" w:name="_Toc215081924"/>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6</w:t>
      </w:r>
      <w:r w:rsidR="0048473F">
        <w:rPr>
          <w:rFonts w:ascii="Perpetua" w:hAnsi="Perpetua"/>
        </w:rPr>
        <w:fldChar w:fldCharType="end"/>
      </w:r>
      <w:r w:rsidR="0080386E" w:rsidRPr="00A023D8">
        <w:rPr>
          <w:rFonts w:ascii="Perpetua" w:hAnsi="Perpetua"/>
        </w:rPr>
        <w:t xml:space="preserve"> – Durações médias de resolução processual na área processual cível</w:t>
      </w:r>
      <w:bookmarkEnd w:id="37"/>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943475" cy="3124200"/>
            <wp:effectExtent l="0" t="0" r="0" b="0"/>
            <wp:docPr id="9"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Em suma, o crescente desajustamento da produção de serviços judiciais face à procura revelada por esses serviços observado de 1991 a 2006 deve-se ao desajustamento verificado na área cível, em especial da acção executiva, que aparece como a categoria de serviço judicial em que o desfasamento entre a quantidade procurada e quantidade produzida é maior.</w:t>
      </w:r>
    </w:p>
    <w:p w:rsidR="00A66E20" w:rsidRDefault="00A66E20" w:rsidP="0080386E">
      <w:pPr>
        <w:spacing w:line="360" w:lineRule="auto"/>
        <w:jc w:val="both"/>
        <w:rPr>
          <w:rFonts w:ascii="Perpetua" w:hAnsi="Perpetua"/>
        </w:rPr>
      </w:pPr>
    </w:p>
    <w:p w:rsidR="005E0CFA" w:rsidRDefault="005E0CFA" w:rsidP="0080386E">
      <w:pPr>
        <w:spacing w:line="360" w:lineRule="auto"/>
        <w:jc w:val="both"/>
        <w:rPr>
          <w:rFonts w:ascii="Perpetua" w:hAnsi="Perpetua"/>
        </w:rPr>
      </w:pPr>
    </w:p>
    <w:p w:rsidR="005E0CFA" w:rsidRDefault="005E0CFA" w:rsidP="0080386E">
      <w:pPr>
        <w:spacing w:line="360" w:lineRule="auto"/>
        <w:jc w:val="both"/>
        <w:rPr>
          <w:rFonts w:ascii="Perpetua" w:hAnsi="Perpetua"/>
        </w:rPr>
      </w:pPr>
    </w:p>
    <w:p w:rsidR="005E0CFA" w:rsidRDefault="005E0CFA" w:rsidP="0080386E">
      <w:pPr>
        <w:spacing w:line="360" w:lineRule="auto"/>
        <w:jc w:val="both"/>
        <w:rPr>
          <w:rFonts w:ascii="Perpetua" w:hAnsi="Perpetua"/>
        </w:rPr>
      </w:pPr>
    </w:p>
    <w:p w:rsidR="0080386E" w:rsidRPr="007E4F44" w:rsidRDefault="000043AA" w:rsidP="004B7547">
      <w:pPr>
        <w:pStyle w:val="Heading3"/>
      </w:pPr>
      <w:bookmarkStart w:id="38" w:name="_Toc206652056"/>
      <w:bookmarkStart w:id="39" w:name="_Toc220484457"/>
      <w:r>
        <w:t xml:space="preserve">2.3.3. </w:t>
      </w:r>
      <w:r w:rsidR="0080386E" w:rsidRPr="0080386E">
        <w:t>Movimento de inquéritos penais e injunções</w:t>
      </w:r>
      <w:bookmarkEnd w:id="38"/>
      <w:bookmarkEnd w:id="39"/>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Nas Estatísticas da Justiça</w:t>
      </w:r>
      <w:r w:rsidR="000834DF">
        <w:rPr>
          <w:rFonts w:ascii="Perpetua" w:hAnsi="Perpetua"/>
        </w:rPr>
        <w:t>,</w:t>
      </w:r>
      <w:r>
        <w:rPr>
          <w:rFonts w:ascii="Perpetua" w:hAnsi="Perpetua"/>
        </w:rPr>
        <w:t xml:space="preserve"> o movimento judicial não inclui o movimento dos processos de inquéritos </w:t>
      </w:r>
      <w:r w:rsidR="00B670EA">
        <w:rPr>
          <w:rFonts w:ascii="Perpetua" w:hAnsi="Perpetua"/>
        </w:rPr>
        <w:t xml:space="preserve">nem </w:t>
      </w:r>
      <w:r>
        <w:rPr>
          <w:rFonts w:ascii="Perpetua" w:hAnsi="Perpetua"/>
        </w:rPr>
        <w:t>dos processos de instrução, no âmbito do processo penal</w:t>
      </w:r>
      <w:r w:rsidR="00B670EA">
        <w:rPr>
          <w:rStyle w:val="FootnoteReference"/>
          <w:rFonts w:ascii="Perpetua" w:hAnsi="Perpetua"/>
        </w:rPr>
        <w:footnoteReference w:id="36"/>
      </w:r>
      <w:r>
        <w:rPr>
          <w:rFonts w:ascii="Perpetua" w:hAnsi="Perpetua"/>
        </w:rPr>
        <w:t>, nem as injunções</w:t>
      </w:r>
      <w:r w:rsidR="005E0CFA">
        <w:rPr>
          <w:rFonts w:ascii="Perpetua" w:hAnsi="Perpetua"/>
        </w:rPr>
        <w:t xml:space="preserve"> (procedimento parajudicial introduzido no sistema judicial em 1995 e que visa acelerar a execução de um contrato, mediante a apresentação de um título executivo, ou se</w:t>
      </w:r>
      <w:r w:rsidR="000834DF">
        <w:rPr>
          <w:rFonts w:ascii="Perpetua" w:hAnsi="Perpetua"/>
        </w:rPr>
        <w:t xml:space="preserve">ja, de um documento que ateste </w:t>
      </w:r>
      <w:r w:rsidR="005E0CFA">
        <w:rPr>
          <w:rFonts w:ascii="Perpetua" w:hAnsi="Perpetua"/>
        </w:rPr>
        <w:t>a existência d</w:t>
      </w:r>
      <w:r w:rsidR="000834DF">
        <w:rPr>
          <w:rFonts w:ascii="Perpetua" w:hAnsi="Perpetua"/>
        </w:rPr>
        <w:t>o</w:t>
      </w:r>
      <w:r w:rsidR="005E0CFA">
        <w:rPr>
          <w:rFonts w:ascii="Perpetua" w:hAnsi="Perpetua"/>
        </w:rPr>
        <w:t xml:space="preserve"> direito </w:t>
      </w:r>
      <w:r w:rsidR="000834DF">
        <w:rPr>
          <w:rFonts w:ascii="Perpetua" w:hAnsi="Perpetua"/>
        </w:rPr>
        <w:t xml:space="preserve">que </w:t>
      </w:r>
      <w:r w:rsidR="005E0CFA">
        <w:rPr>
          <w:rFonts w:ascii="Perpetua" w:hAnsi="Perpetua"/>
        </w:rPr>
        <w:t xml:space="preserve">o exequente </w:t>
      </w:r>
      <w:r w:rsidR="006A203A">
        <w:rPr>
          <w:rFonts w:ascii="Perpetua" w:hAnsi="Perpetua"/>
        </w:rPr>
        <w:t xml:space="preserve">solicita ao </w:t>
      </w:r>
      <w:r w:rsidR="005E0CFA">
        <w:rPr>
          <w:rFonts w:ascii="Perpetua" w:hAnsi="Perpetua"/>
        </w:rPr>
        <w:t>tribunal</w:t>
      </w:r>
      <w:r w:rsidR="006A203A">
        <w:rPr>
          <w:rFonts w:ascii="Perpetua" w:hAnsi="Perpetua"/>
        </w:rPr>
        <w:t xml:space="preserve"> que execute</w:t>
      </w:r>
      <w:r w:rsidR="005E0CFA">
        <w:rPr>
          <w:rFonts w:ascii="Perpetua" w:hAnsi="Perpetua"/>
        </w:rPr>
        <w:t>)</w:t>
      </w:r>
      <w:r>
        <w:rPr>
          <w:rFonts w:ascii="Perpetua" w:hAnsi="Perpetua"/>
        </w:rPr>
        <w:t>, no âmbito da área processual cível. Na verdade, os serviços de inquéritos penais e de injunções são também prestados pelos tribunais judiciais de 1.ª instância, embora não consumam trabalho dos magistrados judiciais, mas sim dos magistrados do Ministério Público e dos funcionários judiciais e tenham</w:t>
      </w:r>
      <w:r w:rsidR="00CE6CFF">
        <w:rPr>
          <w:rFonts w:ascii="Perpetua" w:hAnsi="Perpetua"/>
        </w:rPr>
        <w:t>, em algumas circunstâncias,</w:t>
      </w:r>
      <w:r>
        <w:rPr>
          <w:rFonts w:ascii="Perpetua" w:hAnsi="Perpetua"/>
        </w:rPr>
        <w:t xml:space="preserve"> características de serviço intermédio na prestação de serviços de resolução judicial de litígios. Uma análise completa da relação entre a procura e oferta de serviços judiciais deve, no entanto, ter em conta a evolução de serviços intermédios e substitutos próximos dos serviços judiciais, como são as injunções, no âmbito do processo cível, e os processos de inquérito, no âmbito do processo penal</w:t>
      </w:r>
      <w:r>
        <w:rPr>
          <w:rStyle w:val="FootnoteReference"/>
          <w:rFonts w:ascii="Perpetua" w:hAnsi="Perpetua"/>
        </w:rPr>
        <w:footnoteReference w:id="37"/>
      </w:r>
      <w:r>
        <w:rPr>
          <w:rFonts w:ascii="Perpetua" w:hAnsi="Perpetua"/>
        </w:rPr>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 perfil do movimento de inquéritos penais nos tribunais de 1.ª instância não s</w:t>
      </w:r>
      <w:r w:rsidR="00CE6CFF">
        <w:rPr>
          <w:rFonts w:ascii="Perpetua" w:hAnsi="Perpetua"/>
        </w:rPr>
        <w:t>e</w:t>
      </w:r>
      <w:r>
        <w:rPr>
          <w:rFonts w:ascii="Perpetua" w:hAnsi="Perpetua"/>
        </w:rPr>
        <w:t xml:space="preserve"> alterou de forma significativa ao longo do período</w:t>
      </w:r>
      <w:r w:rsidR="00CE6CFF">
        <w:rPr>
          <w:rFonts w:ascii="Perpetua" w:hAnsi="Perpetua"/>
        </w:rPr>
        <w:t xml:space="preserve"> em análise</w:t>
      </w:r>
      <w:r>
        <w:rPr>
          <w:rFonts w:ascii="Perpetua" w:hAnsi="Perpetua"/>
        </w:rPr>
        <w:t xml:space="preserve">, tendo o volume de inquéritos entrados, findos e pendentes por 10.000 habitantes crescido à taxa média anual de 2,3%. Durante o </w:t>
      </w:r>
      <w:r w:rsidR="00CE6CFF">
        <w:rPr>
          <w:rFonts w:ascii="Perpetua" w:hAnsi="Perpetua"/>
        </w:rPr>
        <w:t xml:space="preserve">mesmo </w:t>
      </w:r>
      <w:r>
        <w:rPr>
          <w:rFonts w:ascii="Perpetua" w:hAnsi="Perpetua"/>
        </w:rPr>
        <w:t>período</w:t>
      </w:r>
      <w:r w:rsidR="00CE6CFF">
        <w:rPr>
          <w:rFonts w:ascii="Perpetua" w:hAnsi="Perpetua"/>
        </w:rPr>
        <w:t>,</w:t>
      </w:r>
      <w:r>
        <w:rPr>
          <w:rFonts w:ascii="Perpetua" w:hAnsi="Perpetua"/>
        </w:rPr>
        <w:t xml:space="preserve"> a taxa média anual de resolução de inquéritos penais foi de 98%, enquanto </w:t>
      </w:r>
      <w:r w:rsidR="002B621E">
        <w:rPr>
          <w:rFonts w:ascii="Perpetua" w:hAnsi="Perpetua"/>
        </w:rPr>
        <w:t xml:space="preserve">a </w:t>
      </w:r>
      <w:r>
        <w:rPr>
          <w:rFonts w:ascii="Perpetua" w:hAnsi="Perpetua"/>
        </w:rPr>
        <w:t xml:space="preserve">taxa de acumulação processual média do mesmo fluxo processual foi de 45%.    </w:t>
      </w:r>
    </w:p>
    <w:p w:rsidR="0080386E" w:rsidRDefault="0080386E" w:rsidP="0080386E">
      <w:pPr>
        <w:spacing w:line="360" w:lineRule="auto"/>
        <w:jc w:val="both"/>
        <w:rPr>
          <w:rFonts w:ascii="Perpetua" w:hAnsi="Perpetua"/>
        </w:rPr>
      </w:pPr>
      <w:r>
        <w:rPr>
          <w:rFonts w:ascii="Perpetua" w:hAnsi="Perpetua"/>
        </w:rPr>
        <w:t xml:space="preserve"> </w:t>
      </w: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CE6CFF" w:rsidRDefault="00CE6CFF"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40" w:name="_Toc215081925"/>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7</w:t>
      </w:r>
      <w:r w:rsidR="0048473F">
        <w:rPr>
          <w:rFonts w:ascii="Perpetua" w:hAnsi="Perpetua"/>
        </w:rPr>
        <w:fldChar w:fldCharType="end"/>
      </w:r>
      <w:r w:rsidR="0080386E" w:rsidRPr="00A023D8">
        <w:rPr>
          <w:rFonts w:ascii="Perpetua" w:hAnsi="Perpetua"/>
        </w:rPr>
        <w:t xml:space="preserve"> – Movimento de inquéritos penais nos tribunais judiciais de 1.ª instância por 10.000 habitantes</w:t>
      </w:r>
      <w:bookmarkEnd w:id="40"/>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857750" cy="2524125"/>
            <wp:effectExtent l="0" t="0" r="0" b="0"/>
            <wp:docPr id="10"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p>
    <w:p w:rsidR="005E0CFA" w:rsidRDefault="005E0CFA"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 movimento das injunções, que passa maioritariamente pelas Secretarias-Gerais de Injunção, sofreu um crescimento exponencial entre 1999 e 2006, com taxas médias anuais de crescimento de injunções entradas e findas por 10.000 habitantes de 14</w:t>
      </w:r>
      <w:r w:rsidR="00CE6CFF">
        <w:rPr>
          <w:rFonts w:ascii="Perpetua" w:hAnsi="Perpetua"/>
        </w:rPr>
        <w:t>%</w:t>
      </w:r>
      <w:r>
        <w:rPr>
          <w:rFonts w:ascii="Perpetua" w:hAnsi="Perpetua"/>
        </w:rPr>
        <w:t xml:space="preserve"> e 13%, respectivamente</w:t>
      </w:r>
      <w:r w:rsidR="00CE6CFF">
        <w:rPr>
          <w:rFonts w:ascii="Perpetua" w:hAnsi="Perpetua"/>
        </w:rPr>
        <w:t>,</w:t>
      </w:r>
      <w:r>
        <w:rPr>
          <w:rFonts w:ascii="Perpetua" w:hAnsi="Perpetua"/>
        </w:rPr>
        <w:t xml:space="preserve"> o que, acompanhado por taxas de resolução de injunções anuais inferiores a 1, contribuiu para que a taxa média anual de crescimento das injunções pendentes por 10.000 habitantes fosse de 36% ao longo do período 1999-2006. </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41" w:name="_Toc215081926"/>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0080386E" w:rsidRPr="00A023D8">
        <w:rPr>
          <w:rFonts w:ascii="Perpetua" w:hAnsi="Perpetua"/>
        </w:rPr>
        <w:t xml:space="preserve"> – Movimento de injunções nos tribunais de 1.ª instância por 10.000 habitantes</w:t>
      </w:r>
      <w:r w:rsidR="0080386E" w:rsidRPr="00A023D8">
        <w:rPr>
          <w:rStyle w:val="FootnoteReference"/>
          <w:rFonts w:ascii="Perpetua" w:hAnsi="Perpetua"/>
        </w:rPr>
        <w:footnoteReference w:id="38"/>
      </w:r>
      <w:bookmarkEnd w:id="41"/>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791075" cy="2724150"/>
            <wp:effectExtent l="0" t="0" r="0" b="0"/>
            <wp:docPr id="1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p>
    <w:p w:rsidR="0080386E" w:rsidRDefault="0080386E" w:rsidP="0080386E">
      <w:pPr>
        <w:spacing w:line="360" w:lineRule="auto"/>
        <w:jc w:val="both"/>
        <w:rPr>
          <w:rFonts w:ascii="Perpetua" w:hAnsi="Perpetua"/>
        </w:rPr>
      </w:pPr>
    </w:p>
    <w:p w:rsidR="0080386E" w:rsidRPr="0080386E" w:rsidRDefault="000043AA" w:rsidP="004B7547">
      <w:pPr>
        <w:pStyle w:val="Heading3"/>
      </w:pPr>
      <w:bookmarkStart w:id="42" w:name="_Toc206652057"/>
      <w:bookmarkStart w:id="43" w:name="_Toc220484458"/>
      <w:r>
        <w:t xml:space="preserve">2.3.4. </w:t>
      </w:r>
      <w:r w:rsidR="0080386E" w:rsidRPr="0080386E">
        <w:t>A utilização de recursos humanos pelo sistema judicial</w:t>
      </w:r>
      <w:bookmarkEnd w:id="42"/>
      <w:bookmarkEnd w:id="43"/>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O processo produtivo de resolução de serviços judiciais utiliza </w:t>
      </w:r>
      <w:r w:rsidR="002B621E">
        <w:rPr>
          <w:rFonts w:ascii="Perpetua" w:hAnsi="Perpetua"/>
        </w:rPr>
        <w:t xml:space="preserve">três </w:t>
      </w:r>
      <w:r>
        <w:rPr>
          <w:rFonts w:ascii="Perpetua" w:hAnsi="Perpetua"/>
        </w:rPr>
        <w:t>tipos de recursos humanos, ou tipos de trabalhadores judiciais</w:t>
      </w:r>
      <w:r>
        <w:rPr>
          <w:rStyle w:val="FootnoteReference"/>
          <w:rFonts w:ascii="Perpetua" w:hAnsi="Perpetua"/>
        </w:rPr>
        <w:footnoteReference w:id="39"/>
      </w:r>
      <w:r>
        <w:rPr>
          <w:rFonts w:ascii="Perpetua" w:hAnsi="Perpetua"/>
        </w:rPr>
        <w:t xml:space="preserve">, correspondentes a </w:t>
      </w:r>
      <w:r w:rsidR="002B621E">
        <w:rPr>
          <w:rFonts w:ascii="Perpetua" w:hAnsi="Perpetua"/>
        </w:rPr>
        <w:t>três</w:t>
      </w:r>
      <w:r>
        <w:rPr>
          <w:rFonts w:ascii="Perpetua" w:hAnsi="Perpetua"/>
        </w:rPr>
        <w:t xml:space="preserve"> carreiras: os magistrados judiciais, os magistrados do Ministério Público (M. P.) e os funcionários judiciais</w:t>
      </w:r>
      <w:r>
        <w:rPr>
          <w:rStyle w:val="FootnoteReference"/>
          <w:rFonts w:ascii="Perpetua" w:hAnsi="Perpetua"/>
        </w:rPr>
        <w:footnoteReference w:id="40"/>
      </w:r>
      <w:r>
        <w:rPr>
          <w:rFonts w:ascii="Perpetua" w:hAnsi="Perpetua"/>
        </w:rPr>
        <w:t xml:space="preserve">. De modo a complementar a análise </w:t>
      </w:r>
      <w:r w:rsidR="002B621E">
        <w:rPr>
          <w:rFonts w:ascii="Perpetua" w:hAnsi="Perpetua"/>
        </w:rPr>
        <w:t xml:space="preserve">do </w:t>
      </w:r>
      <w:r>
        <w:rPr>
          <w:rFonts w:ascii="Perpetua" w:hAnsi="Perpetua"/>
        </w:rPr>
        <w:t>desajustamento da produção de serviços judiciais à sua procura, interessa analisar a evolução da utilização de recursos pelo sistema judicial na pro</w:t>
      </w:r>
      <w:r w:rsidR="00717DE7">
        <w:rPr>
          <w:rFonts w:ascii="Perpetua" w:hAnsi="Perpetua"/>
        </w:rPr>
        <w:t>visão de</w:t>
      </w:r>
      <w:r>
        <w:rPr>
          <w:rFonts w:ascii="Perpetua" w:hAnsi="Perpetua"/>
        </w:rPr>
        <w:t xml:space="preserve"> serviços judiciais.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De 1991 a 2006</w:t>
      </w:r>
      <w:r w:rsidR="00CE6CFF">
        <w:rPr>
          <w:rFonts w:ascii="Perpetua" w:hAnsi="Perpetua"/>
        </w:rPr>
        <w:t>,</w:t>
      </w:r>
      <w:r>
        <w:rPr>
          <w:rFonts w:ascii="Perpetua" w:hAnsi="Perpetua"/>
        </w:rPr>
        <w:t xml:space="preserve"> a utilização de recursos pelo sistema judicial aumentou em todas as carreiras de trabalhadores judiciais e nas três instâncias de resolução judicial de conflitos analisadas, sendo a taxa de crescimento médio </w:t>
      </w:r>
      <w:r w:rsidR="00717DE7">
        <w:rPr>
          <w:rFonts w:ascii="Perpetua" w:hAnsi="Perpetua"/>
        </w:rPr>
        <w:t xml:space="preserve">anual </w:t>
      </w:r>
      <w:r>
        <w:rPr>
          <w:rFonts w:ascii="Perpetua" w:hAnsi="Perpetua"/>
        </w:rPr>
        <w:t>da utilização de recursos por habitante significativamente uniforme por carreira e instância – entre 7</w:t>
      </w:r>
      <w:r w:rsidR="00CE6CFF">
        <w:rPr>
          <w:rFonts w:ascii="Perpetua" w:hAnsi="Perpetua"/>
        </w:rPr>
        <w:t>%</w:t>
      </w:r>
      <w:r>
        <w:rPr>
          <w:rFonts w:ascii="Perpetua" w:hAnsi="Perpetua"/>
        </w:rPr>
        <w:t xml:space="preserve"> a 10%</w:t>
      </w:r>
      <w:r w:rsidR="00223166">
        <w:rPr>
          <w:rFonts w:ascii="Perpetua" w:hAnsi="Perpetua"/>
        </w:rPr>
        <w:t xml:space="preserve"> (</w:t>
      </w:r>
      <w:r w:rsidR="00223166" w:rsidRPr="00223166">
        <w:rPr>
          <w:rFonts w:ascii="Perpetua" w:hAnsi="Perpetua"/>
          <w:i/>
        </w:rPr>
        <w:t>vide</w:t>
      </w:r>
      <w:r w:rsidR="00717DE7">
        <w:rPr>
          <w:rFonts w:ascii="Perpetua" w:hAnsi="Perpetua"/>
        </w:rPr>
        <w:t xml:space="preserve"> </w:t>
      </w:r>
      <w:r w:rsidR="00717DE7" w:rsidRPr="00717DE7">
        <w:rPr>
          <w:rFonts w:ascii="Perpetua" w:hAnsi="Perpetua"/>
          <w:i/>
        </w:rPr>
        <w:t>infra</w:t>
      </w:r>
      <w:r w:rsidR="00717DE7">
        <w:rPr>
          <w:rFonts w:ascii="Perpetua" w:hAnsi="Perpetua"/>
        </w:rPr>
        <w:t xml:space="preserve"> Quadro 2.1)</w:t>
      </w:r>
      <w:r>
        <w:rPr>
          <w:rFonts w:ascii="Perpetua" w:hAnsi="Perpetua"/>
        </w:rPr>
        <w:t xml:space="preserve">. Esta evolução sugere que a expansão da </w:t>
      </w:r>
      <w:r w:rsidR="00717DE7">
        <w:rPr>
          <w:rFonts w:ascii="Perpetua" w:hAnsi="Perpetua"/>
        </w:rPr>
        <w:t xml:space="preserve">utilização de recursos pelo sistema judicial </w:t>
      </w:r>
      <w:r>
        <w:rPr>
          <w:rFonts w:ascii="Perpetua" w:hAnsi="Perpetua"/>
        </w:rPr>
        <w:t xml:space="preserve">não implicou uma alteração significativa na </w:t>
      </w:r>
      <w:r w:rsidR="00717DE7">
        <w:rPr>
          <w:rFonts w:ascii="Perpetua" w:hAnsi="Perpetua"/>
        </w:rPr>
        <w:t xml:space="preserve">combinação </w:t>
      </w:r>
      <w:r>
        <w:rPr>
          <w:rFonts w:ascii="Perpetua" w:hAnsi="Perpetua"/>
        </w:rPr>
        <w:t xml:space="preserve">de factores produtivos na produção agregada de serviços judiciais. Com efeito, na 1.ª instância, os coeficientes de utilização de factores produtivos foram quase constantes ao longo do período, variando entre 7 e 8 funcionários judiciais por magistrado judicial e 1 magistrado do M. P. por cada magistrado judicial. </w:t>
      </w:r>
    </w:p>
    <w:p w:rsidR="0080386E" w:rsidRDefault="0080386E" w:rsidP="0080386E">
      <w:pPr>
        <w:spacing w:line="360" w:lineRule="auto"/>
        <w:jc w:val="both"/>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D14731" w:rsidRDefault="00D14731" w:rsidP="007244D9">
      <w:pPr>
        <w:pStyle w:val="Caption"/>
        <w:jc w:val="center"/>
        <w:rPr>
          <w:rFonts w:ascii="Perpetua" w:hAnsi="Perpetua"/>
        </w:rPr>
      </w:pPr>
    </w:p>
    <w:p w:rsidR="0080386E" w:rsidRPr="007244D9" w:rsidRDefault="003903D0" w:rsidP="002B621E">
      <w:pPr>
        <w:pStyle w:val="Caption"/>
        <w:keepNext/>
        <w:jc w:val="center"/>
        <w:rPr>
          <w:rFonts w:ascii="Perpetua" w:hAnsi="Perpetua"/>
        </w:rPr>
      </w:pPr>
      <w:bookmarkStart w:id="44" w:name="_Toc215081937"/>
      <w:r>
        <w:rPr>
          <w:rFonts w:ascii="Perpetua" w:hAnsi="Perpetua"/>
        </w:rPr>
        <w:t>Quadro</w:t>
      </w:r>
      <w:r w:rsidR="007244D9" w:rsidRPr="007244D9">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002B621E">
        <w:rPr>
          <w:rFonts w:ascii="Perpetua" w:hAnsi="Perpetua"/>
        </w:rPr>
        <w:t xml:space="preserve"> – Recursos humanos por 100.000 habitantes e taxa de v</w:t>
      </w:r>
      <w:r w:rsidR="0080386E" w:rsidRPr="007244D9">
        <w:rPr>
          <w:rFonts w:ascii="Perpetua" w:hAnsi="Perpetua"/>
        </w:rPr>
        <w:t xml:space="preserve">ariação anual média da utilização de recursos humanos </w:t>
      </w:r>
      <w:r w:rsidR="002B621E">
        <w:rPr>
          <w:rFonts w:ascii="Perpetua" w:hAnsi="Perpetua"/>
        </w:rPr>
        <w:t>pelo</w:t>
      </w:r>
      <w:r w:rsidR="0080386E" w:rsidRPr="007244D9">
        <w:rPr>
          <w:rFonts w:ascii="Perpetua" w:hAnsi="Perpetua"/>
        </w:rPr>
        <w:t xml:space="preserve"> sistema judicial</w:t>
      </w:r>
      <w:r w:rsidR="002B621E">
        <w:rPr>
          <w:rFonts w:ascii="Perpetua" w:hAnsi="Perpetua"/>
        </w:rPr>
        <w:t xml:space="preserve">, </w:t>
      </w:r>
      <w:r w:rsidR="0080386E" w:rsidRPr="007244D9">
        <w:rPr>
          <w:rFonts w:ascii="Perpetua" w:hAnsi="Perpetua"/>
        </w:rPr>
        <w:t>1991-2006</w:t>
      </w:r>
      <w:bookmarkEnd w:id="44"/>
    </w:p>
    <w:p w:rsidR="0080386E" w:rsidRDefault="0080386E" w:rsidP="0080386E"/>
    <w:tbl>
      <w:tblPr>
        <w:tblW w:w="6600" w:type="dxa"/>
        <w:jc w:val="center"/>
        <w:tblInd w:w="55" w:type="dxa"/>
        <w:tblCellMar>
          <w:left w:w="70" w:type="dxa"/>
          <w:right w:w="70" w:type="dxa"/>
        </w:tblCellMar>
        <w:tblLook w:val="04A0"/>
      </w:tblPr>
      <w:tblGrid>
        <w:gridCol w:w="1540"/>
        <w:gridCol w:w="1260"/>
        <w:gridCol w:w="1160"/>
        <w:gridCol w:w="1260"/>
        <w:gridCol w:w="1380"/>
      </w:tblGrid>
      <w:tr w:rsidR="00717DE7" w:rsidRPr="00717DE7" w:rsidTr="00717DE7">
        <w:trPr>
          <w:trHeight w:val="58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Magistrados judiciais</w:t>
            </w:r>
          </w:p>
        </w:tc>
        <w:tc>
          <w:tcPr>
            <w:tcW w:w="11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Magistrados M. P.</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Funcionários Judiciais</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Trabalhadores Judiciais</w:t>
            </w:r>
          </w:p>
        </w:tc>
      </w:tr>
      <w:tr w:rsidR="00717DE7" w:rsidRPr="00717DE7" w:rsidTr="00717DE7">
        <w:trPr>
          <w:trHeight w:val="345"/>
          <w:jc w:val="center"/>
        </w:trPr>
        <w:tc>
          <w:tcPr>
            <w:tcW w:w="154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1.ª Instância</w:t>
            </w:r>
          </w:p>
        </w:tc>
        <w:tc>
          <w:tcPr>
            <w:tcW w:w="126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 </w:t>
            </w:r>
          </w:p>
        </w:tc>
        <w:tc>
          <w:tcPr>
            <w:tcW w:w="116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 </w:t>
            </w:r>
          </w:p>
        </w:tc>
        <w:tc>
          <w:tcPr>
            <w:tcW w:w="126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 </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 </w:t>
            </w:r>
          </w:p>
        </w:tc>
      </w:tr>
      <w:tr w:rsidR="00717DE7" w:rsidRPr="00717DE7" w:rsidTr="00717DE7">
        <w:trPr>
          <w:trHeight w:val="40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Valor base (1991)</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7,46</w:t>
            </w:r>
          </w:p>
        </w:tc>
        <w:tc>
          <w:tcPr>
            <w:tcW w:w="11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6,77</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55,81</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71,69</w:t>
            </w:r>
          </w:p>
        </w:tc>
      </w:tr>
      <w:tr w:rsidR="00717DE7" w:rsidRPr="00717DE7" w:rsidTr="00717DE7">
        <w:trPr>
          <w:trHeight w:val="40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xml:space="preserve">Taxa de crescimento </w:t>
            </w:r>
          </w:p>
        </w:tc>
        <w:tc>
          <w:tcPr>
            <w:tcW w:w="1260" w:type="dxa"/>
            <w:tcBorders>
              <w:top w:val="single" w:sz="4" w:space="0" w:color="auto"/>
              <w:left w:val="single" w:sz="4" w:space="0" w:color="auto"/>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10,28%</w:t>
            </w:r>
          </w:p>
        </w:tc>
        <w:tc>
          <w:tcPr>
            <w:tcW w:w="1160" w:type="dxa"/>
            <w:tcBorders>
              <w:top w:val="single" w:sz="4" w:space="0" w:color="auto"/>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9,71%</w:t>
            </w:r>
          </w:p>
        </w:tc>
        <w:tc>
          <w:tcPr>
            <w:tcW w:w="1260" w:type="dxa"/>
            <w:tcBorders>
              <w:top w:val="single" w:sz="4" w:space="0" w:color="auto"/>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8,90%</w:t>
            </w:r>
          </w:p>
        </w:tc>
        <w:tc>
          <w:tcPr>
            <w:tcW w:w="1380" w:type="dxa"/>
            <w:tcBorders>
              <w:top w:val="nil"/>
              <w:left w:val="single" w:sz="4" w:space="0" w:color="auto"/>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8,99%</w:t>
            </w:r>
          </w:p>
        </w:tc>
      </w:tr>
      <w:tr w:rsidR="00717DE7" w:rsidRPr="00717DE7" w:rsidTr="00717DE7">
        <w:trPr>
          <w:trHeight w:val="330"/>
          <w:jc w:val="center"/>
        </w:trPr>
        <w:tc>
          <w:tcPr>
            <w:tcW w:w="154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2.ª Instância</w:t>
            </w:r>
          </w:p>
        </w:tc>
        <w:tc>
          <w:tcPr>
            <w:tcW w:w="12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1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2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r>
      <w:tr w:rsidR="00717DE7" w:rsidRPr="00717DE7" w:rsidTr="00717DE7">
        <w:trPr>
          <w:trHeight w:val="40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Valor base (1991)</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2,02</w:t>
            </w:r>
          </w:p>
        </w:tc>
        <w:tc>
          <w:tcPr>
            <w:tcW w:w="11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0,35</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1,72</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4,10</w:t>
            </w:r>
          </w:p>
        </w:tc>
      </w:tr>
      <w:tr w:rsidR="00717DE7" w:rsidRPr="00717DE7" w:rsidTr="00717DE7">
        <w:trPr>
          <w:trHeight w:val="40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xml:space="preserve">Taxa de crescimento </w:t>
            </w:r>
          </w:p>
        </w:tc>
        <w:tc>
          <w:tcPr>
            <w:tcW w:w="1260" w:type="dxa"/>
            <w:tcBorders>
              <w:top w:val="single" w:sz="4" w:space="0" w:color="auto"/>
              <w:left w:val="single" w:sz="4" w:space="0" w:color="auto"/>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9,81%</w:t>
            </w:r>
          </w:p>
        </w:tc>
        <w:tc>
          <w:tcPr>
            <w:tcW w:w="1160" w:type="dxa"/>
            <w:tcBorders>
              <w:top w:val="single" w:sz="4" w:space="0" w:color="auto"/>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11,35%</w:t>
            </w:r>
          </w:p>
        </w:tc>
        <w:tc>
          <w:tcPr>
            <w:tcW w:w="1260" w:type="dxa"/>
            <w:tcBorders>
              <w:top w:val="single" w:sz="4" w:space="0" w:color="auto"/>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9,51%</w:t>
            </w:r>
          </w:p>
        </w:tc>
        <w:tc>
          <w:tcPr>
            <w:tcW w:w="1380" w:type="dxa"/>
            <w:tcBorders>
              <w:top w:val="nil"/>
              <w:left w:val="single" w:sz="4" w:space="0" w:color="auto"/>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9,54%</w:t>
            </w:r>
          </w:p>
        </w:tc>
      </w:tr>
      <w:tr w:rsidR="00717DE7" w:rsidRPr="00717DE7" w:rsidTr="00717DE7">
        <w:trPr>
          <w:trHeight w:val="330"/>
          <w:jc w:val="center"/>
        </w:trPr>
        <w:tc>
          <w:tcPr>
            <w:tcW w:w="154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18"/>
                <w:szCs w:val="18"/>
              </w:rPr>
            </w:pPr>
            <w:r w:rsidRPr="00717DE7">
              <w:rPr>
                <w:rFonts w:ascii="Perpetua" w:hAnsi="Perpetua"/>
                <w:b/>
                <w:bCs/>
                <w:color w:val="000000"/>
                <w:sz w:val="18"/>
                <w:szCs w:val="18"/>
              </w:rPr>
              <w:t>3.ª Instância</w:t>
            </w:r>
          </w:p>
        </w:tc>
        <w:tc>
          <w:tcPr>
            <w:tcW w:w="12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1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260" w:type="dxa"/>
            <w:tcBorders>
              <w:top w:val="single" w:sz="4" w:space="0" w:color="auto"/>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w:t>
            </w:r>
          </w:p>
        </w:tc>
      </w:tr>
      <w:tr w:rsidR="00717DE7" w:rsidRPr="00717DE7" w:rsidTr="00717DE7">
        <w:trPr>
          <w:trHeight w:val="405"/>
          <w:jc w:val="center"/>
        </w:trPr>
        <w:tc>
          <w:tcPr>
            <w:tcW w:w="154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Valor base (1991)</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0,50</w:t>
            </w:r>
          </w:p>
        </w:tc>
        <w:tc>
          <w:tcPr>
            <w:tcW w:w="11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0,08</w:t>
            </w:r>
          </w:p>
        </w:tc>
        <w:tc>
          <w:tcPr>
            <w:tcW w:w="12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0,51</w:t>
            </w:r>
          </w:p>
        </w:tc>
        <w:tc>
          <w:tcPr>
            <w:tcW w:w="138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1,09</w:t>
            </w:r>
          </w:p>
        </w:tc>
      </w:tr>
      <w:tr w:rsidR="00717DE7" w:rsidRPr="00717DE7" w:rsidTr="00717DE7">
        <w:trPr>
          <w:trHeight w:val="405"/>
          <w:jc w:val="center"/>
        </w:trPr>
        <w:tc>
          <w:tcPr>
            <w:tcW w:w="1540" w:type="dxa"/>
            <w:tcBorders>
              <w:top w:val="nil"/>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 xml:space="preserve">Taxa de crescimento </w:t>
            </w:r>
          </w:p>
        </w:tc>
        <w:tc>
          <w:tcPr>
            <w:tcW w:w="1260" w:type="dxa"/>
            <w:tcBorders>
              <w:top w:val="nil"/>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7,55%</w:t>
            </w:r>
          </w:p>
        </w:tc>
        <w:tc>
          <w:tcPr>
            <w:tcW w:w="1160" w:type="dxa"/>
            <w:tcBorders>
              <w:top w:val="nil"/>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8,64%</w:t>
            </w:r>
          </w:p>
        </w:tc>
        <w:tc>
          <w:tcPr>
            <w:tcW w:w="1260" w:type="dxa"/>
            <w:tcBorders>
              <w:top w:val="nil"/>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7,40%</w:t>
            </w:r>
          </w:p>
        </w:tc>
        <w:tc>
          <w:tcPr>
            <w:tcW w:w="1380" w:type="dxa"/>
            <w:tcBorders>
              <w:top w:val="nil"/>
              <w:left w:val="nil"/>
              <w:bottom w:val="nil"/>
              <w:right w:val="nil"/>
            </w:tcBorders>
            <w:shd w:val="clear" w:color="FFFFFF" w:fill="FFFFFF"/>
            <w:vAlign w:val="center"/>
          </w:tcPr>
          <w:p w:rsidR="00717DE7" w:rsidRPr="00717DE7" w:rsidRDefault="00717DE7" w:rsidP="00717DE7">
            <w:pPr>
              <w:jc w:val="center"/>
              <w:rPr>
                <w:rFonts w:ascii="Perpetua" w:hAnsi="Perpetua"/>
                <w:color w:val="000000"/>
                <w:sz w:val="18"/>
                <w:szCs w:val="18"/>
              </w:rPr>
            </w:pPr>
            <w:r w:rsidRPr="00717DE7">
              <w:rPr>
                <w:rFonts w:ascii="Perpetua" w:hAnsi="Perpetua"/>
                <w:color w:val="000000"/>
                <w:sz w:val="18"/>
                <w:szCs w:val="18"/>
              </w:rPr>
              <w:t>7,96%</w:t>
            </w:r>
          </w:p>
        </w:tc>
      </w:tr>
    </w:tbl>
    <w:p w:rsidR="00717DE7" w:rsidRDefault="00717DE7" w:rsidP="0080386E">
      <w:pPr>
        <w:pStyle w:val="Caption"/>
        <w:jc w:val="center"/>
        <w:rPr>
          <w:rFonts w:ascii="Perpetua" w:hAnsi="Perpetua"/>
          <w:b w:val="0"/>
          <w:sz w:val="18"/>
          <w:szCs w:val="18"/>
        </w:rPr>
      </w:pP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r w:rsidR="00D14731">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Na 2.ª instância, os coeficientes de utilização de factores produtivos são bastante diferentes dos observados na 1.ª instância, </w:t>
      </w:r>
      <w:r w:rsidR="00800500">
        <w:rPr>
          <w:rFonts w:ascii="Perpetua" w:hAnsi="Perpetua"/>
        </w:rPr>
        <w:t>verifican</w:t>
      </w:r>
      <w:r>
        <w:rPr>
          <w:rFonts w:ascii="Perpetua" w:hAnsi="Perpetua"/>
        </w:rPr>
        <w:t xml:space="preserve">do-se ao longo do período um rácio de 8 a 10 funcionários judiciais por cada 10 magistrados judiciais e </w:t>
      </w:r>
      <w:r w:rsidR="00800500">
        <w:rPr>
          <w:rFonts w:ascii="Perpetua" w:hAnsi="Perpetua"/>
        </w:rPr>
        <w:t>de</w:t>
      </w:r>
      <w:r>
        <w:rPr>
          <w:rFonts w:ascii="Perpetua" w:hAnsi="Perpetua"/>
        </w:rPr>
        <w:t xml:space="preserve"> 1 a 2 magistrados do M.P. por cada 10 magistrados judiciais. A 3.ª instância </w:t>
      </w:r>
      <w:r w:rsidR="00800500">
        <w:rPr>
          <w:rFonts w:ascii="Perpetua" w:hAnsi="Perpetua"/>
        </w:rPr>
        <w:t xml:space="preserve">(STJ) </w:t>
      </w:r>
      <w:r>
        <w:rPr>
          <w:rFonts w:ascii="Perpetua" w:hAnsi="Perpetua"/>
        </w:rPr>
        <w:t xml:space="preserve">apresenta uma estrutura de utilização de factores produtivos semelhante à da 2.ª instância, com um rácio de 1 funcionário judicial por magistrado judicial e de 2 magistrados do M.P. por cada 10 magistrados judiciais.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expansão da utilização de recursos humanos </w:t>
      </w:r>
      <w:r w:rsidR="00717DE7">
        <w:rPr>
          <w:rFonts w:ascii="Perpetua" w:hAnsi="Perpetua"/>
        </w:rPr>
        <w:t xml:space="preserve">pelo sistema </w:t>
      </w:r>
      <w:r>
        <w:rPr>
          <w:rFonts w:ascii="Perpetua" w:hAnsi="Perpetua"/>
        </w:rPr>
        <w:t xml:space="preserve">judicial por habitante ganha maior expressão se </w:t>
      </w:r>
      <w:r w:rsidR="00717DE7">
        <w:rPr>
          <w:rFonts w:ascii="Perpetua" w:hAnsi="Perpetua"/>
        </w:rPr>
        <w:t xml:space="preserve">for </w:t>
      </w:r>
      <w:r>
        <w:rPr>
          <w:rFonts w:ascii="Perpetua" w:hAnsi="Perpetua"/>
        </w:rPr>
        <w:t>compara</w:t>
      </w:r>
      <w:r w:rsidR="00717DE7">
        <w:rPr>
          <w:rFonts w:ascii="Perpetua" w:hAnsi="Perpetua"/>
        </w:rPr>
        <w:t xml:space="preserve">da </w:t>
      </w:r>
      <w:r>
        <w:rPr>
          <w:rFonts w:ascii="Perpetua" w:hAnsi="Perpetua"/>
        </w:rPr>
        <w:t>com a evolução do crescimento da procura judicial por habitante nas três instâncias de resolução de c</w:t>
      </w:r>
      <w:r w:rsidR="000A6808">
        <w:rPr>
          <w:rFonts w:ascii="Perpetua" w:hAnsi="Perpetua"/>
        </w:rPr>
        <w:t xml:space="preserve">onflitos do sistema judicial. Nos Quadros 2.1 e 2.2 </w:t>
      </w:r>
      <w:r>
        <w:rPr>
          <w:rFonts w:ascii="Perpetua" w:hAnsi="Perpetua"/>
        </w:rPr>
        <w:t>observa-se que, de 1991 a 2006, com excepção da 3.ª instância</w:t>
      </w:r>
      <w:r w:rsidR="00223166">
        <w:rPr>
          <w:rFonts w:ascii="Perpetua" w:hAnsi="Perpetua"/>
        </w:rPr>
        <w:t xml:space="preserve"> (</w:t>
      </w:r>
      <w:r>
        <w:rPr>
          <w:rFonts w:ascii="Perpetua" w:hAnsi="Perpetua"/>
        </w:rPr>
        <w:t>STJ</w:t>
      </w:r>
      <w:r w:rsidR="00223166">
        <w:rPr>
          <w:rFonts w:ascii="Perpetua" w:hAnsi="Perpetua"/>
        </w:rPr>
        <w:t>)</w:t>
      </w:r>
      <w:r>
        <w:rPr>
          <w:rFonts w:ascii="Perpetua" w:hAnsi="Perpetua"/>
        </w:rPr>
        <w:t xml:space="preserve">, a taxa média anual de crescimento da utilização de recursos humanos por habitante foi superior à taxa média anual de crescimento da procura judicial por habitante. Ao longo do período, o desfasamento entre o crescimento médio do uso de recursos humanos </w:t>
      </w:r>
      <w:r w:rsidRPr="00E17560">
        <w:rPr>
          <w:rFonts w:ascii="Perpetua" w:hAnsi="Perpetua"/>
          <w:i/>
        </w:rPr>
        <w:t>vis-à-vis</w:t>
      </w:r>
      <w:r>
        <w:rPr>
          <w:rFonts w:ascii="Perpetua" w:hAnsi="Perpetua"/>
        </w:rPr>
        <w:t xml:space="preserve"> o crescimento médio da procura judicial da 1.ª instância é de cerca de 8 pontos percentuais. Esta evolução </w:t>
      </w:r>
      <w:r w:rsidR="000A6808">
        <w:rPr>
          <w:rFonts w:ascii="Perpetua" w:hAnsi="Perpetua"/>
        </w:rPr>
        <w:t xml:space="preserve">sugere que se pode ter verificado uma </w:t>
      </w:r>
      <w:r>
        <w:rPr>
          <w:rFonts w:ascii="Perpetua" w:hAnsi="Perpetua"/>
        </w:rPr>
        <w:t>diminuição da produtividade total dos factores produtivos empregues na produção de servi</w:t>
      </w:r>
      <w:r w:rsidR="000A6808">
        <w:rPr>
          <w:rFonts w:ascii="Perpetua" w:hAnsi="Perpetua"/>
        </w:rPr>
        <w:t>ços judiciais de 1.ª instância.</w:t>
      </w:r>
    </w:p>
    <w:p w:rsidR="0080386E" w:rsidRDefault="0080386E" w:rsidP="0080386E">
      <w:pPr>
        <w:spacing w:line="360" w:lineRule="auto"/>
        <w:jc w:val="both"/>
        <w:rPr>
          <w:rFonts w:ascii="Perpetua" w:hAnsi="Perpetua"/>
        </w:rPr>
      </w:pPr>
    </w:p>
    <w:p w:rsidR="002B621E" w:rsidRDefault="002B621E" w:rsidP="0080386E">
      <w:pPr>
        <w:spacing w:line="360" w:lineRule="auto"/>
        <w:jc w:val="both"/>
        <w:rPr>
          <w:rFonts w:ascii="Perpetua" w:hAnsi="Perpetua"/>
        </w:rPr>
      </w:pPr>
    </w:p>
    <w:p w:rsidR="0080386E" w:rsidRDefault="003903D0" w:rsidP="002B621E">
      <w:pPr>
        <w:pStyle w:val="Caption"/>
        <w:jc w:val="center"/>
        <w:rPr>
          <w:rFonts w:ascii="Perpetua" w:hAnsi="Perpetua"/>
        </w:rPr>
      </w:pPr>
      <w:bookmarkStart w:id="45" w:name="_Toc215081938"/>
      <w:r>
        <w:rPr>
          <w:rFonts w:ascii="Perpetua" w:hAnsi="Perpetua"/>
        </w:rPr>
        <w:t>Quadro</w:t>
      </w:r>
      <w:r w:rsidR="002B621E" w:rsidRPr="002B621E">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2B621E" w:rsidRPr="002B621E">
        <w:rPr>
          <w:rFonts w:ascii="Perpetua" w:hAnsi="Perpetua"/>
        </w:rPr>
        <w:t xml:space="preserve"> </w:t>
      </w:r>
      <w:r w:rsidR="0080386E" w:rsidRPr="002B621E">
        <w:rPr>
          <w:rFonts w:ascii="Perpetua" w:hAnsi="Perpetua"/>
        </w:rPr>
        <w:t xml:space="preserve">– Taxa de variação anual média </w:t>
      </w:r>
      <w:r w:rsidR="00A54C6E" w:rsidRPr="002B621E">
        <w:rPr>
          <w:rFonts w:ascii="Perpetua" w:hAnsi="Perpetua"/>
        </w:rPr>
        <w:t xml:space="preserve">da procura judicial </w:t>
      </w:r>
      <w:r w:rsidR="00A54C6E">
        <w:rPr>
          <w:rFonts w:ascii="Perpetua" w:hAnsi="Perpetua"/>
        </w:rPr>
        <w:t xml:space="preserve">por 10.000 habitantes, </w:t>
      </w:r>
      <w:r w:rsidR="0080386E" w:rsidRPr="002B621E">
        <w:rPr>
          <w:rFonts w:ascii="Perpetua" w:hAnsi="Perpetua"/>
        </w:rPr>
        <w:t>1991-2006</w:t>
      </w:r>
      <w:r w:rsidR="00A54C6E">
        <w:rPr>
          <w:rStyle w:val="FootnoteReference"/>
          <w:rFonts w:ascii="Perpetua" w:hAnsi="Perpetua"/>
        </w:rPr>
        <w:footnoteReference w:id="41"/>
      </w:r>
      <w:bookmarkEnd w:id="45"/>
    </w:p>
    <w:p w:rsidR="002B621E" w:rsidRPr="002B621E" w:rsidRDefault="002B621E" w:rsidP="002B621E"/>
    <w:tbl>
      <w:tblPr>
        <w:tblW w:w="4880" w:type="dxa"/>
        <w:jc w:val="center"/>
        <w:tblInd w:w="55" w:type="dxa"/>
        <w:tblCellMar>
          <w:left w:w="70" w:type="dxa"/>
          <w:right w:w="70" w:type="dxa"/>
        </w:tblCellMar>
        <w:tblLook w:val="04A0"/>
      </w:tblPr>
      <w:tblGrid>
        <w:gridCol w:w="1500"/>
        <w:gridCol w:w="1160"/>
        <w:gridCol w:w="1100"/>
        <w:gridCol w:w="1120"/>
      </w:tblGrid>
      <w:tr w:rsidR="00717DE7" w:rsidRPr="00717DE7" w:rsidTr="00717DE7">
        <w:trPr>
          <w:trHeight w:val="585"/>
          <w:jc w:val="center"/>
        </w:trPr>
        <w:tc>
          <w:tcPr>
            <w:tcW w:w="150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 </w:t>
            </w:r>
          </w:p>
        </w:tc>
        <w:tc>
          <w:tcPr>
            <w:tcW w:w="116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 xml:space="preserve">Processos entrados </w:t>
            </w:r>
          </w:p>
        </w:tc>
        <w:tc>
          <w:tcPr>
            <w:tcW w:w="110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 xml:space="preserve">Injunções entradas </w:t>
            </w:r>
          </w:p>
        </w:tc>
        <w:tc>
          <w:tcPr>
            <w:tcW w:w="1120" w:type="dxa"/>
            <w:tcBorders>
              <w:top w:val="nil"/>
              <w:left w:val="nil"/>
              <w:bottom w:val="single" w:sz="4" w:space="0" w:color="auto"/>
              <w:right w:val="nil"/>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 xml:space="preserve">Inquéritos entrados </w:t>
            </w:r>
          </w:p>
        </w:tc>
      </w:tr>
      <w:tr w:rsidR="00717DE7" w:rsidRPr="00717DE7" w:rsidTr="00717DE7">
        <w:trPr>
          <w:trHeight w:val="330"/>
          <w:jc w:val="center"/>
        </w:trPr>
        <w:tc>
          <w:tcPr>
            <w:tcW w:w="150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1.ª Instância</w:t>
            </w:r>
          </w:p>
        </w:tc>
        <w:tc>
          <w:tcPr>
            <w:tcW w:w="1160" w:type="dxa"/>
            <w:tcBorders>
              <w:top w:val="single" w:sz="4" w:space="0" w:color="auto"/>
              <w:left w:val="single" w:sz="4" w:space="0" w:color="auto"/>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0,91%</w:t>
            </w:r>
          </w:p>
        </w:tc>
        <w:tc>
          <w:tcPr>
            <w:tcW w:w="1100" w:type="dxa"/>
            <w:tcBorders>
              <w:top w:val="single" w:sz="4" w:space="0" w:color="auto"/>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13,71%</w:t>
            </w:r>
          </w:p>
        </w:tc>
        <w:tc>
          <w:tcPr>
            <w:tcW w:w="1120" w:type="dxa"/>
            <w:tcBorders>
              <w:top w:val="nil"/>
              <w:left w:val="single" w:sz="4" w:space="0" w:color="auto"/>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2,33%</w:t>
            </w:r>
          </w:p>
        </w:tc>
      </w:tr>
      <w:tr w:rsidR="00717DE7" w:rsidRPr="00717DE7" w:rsidTr="00717DE7">
        <w:trPr>
          <w:trHeight w:val="330"/>
          <w:jc w:val="center"/>
        </w:trPr>
        <w:tc>
          <w:tcPr>
            <w:tcW w:w="150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2.ª Instância</w:t>
            </w:r>
          </w:p>
        </w:tc>
        <w:tc>
          <w:tcPr>
            <w:tcW w:w="1160" w:type="dxa"/>
            <w:tcBorders>
              <w:top w:val="nil"/>
              <w:left w:val="single" w:sz="4" w:space="0" w:color="auto"/>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4,03%</w:t>
            </w:r>
          </w:p>
        </w:tc>
        <w:tc>
          <w:tcPr>
            <w:tcW w:w="1100" w:type="dxa"/>
            <w:tcBorders>
              <w:top w:val="nil"/>
              <w:left w:val="nil"/>
              <w:bottom w:val="single" w:sz="4" w:space="0" w:color="auto"/>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w:t>
            </w:r>
          </w:p>
        </w:tc>
        <w:tc>
          <w:tcPr>
            <w:tcW w:w="1120" w:type="dxa"/>
            <w:tcBorders>
              <w:top w:val="nil"/>
              <w:left w:val="single" w:sz="4" w:space="0" w:color="auto"/>
              <w:bottom w:val="single" w:sz="4" w:space="0" w:color="auto"/>
              <w:right w:val="nil"/>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w:t>
            </w:r>
          </w:p>
        </w:tc>
      </w:tr>
      <w:tr w:rsidR="00717DE7" w:rsidRPr="00717DE7" w:rsidTr="00717DE7">
        <w:trPr>
          <w:trHeight w:val="330"/>
          <w:jc w:val="center"/>
        </w:trPr>
        <w:tc>
          <w:tcPr>
            <w:tcW w:w="1500" w:type="dxa"/>
            <w:tcBorders>
              <w:top w:val="nil"/>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b/>
                <w:bCs/>
                <w:color w:val="000000"/>
                <w:sz w:val="20"/>
                <w:szCs w:val="20"/>
              </w:rPr>
            </w:pPr>
            <w:r w:rsidRPr="00717DE7">
              <w:rPr>
                <w:rFonts w:ascii="Perpetua" w:hAnsi="Perpetua"/>
                <w:b/>
                <w:bCs/>
                <w:color w:val="000000"/>
                <w:sz w:val="20"/>
                <w:szCs w:val="20"/>
              </w:rPr>
              <w:t>3.ª Instância</w:t>
            </w:r>
          </w:p>
        </w:tc>
        <w:tc>
          <w:tcPr>
            <w:tcW w:w="1160" w:type="dxa"/>
            <w:tcBorders>
              <w:top w:val="single" w:sz="4" w:space="0" w:color="auto"/>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11,34%</w:t>
            </w:r>
          </w:p>
        </w:tc>
        <w:tc>
          <w:tcPr>
            <w:tcW w:w="1100" w:type="dxa"/>
            <w:tcBorders>
              <w:top w:val="single" w:sz="4" w:space="0" w:color="auto"/>
              <w:left w:val="nil"/>
              <w:bottom w:val="nil"/>
              <w:right w:val="single" w:sz="4" w:space="0" w:color="auto"/>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w:t>
            </w:r>
          </w:p>
        </w:tc>
        <w:tc>
          <w:tcPr>
            <w:tcW w:w="1120" w:type="dxa"/>
            <w:tcBorders>
              <w:top w:val="nil"/>
              <w:left w:val="nil"/>
              <w:bottom w:val="nil"/>
              <w:right w:val="nil"/>
            </w:tcBorders>
            <w:shd w:val="clear" w:color="FFFFFF" w:fill="FFFFFF"/>
            <w:vAlign w:val="center"/>
          </w:tcPr>
          <w:p w:rsidR="00717DE7" w:rsidRPr="00717DE7" w:rsidRDefault="00717DE7" w:rsidP="00717DE7">
            <w:pPr>
              <w:jc w:val="center"/>
              <w:rPr>
                <w:rFonts w:ascii="Perpetua" w:hAnsi="Perpetua"/>
                <w:color w:val="000000"/>
                <w:sz w:val="20"/>
                <w:szCs w:val="20"/>
              </w:rPr>
            </w:pPr>
            <w:r w:rsidRPr="00717DE7">
              <w:rPr>
                <w:rFonts w:ascii="Perpetua" w:hAnsi="Perpetua"/>
                <w:color w:val="000000"/>
                <w:sz w:val="20"/>
                <w:szCs w:val="20"/>
              </w:rPr>
              <w:t>-</w:t>
            </w:r>
          </w:p>
        </w:tc>
      </w:tr>
    </w:tbl>
    <w:p w:rsidR="0080386E" w:rsidRDefault="0080386E" w:rsidP="0080386E"/>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r w:rsidR="00A54C6E">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Pr>
        <w:spacing w:line="360" w:lineRule="auto"/>
        <w:jc w:val="both"/>
        <w:rPr>
          <w:rFonts w:ascii="Perpetua" w:hAnsi="Perpetua"/>
        </w:rPr>
      </w:pPr>
    </w:p>
    <w:p w:rsidR="0080386E" w:rsidRPr="0080386E" w:rsidRDefault="000043AA" w:rsidP="004B7547">
      <w:pPr>
        <w:pStyle w:val="Heading3"/>
      </w:pPr>
      <w:bookmarkStart w:id="46" w:name="_Toc206652058"/>
      <w:bookmarkStart w:id="47" w:name="_Toc220484459"/>
      <w:r>
        <w:t xml:space="preserve">2.3.5. </w:t>
      </w:r>
      <w:r w:rsidR="0080386E" w:rsidRPr="0080386E">
        <w:t>Serviços jurídicos</w:t>
      </w:r>
      <w:bookmarkEnd w:id="46"/>
      <w:bookmarkEnd w:id="47"/>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provisão de serviços </w:t>
      </w:r>
      <w:r w:rsidR="00A54C6E">
        <w:rPr>
          <w:rFonts w:ascii="Perpetua" w:hAnsi="Perpetua"/>
        </w:rPr>
        <w:t xml:space="preserve">de </w:t>
      </w:r>
      <w:r>
        <w:rPr>
          <w:rFonts w:ascii="Perpetua" w:hAnsi="Perpetua"/>
        </w:rPr>
        <w:t xml:space="preserve">resolução de </w:t>
      </w:r>
      <w:r w:rsidR="00223166">
        <w:rPr>
          <w:rFonts w:ascii="Perpetua" w:hAnsi="Perpetua"/>
        </w:rPr>
        <w:t xml:space="preserve">litígios </w:t>
      </w:r>
      <w:r w:rsidR="009D4D85">
        <w:rPr>
          <w:rFonts w:ascii="Perpetua" w:hAnsi="Perpetua"/>
        </w:rPr>
        <w:t xml:space="preserve">é condicionada pela </w:t>
      </w:r>
      <w:r>
        <w:rPr>
          <w:rFonts w:ascii="Perpetua" w:hAnsi="Perpetua"/>
        </w:rPr>
        <w:t>oferta de provisão de serviços jurídicos, designadamente os serviços desempenhados pelos solicitadores e os advogados. Os solicitadores</w:t>
      </w:r>
      <w:r w:rsidR="009D4D85">
        <w:rPr>
          <w:rFonts w:ascii="Perpetua" w:hAnsi="Perpetua"/>
        </w:rPr>
        <w:t xml:space="preserve"> e os advogados participam na resolução judicial através da representação, assessoria e execução de diligências em nome das partes. </w:t>
      </w:r>
      <w:r w:rsidR="00E254F0">
        <w:rPr>
          <w:rFonts w:ascii="Perpetua" w:hAnsi="Perpetua"/>
        </w:rPr>
        <w:t xml:space="preserve">Os </w:t>
      </w:r>
      <w:r w:rsidR="009D4D85">
        <w:rPr>
          <w:rFonts w:ascii="Perpetua" w:hAnsi="Perpetua"/>
        </w:rPr>
        <w:t>solicitadores</w:t>
      </w:r>
      <w:r w:rsidR="00E254F0">
        <w:rPr>
          <w:rFonts w:ascii="Perpetua" w:hAnsi="Perpetua"/>
        </w:rPr>
        <w:t xml:space="preserve"> </w:t>
      </w:r>
      <w:r w:rsidR="009D4D85">
        <w:rPr>
          <w:rFonts w:ascii="Perpetua" w:hAnsi="Perpetua"/>
        </w:rPr>
        <w:t>prestam</w:t>
      </w:r>
      <w:r w:rsidR="00E254F0">
        <w:rPr>
          <w:rFonts w:ascii="Perpetua" w:hAnsi="Perpetua"/>
        </w:rPr>
        <w:t xml:space="preserve"> às partes</w:t>
      </w:r>
      <w:r w:rsidR="009D4D85">
        <w:rPr>
          <w:rFonts w:ascii="Perpetua" w:hAnsi="Perpetua"/>
        </w:rPr>
        <w:t xml:space="preserve"> </w:t>
      </w:r>
      <w:r w:rsidR="00E254F0">
        <w:rPr>
          <w:rFonts w:ascii="Perpetua" w:hAnsi="Perpetua"/>
        </w:rPr>
        <w:t>serviços de procuradoria</w:t>
      </w:r>
      <w:r w:rsidR="009D4D85">
        <w:rPr>
          <w:rFonts w:ascii="Perpetua" w:hAnsi="Perpetua"/>
        </w:rPr>
        <w:t xml:space="preserve">, </w:t>
      </w:r>
      <w:r w:rsidR="00E254F0">
        <w:rPr>
          <w:rFonts w:ascii="Perpetua" w:hAnsi="Perpetua"/>
        </w:rPr>
        <w:t xml:space="preserve">nos quais se incluem </w:t>
      </w:r>
      <w:r w:rsidR="00BF551A">
        <w:rPr>
          <w:rFonts w:ascii="Perpetua" w:hAnsi="Perpetua"/>
        </w:rPr>
        <w:t xml:space="preserve">a </w:t>
      </w:r>
      <w:r w:rsidR="00E254F0">
        <w:rPr>
          <w:rFonts w:ascii="Perpetua" w:hAnsi="Perpetua"/>
        </w:rPr>
        <w:t xml:space="preserve">assessoria jurídica e a execução de </w:t>
      </w:r>
      <w:r>
        <w:rPr>
          <w:rFonts w:ascii="Perpetua" w:hAnsi="Perpetua"/>
        </w:rPr>
        <w:t xml:space="preserve">diligências </w:t>
      </w:r>
      <w:r w:rsidR="009525EB">
        <w:rPr>
          <w:rFonts w:ascii="Perpetua" w:hAnsi="Perpetua"/>
        </w:rPr>
        <w:t>em</w:t>
      </w:r>
      <w:r w:rsidR="009D4D85">
        <w:rPr>
          <w:rFonts w:ascii="Perpetua" w:hAnsi="Perpetua"/>
        </w:rPr>
        <w:t xml:space="preserve"> </w:t>
      </w:r>
      <w:r w:rsidR="009525EB">
        <w:rPr>
          <w:rFonts w:ascii="Perpetua" w:hAnsi="Perpetua"/>
        </w:rPr>
        <w:t>representação</w:t>
      </w:r>
      <w:r w:rsidR="00E254F0">
        <w:rPr>
          <w:rFonts w:ascii="Perpetua" w:hAnsi="Perpetua"/>
        </w:rPr>
        <w:t xml:space="preserve"> </w:t>
      </w:r>
      <w:r w:rsidR="00BF551A">
        <w:rPr>
          <w:rFonts w:ascii="Perpetua" w:hAnsi="Perpetua"/>
        </w:rPr>
        <w:t xml:space="preserve">das partes </w:t>
      </w:r>
      <w:r w:rsidR="00E254F0">
        <w:rPr>
          <w:rFonts w:ascii="Perpetua" w:hAnsi="Perpetua"/>
        </w:rPr>
        <w:t>junto dos tribunais e de outros serviços públicos. No caso</w:t>
      </w:r>
      <w:r w:rsidR="009525EB">
        <w:rPr>
          <w:rFonts w:ascii="Perpetua" w:hAnsi="Perpetua"/>
        </w:rPr>
        <w:t xml:space="preserve"> dos solicitadores de execução</w:t>
      </w:r>
      <w:r w:rsidR="009D4D85">
        <w:rPr>
          <w:rFonts w:ascii="Perpetua" w:hAnsi="Perpetua"/>
        </w:rPr>
        <w:t xml:space="preserve">, figura criada </w:t>
      </w:r>
      <w:r w:rsidR="00E254F0">
        <w:rPr>
          <w:rFonts w:ascii="Perpetua" w:hAnsi="Perpetua"/>
        </w:rPr>
        <w:t>pela</w:t>
      </w:r>
      <w:r w:rsidR="009D4D85">
        <w:rPr>
          <w:rFonts w:ascii="Perpetua" w:hAnsi="Perpetua"/>
        </w:rPr>
        <w:t xml:space="preserve"> Lei </w:t>
      </w:r>
      <w:r w:rsidR="009D4D85" w:rsidRPr="009D4D85">
        <w:rPr>
          <w:rFonts w:ascii="Perpetua" w:hAnsi="Perpetua"/>
          <w:color w:val="000000"/>
        </w:rPr>
        <w:t>nº 23/2002</w:t>
      </w:r>
      <w:r w:rsidR="009D4D85">
        <w:rPr>
          <w:rFonts w:ascii="Perpetua" w:hAnsi="Perpetua"/>
          <w:color w:val="000000"/>
        </w:rPr>
        <w:t>,</w:t>
      </w:r>
      <w:r w:rsidR="009D4D85" w:rsidRPr="009D4D85">
        <w:rPr>
          <w:rFonts w:ascii="Perpetua" w:hAnsi="Perpetua"/>
          <w:color w:val="000000"/>
        </w:rPr>
        <w:t xml:space="preserve"> de 21 de Agosto, </w:t>
      </w:r>
      <w:r w:rsidR="00E254F0">
        <w:rPr>
          <w:rFonts w:ascii="Perpetua" w:hAnsi="Perpetua"/>
          <w:color w:val="000000"/>
        </w:rPr>
        <w:t xml:space="preserve">os serviços de procuradoria consistem na execução </w:t>
      </w:r>
      <w:r w:rsidR="00223166">
        <w:rPr>
          <w:rFonts w:ascii="Perpetua" w:hAnsi="Perpetua"/>
          <w:color w:val="000000"/>
        </w:rPr>
        <w:t xml:space="preserve">de </w:t>
      </w:r>
      <w:r w:rsidR="009D4D85">
        <w:rPr>
          <w:rFonts w:ascii="Perpetua" w:hAnsi="Perpetua"/>
          <w:color w:val="000000"/>
        </w:rPr>
        <w:t>diligência</w:t>
      </w:r>
      <w:r w:rsidR="00E254F0">
        <w:rPr>
          <w:rFonts w:ascii="Perpetua" w:hAnsi="Perpetua"/>
          <w:color w:val="000000"/>
        </w:rPr>
        <w:t>s</w:t>
      </w:r>
      <w:r w:rsidR="009D4D85">
        <w:rPr>
          <w:rFonts w:ascii="Perpetua" w:hAnsi="Perpetua"/>
          <w:color w:val="000000"/>
        </w:rPr>
        <w:t xml:space="preserve"> por ordem de um juiz no âmbito da acção executiva</w:t>
      </w:r>
      <w:r w:rsidR="00E254F0">
        <w:rPr>
          <w:rStyle w:val="FootnoteReference"/>
          <w:rFonts w:ascii="Perpetua" w:hAnsi="Perpetua"/>
          <w:color w:val="000000"/>
        </w:rPr>
        <w:footnoteReference w:id="42"/>
      </w:r>
      <w:r w:rsidR="009D4D85">
        <w:rPr>
          <w:rFonts w:ascii="Perpetua" w:hAnsi="Perpetua"/>
          <w:color w:val="000000"/>
        </w:rPr>
        <w:t>. O</w:t>
      </w:r>
      <w:r>
        <w:rPr>
          <w:rFonts w:ascii="Perpetua" w:hAnsi="Perpetua"/>
        </w:rPr>
        <w:t>s advogados p</w:t>
      </w:r>
      <w:r w:rsidR="009A1ABD">
        <w:rPr>
          <w:rFonts w:ascii="Perpetua" w:hAnsi="Perpetua"/>
        </w:rPr>
        <w:t xml:space="preserve">restam </w:t>
      </w:r>
      <w:r w:rsidR="00F00426">
        <w:rPr>
          <w:rFonts w:ascii="Perpetua" w:hAnsi="Perpetua"/>
        </w:rPr>
        <w:t xml:space="preserve">serviços de </w:t>
      </w:r>
      <w:r w:rsidR="00D000FD">
        <w:rPr>
          <w:rFonts w:ascii="Perpetua" w:hAnsi="Perpetua"/>
        </w:rPr>
        <w:t>consultoria</w:t>
      </w:r>
      <w:r w:rsidR="009A1ABD">
        <w:rPr>
          <w:rFonts w:ascii="Perpetua" w:hAnsi="Perpetua"/>
        </w:rPr>
        <w:t xml:space="preserve"> jurídica </w:t>
      </w:r>
      <w:r w:rsidR="00F00426">
        <w:rPr>
          <w:rFonts w:ascii="Perpetua" w:hAnsi="Perpetua"/>
        </w:rPr>
        <w:t>e de representação das</w:t>
      </w:r>
      <w:r w:rsidR="009A1ABD">
        <w:rPr>
          <w:rFonts w:ascii="Perpetua" w:hAnsi="Perpetua"/>
        </w:rPr>
        <w:t xml:space="preserve"> partes </w:t>
      </w:r>
      <w:r w:rsidR="00F00426">
        <w:rPr>
          <w:rFonts w:ascii="Perpetua" w:hAnsi="Perpetua"/>
        </w:rPr>
        <w:t xml:space="preserve">junto do tribunal </w:t>
      </w:r>
      <w:r w:rsidR="00BF551A">
        <w:rPr>
          <w:rFonts w:ascii="Perpetua" w:hAnsi="Perpetua"/>
        </w:rPr>
        <w:t xml:space="preserve">e </w:t>
      </w:r>
      <w:r w:rsidR="00F00426">
        <w:rPr>
          <w:rFonts w:ascii="Perpetua" w:hAnsi="Perpetua"/>
        </w:rPr>
        <w:t>de outras autoridades públicas</w:t>
      </w:r>
      <w:r>
        <w:rPr>
          <w:rFonts w:ascii="Perpetua" w:hAnsi="Perpetua"/>
        </w:rPr>
        <w:t xml:space="preserve">. </w:t>
      </w:r>
      <w:r w:rsidR="00F00426">
        <w:rPr>
          <w:rFonts w:ascii="Perpetua" w:hAnsi="Perpetua"/>
        </w:rPr>
        <w:t>A importância da oferta de serviços jurídicos para a provisão de serviços judiciais justifica que se analise</w:t>
      </w:r>
      <w:r>
        <w:rPr>
          <w:rFonts w:ascii="Perpetua" w:hAnsi="Perpetua"/>
        </w:rPr>
        <w:t xml:space="preserve"> a evolução da oferta destas profissões jurídicas ao longo do período analisado.</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Ao longo do período, a oferta de serviços de consultoria jurídica cresceu de forma continuada, tendo o n</w:t>
      </w:r>
      <w:r w:rsidR="00BC70CB">
        <w:rPr>
          <w:rFonts w:ascii="Perpetua" w:hAnsi="Perpetua"/>
        </w:rPr>
        <w:t>úmero d</w:t>
      </w:r>
      <w:r>
        <w:rPr>
          <w:rFonts w:ascii="Perpetua" w:hAnsi="Perpetua"/>
        </w:rPr>
        <w:t xml:space="preserve">e advogados </w:t>
      </w:r>
      <w:proofErr w:type="gramStart"/>
      <w:r w:rsidR="00BF6760" w:rsidRPr="00BF6760">
        <w:rPr>
          <w:rFonts w:ascii="Perpetua" w:hAnsi="Perpetua"/>
          <w:i/>
        </w:rPr>
        <w:t>per capita</w:t>
      </w:r>
      <w:proofErr w:type="gramEnd"/>
      <w:r>
        <w:rPr>
          <w:rFonts w:ascii="Perpetua" w:hAnsi="Perpetua"/>
        </w:rPr>
        <w:t xml:space="preserve"> mais que duplicado, passando de cerca de 1</w:t>
      </w:r>
      <w:r w:rsidR="00A54C6E">
        <w:rPr>
          <w:rFonts w:ascii="Perpetua" w:hAnsi="Perpetua"/>
        </w:rPr>
        <w:t>0</w:t>
      </w:r>
      <w:r>
        <w:rPr>
          <w:rFonts w:ascii="Perpetua" w:hAnsi="Perpetua"/>
        </w:rPr>
        <w:t xml:space="preserve"> para 24</w:t>
      </w:r>
      <w:r w:rsidRPr="0033506B">
        <w:rPr>
          <w:rFonts w:ascii="Perpetua" w:hAnsi="Perpetua"/>
        </w:rPr>
        <w:t xml:space="preserve"> </w:t>
      </w:r>
      <w:r>
        <w:rPr>
          <w:rFonts w:ascii="Perpetua" w:hAnsi="Perpetua"/>
        </w:rPr>
        <w:t>advogados por 10.000 habitantes</w:t>
      </w:r>
      <w:r w:rsidRPr="0033506B">
        <w:rPr>
          <w:rFonts w:ascii="Perpetua" w:hAnsi="Perpetua"/>
        </w:rPr>
        <w:t xml:space="preserve"> </w:t>
      </w:r>
      <w:r>
        <w:rPr>
          <w:rFonts w:ascii="Perpetua" w:hAnsi="Perpetua"/>
        </w:rPr>
        <w:t xml:space="preserve">entre 1991 e 2006. </w:t>
      </w:r>
    </w:p>
    <w:p w:rsidR="0080386E" w:rsidRDefault="0080386E"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F00426" w:rsidRDefault="00F00426"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48" w:name="_Toc215081927"/>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9</w:t>
      </w:r>
      <w:r w:rsidR="0048473F">
        <w:rPr>
          <w:rFonts w:ascii="Perpetua" w:hAnsi="Perpetua"/>
        </w:rPr>
        <w:fldChar w:fldCharType="end"/>
      </w:r>
      <w:r w:rsidRPr="00A023D8">
        <w:rPr>
          <w:rFonts w:ascii="Perpetua" w:hAnsi="Perpetua"/>
        </w:rPr>
        <w:t xml:space="preserve"> </w:t>
      </w:r>
      <w:r w:rsidR="0080386E" w:rsidRPr="00A023D8">
        <w:rPr>
          <w:rFonts w:ascii="Perpetua" w:hAnsi="Perpetua"/>
        </w:rPr>
        <w:t>– Advogados por 10.000 habitantes</w:t>
      </w:r>
      <w:bookmarkEnd w:id="48"/>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810125" cy="2905125"/>
            <wp:effectExtent l="0" t="0" r="0" b="0"/>
            <wp:docPr id="12"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INE</w:t>
      </w:r>
      <w:r w:rsidR="00B16C5B">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 mesmo comportamento, embora m</w:t>
      </w:r>
      <w:r w:rsidR="00B16C5B">
        <w:rPr>
          <w:rFonts w:ascii="Perpetua" w:hAnsi="Perpetua"/>
        </w:rPr>
        <w:t xml:space="preserve">enos </w:t>
      </w:r>
      <w:r>
        <w:rPr>
          <w:rFonts w:ascii="Perpetua" w:hAnsi="Perpetua"/>
        </w:rPr>
        <w:t>pronunciado</w:t>
      </w:r>
      <w:r w:rsidR="00B16C5B">
        <w:rPr>
          <w:rFonts w:ascii="Perpetua" w:hAnsi="Perpetua"/>
        </w:rPr>
        <w:t>,</w:t>
      </w:r>
      <w:r>
        <w:rPr>
          <w:rFonts w:ascii="Perpetua" w:hAnsi="Perpetua"/>
        </w:rPr>
        <w:t xml:space="preserve"> é registado na oferta de serviços de </w:t>
      </w:r>
      <w:r w:rsidR="00F00426">
        <w:rPr>
          <w:rFonts w:ascii="Perpetua" w:hAnsi="Perpetua"/>
        </w:rPr>
        <w:t xml:space="preserve">procuradoria </w:t>
      </w:r>
      <w:r>
        <w:rPr>
          <w:rFonts w:ascii="Perpetua" w:hAnsi="Perpetua"/>
        </w:rPr>
        <w:t>jurídica, tendo o n</w:t>
      </w:r>
      <w:r w:rsidR="00B16C5B">
        <w:rPr>
          <w:rFonts w:ascii="Perpetua" w:hAnsi="Perpetua"/>
        </w:rPr>
        <w:t xml:space="preserve">úmero de </w:t>
      </w:r>
      <w:r>
        <w:rPr>
          <w:rFonts w:ascii="Perpetua" w:hAnsi="Perpetua"/>
        </w:rPr>
        <w:t xml:space="preserve">solicitadores </w:t>
      </w:r>
      <w:proofErr w:type="gramStart"/>
      <w:r w:rsidR="00BF6760" w:rsidRPr="00BF6760">
        <w:rPr>
          <w:rFonts w:ascii="Perpetua" w:hAnsi="Perpetua"/>
          <w:i/>
        </w:rPr>
        <w:t>per capita</w:t>
      </w:r>
      <w:proofErr w:type="gramEnd"/>
      <w:r>
        <w:rPr>
          <w:rFonts w:ascii="Perpetua" w:hAnsi="Perpetua"/>
        </w:rPr>
        <w:t xml:space="preserve"> mais que </w:t>
      </w:r>
      <w:r w:rsidR="00B16C5B">
        <w:rPr>
          <w:rFonts w:ascii="Perpetua" w:hAnsi="Perpetua"/>
        </w:rPr>
        <w:t>duplicado</w:t>
      </w:r>
      <w:r>
        <w:rPr>
          <w:rFonts w:ascii="Perpetua" w:hAnsi="Perpetua"/>
        </w:rPr>
        <w:t xml:space="preserve"> ao</w:t>
      </w:r>
      <w:r w:rsidR="00B16C5B">
        <w:rPr>
          <w:rFonts w:ascii="Perpetua" w:hAnsi="Perpetua"/>
        </w:rPr>
        <w:t xml:space="preserve"> longo do período, passando de 11</w:t>
      </w:r>
      <w:r>
        <w:rPr>
          <w:rFonts w:ascii="Perpetua" w:hAnsi="Perpetua"/>
        </w:rPr>
        <w:t xml:space="preserve"> para cerca de 23 solicitadores</w:t>
      </w:r>
      <w:r w:rsidRPr="0033506B">
        <w:rPr>
          <w:rFonts w:ascii="Perpetua" w:hAnsi="Perpetua"/>
        </w:rPr>
        <w:t xml:space="preserve"> </w:t>
      </w:r>
      <w:r>
        <w:rPr>
          <w:rFonts w:ascii="Perpetua" w:hAnsi="Perpetua"/>
        </w:rPr>
        <w:t xml:space="preserve">por 100.000 habitantes entre </w:t>
      </w:r>
      <w:r w:rsidR="00B16C5B">
        <w:rPr>
          <w:rFonts w:ascii="Perpetua" w:hAnsi="Perpetua"/>
        </w:rPr>
        <w:t>1991</w:t>
      </w:r>
      <w:r>
        <w:rPr>
          <w:rFonts w:ascii="Perpetua" w:hAnsi="Perpetua"/>
        </w:rPr>
        <w:t xml:space="preserve"> e 2006</w:t>
      </w:r>
      <w:r w:rsidR="00F00426">
        <w:rPr>
          <w:rStyle w:val="FootnoteReference"/>
          <w:rFonts w:ascii="Perpetua" w:hAnsi="Perpetua"/>
        </w:rPr>
        <w:footnoteReference w:id="43"/>
      </w:r>
      <w:r>
        <w:rPr>
          <w:rFonts w:ascii="Perpetua" w:hAnsi="Perpetua"/>
        </w:rPr>
        <w:t>.</w:t>
      </w:r>
    </w:p>
    <w:p w:rsidR="0080386E" w:rsidRDefault="0080386E" w:rsidP="0080386E">
      <w:pPr>
        <w:spacing w:line="360" w:lineRule="auto"/>
        <w:jc w:val="center"/>
        <w:rPr>
          <w:rFonts w:ascii="Perpetua" w:hAnsi="Perpetua"/>
        </w:rPr>
      </w:pPr>
    </w:p>
    <w:p w:rsidR="0080386E" w:rsidRPr="00A023D8" w:rsidRDefault="00A023D8" w:rsidP="00A023D8">
      <w:pPr>
        <w:pStyle w:val="Caption"/>
        <w:jc w:val="center"/>
        <w:rPr>
          <w:rFonts w:ascii="Perpetua" w:hAnsi="Perpetua"/>
        </w:rPr>
      </w:pPr>
      <w:bookmarkStart w:id="49" w:name="_Toc215081928"/>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10</w:t>
      </w:r>
      <w:r w:rsidR="0048473F">
        <w:rPr>
          <w:rFonts w:ascii="Perpetua" w:hAnsi="Perpetua"/>
        </w:rPr>
        <w:fldChar w:fldCharType="end"/>
      </w:r>
      <w:r w:rsidR="00B16C5B" w:rsidRPr="00A023D8">
        <w:rPr>
          <w:rFonts w:ascii="Perpetua" w:hAnsi="Perpetua"/>
        </w:rPr>
        <w:t xml:space="preserve"> </w:t>
      </w:r>
      <w:r w:rsidR="0080386E" w:rsidRPr="00A023D8">
        <w:rPr>
          <w:rFonts w:ascii="Perpetua" w:hAnsi="Perpetua"/>
        </w:rPr>
        <w:t>– Solicitadores por 100.000 habitantes</w:t>
      </w:r>
      <w:bookmarkEnd w:id="49"/>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848225" cy="2924175"/>
            <wp:effectExtent l="0" t="0" r="0" b="0"/>
            <wp:docPr id="13" name="Chart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INE</w:t>
      </w:r>
      <w:r w:rsidR="00B16C5B">
        <w:rPr>
          <w:rFonts w:ascii="Perpetua" w:hAnsi="Perpetua"/>
          <w:b w:val="0"/>
          <w:sz w:val="18"/>
          <w:szCs w:val="18"/>
        </w:rPr>
        <w:t xml:space="preserve"> e cálculos próprios</w:t>
      </w:r>
      <w:r>
        <w:rPr>
          <w:rFonts w:ascii="Perpetua" w:hAnsi="Perpetua"/>
          <w:b w:val="0"/>
          <w:sz w:val="18"/>
          <w:szCs w:val="18"/>
        </w:rPr>
        <w:t>.</w:t>
      </w:r>
    </w:p>
    <w:p w:rsidR="003307E7" w:rsidRPr="003307E7" w:rsidRDefault="003307E7" w:rsidP="003307E7">
      <w:bookmarkStart w:id="50" w:name="_Toc206652059"/>
    </w:p>
    <w:p w:rsidR="0080386E" w:rsidRPr="0080386E" w:rsidRDefault="000043AA" w:rsidP="004B7547">
      <w:pPr>
        <w:pStyle w:val="Heading3"/>
      </w:pPr>
      <w:bookmarkStart w:id="51" w:name="_Toc220484460"/>
      <w:r>
        <w:t xml:space="preserve">2.3.6. </w:t>
      </w:r>
      <w:r w:rsidR="0080386E" w:rsidRPr="0080386E">
        <w:t>Produtividade judicial e carga processual</w:t>
      </w:r>
      <w:bookmarkEnd w:id="50"/>
      <w:bookmarkEnd w:id="51"/>
      <w:r w:rsidR="0080386E" w:rsidRPr="0080386E">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Utilizando uma medida puramente quantitativa da produtividade judicial da 1.ª instância (volume de processos judiciais findos num ano sobre o volume anual de magistrados judiciais empregues nesse mesmo ano) observa-se ao longo do período analisado um decréscimo médio anual da produtividade judicial de 3,96%.</w:t>
      </w:r>
      <w:r w:rsidRPr="00647BA8">
        <w:rPr>
          <w:rFonts w:ascii="Perpetua" w:hAnsi="Perpetua"/>
        </w:rPr>
        <w:t xml:space="preserve"> </w:t>
      </w:r>
      <w:r>
        <w:rPr>
          <w:rFonts w:ascii="Perpetua" w:hAnsi="Perpetua"/>
        </w:rPr>
        <w:t>A redução média anual da carga judicial dos magistrados judiciais (soma do volume de processos entrados num ano e do volume de processos pendentes no início desse mesmo ano sobre o número de magistrados judiciais utilizados pelo sistema judicial nesse ano) foi de 2,76% durante o período analisado.</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52" w:name="_Toc215081929"/>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11</w:t>
      </w:r>
      <w:r w:rsidR="0048473F">
        <w:rPr>
          <w:rFonts w:ascii="Perpetua" w:hAnsi="Perpetua"/>
        </w:rPr>
        <w:fldChar w:fldCharType="end"/>
      </w:r>
      <w:r w:rsidR="0080386E" w:rsidRPr="00A023D8">
        <w:rPr>
          <w:rFonts w:ascii="Perpetua" w:hAnsi="Perpetua"/>
        </w:rPr>
        <w:t xml:space="preserve"> – Evolução da produtividade judicial e da carga processual na 1.ª instância do sistema judicial</w:t>
      </w:r>
      <w:bookmarkEnd w:id="52"/>
    </w:p>
    <w:p w:rsidR="0080386E" w:rsidRDefault="003926F6" w:rsidP="0080386E">
      <w:pPr>
        <w:spacing w:line="360" w:lineRule="auto"/>
        <w:jc w:val="center"/>
        <w:rPr>
          <w:rFonts w:ascii="Perpetua" w:hAnsi="Perpetua"/>
        </w:rPr>
      </w:pPr>
      <w:r w:rsidRPr="00787B7F">
        <w:rPr>
          <w:rFonts w:ascii="Perpetua" w:hAnsi="Perpetua"/>
          <w:noProof/>
        </w:rPr>
        <w:object w:dxaOrig="7533" w:dyaOrig="4945">
          <v:shape id="_x0000_i1031" type="#_x0000_t75" style="width:377pt;height:247pt" o:ole="">
            <v:imagedata r:id="rId26" o:title=""/>
          </v:shape>
          <o:OLEObject Type="Embed" ProgID="Excel.Sheet.12" ShapeID="_x0000_i1031" DrawAspect="Content" ObjectID="_1294230248" r:id="rId27"/>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r w:rsidR="003B4AE8">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Uma análise desagregada da produtividade judicial e da carga processual por área processual permite-nos concluir que a sua evolução não é uniforme para todos os subsectores do sistema judicial. Analisando separadamente às áreas processuais laboral, tutelar e o conjunto das áreas processuais cível e penal</w:t>
      </w:r>
      <w:r>
        <w:rPr>
          <w:rStyle w:val="FootnoteReference"/>
          <w:rFonts w:ascii="Perpetua" w:hAnsi="Perpetua"/>
        </w:rPr>
        <w:footnoteReference w:id="44"/>
      </w:r>
      <w:r>
        <w:rPr>
          <w:rFonts w:ascii="Perpetua" w:hAnsi="Perpetua"/>
        </w:rPr>
        <w:t xml:space="preserve"> (doravante, Cível </w:t>
      </w:r>
      <w:r w:rsidR="003A79EC">
        <w:rPr>
          <w:rFonts w:ascii="Perpetua" w:hAnsi="Perpetua"/>
        </w:rPr>
        <w:t>e</w:t>
      </w:r>
      <w:r>
        <w:rPr>
          <w:rFonts w:ascii="Perpetua" w:hAnsi="Perpetua"/>
        </w:rPr>
        <w:t xml:space="preserve"> Penal), observa-se que apenas o perfil da evolução das produtividades e cargas processuais da área processual Cível </w:t>
      </w:r>
      <w:r w:rsidR="003A79EC">
        <w:rPr>
          <w:rFonts w:ascii="Perpetua" w:hAnsi="Perpetua"/>
        </w:rPr>
        <w:t>e</w:t>
      </w:r>
      <w:r>
        <w:rPr>
          <w:rFonts w:ascii="Perpetua" w:hAnsi="Perpetua"/>
        </w:rPr>
        <w:t xml:space="preserve"> Penal é consentâneo com o perfil do desajustamento entre a procura e oferta da globalidade da 1.ª instância do sistema judicial. As áreas processuais laboral e tutelar verificaram taxas </w:t>
      </w:r>
      <w:r w:rsidR="00717DE7">
        <w:rPr>
          <w:rFonts w:ascii="Perpetua" w:hAnsi="Perpetua"/>
        </w:rPr>
        <w:t xml:space="preserve">anuais </w:t>
      </w:r>
      <w:r>
        <w:rPr>
          <w:rFonts w:ascii="Perpetua" w:hAnsi="Perpetua"/>
        </w:rPr>
        <w:t>de crescimento médio da produtividade judicial e da carga processual positivas ao longo do período, ao passo que a conjunção das áreas processuais cível e penal registou variações médias</w:t>
      </w:r>
      <w:r w:rsidRPr="005026D2">
        <w:rPr>
          <w:rFonts w:ascii="Perpetua" w:hAnsi="Perpetua"/>
        </w:rPr>
        <w:t xml:space="preserve"> </w:t>
      </w:r>
      <w:r>
        <w:rPr>
          <w:rFonts w:ascii="Perpetua" w:hAnsi="Perpetua"/>
        </w:rPr>
        <w:t>anuais negativas ao longo do período. Esta observação reforça a</w:t>
      </w:r>
      <w:r w:rsidR="00717DE7">
        <w:rPr>
          <w:rFonts w:ascii="Perpetua" w:hAnsi="Perpetua"/>
        </w:rPr>
        <w:t>s conclusões</w:t>
      </w:r>
      <w:r>
        <w:rPr>
          <w:rFonts w:ascii="Perpetua" w:hAnsi="Perpetua"/>
        </w:rPr>
        <w:t xml:space="preserve"> </w:t>
      </w:r>
      <w:r w:rsidR="00717DE7">
        <w:rPr>
          <w:rFonts w:ascii="Perpetua" w:hAnsi="Perpetua"/>
        </w:rPr>
        <w:t xml:space="preserve">da </w:t>
      </w:r>
      <w:r>
        <w:rPr>
          <w:rFonts w:ascii="Perpetua" w:hAnsi="Perpetua"/>
        </w:rPr>
        <w:t xml:space="preserve">análise </w:t>
      </w:r>
      <w:r w:rsidR="00717DE7">
        <w:rPr>
          <w:rFonts w:ascii="Perpetua" w:hAnsi="Perpetua"/>
        </w:rPr>
        <w:t xml:space="preserve">efectuada no ponto 2.3.2., designadamente </w:t>
      </w:r>
      <w:r>
        <w:rPr>
          <w:rFonts w:ascii="Perpetua" w:hAnsi="Perpetua"/>
        </w:rPr>
        <w:t xml:space="preserve">que o problema do sistema judicial </w:t>
      </w:r>
      <w:r w:rsidR="00717DE7">
        <w:rPr>
          <w:rFonts w:ascii="Perpetua" w:hAnsi="Perpetua"/>
        </w:rPr>
        <w:t>reside sobretudo n</w:t>
      </w:r>
      <w:r>
        <w:rPr>
          <w:rFonts w:ascii="Perpetua" w:hAnsi="Perpetua"/>
        </w:rPr>
        <w:t xml:space="preserve">a justiça cível e, em menor escala, </w:t>
      </w:r>
      <w:r w:rsidR="00717DE7">
        <w:rPr>
          <w:rFonts w:ascii="Perpetua" w:hAnsi="Perpetua"/>
        </w:rPr>
        <w:t xml:space="preserve">na </w:t>
      </w:r>
      <w:r>
        <w:rPr>
          <w:rFonts w:ascii="Perpetua" w:hAnsi="Perpetua"/>
        </w:rPr>
        <w:t xml:space="preserve">justiça penal.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A análise de uma medida indirecta da produtividade judicial na área processual laboral</w:t>
      </w:r>
      <w:r>
        <w:rPr>
          <w:rStyle w:val="FootnoteReference"/>
          <w:rFonts w:ascii="Perpetua" w:hAnsi="Perpetua"/>
        </w:rPr>
        <w:footnoteReference w:id="45"/>
      </w:r>
      <w:r>
        <w:rPr>
          <w:rFonts w:ascii="Perpetua" w:hAnsi="Perpetua"/>
        </w:rPr>
        <w:t>ao longo do período demonstra que, neste subsector, a produtividade judicial cresceu</w:t>
      </w:r>
      <w:r w:rsidR="00DA064D">
        <w:rPr>
          <w:rFonts w:ascii="Perpetua" w:hAnsi="Perpetua"/>
        </w:rPr>
        <w:t xml:space="preserve"> anualmente</w:t>
      </w:r>
      <w:r>
        <w:rPr>
          <w:rFonts w:ascii="Perpetua" w:hAnsi="Perpetua"/>
        </w:rPr>
        <w:t xml:space="preserve">, em média, 11,6%, tendo a carga processual observado uma taxa de crescimento médio anual de 11,2%.  </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53" w:name="_Toc215081930"/>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12</w:t>
      </w:r>
      <w:r w:rsidR="0048473F">
        <w:rPr>
          <w:rFonts w:ascii="Perpetua" w:hAnsi="Perpetua"/>
        </w:rPr>
        <w:fldChar w:fldCharType="end"/>
      </w:r>
      <w:r w:rsidR="003B4AE8" w:rsidRPr="00A023D8">
        <w:rPr>
          <w:rFonts w:ascii="Perpetua" w:hAnsi="Perpetua"/>
        </w:rPr>
        <w:t xml:space="preserve"> </w:t>
      </w:r>
      <w:r w:rsidR="0080386E" w:rsidRPr="00A023D8">
        <w:rPr>
          <w:rFonts w:ascii="Perpetua" w:hAnsi="Perpetua"/>
        </w:rPr>
        <w:t>– Produtividade judicial e carga processual na área processual laboral</w:t>
      </w:r>
      <w:bookmarkEnd w:id="53"/>
    </w:p>
    <w:p w:rsidR="0080386E" w:rsidRDefault="003926F6" w:rsidP="0080386E">
      <w:pPr>
        <w:spacing w:line="360" w:lineRule="auto"/>
        <w:jc w:val="center"/>
        <w:rPr>
          <w:rFonts w:ascii="Perpetua" w:hAnsi="Perpetua"/>
        </w:rPr>
      </w:pPr>
      <w:r w:rsidRPr="00787B7F">
        <w:rPr>
          <w:rFonts w:ascii="Perpetua" w:hAnsi="Perpetua"/>
          <w:noProof/>
        </w:rPr>
        <w:object w:dxaOrig="7519" w:dyaOrig="4765">
          <v:shape id="_x0000_i1032" type="#_x0000_t75" style="width:376pt;height:238pt" o:ole="">
            <v:imagedata r:id="rId28" o:title=""/>
          </v:shape>
          <o:OLEObject Type="Embed" ProgID="Excel.Sheet.12" ShapeID="_x0000_i1032" DrawAspect="Content" ObjectID="_1294230249" r:id="rId29"/>
        </w:object>
      </w:r>
    </w:p>
    <w:p w:rsidR="0080386E" w:rsidRPr="00E67308" w:rsidRDefault="0080386E" w:rsidP="0080386E">
      <w:pPr>
        <w:pStyle w:val="Caption"/>
        <w:jc w:val="center"/>
        <w:rPr>
          <w:rFonts w:ascii="Perpetua" w:hAnsi="Perpetua"/>
          <w:b w:val="0"/>
          <w:sz w:val="18"/>
          <w:szCs w:val="18"/>
        </w:rPr>
      </w:pPr>
      <w:r w:rsidRPr="00E67308">
        <w:rPr>
          <w:rFonts w:ascii="Perpetua" w:hAnsi="Perpetua"/>
          <w:b w:val="0"/>
          <w:sz w:val="18"/>
          <w:szCs w:val="18"/>
        </w:rPr>
        <w:t>Fonte</w:t>
      </w:r>
      <w:r>
        <w:rPr>
          <w:rFonts w:ascii="Perpetua" w:hAnsi="Perpetua"/>
          <w:b w:val="0"/>
          <w:sz w:val="18"/>
          <w:szCs w:val="18"/>
        </w:rPr>
        <w:t>: Estatísticas da Justiça</w:t>
      </w:r>
      <w:r w:rsidR="003B4AE8">
        <w:rPr>
          <w:rFonts w:ascii="Perpetua" w:hAnsi="Perpetua"/>
          <w:b w:val="0"/>
          <w:sz w:val="18"/>
          <w:szCs w:val="18"/>
        </w:rPr>
        <w:t xml:space="preserve"> e cálculos próprios</w:t>
      </w:r>
      <w:r>
        <w:rPr>
          <w:rFonts w:ascii="Perpetua" w:hAnsi="Perpetua"/>
          <w:b w:val="0"/>
          <w:sz w:val="18"/>
          <w:szCs w:val="18"/>
        </w:rPr>
        <w:t>.</w:t>
      </w:r>
    </w:p>
    <w:p w:rsidR="0080386E" w:rsidRDefault="0080386E" w:rsidP="0080386E">
      <w:pPr>
        <w:spacing w:line="360" w:lineRule="auto"/>
        <w:jc w:val="center"/>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análise de medidas, igualmente indirectas, da produtividade judicial e </w:t>
      </w:r>
      <w:r w:rsidR="00F00426">
        <w:rPr>
          <w:rFonts w:ascii="Perpetua" w:hAnsi="Perpetua"/>
        </w:rPr>
        <w:t xml:space="preserve">da </w:t>
      </w:r>
      <w:r>
        <w:rPr>
          <w:rFonts w:ascii="Perpetua" w:hAnsi="Perpetua"/>
        </w:rPr>
        <w:t xml:space="preserve">carga processual da área </w:t>
      </w:r>
      <w:r w:rsidR="00203A89">
        <w:rPr>
          <w:rFonts w:ascii="Perpetua" w:hAnsi="Perpetua"/>
        </w:rPr>
        <w:t xml:space="preserve">processual </w:t>
      </w:r>
      <w:r>
        <w:rPr>
          <w:rFonts w:ascii="Perpetua" w:hAnsi="Perpetua"/>
        </w:rPr>
        <w:t xml:space="preserve">tutelar permitem alcançar uma conclusão semelhante, embora o erro </w:t>
      </w:r>
      <w:r w:rsidR="00DA064D">
        <w:rPr>
          <w:rFonts w:ascii="Perpetua" w:hAnsi="Perpetua"/>
        </w:rPr>
        <w:t>associado às</w:t>
      </w:r>
      <w:r>
        <w:rPr>
          <w:rFonts w:ascii="Perpetua" w:hAnsi="Perpetua"/>
        </w:rPr>
        <w:t xml:space="preserve"> medidas para a área tutelar</w:t>
      </w:r>
      <w:r>
        <w:rPr>
          <w:rStyle w:val="FootnoteReference"/>
          <w:rFonts w:ascii="Perpetua" w:hAnsi="Perpetua"/>
        </w:rPr>
        <w:footnoteReference w:id="46"/>
      </w:r>
      <w:r>
        <w:rPr>
          <w:rFonts w:ascii="Perpetua" w:hAnsi="Perpetua"/>
        </w:rPr>
        <w:t xml:space="preserve"> obriguem a maior cautela na leitura do resultado. De acordo com as medidas indirectas referidas, a produtividade judicial e</w:t>
      </w:r>
      <w:r w:rsidR="00F00426">
        <w:rPr>
          <w:rFonts w:ascii="Perpetua" w:hAnsi="Perpetua"/>
        </w:rPr>
        <w:t xml:space="preserve"> a</w:t>
      </w:r>
      <w:r>
        <w:rPr>
          <w:rFonts w:ascii="Perpetua" w:hAnsi="Perpetua"/>
        </w:rPr>
        <w:t xml:space="preserve"> carga processual </w:t>
      </w:r>
      <w:r w:rsidR="00DA064D">
        <w:rPr>
          <w:rFonts w:ascii="Perpetua" w:hAnsi="Perpetua"/>
        </w:rPr>
        <w:t xml:space="preserve">anuais </w:t>
      </w:r>
      <w:r>
        <w:rPr>
          <w:rFonts w:ascii="Perpetua" w:hAnsi="Perpetua"/>
        </w:rPr>
        <w:t>da área tutelar cresceram</w:t>
      </w:r>
      <w:r w:rsidR="00857017">
        <w:rPr>
          <w:rFonts w:ascii="Perpetua" w:hAnsi="Perpetua"/>
        </w:rPr>
        <w:t>,</w:t>
      </w:r>
      <w:r>
        <w:rPr>
          <w:rFonts w:ascii="Perpetua" w:hAnsi="Perpetua"/>
        </w:rPr>
        <w:t xml:space="preserve"> em média</w:t>
      </w:r>
      <w:r w:rsidR="00857017">
        <w:rPr>
          <w:rFonts w:ascii="Perpetua" w:hAnsi="Perpetua"/>
        </w:rPr>
        <w:t>,</w:t>
      </w:r>
      <w:r>
        <w:rPr>
          <w:rFonts w:ascii="Perpetua" w:hAnsi="Perpetua"/>
        </w:rPr>
        <w:t xml:space="preserve"> 17% ao longo do período analisado.</w:t>
      </w:r>
    </w:p>
    <w:p w:rsidR="0080386E" w:rsidRDefault="0080386E"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54" w:name="_Toc215081931"/>
      <w:r w:rsidRPr="00A023D8">
        <w:rPr>
          <w:rFonts w:ascii="Perpetua" w:hAnsi="Perpetua"/>
        </w:rPr>
        <w:t xml:space="preserve">Gráfico </w:t>
      </w:r>
      <w:r w:rsidR="0048473F">
        <w:rPr>
          <w:rFonts w:ascii="Perpetua" w:hAnsi="Perpetua"/>
        </w:rPr>
        <w:fldChar w:fldCharType="begin"/>
      </w:r>
      <w:r>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w:t>
      </w:r>
      <w:r w:rsidR="0048473F">
        <w:rPr>
          <w:rFonts w:ascii="Perpetua" w:hAnsi="Perpetua"/>
        </w:rPr>
        <w:fldChar w:fldCharType="begin"/>
      </w:r>
      <w:r>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13</w:t>
      </w:r>
      <w:r w:rsidR="0048473F">
        <w:rPr>
          <w:rFonts w:ascii="Perpetua" w:hAnsi="Perpetua"/>
        </w:rPr>
        <w:fldChar w:fldCharType="end"/>
      </w:r>
      <w:r w:rsidR="0080386E" w:rsidRPr="00A023D8">
        <w:rPr>
          <w:rFonts w:ascii="Perpetua" w:hAnsi="Perpetua"/>
        </w:rPr>
        <w:t xml:space="preserve"> – Produtividade judicial e carga processual tutelar</w:t>
      </w:r>
      <w:bookmarkEnd w:id="54"/>
    </w:p>
    <w:p w:rsidR="0080386E" w:rsidRDefault="00C82BCA" w:rsidP="0080386E">
      <w:pPr>
        <w:spacing w:line="360" w:lineRule="auto"/>
        <w:jc w:val="center"/>
        <w:rPr>
          <w:rFonts w:ascii="Perpetua" w:hAnsi="Perpetua"/>
        </w:rPr>
      </w:pPr>
      <w:r>
        <w:rPr>
          <w:rFonts w:ascii="Perpetua" w:hAnsi="Perpetua"/>
          <w:noProof/>
        </w:rPr>
        <w:drawing>
          <wp:inline distT="0" distB="0" distL="0" distR="0">
            <wp:extent cx="4800600" cy="3143250"/>
            <wp:effectExtent l="0" t="0" r="0" b="0"/>
            <wp:docPr id="16" name="Char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0386E" w:rsidRPr="002348C0" w:rsidRDefault="0080386E" w:rsidP="0080386E">
      <w:pPr>
        <w:spacing w:line="360" w:lineRule="auto"/>
        <w:jc w:val="center"/>
        <w:rPr>
          <w:rFonts w:ascii="Perpetua" w:hAnsi="Perpetua"/>
        </w:rPr>
      </w:pPr>
      <w:r w:rsidRPr="002348C0">
        <w:rPr>
          <w:rFonts w:ascii="Perpetua" w:hAnsi="Perpetua"/>
          <w:sz w:val="18"/>
          <w:szCs w:val="18"/>
        </w:rPr>
        <w:t>Fonte: Estatísticas da Justiça</w:t>
      </w:r>
      <w:r w:rsidR="003B4AE8">
        <w:rPr>
          <w:rFonts w:ascii="Perpetua" w:hAnsi="Perpetua"/>
          <w:sz w:val="18"/>
          <w:szCs w:val="18"/>
        </w:rPr>
        <w:t xml:space="preserve"> e cálculos próprios.</w:t>
      </w:r>
    </w:p>
    <w:p w:rsidR="00FB46E3" w:rsidRDefault="00FB46E3"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Por fim, a análise de medidas indirectas da produtividade judicial e da carga processual do conjunto das áreas processuais cível e penal</w:t>
      </w:r>
      <w:r>
        <w:rPr>
          <w:rStyle w:val="FootnoteReference"/>
          <w:rFonts w:ascii="Perpetua" w:hAnsi="Perpetua"/>
        </w:rPr>
        <w:footnoteReference w:id="47"/>
      </w:r>
      <w:r>
        <w:rPr>
          <w:rFonts w:ascii="Perpetua" w:hAnsi="Perpetua"/>
        </w:rPr>
        <w:t>, permite-nos concluir que a evolu</w:t>
      </w:r>
      <w:r w:rsidR="00DA064D">
        <w:rPr>
          <w:rFonts w:ascii="Perpetua" w:hAnsi="Perpetua"/>
        </w:rPr>
        <w:t>ção destas áreas processuais é</w:t>
      </w:r>
      <w:r>
        <w:rPr>
          <w:rFonts w:ascii="Perpetua" w:hAnsi="Perpetua"/>
        </w:rPr>
        <w:t xml:space="preserve"> </w:t>
      </w:r>
      <w:r w:rsidR="00DA064D">
        <w:rPr>
          <w:rFonts w:ascii="Perpetua" w:hAnsi="Perpetua"/>
        </w:rPr>
        <w:t>responsável pela e</w:t>
      </w:r>
      <w:r>
        <w:rPr>
          <w:rFonts w:ascii="Perpetua" w:hAnsi="Perpetua"/>
        </w:rPr>
        <w:t xml:space="preserve">volução </w:t>
      </w:r>
      <w:r w:rsidR="00DA064D">
        <w:rPr>
          <w:rFonts w:ascii="Perpetua" w:hAnsi="Perpetua"/>
        </w:rPr>
        <w:t xml:space="preserve">negativa </w:t>
      </w:r>
      <w:r>
        <w:rPr>
          <w:rFonts w:ascii="Perpetua" w:hAnsi="Perpetua"/>
        </w:rPr>
        <w:t>da produtividade judicial e da carga processual da 1.ª instância do sistema judicial ao longo do período, o que resulta do seu maior peso quer na movimentação processual quer na utilização de recursos humanos. Com efeito, de 1992 a 2006</w:t>
      </w:r>
      <w:r w:rsidR="00857017">
        <w:rPr>
          <w:rFonts w:ascii="Perpetua" w:hAnsi="Perpetua"/>
        </w:rPr>
        <w:t>,</w:t>
      </w:r>
      <w:r>
        <w:rPr>
          <w:rFonts w:ascii="Perpetua" w:hAnsi="Perpetua"/>
        </w:rPr>
        <w:t xml:space="preserve"> as taxas de crescimento médio </w:t>
      </w:r>
      <w:r w:rsidR="00DA064D">
        <w:rPr>
          <w:rFonts w:ascii="Perpetua" w:hAnsi="Perpetua"/>
        </w:rPr>
        <w:t xml:space="preserve">anual </w:t>
      </w:r>
      <w:r>
        <w:rPr>
          <w:rFonts w:ascii="Perpetua" w:hAnsi="Perpetua"/>
        </w:rPr>
        <w:t>da produtividade judicial e da carga processual da conjunção destas áreas processuais foram de -6,2</w:t>
      </w:r>
      <w:r w:rsidR="00857017">
        <w:rPr>
          <w:rFonts w:ascii="Perpetua" w:hAnsi="Perpetua"/>
        </w:rPr>
        <w:t>%</w:t>
      </w:r>
      <w:r>
        <w:rPr>
          <w:rFonts w:ascii="Perpetua" w:hAnsi="Perpetua"/>
        </w:rPr>
        <w:t xml:space="preserve"> e -4,8%, respectivamente.</w:t>
      </w:r>
    </w:p>
    <w:p w:rsidR="0080386E" w:rsidRDefault="0080386E" w:rsidP="0080386E">
      <w:pPr>
        <w:spacing w:line="360" w:lineRule="auto"/>
        <w:jc w:val="both"/>
        <w:rPr>
          <w:rFonts w:ascii="Perpetua" w:hAnsi="Perpetua"/>
        </w:rPr>
      </w:pPr>
    </w:p>
    <w:p w:rsidR="000A6808" w:rsidRDefault="000A6808" w:rsidP="0080386E">
      <w:pPr>
        <w:spacing w:line="360" w:lineRule="auto"/>
        <w:jc w:val="both"/>
        <w:rPr>
          <w:rFonts w:ascii="Perpetua" w:hAnsi="Perpetua"/>
        </w:rPr>
      </w:pPr>
    </w:p>
    <w:p w:rsidR="00DB182C" w:rsidRDefault="00DB182C" w:rsidP="0080386E">
      <w:pPr>
        <w:spacing w:line="360" w:lineRule="auto"/>
        <w:jc w:val="both"/>
        <w:rPr>
          <w:rFonts w:ascii="Perpetua" w:hAnsi="Perpetua"/>
        </w:rPr>
      </w:pPr>
    </w:p>
    <w:p w:rsidR="00DB182C" w:rsidRDefault="00DB182C" w:rsidP="0080386E">
      <w:pPr>
        <w:spacing w:line="360" w:lineRule="auto"/>
        <w:jc w:val="both"/>
        <w:rPr>
          <w:rFonts w:ascii="Perpetua" w:hAnsi="Perpetua"/>
        </w:rPr>
      </w:pPr>
    </w:p>
    <w:p w:rsidR="00DB182C" w:rsidRDefault="00DB182C" w:rsidP="0080386E">
      <w:pPr>
        <w:spacing w:line="360" w:lineRule="auto"/>
        <w:jc w:val="both"/>
        <w:rPr>
          <w:rFonts w:ascii="Perpetua" w:hAnsi="Perpetua"/>
        </w:rPr>
      </w:pPr>
    </w:p>
    <w:p w:rsidR="000A6808" w:rsidRDefault="000A6808" w:rsidP="0080386E">
      <w:pPr>
        <w:spacing w:line="360" w:lineRule="auto"/>
        <w:jc w:val="both"/>
        <w:rPr>
          <w:rFonts w:ascii="Perpetua" w:hAnsi="Perpetua"/>
        </w:rPr>
      </w:pPr>
    </w:p>
    <w:p w:rsidR="000A6808" w:rsidRDefault="000A6808" w:rsidP="0080386E">
      <w:pPr>
        <w:spacing w:line="360" w:lineRule="auto"/>
        <w:jc w:val="both"/>
        <w:rPr>
          <w:rFonts w:ascii="Perpetua" w:hAnsi="Perpetua"/>
        </w:rPr>
      </w:pPr>
    </w:p>
    <w:p w:rsidR="0080386E" w:rsidRPr="00A023D8" w:rsidRDefault="00A023D8" w:rsidP="00A023D8">
      <w:pPr>
        <w:pStyle w:val="Caption"/>
        <w:jc w:val="center"/>
        <w:rPr>
          <w:rFonts w:ascii="Perpetua" w:hAnsi="Perpetua"/>
        </w:rPr>
      </w:pPr>
      <w:bookmarkStart w:id="55" w:name="_Toc215081932"/>
      <w:r w:rsidRPr="00A023D8">
        <w:rPr>
          <w:rFonts w:ascii="Perpetua" w:hAnsi="Perpetua"/>
        </w:rPr>
        <w:t xml:space="preserve">Gráfico </w:t>
      </w:r>
      <w:r w:rsidR="0048473F" w:rsidRPr="00A023D8">
        <w:rPr>
          <w:rFonts w:ascii="Perpetua" w:hAnsi="Perpetua"/>
        </w:rPr>
        <w:fldChar w:fldCharType="begin"/>
      </w:r>
      <w:r w:rsidRPr="00A023D8">
        <w:rPr>
          <w:rFonts w:ascii="Perpetua" w:hAnsi="Perpetua"/>
        </w:rPr>
        <w:instrText xml:space="preserve"> STYLEREF 1 \s </w:instrText>
      </w:r>
      <w:r w:rsidR="0048473F" w:rsidRPr="00A023D8">
        <w:rPr>
          <w:rFonts w:ascii="Perpetua" w:hAnsi="Perpetua"/>
        </w:rPr>
        <w:fldChar w:fldCharType="separate"/>
      </w:r>
      <w:r w:rsidR="00FF37B9">
        <w:rPr>
          <w:rFonts w:ascii="Perpetua" w:hAnsi="Perpetua"/>
          <w:noProof/>
        </w:rPr>
        <w:t>2</w:t>
      </w:r>
      <w:r w:rsidR="0048473F" w:rsidRPr="00A023D8">
        <w:rPr>
          <w:rFonts w:ascii="Perpetua" w:hAnsi="Perpetua"/>
        </w:rPr>
        <w:fldChar w:fldCharType="end"/>
      </w:r>
      <w:r w:rsidRPr="00A023D8">
        <w:rPr>
          <w:rFonts w:ascii="Perpetua" w:hAnsi="Perpetua"/>
        </w:rPr>
        <w:t>.</w:t>
      </w:r>
      <w:r w:rsidR="0048473F" w:rsidRPr="00A023D8">
        <w:rPr>
          <w:rFonts w:ascii="Perpetua" w:hAnsi="Perpetua"/>
        </w:rPr>
        <w:fldChar w:fldCharType="begin"/>
      </w:r>
      <w:r w:rsidRPr="00A023D8">
        <w:rPr>
          <w:rFonts w:ascii="Perpetua" w:hAnsi="Perpetua"/>
        </w:rPr>
        <w:instrText xml:space="preserve"> SEQ Gráfico \* ARABIC \s 1 </w:instrText>
      </w:r>
      <w:r w:rsidR="0048473F" w:rsidRPr="00A023D8">
        <w:rPr>
          <w:rFonts w:ascii="Perpetua" w:hAnsi="Perpetua"/>
        </w:rPr>
        <w:fldChar w:fldCharType="separate"/>
      </w:r>
      <w:r w:rsidR="00FF37B9">
        <w:rPr>
          <w:rFonts w:ascii="Perpetua" w:hAnsi="Perpetua"/>
          <w:noProof/>
        </w:rPr>
        <w:t>14</w:t>
      </w:r>
      <w:r w:rsidR="0048473F" w:rsidRPr="00A023D8">
        <w:rPr>
          <w:rFonts w:ascii="Perpetua" w:hAnsi="Perpetua"/>
        </w:rPr>
        <w:fldChar w:fldCharType="end"/>
      </w:r>
      <w:r w:rsidR="000A6808" w:rsidRPr="00A023D8">
        <w:rPr>
          <w:rFonts w:ascii="Perpetua" w:hAnsi="Perpetua"/>
        </w:rPr>
        <w:t xml:space="preserve"> </w:t>
      </w:r>
      <w:r w:rsidR="0080386E" w:rsidRPr="00A023D8">
        <w:rPr>
          <w:rFonts w:ascii="Perpetua" w:hAnsi="Perpetua"/>
        </w:rPr>
        <w:t>– Produtividade judicial e carga processual das áreas processuais cível e penal</w:t>
      </w:r>
      <w:bookmarkEnd w:id="55"/>
    </w:p>
    <w:p w:rsidR="0080386E" w:rsidRDefault="003926F6" w:rsidP="0080386E">
      <w:pPr>
        <w:spacing w:line="360" w:lineRule="auto"/>
        <w:jc w:val="center"/>
        <w:rPr>
          <w:rFonts w:ascii="Perpetua" w:hAnsi="Perpetua"/>
        </w:rPr>
      </w:pPr>
      <w:r w:rsidRPr="00787B7F">
        <w:rPr>
          <w:rFonts w:ascii="Perpetua" w:hAnsi="Perpetua"/>
        </w:rPr>
        <w:object w:dxaOrig="7624" w:dyaOrig="4568">
          <v:shape id="_x0000_i1033" type="#_x0000_t75" style="width:381pt;height:229pt" o:ole="">
            <v:imagedata r:id="rId31" o:title=""/>
          </v:shape>
          <o:OLEObject Type="Embed" ProgID="Excel.Sheet.12" ShapeID="_x0000_i1033" DrawAspect="Content" ObjectID="_1294230250" r:id="rId32"/>
        </w:object>
      </w:r>
    </w:p>
    <w:p w:rsidR="0080386E" w:rsidRPr="002348C0" w:rsidRDefault="0080386E" w:rsidP="0080386E">
      <w:pPr>
        <w:spacing w:line="360" w:lineRule="auto"/>
        <w:jc w:val="center"/>
        <w:rPr>
          <w:rFonts w:ascii="Perpetua" w:hAnsi="Perpetua"/>
        </w:rPr>
      </w:pPr>
      <w:r w:rsidRPr="002348C0">
        <w:rPr>
          <w:rFonts w:ascii="Perpetua" w:hAnsi="Perpetua"/>
          <w:sz w:val="18"/>
          <w:szCs w:val="18"/>
        </w:rPr>
        <w:t>Fonte: Estatísticas da Justiça</w:t>
      </w:r>
      <w:r w:rsidR="003B4AE8">
        <w:rPr>
          <w:rFonts w:ascii="Perpetua" w:hAnsi="Perpetua"/>
          <w:sz w:val="18"/>
          <w:szCs w:val="18"/>
        </w:rPr>
        <w:t xml:space="preserve"> e cálculos próprios</w:t>
      </w:r>
      <w:r w:rsidRPr="002348C0">
        <w:rPr>
          <w:rFonts w:ascii="Perpetua" w:hAnsi="Perpetua"/>
          <w:sz w:val="18"/>
          <w:szCs w:val="18"/>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A análise da evolução da carga judicial e da produtividade judicial para a totalidade da 1.ª instância do sistema judicial e para as três áreas processuais analisadas nos gráficos acima permite ainda induzir que, também no sistema judicial português, se verifica o fenómeno da endogeneidade da produtividade judicial, ou seja, que a produtividade dos tribunais judiciais depende substancialmente da carga de trabalho</w:t>
      </w:r>
      <w:r w:rsidR="00FB46E3">
        <w:rPr>
          <w:rStyle w:val="FootnoteReference"/>
          <w:rFonts w:ascii="Perpetua" w:hAnsi="Perpetua"/>
        </w:rPr>
        <w:footnoteReference w:id="48"/>
      </w:r>
      <w:r>
        <w:rPr>
          <w:rFonts w:ascii="Perpetua" w:hAnsi="Perpetua"/>
        </w:rPr>
        <w:t>. N</w:t>
      </w:r>
      <w:r w:rsidR="00BC70CB">
        <w:rPr>
          <w:rFonts w:ascii="Perpetua" w:hAnsi="Perpetua"/>
        </w:rPr>
        <w:t>o Gráfico</w:t>
      </w:r>
      <w:r>
        <w:rPr>
          <w:rFonts w:ascii="Perpetua" w:hAnsi="Perpetua"/>
        </w:rPr>
        <w:t xml:space="preserve"> </w:t>
      </w:r>
      <w:r w:rsidR="00BC70CB">
        <w:rPr>
          <w:rFonts w:ascii="Perpetua" w:hAnsi="Perpetua"/>
        </w:rPr>
        <w:t>2.11</w:t>
      </w:r>
      <w:r>
        <w:rPr>
          <w:rFonts w:ascii="Perpetua" w:hAnsi="Perpetua"/>
        </w:rPr>
        <w:t xml:space="preserve">, a evolução da produtividade judicial da 1.ª instância do sistema judicial descreve uma curva muito semelhante à da evolução da carga judicial dos magistrados judiciais, correspondente a um coeficiente de </w:t>
      </w:r>
      <w:r w:rsidR="00BC70CB">
        <w:rPr>
          <w:rFonts w:ascii="Perpetua" w:hAnsi="Perpetua"/>
        </w:rPr>
        <w:t>correlação de Pearson de 83%. No</w:t>
      </w:r>
      <w:r>
        <w:rPr>
          <w:rFonts w:ascii="Perpetua" w:hAnsi="Perpetua"/>
        </w:rPr>
        <w:t xml:space="preserve">s </w:t>
      </w:r>
      <w:r w:rsidR="00BC70CB">
        <w:rPr>
          <w:rFonts w:ascii="Perpetua" w:hAnsi="Perpetua"/>
        </w:rPr>
        <w:t>Gráficos 2.12 a 2.14</w:t>
      </w:r>
      <w:r w:rsidR="00857017">
        <w:rPr>
          <w:rFonts w:ascii="Perpetua" w:hAnsi="Perpetua"/>
        </w:rPr>
        <w:t>,</w:t>
      </w:r>
      <w:r w:rsidR="00BC70CB">
        <w:rPr>
          <w:rFonts w:ascii="Perpetua" w:hAnsi="Perpetua"/>
        </w:rPr>
        <w:t xml:space="preserve"> o</w:t>
      </w:r>
      <w:r>
        <w:rPr>
          <w:rFonts w:ascii="Perpetua" w:hAnsi="Perpetua"/>
        </w:rPr>
        <w:t xml:space="preserve"> mesmo comportamento é observável para as áreas processuais laboral e tutelar e para o agregado das áreas processuais cível e penal. Maior </w:t>
      </w:r>
      <w:r w:rsidR="00674E69">
        <w:rPr>
          <w:rFonts w:ascii="Perpetua" w:hAnsi="Perpetua"/>
        </w:rPr>
        <w:t xml:space="preserve">indício </w:t>
      </w:r>
      <w:r>
        <w:rPr>
          <w:rFonts w:ascii="Perpetua" w:hAnsi="Perpetua"/>
        </w:rPr>
        <w:t>da endogeneidade da produtividad</w:t>
      </w:r>
      <w:r w:rsidR="00674E69">
        <w:rPr>
          <w:rFonts w:ascii="Perpetua" w:hAnsi="Perpetua"/>
        </w:rPr>
        <w:t>e judicial é, no entanto, obtido</w:t>
      </w:r>
      <w:r>
        <w:rPr>
          <w:rFonts w:ascii="Perpetua" w:hAnsi="Perpetua"/>
        </w:rPr>
        <w:t xml:space="preserve"> calculando os coeficientes de correlação de Pearson entre a produtividade judicial e a carga processual pelas três áreas processuais acima analisadas. Os coeficientes são todos positivos e extremamente elevados, 98% para a área processual laboral, 99% para a área processual tutelar e 91% para o agregado das áreas processuais cível e penal. Embora não tenhamos incluído </w:t>
      </w:r>
      <w:r w:rsidR="0099765F">
        <w:rPr>
          <w:rFonts w:ascii="Perpetua" w:hAnsi="Perpetua"/>
        </w:rPr>
        <w:t xml:space="preserve">no texto as </w:t>
      </w:r>
      <w:r>
        <w:rPr>
          <w:rFonts w:ascii="Perpetua" w:hAnsi="Perpetua"/>
        </w:rPr>
        <w:t xml:space="preserve">variáveis indirectas da produtividade e </w:t>
      </w:r>
      <w:r w:rsidR="00857017">
        <w:rPr>
          <w:rFonts w:ascii="Perpetua" w:hAnsi="Perpetua"/>
        </w:rPr>
        <w:t xml:space="preserve">da </w:t>
      </w:r>
      <w:r>
        <w:rPr>
          <w:rFonts w:ascii="Perpetua" w:hAnsi="Perpetua"/>
        </w:rPr>
        <w:t xml:space="preserve">carga processual dos magistrados do M.P. e da produtividade dos funcionários judiciais, que serão descritas e apresentadas no capítulo 4, os coeficientes de correlação de Pearson para essas medidas são também extremamente elevados (em ambos os casos superiores a 90%). </w:t>
      </w:r>
    </w:p>
    <w:p w:rsidR="0080386E" w:rsidRDefault="0080386E" w:rsidP="0080386E">
      <w:pPr>
        <w:spacing w:line="360" w:lineRule="auto"/>
        <w:jc w:val="both"/>
        <w:rPr>
          <w:rFonts w:ascii="Perpetua" w:hAnsi="Perpetua"/>
        </w:rPr>
      </w:pPr>
      <w:r>
        <w:rPr>
          <w:rFonts w:ascii="Perpetua" w:hAnsi="Perpetua"/>
        </w:rPr>
        <w:t xml:space="preserve">Como nota final deste ponto, importa sublinhar que as </w:t>
      </w:r>
      <w:r w:rsidR="0099765F">
        <w:rPr>
          <w:rFonts w:ascii="Perpetua" w:hAnsi="Perpetua"/>
        </w:rPr>
        <w:t xml:space="preserve">análises </w:t>
      </w:r>
      <w:r>
        <w:rPr>
          <w:rFonts w:ascii="Perpetua" w:hAnsi="Perpetua"/>
        </w:rPr>
        <w:t>apresentadas, baseadas numa mera análise quantitativa descritiva, devem ser entendidas como condicionadas à verificação de três hipóteses discutíveis e que requerem fundamentação empírica: a de que medida de produtividade judicial utilizada reflecte bem a heterogeneidade existente entre as intensidades de trabalho judicial dos processos judiciais findos</w:t>
      </w:r>
      <w:r>
        <w:rPr>
          <w:rStyle w:val="FootnoteReference"/>
          <w:rFonts w:ascii="Perpetua" w:hAnsi="Perpetua"/>
        </w:rPr>
        <w:footnoteReference w:id="49"/>
      </w:r>
      <w:r>
        <w:rPr>
          <w:rFonts w:ascii="Perpetua" w:hAnsi="Perpetua"/>
        </w:rPr>
        <w:t xml:space="preserve">, que a qualidade da decisão judicial não aumentou ao longo do tempo, e que os efeitos de outras variáveis na produtividade judicial que se alteraram ao longo do tempo são negligenciáveis, como, por exemplo, a qualidade e </w:t>
      </w:r>
      <w:r w:rsidR="00857017">
        <w:rPr>
          <w:rFonts w:ascii="Perpetua" w:hAnsi="Perpetua"/>
        </w:rPr>
        <w:t xml:space="preserve">a </w:t>
      </w:r>
      <w:r>
        <w:rPr>
          <w:rFonts w:ascii="Perpetua" w:hAnsi="Perpetua"/>
        </w:rPr>
        <w:t xml:space="preserve">quantidade da oferta de serviços jurídicos, a tecnologia de resolução de processos judiciais, incluindo a lei processual, a expansão da </w:t>
      </w:r>
      <w:r w:rsidR="00203A89">
        <w:rPr>
          <w:rFonts w:ascii="Perpetua" w:hAnsi="Perpetua"/>
        </w:rPr>
        <w:t xml:space="preserve">utilização de recursos pela </w:t>
      </w:r>
      <w:r>
        <w:rPr>
          <w:rFonts w:ascii="Perpetua" w:hAnsi="Perpetua"/>
        </w:rPr>
        <w:t>1.ª instância</w:t>
      </w:r>
      <w:r w:rsidR="00203A89">
        <w:rPr>
          <w:rFonts w:ascii="Perpetua" w:hAnsi="Perpetua"/>
        </w:rPr>
        <w:t xml:space="preserve"> do sistema judicial</w:t>
      </w:r>
      <w:r>
        <w:rPr>
          <w:rFonts w:ascii="Perpetua" w:hAnsi="Perpetua"/>
        </w:rPr>
        <w:t>, a maior especialização dos tribunais</w:t>
      </w:r>
      <w:r w:rsidR="008932FB">
        <w:rPr>
          <w:rFonts w:ascii="Perpetua" w:hAnsi="Perpetua"/>
        </w:rPr>
        <w:t>,</w:t>
      </w:r>
      <w:r>
        <w:rPr>
          <w:rFonts w:ascii="Perpetua" w:hAnsi="Perpetua"/>
        </w:rPr>
        <w:t xml:space="preserve"> etc. No capítulo </w:t>
      </w:r>
      <w:r w:rsidR="00203A89">
        <w:rPr>
          <w:rFonts w:ascii="Perpetua" w:hAnsi="Perpetua"/>
        </w:rPr>
        <w:t>4 explicar-se-á</w:t>
      </w:r>
      <w:r>
        <w:rPr>
          <w:rFonts w:ascii="Perpetua" w:hAnsi="Perpetua"/>
        </w:rPr>
        <w:t xml:space="preserve"> </w:t>
      </w:r>
      <w:r w:rsidR="00857017">
        <w:rPr>
          <w:rFonts w:ascii="Perpetua" w:hAnsi="Perpetua"/>
        </w:rPr>
        <w:t>co</w:t>
      </w:r>
      <w:r>
        <w:rPr>
          <w:rFonts w:ascii="Perpetua" w:hAnsi="Perpetua"/>
        </w:rPr>
        <w:t xml:space="preserve">m maior detalhe os problemas encontrados na modelação em série cronológica da produção de serviços judiciais. </w:t>
      </w:r>
    </w:p>
    <w:p w:rsidR="0080386E" w:rsidRDefault="0080386E" w:rsidP="0080386E">
      <w:pPr>
        <w:spacing w:line="360" w:lineRule="auto"/>
        <w:jc w:val="both"/>
        <w:rPr>
          <w:rFonts w:ascii="Perpetua" w:hAnsi="Perpetua"/>
        </w:rPr>
      </w:pPr>
    </w:p>
    <w:p w:rsidR="0080386E" w:rsidRPr="0080386E" w:rsidRDefault="000043AA" w:rsidP="004B7547">
      <w:pPr>
        <w:pStyle w:val="Heading3"/>
      </w:pPr>
      <w:bookmarkStart w:id="56" w:name="_Toc206652060"/>
      <w:bookmarkStart w:id="57" w:name="_Toc220484461"/>
      <w:r>
        <w:t xml:space="preserve">2.3.7. </w:t>
      </w:r>
      <w:r w:rsidR="0080386E" w:rsidRPr="0080386E">
        <w:t>Qualidade da decisão judicial</w:t>
      </w:r>
      <w:bookmarkEnd w:id="56"/>
      <w:bookmarkEnd w:id="57"/>
    </w:p>
    <w:p w:rsidR="00A66E20" w:rsidRDefault="00A66E20"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qualidade da decisão judicial não é directamente observável, pelo que qualquer tentativa de estudar a evolução da qualidade da decisão judicial terá </w:t>
      </w:r>
      <w:r w:rsidR="00857017">
        <w:rPr>
          <w:rFonts w:ascii="Perpetua" w:hAnsi="Perpetua"/>
        </w:rPr>
        <w:t>de</w:t>
      </w:r>
      <w:r>
        <w:rPr>
          <w:rFonts w:ascii="Perpetua" w:hAnsi="Perpetua"/>
        </w:rPr>
        <w:t xml:space="preserve"> fazer uso de variáveis indirectas (variáveis </w:t>
      </w:r>
      <w:r w:rsidRPr="00610A68">
        <w:rPr>
          <w:rFonts w:ascii="Perpetua" w:hAnsi="Perpetua"/>
          <w:i/>
        </w:rPr>
        <w:t>proxy</w:t>
      </w:r>
      <w:r>
        <w:rPr>
          <w:rFonts w:ascii="Perpetua" w:hAnsi="Perpetua"/>
        </w:rPr>
        <w:t xml:space="preserve">). As variáveis indirectas que podem ser calculadas a partir dos dados estatísticos disponíveis são poucas e não estão isentas de problemas. A taxa de processos findos por decisão de fundo e a taxa de recursos deferidos de decisões de 1.ª instância são medidas </w:t>
      </w:r>
      <w:r w:rsidR="0099765F">
        <w:rPr>
          <w:rFonts w:ascii="Perpetua" w:hAnsi="Perpetua"/>
        </w:rPr>
        <w:t>indirectas</w:t>
      </w:r>
      <w:r>
        <w:rPr>
          <w:rFonts w:ascii="Perpetua" w:hAnsi="Perpetua"/>
        </w:rPr>
        <w:t xml:space="preserve"> da qualidade da decisão judicial e que podem ser calculadas a partir dos dados das Estatísticas da Justiça</w:t>
      </w:r>
      <w:r w:rsidR="00857017">
        <w:rPr>
          <w:rFonts w:ascii="Perpetua" w:hAnsi="Perpetua"/>
        </w:rPr>
        <w:t>;</w:t>
      </w:r>
      <w:r>
        <w:rPr>
          <w:rFonts w:ascii="Perpetua" w:hAnsi="Perpetua"/>
        </w:rPr>
        <w:t xml:space="preserve"> no entanto, não </w:t>
      </w:r>
      <w:r w:rsidR="00203A89">
        <w:rPr>
          <w:rFonts w:ascii="Perpetua" w:hAnsi="Perpetua"/>
        </w:rPr>
        <w:t xml:space="preserve">foi possível aceder </w:t>
      </w:r>
      <w:r>
        <w:rPr>
          <w:rFonts w:ascii="Perpetua" w:hAnsi="Perpetua"/>
        </w:rPr>
        <w:t xml:space="preserve">a essa informação em tempo útil, pelo que não </w:t>
      </w:r>
      <w:r w:rsidR="00203A89">
        <w:rPr>
          <w:rFonts w:ascii="Perpetua" w:hAnsi="Perpetua"/>
        </w:rPr>
        <w:t>consta das análises apresentadas</w:t>
      </w:r>
      <w:r>
        <w:rPr>
          <w:rFonts w:ascii="Perpetua" w:hAnsi="Perpetua"/>
        </w:rPr>
        <w:t>.</w:t>
      </w:r>
    </w:p>
    <w:p w:rsidR="0080386E" w:rsidRDefault="0080386E" w:rsidP="0080386E">
      <w:pPr>
        <w:spacing w:line="360" w:lineRule="auto"/>
        <w:jc w:val="both"/>
        <w:rPr>
          <w:rFonts w:ascii="Perpetua" w:hAnsi="Perpetua"/>
        </w:rPr>
      </w:pPr>
    </w:p>
    <w:p w:rsidR="0080386E" w:rsidRPr="0080386E" w:rsidRDefault="000043AA" w:rsidP="004B7547">
      <w:pPr>
        <w:pStyle w:val="Heading3"/>
      </w:pPr>
      <w:bookmarkStart w:id="58" w:name="_Toc206652061"/>
      <w:bookmarkStart w:id="59" w:name="_Toc220484462"/>
      <w:r>
        <w:t xml:space="preserve">2.3.8. </w:t>
      </w:r>
      <w:r w:rsidR="0099765F">
        <w:t>Conclusões</w:t>
      </w:r>
      <w:bookmarkEnd w:id="58"/>
      <w:bookmarkEnd w:id="59"/>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principal conclusão da análise de estatística descritiva efectuada é </w:t>
      </w:r>
      <w:r w:rsidR="00857017">
        <w:rPr>
          <w:rFonts w:ascii="Perpetua" w:hAnsi="Perpetua"/>
        </w:rPr>
        <w:t xml:space="preserve">a de </w:t>
      </w:r>
      <w:r>
        <w:rPr>
          <w:rFonts w:ascii="Perpetua" w:hAnsi="Perpetua"/>
        </w:rPr>
        <w:t>um desajustamento progressivo entre a procura e a oferta judiciais de 1.ª instância</w:t>
      </w:r>
      <w:r w:rsidRPr="0046463A">
        <w:rPr>
          <w:rFonts w:ascii="Perpetua" w:hAnsi="Perpetua"/>
        </w:rPr>
        <w:t xml:space="preserve"> </w:t>
      </w:r>
      <w:r>
        <w:rPr>
          <w:rFonts w:ascii="Perpetua" w:hAnsi="Perpetua"/>
        </w:rPr>
        <w:t xml:space="preserve">do sistema judicial de 1991 a 2006, patente na deterioração da taxa de acumulação processual e do indicador da fila de espera para aceder à 1.ª instância judicial (a duração média da resolução processual). A evolução negativa da 1.ª instância do sistema judicial contrasta com a evolução da 2.ª e 3ª instâncias do sistema judicial, genericamente positiva se avaliada com base nas pendências processuais, indicadores de fila de espera e taxas de acumulação processual, razão pela qual se aprofundou a análise estatística da 1.ª instância. As análise de estatística descritiva serviu ainda para concluir </w:t>
      </w:r>
      <w:proofErr w:type="gramStart"/>
      <w:r>
        <w:rPr>
          <w:rFonts w:ascii="Perpetua" w:hAnsi="Perpetua"/>
        </w:rPr>
        <w:t>que</w:t>
      </w:r>
      <w:proofErr w:type="gramEnd"/>
      <w:r>
        <w:rPr>
          <w:rFonts w:ascii="Perpetua" w:hAnsi="Perpetua"/>
        </w:rPr>
        <w:t>:</w:t>
      </w:r>
    </w:p>
    <w:p w:rsidR="0080386E" w:rsidRDefault="0080386E" w:rsidP="0080386E">
      <w:pPr>
        <w:spacing w:line="360" w:lineRule="auto"/>
        <w:jc w:val="both"/>
        <w:rPr>
          <w:rFonts w:ascii="Perpetua" w:hAnsi="Perpetua"/>
        </w:rPr>
      </w:pPr>
    </w:p>
    <w:p w:rsidR="0080386E" w:rsidRDefault="0080386E" w:rsidP="0080386E">
      <w:pPr>
        <w:pStyle w:val="ListParagraph"/>
        <w:numPr>
          <w:ilvl w:val="0"/>
          <w:numId w:val="1"/>
        </w:numPr>
        <w:spacing w:line="360" w:lineRule="auto"/>
        <w:jc w:val="both"/>
        <w:rPr>
          <w:rFonts w:ascii="Perpetua" w:hAnsi="Perpetua"/>
        </w:rPr>
      </w:pPr>
      <w:r>
        <w:rPr>
          <w:rFonts w:ascii="Perpetua" w:hAnsi="Perpetua"/>
        </w:rPr>
        <w:t>A organização territorial, entendida como a quantidade de comarcas, círculos e distritos judiciais, bem como a estrutura produtiva do sistema judicial, caracterizada pela quantidade, dimensão e composição de tribunais, não se alteraram de forma significativa ao longo do período analisado;</w:t>
      </w:r>
    </w:p>
    <w:p w:rsidR="0080386E" w:rsidRDefault="0080386E" w:rsidP="0080386E">
      <w:pPr>
        <w:pStyle w:val="ListParagraph"/>
        <w:spacing w:line="360" w:lineRule="auto"/>
        <w:jc w:val="both"/>
        <w:rPr>
          <w:rFonts w:ascii="Perpetua" w:hAnsi="Perpetua"/>
        </w:rPr>
      </w:pPr>
    </w:p>
    <w:p w:rsidR="0080386E" w:rsidRPr="00E06272" w:rsidRDefault="0080386E" w:rsidP="0080386E">
      <w:pPr>
        <w:pStyle w:val="ListParagraph"/>
        <w:numPr>
          <w:ilvl w:val="0"/>
          <w:numId w:val="1"/>
        </w:numPr>
        <w:spacing w:line="360" w:lineRule="auto"/>
        <w:jc w:val="both"/>
        <w:rPr>
          <w:rFonts w:ascii="Perpetua" w:hAnsi="Perpetua"/>
        </w:rPr>
      </w:pPr>
      <w:r>
        <w:rPr>
          <w:rFonts w:ascii="Perpetua" w:hAnsi="Perpetua"/>
        </w:rPr>
        <w:t xml:space="preserve">Ao longo do período, verificou-se um aumento consideravelmente uniforme dos recursos humanos utilizados pelas </w:t>
      </w:r>
      <w:r w:rsidR="0099765F">
        <w:rPr>
          <w:rFonts w:ascii="Perpetua" w:hAnsi="Perpetua"/>
        </w:rPr>
        <w:t xml:space="preserve">três </w:t>
      </w:r>
      <w:r>
        <w:rPr>
          <w:rFonts w:ascii="Perpetua" w:hAnsi="Perpetua"/>
        </w:rPr>
        <w:t xml:space="preserve">instâncias do sistema judicial e que, para todas elas, esse aumento foi superior ao aumento de processos judiciais findos, o que </w:t>
      </w:r>
      <w:r w:rsidR="0099765F">
        <w:rPr>
          <w:rFonts w:ascii="Perpetua" w:hAnsi="Perpetua"/>
        </w:rPr>
        <w:t xml:space="preserve">sugere </w:t>
      </w:r>
      <w:r>
        <w:rPr>
          <w:rFonts w:ascii="Perpetua" w:hAnsi="Perpetua"/>
        </w:rPr>
        <w:t>uma deterioração da produtividade do sistema judicial durante os quinze anos analisados;</w:t>
      </w:r>
    </w:p>
    <w:p w:rsidR="0080386E" w:rsidRDefault="0080386E" w:rsidP="0080386E">
      <w:pPr>
        <w:pStyle w:val="ListParagraph"/>
        <w:spacing w:line="360" w:lineRule="auto"/>
        <w:jc w:val="both"/>
        <w:rPr>
          <w:rFonts w:ascii="Perpetua" w:hAnsi="Perpetua"/>
        </w:rPr>
      </w:pPr>
    </w:p>
    <w:p w:rsidR="0099765F" w:rsidRDefault="0080386E" w:rsidP="0080386E">
      <w:pPr>
        <w:pStyle w:val="ListParagraph"/>
        <w:numPr>
          <w:ilvl w:val="0"/>
          <w:numId w:val="1"/>
        </w:numPr>
        <w:spacing w:line="360" w:lineRule="auto"/>
        <w:jc w:val="both"/>
        <w:rPr>
          <w:rFonts w:ascii="Perpetua" w:hAnsi="Perpetua"/>
        </w:rPr>
      </w:pPr>
      <w:r>
        <w:rPr>
          <w:rFonts w:ascii="Perpetua" w:hAnsi="Perpetua"/>
        </w:rPr>
        <w:t xml:space="preserve">A expansão dos recursos empregues pelo sistema judicial foi também uniforme no que respeita ao tipo de trabalhadores judiciais utilizados, tendo a expansão média dos recursos humanos empregues por carreira nas </w:t>
      </w:r>
      <w:r w:rsidR="0099765F">
        <w:rPr>
          <w:rFonts w:ascii="Perpetua" w:hAnsi="Perpetua"/>
        </w:rPr>
        <w:t>três</w:t>
      </w:r>
      <w:r>
        <w:rPr>
          <w:rFonts w:ascii="Perpetua" w:hAnsi="Perpetua"/>
        </w:rPr>
        <w:t xml:space="preserve"> instâncias do sistema judicial oscilado entre os 7</w:t>
      </w:r>
      <w:r w:rsidR="00857017">
        <w:rPr>
          <w:rFonts w:ascii="Perpetua" w:hAnsi="Perpetua"/>
        </w:rPr>
        <w:t>%</w:t>
      </w:r>
      <w:r>
        <w:rPr>
          <w:rFonts w:ascii="Perpetua" w:hAnsi="Perpetua"/>
        </w:rPr>
        <w:t xml:space="preserve"> e os 1</w:t>
      </w:r>
      <w:r w:rsidR="00163AC2">
        <w:rPr>
          <w:rFonts w:ascii="Perpetua" w:hAnsi="Perpetua"/>
        </w:rPr>
        <w:t>1</w:t>
      </w:r>
      <w:r>
        <w:rPr>
          <w:rFonts w:ascii="Perpetua" w:hAnsi="Perpetua"/>
        </w:rPr>
        <w:t>%</w:t>
      </w:r>
      <w:r w:rsidR="0099765F">
        <w:rPr>
          <w:rFonts w:ascii="Perpetua" w:hAnsi="Perpetua"/>
        </w:rPr>
        <w:t>;</w:t>
      </w:r>
    </w:p>
    <w:p w:rsidR="0099765F" w:rsidRPr="0099765F" w:rsidRDefault="0099765F" w:rsidP="0099765F">
      <w:pPr>
        <w:pStyle w:val="ListParagraph"/>
        <w:rPr>
          <w:rFonts w:ascii="Perpetua" w:hAnsi="Perpetua"/>
        </w:rPr>
      </w:pPr>
    </w:p>
    <w:p w:rsidR="0080386E" w:rsidRDefault="0099765F" w:rsidP="0080386E">
      <w:pPr>
        <w:pStyle w:val="ListParagraph"/>
        <w:numPr>
          <w:ilvl w:val="0"/>
          <w:numId w:val="1"/>
        </w:numPr>
        <w:spacing w:line="360" w:lineRule="auto"/>
        <w:jc w:val="both"/>
        <w:rPr>
          <w:rFonts w:ascii="Perpetua" w:hAnsi="Perpetua"/>
        </w:rPr>
      </w:pPr>
      <w:r>
        <w:rPr>
          <w:rFonts w:ascii="Perpetua" w:hAnsi="Perpetua"/>
        </w:rPr>
        <w:t>O</w:t>
      </w:r>
      <w:r w:rsidR="0080386E">
        <w:rPr>
          <w:rFonts w:ascii="Perpetua" w:hAnsi="Perpetua"/>
        </w:rPr>
        <w:t xml:space="preserve"> perfil homogéneo da expansão </w:t>
      </w:r>
      <w:r>
        <w:rPr>
          <w:rFonts w:ascii="Perpetua" w:hAnsi="Perpetua"/>
        </w:rPr>
        <w:t xml:space="preserve">média dos recursos humanos empregues por carreira nas três instâncias do sistema judicial </w:t>
      </w:r>
      <w:r w:rsidR="0080386E">
        <w:rPr>
          <w:rFonts w:ascii="Perpetua" w:hAnsi="Perpetua"/>
        </w:rPr>
        <w:t>denuncia a manutenção da estrutura produtiva de resolução judicial de serviços judiciais ao longo do período analisado;</w:t>
      </w:r>
    </w:p>
    <w:p w:rsidR="0080386E" w:rsidRPr="00B0620D" w:rsidRDefault="0080386E" w:rsidP="0080386E">
      <w:pPr>
        <w:pStyle w:val="ListParagraph"/>
        <w:rPr>
          <w:rFonts w:ascii="Perpetua" w:hAnsi="Perpetua"/>
        </w:rPr>
      </w:pPr>
    </w:p>
    <w:p w:rsidR="0080386E" w:rsidRDefault="0080386E" w:rsidP="0080386E">
      <w:pPr>
        <w:pStyle w:val="ListParagraph"/>
        <w:numPr>
          <w:ilvl w:val="0"/>
          <w:numId w:val="1"/>
        </w:numPr>
        <w:spacing w:line="360" w:lineRule="auto"/>
        <w:jc w:val="both"/>
        <w:rPr>
          <w:rFonts w:ascii="Perpetua" w:hAnsi="Perpetua"/>
        </w:rPr>
      </w:pPr>
      <w:r>
        <w:rPr>
          <w:rFonts w:ascii="Perpetua" w:hAnsi="Perpetua"/>
        </w:rPr>
        <w:t xml:space="preserve">A expansão do consumo de recursos humanos pelo sistema judicial foi acompanhada por uma expansão da oferta de serviços jurídicos, tendo a oferta de serviços de </w:t>
      </w:r>
      <w:r w:rsidR="00BA03E0">
        <w:rPr>
          <w:rFonts w:ascii="Perpetua" w:hAnsi="Perpetua"/>
        </w:rPr>
        <w:t>procuradoria</w:t>
      </w:r>
      <w:r>
        <w:rPr>
          <w:rFonts w:ascii="Perpetua" w:hAnsi="Perpetua"/>
        </w:rPr>
        <w:t xml:space="preserve"> crescido cerca de 6% e a oferta de serviços </w:t>
      </w:r>
      <w:r w:rsidR="00BA03E0">
        <w:rPr>
          <w:rFonts w:ascii="Perpetua" w:hAnsi="Perpetua"/>
        </w:rPr>
        <w:t>de consultoria jurídica</w:t>
      </w:r>
      <w:r>
        <w:rPr>
          <w:rFonts w:ascii="Perpetua" w:hAnsi="Perpetua"/>
        </w:rPr>
        <w:t xml:space="preserve"> aumentado cerca de 7% durante o período</w:t>
      </w:r>
      <w:r w:rsidR="0099765F">
        <w:rPr>
          <w:rFonts w:ascii="Perpetua" w:hAnsi="Perpetua"/>
        </w:rPr>
        <w:t xml:space="preserve"> 1991-2006</w:t>
      </w:r>
      <w:r>
        <w:rPr>
          <w:rFonts w:ascii="Perpetua" w:hAnsi="Perpetua"/>
        </w:rPr>
        <w:t>;</w:t>
      </w:r>
    </w:p>
    <w:p w:rsidR="0080386E" w:rsidRDefault="0080386E" w:rsidP="0080386E">
      <w:pPr>
        <w:pStyle w:val="ListParagraph"/>
        <w:spacing w:line="360" w:lineRule="auto"/>
        <w:jc w:val="both"/>
        <w:rPr>
          <w:rFonts w:ascii="Perpetua" w:hAnsi="Perpetua"/>
        </w:rPr>
      </w:pPr>
    </w:p>
    <w:p w:rsidR="0080386E" w:rsidRDefault="0080386E" w:rsidP="0080386E">
      <w:pPr>
        <w:pStyle w:val="ListParagraph"/>
        <w:numPr>
          <w:ilvl w:val="0"/>
          <w:numId w:val="1"/>
        </w:numPr>
        <w:spacing w:line="360" w:lineRule="auto"/>
        <w:jc w:val="both"/>
        <w:rPr>
          <w:rFonts w:ascii="Perpetua" w:hAnsi="Perpetua"/>
        </w:rPr>
      </w:pPr>
      <w:r>
        <w:rPr>
          <w:rFonts w:ascii="Perpetua" w:hAnsi="Perpetua"/>
        </w:rPr>
        <w:t xml:space="preserve">Dado o crescimento da importância da área processual cível no movimento processual da 1.ª instância de 1991 a 2006 </w:t>
      </w:r>
      <w:r w:rsidR="00857017">
        <w:rPr>
          <w:rFonts w:ascii="Perpetua" w:hAnsi="Perpetua"/>
        </w:rPr>
        <w:t>–</w:t>
      </w:r>
      <w:r>
        <w:rPr>
          <w:rFonts w:ascii="Perpetua" w:hAnsi="Perpetua"/>
        </w:rPr>
        <w:t xml:space="preserve"> patente na crescente predominância das acções declarativas e executivas na procura judicial</w:t>
      </w:r>
      <w:r w:rsidRPr="0046463A">
        <w:rPr>
          <w:rFonts w:ascii="Perpetua" w:hAnsi="Perpetua"/>
        </w:rPr>
        <w:t xml:space="preserve"> </w:t>
      </w:r>
      <w:r>
        <w:rPr>
          <w:rFonts w:ascii="Perpetua" w:hAnsi="Perpetua"/>
        </w:rPr>
        <w:t xml:space="preserve">de 1.ª instância e, também, pelo aumento exponencial dos procedimentos de injunção entrados nos tribunais judiciais de 1.ª instância </w:t>
      </w:r>
      <w:r w:rsidR="00857017">
        <w:rPr>
          <w:rFonts w:ascii="Perpetua" w:hAnsi="Perpetua"/>
        </w:rPr>
        <w:t>–</w:t>
      </w:r>
      <w:r>
        <w:rPr>
          <w:rFonts w:ascii="Perpetua" w:hAnsi="Perpetua"/>
        </w:rPr>
        <w:t>, o</w:t>
      </w:r>
      <w:r w:rsidRPr="0046463A">
        <w:rPr>
          <w:rFonts w:ascii="Perpetua" w:hAnsi="Perpetua"/>
        </w:rPr>
        <w:t xml:space="preserve"> desajustamento </w:t>
      </w:r>
      <w:r>
        <w:rPr>
          <w:rFonts w:ascii="Perpetua" w:hAnsi="Perpetua"/>
        </w:rPr>
        <w:t xml:space="preserve">observado entre a procura e a oferta judiciais da 1.ª instância reflecte sobretudo o desajustamento verificado </w:t>
      </w:r>
      <w:r w:rsidRPr="0046463A">
        <w:rPr>
          <w:rFonts w:ascii="Perpetua" w:hAnsi="Perpetua"/>
        </w:rPr>
        <w:t>na área processual cível, onde se registam maiores taxas de acumulação processual, pendência</w:t>
      </w:r>
      <w:r>
        <w:rPr>
          <w:rFonts w:ascii="Perpetua" w:hAnsi="Perpetua"/>
        </w:rPr>
        <w:t>s processuais e filas de espera;</w:t>
      </w:r>
    </w:p>
    <w:p w:rsidR="0080386E" w:rsidRDefault="0080386E" w:rsidP="0080386E">
      <w:pPr>
        <w:pStyle w:val="ListParagraph"/>
        <w:spacing w:line="360" w:lineRule="auto"/>
        <w:jc w:val="both"/>
        <w:rPr>
          <w:rFonts w:ascii="Perpetua" w:hAnsi="Perpetua"/>
        </w:rPr>
      </w:pPr>
    </w:p>
    <w:p w:rsidR="0080386E" w:rsidRDefault="0080386E" w:rsidP="0080386E">
      <w:pPr>
        <w:pStyle w:val="ListParagraph"/>
        <w:numPr>
          <w:ilvl w:val="0"/>
          <w:numId w:val="1"/>
        </w:numPr>
        <w:spacing w:line="360" w:lineRule="auto"/>
        <w:jc w:val="both"/>
        <w:rPr>
          <w:rFonts w:ascii="Perpetua" w:hAnsi="Perpetua"/>
        </w:rPr>
      </w:pPr>
      <w:r>
        <w:rPr>
          <w:rFonts w:ascii="Perpetua" w:hAnsi="Perpetua"/>
        </w:rPr>
        <w:t xml:space="preserve">A queda da produtividade judicial da 1.ª instância observada de 1991 a 2006 reflecte perfis díspares da evolução da produtividade judicial das </w:t>
      </w:r>
      <w:r w:rsidR="00266E4D">
        <w:rPr>
          <w:rFonts w:ascii="Perpetua" w:hAnsi="Perpetua"/>
        </w:rPr>
        <w:t xml:space="preserve">quatro </w:t>
      </w:r>
      <w:r>
        <w:rPr>
          <w:rFonts w:ascii="Perpetua" w:hAnsi="Perpetua"/>
        </w:rPr>
        <w:t xml:space="preserve">áreas processuais, tendo-se assistido, </w:t>
      </w:r>
      <w:r w:rsidR="00857017">
        <w:rPr>
          <w:rFonts w:ascii="Perpetua" w:hAnsi="Perpetua"/>
        </w:rPr>
        <w:t>entre</w:t>
      </w:r>
      <w:r>
        <w:rPr>
          <w:rFonts w:ascii="Perpetua" w:hAnsi="Perpetua"/>
        </w:rPr>
        <w:t xml:space="preserve"> 1992 </w:t>
      </w:r>
      <w:r w:rsidR="00857017">
        <w:rPr>
          <w:rFonts w:ascii="Perpetua" w:hAnsi="Perpetua"/>
        </w:rPr>
        <w:t>e</w:t>
      </w:r>
      <w:r>
        <w:rPr>
          <w:rFonts w:ascii="Perpetua" w:hAnsi="Perpetua"/>
        </w:rPr>
        <w:t xml:space="preserve"> 2006, a uma redução média da prod</w:t>
      </w:r>
      <w:r w:rsidR="00163AC2">
        <w:rPr>
          <w:rFonts w:ascii="Perpetua" w:hAnsi="Perpetua"/>
        </w:rPr>
        <w:t>utividade judicial de cerca de 6</w:t>
      </w:r>
      <w:r>
        <w:rPr>
          <w:rFonts w:ascii="Perpetua" w:hAnsi="Perpetua"/>
        </w:rPr>
        <w:t>% do conjunto das áreas processuais cível e penal, concomitante com um acréscimo médio anu</w:t>
      </w:r>
      <w:r w:rsidR="00266E4D">
        <w:rPr>
          <w:rFonts w:ascii="Perpetua" w:hAnsi="Perpetua"/>
        </w:rPr>
        <w:t>a</w:t>
      </w:r>
      <w:r>
        <w:rPr>
          <w:rFonts w:ascii="Perpetua" w:hAnsi="Perpetua"/>
        </w:rPr>
        <w:t xml:space="preserve">l de 12 e 17% das áreas processuais laboral e tutelar, respectivamente; </w:t>
      </w:r>
    </w:p>
    <w:p w:rsidR="0080386E" w:rsidRPr="00E06272" w:rsidRDefault="0080386E" w:rsidP="0080386E">
      <w:pPr>
        <w:pStyle w:val="ListParagraph"/>
        <w:rPr>
          <w:rFonts w:ascii="Perpetua" w:hAnsi="Perpetua"/>
        </w:rPr>
      </w:pPr>
    </w:p>
    <w:p w:rsidR="0080386E" w:rsidRPr="00B0620D" w:rsidRDefault="0077492D" w:rsidP="0080386E">
      <w:pPr>
        <w:pStyle w:val="ListParagraph"/>
        <w:numPr>
          <w:ilvl w:val="0"/>
          <w:numId w:val="1"/>
        </w:numPr>
        <w:spacing w:line="360" w:lineRule="auto"/>
        <w:jc w:val="both"/>
        <w:rPr>
          <w:rFonts w:ascii="Perpetua" w:hAnsi="Perpetua"/>
        </w:rPr>
      </w:pPr>
      <w:r>
        <w:rPr>
          <w:rFonts w:ascii="Perpetua" w:hAnsi="Perpetua"/>
        </w:rPr>
        <w:t>Observa-se</w:t>
      </w:r>
      <w:r w:rsidR="0080386E">
        <w:rPr>
          <w:rFonts w:ascii="Perpetua" w:hAnsi="Perpetua"/>
        </w:rPr>
        <w:t xml:space="preserve"> uma relação estatística forte entre o volume de trabalho dos tribunais num dado ano, medido pela carga processual, e a produtividade judicial dos tribunais nesse mesmo ano, registando-se coeficientes de correlação elevados entre estas variáveis para o conjunto da 1.ª instância do sistema judicial, para o conjunto das áreas processuais cível e penal e para as áreas processuais laboral e tutelar.</w:t>
      </w:r>
    </w:p>
    <w:p w:rsidR="000043AA" w:rsidRDefault="000043AA" w:rsidP="0080386E">
      <w:pPr>
        <w:spacing w:line="360" w:lineRule="auto"/>
        <w:jc w:val="both"/>
        <w:rPr>
          <w:rFonts w:ascii="Perpetua" w:hAnsi="Perpetua"/>
          <w:b/>
        </w:rPr>
      </w:pPr>
    </w:p>
    <w:p w:rsidR="000043AA" w:rsidRPr="000043AA" w:rsidRDefault="000043AA" w:rsidP="00A66E20">
      <w:pPr>
        <w:pStyle w:val="Heading2"/>
      </w:pPr>
      <w:bookmarkStart w:id="60" w:name="_Toc206652062"/>
      <w:bookmarkStart w:id="61" w:name="_Toc220484463"/>
      <w:r w:rsidRPr="000043AA">
        <w:t>2.4. Conclusão</w:t>
      </w:r>
      <w:bookmarkEnd w:id="60"/>
      <w:bookmarkEnd w:id="61"/>
    </w:p>
    <w:p w:rsidR="000043AA" w:rsidRDefault="000043AA"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Como nota final deste capítulo 2, apresenta-se um sumário dos aspectos mais pertinentes da análise efectuada para os propósitos deste trabalho. </w:t>
      </w:r>
    </w:p>
    <w:p w:rsidR="0080386E" w:rsidRDefault="0080386E" w:rsidP="0080386E">
      <w:pPr>
        <w:spacing w:line="360" w:lineRule="auto"/>
        <w:jc w:val="both"/>
        <w:rPr>
          <w:rFonts w:ascii="Perpetua" w:hAnsi="Perpetua"/>
        </w:rPr>
      </w:pPr>
    </w:p>
    <w:p w:rsidR="0080386E" w:rsidRDefault="0080386E" w:rsidP="0080386E">
      <w:pPr>
        <w:pStyle w:val="ListParagraph"/>
        <w:numPr>
          <w:ilvl w:val="0"/>
          <w:numId w:val="2"/>
        </w:numPr>
        <w:spacing w:line="360" w:lineRule="auto"/>
        <w:jc w:val="both"/>
        <w:rPr>
          <w:rFonts w:ascii="Perpetua" w:hAnsi="Perpetua"/>
        </w:rPr>
      </w:pPr>
      <w:r w:rsidRPr="00F515A5">
        <w:rPr>
          <w:rFonts w:ascii="Perpetua" w:hAnsi="Perpetua"/>
        </w:rPr>
        <w:t xml:space="preserve">Concluiu-se que o desajustamento da oferta judicial à procura judicial parece estar estritamente relacionado com uma deterioração da produtividade judicial, entendida como a quantidade de serviços produzidos por magistrado judicial </w:t>
      </w:r>
      <w:r w:rsidR="00857017">
        <w:rPr>
          <w:rFonts w:ascii="Perpetua" w:hAnsi="Perpetua"/>
        </w:rPr>
        <w:t xml:space="preserve">empregado </w:t>
      </w:r>
      <w:r w:rsidRPr="00F515A5">
        <w:rPr>
          <w:rFonts w:ascii="Perpetua" w:hAnsi="Perpetua"/>
        </w:rPr>
        <w:t>no sistema judicial. A deterioração da produtividade judicial ocorre num contexto de aumento da utilização de recursos humanos na produção de serviços judiciais e da oferta de serviços jurídicos. A expansão da utilização de recursos humanos pelo sistema judicial não permitiu, contudo, reduzir as filas de espera nem os níveis de pendência processual. Pelo contrário, a expansão da oferta judicial parece ter contribuído para a deterioração da produtividade judicial, sobretudo, se admitirmos que a hipótese da endogeneidade da produtividade judicial também se verifica na 1.ª instância do sistema judicial português</w:t>
      </w:r>
      <w:r w:rsidR="00266E4D">
        <w:rPr>
          <w:rFonts w:ascii="Perpetua" w:hAnsi="Perpetua"/>
        </w:rPr>
        <w:t>.</w:t>
      </w:r>
      <w:r w:rsidRPr="00F515A5">
        <w:rPr>
          <w:rFonts w:ascii="Perpetua" w:hAnsi="Perpetua"/>
        </w:rPr>
        <w:t xml:space="preserve"> </w:t>
      </w:r>
    </w:p>
    <w:p w:rsidR="0080386E" w:rsidRDefault="0080386E" w:rsidP="0080386E">
      <w:pPr>
        <w:pStyle w:val="ListParagraph"/>
        <w:spacing w:line="360" w:lineRule="auto"/>
        <w:jc w:val="both"/>
        <w:rPr>
          <w:rFonts w:ascii="Perpetua" w:hAnsi="Perpetua"/>
        </w:rPr>
      </w:pPr>
    </w:p>
    <w:p w:rsidR="0080386E" w:rsidRDefault="0080386E" w:rsidP="0080386E">
      <w:pPr>
        <w:pStyle w:val="ListParagraph"/>
        <w:numPr>
          <w:ilvl w:val="0"/>
          <w:numId w:val="2"/>
        </w:numPr>
        <w:spacing w:line="360" w:lineRule="auto"/>
        <w:jc w:val="both"/>
        <w:rPr>
          <w:rFonts w:ascii="Perpetua" w:hAnsi="Perpetua"/>
        </w:rPr>
      </w:pPr>
      <w:r w:rsidRPr="00F515A5">
        <w:rPr>
          <w:rFonts w:ascii="Perpetua" w:hAnsi="Perpetua"/>
        </w:rPr>
        <w:t xml:space="preserve">A deterioração da produtividade judicial está concentrada no conjunto de tribunais que tramitam maioritariamente processos da área processual cível e, numa escala menor, da área processual penal, reforçando o diagnóstico de que o problema do sistema judicial português é um problema da justiça cível e, em menor grau, da justiça penal. </w:t>
      </w:r>
    </w:p>
    <w:p w:rsidR="0080386E" w:rsidRPr="00F515A5" w:rsidRDefault="0080386E" w:rsidP="0080386E">
      <w:pPr>
        <w:pStyle w:val="ListParagraph"/>
        <w:rPr>
          <w:rFonts w:ascii="Perpetua" w:hAnsi="Perpetua"/>
        </w:rPr>
      </w:pPr>
    </w:p>
    <w:p w:rsidR="0080386E" w:rsidRDefault="0080386E" w:rsidP="0080386E">
      <w:pPr>
        <w:pStyle w:val="ListParagraph"/>
        <w:numPr>
          <w:ilvl w:val="0"/>
          <w:numId w:val="2"/>
        </w:numPr>
        <w:spacing w:line="360" w:lineRule="auto"/>
        <w:jc w:val="both"/>
        <w:rPr>
          <w:rFonts w:ascii="Perpetua" w:hAnsi="Perpetua"/>
        </w:rPr>
      </w:pPr>
      <w:r w:rsidRPr="00F515A5">
        <w:rPr>
          <w:rFonts w:ascii="Perpetua" w:hAnsi="Perpetua"/>
        </w:rPr>
        <w:t xml:space="preserve">A reduzida disponibilidade informativa, </w:t>
      </w:r>
      <w:r w:rsidR="00B6413D">
        <w:rPr>
          <w:rFonts w:ascii="Perpetua" w:hAnsi="Perpetua"/>
        </w:rPr>
        <w:t xml:space="preserve">sobretudo de dados </w:t>
      </w:r>
      <w:r w:rsidRPr="00F515A5">
        <w:rPr>
          <w:rFonts w:ascii="Perpetua" w:hAnsi="Perpetua"/>
        </w:rPr>
        <w:t>estatísticos, não nos permite</w:t>
      </w:r>
      <w:r w:rsidR="0077492D" w:rsidRPr="0077492D">
        <w:rPr>
          <w:rFonts w:ascii="Perpetua" w:hAnsi="Perpetua"/>
        </w:rPr>
        <w:t xml:space="preserve"> </w:t>
      </w:r>
      <w:r w:rsidR="0077492D" w:rsidRPr="00F515A5">
        <w:rPr>
          <w:rFonts w:ascii="Perpetua" w:hAnsi="Perpetua"/>
        </w:rPr>
        <w:t>concluir</w:t>
      </w:r>
      <w:r w:rsidRPr="00F515A5">
        <w:rPr>
          <w:rFonts w:ascii="Perpetua" w:hAnsi="Perpetua"/>
        </w:rPr>
        <w:t>, no entanto, que a produtividade judicial seja o único, ou sequer o principal, factor explicativo do desajustamento entre a oferta judicial e a procura judicial verificado no período analisado. Com efeito, a medida de produtividade judicial apresentada pode não reflectir a</w:t>
      </w:r>
      <w:r w:rsidRPr="00F515A5">
        <w:rPr>
          <w:rFonts w:ascii="Perpetua" w:hAnsi="Perpetua"/>
          <w:i/>
        </w:rPr>
        <w:t xml:space="preserve"> verdadeira</w:t>
      </w:r>
      <w:r w:rsidRPr="00F515A5">
        <w:rPr>
          <w:rFonts w:ascii="Perpetua" w:hAnsi="Perpetua"/>
        </w:rPr>
        <w:t xml:space="preserve"> produtividade judicial, caso: i) a heterogeneidade das intensidades de trabalho judicial dos processos judicias seja significativa e, sobretudo, se essa heterogeneidade for acompanhada por uma alteração do </w:t>
      </w:r>
      <w:r w:rsidRPr="00F515A5">
        <w:rPr>
          <w:rFonts w:ascii="Perpetua" w:hAnsi="Perpetua"/>
          <w:i/>
        </w:rPr>
        <w:t>case</w:t>
      </w:r>
      <w:r w:rsidR="00B6413D">
        <w:rPr>
          <w:rFonts w:ascii="Perpetua" w:hAnsi="Perpetua"/>
          <w:i/>
        </w:rPr>
        <w:t xml:space="preserve"> </w:t>
      </w:r>
      <w:r w:rsidRPr="00F515A5">
        <w:rPr>
          <w:rFonts w:ascii="Perpetua" w:hAnsi="Perpetua"/>
          <w:i/>
        </w:rPr>
        <w:t>mix</w:t>
      </w:r>
      <w:r w:rsidRPr="00F515A5">
        <w:rPr>
          <w:rFonts w:ascii="Perpetua" w:hAnsi="Perpetua"/>
        </w:rPr>
        <w:t xml:space="preserve"> </w:t>
      </w:r>
      <w:r w:rsidR="00163AC2">
        <w:rPr>
          <w:rFonts w:ascii="Perpetua" w:hAnsi="Perpetua"/>
        </w:rPr>
        <w:t>(padrão da litigância resolvida) dos</w:t>
      </w:r>
      <w:r w:rsidRPr="00F515A5">
        <w:rPr>
          <w:rFonts w:ascii="Perpetua" w:hAnsi="Perpetua"/>
        </w:rPr>
        <w:t xml:space="preserve"> serviços judiciais prestados pelo sistema judicial ao longo da série cronológica analisada; ou ii) a qualidade judicial tenha aumentado, compensando a redução da quantidade de serviços judiciais produzidos. Por outro lado, a variação de factores que, admissível e potencialmente, contribuem para a alteração da produtividade judicial</w:t>
      </w:r>
      <w:r w:rsidR="00B6413D">
        <w:rPr>
          <w:rFonts w:ascii="Perpetua" w:hAnsi="Perpetua"/>
        </w:rPr>
        <w:t xml:space="preserve"> não foram </w:t>
      </w:r>
      <w:r w:rsidRPr="00F515A5">
        <w:rPr>
          <w:rFonts w:ascii="Perpetua" w:hAnsi="Perpetua"/>
        </w:rPr>
        <w:t xml:space="preserve">analisados, por falta da disponibilidade de informação estatística, </w:t>
      </w:r>
      <w:r w:rsidR="00B6413D">
        <w:rPr>
          <w:rFonts w:ascii="Perpetua" w:hAnsi="Perpetua"/>
        </w:rPr>
        <w:t xml:space="preserve">nem testado </w:t>
      </w:r>
      <w:r w:rsidRPr="00F515A5">
        <w:rPr>
          <w:rFonts w:ascii="Perpetua" w:hAnsi="Perpetua"/>
        </w:rPr>
        <w:t xml:space="preserve">o seu efeito na produtividade judicial </w:t>
      </w:r>
      <w:r w:rsidR="00B6413D">
        <w:rPr>
          <w:rFonts w:ascii="Perpetua" w:hAnsi="Perpetua"/>
        </w:rPr>
        <w:t xml:space="preserve">através de </w:t>
      </w:r>
      <w:r w:rsidRPr="00F515A5">
        <w:rPr>
          <w:rFonts w:ascii="Perpetua" w:hAnsi="Perpetua"/>
        </w:rPr>
        <w:t xml:space="preserve">uma análise econométrica. A segunda das possibilidades aventadas </w:t>
      </w:r>
      <w:r w:rsidR="00AA17E2">
        <w:rPr>
          <w:rFonts w:ascii="Perpetua" w:hAnsi="Perpetua"/>
        </w:rPr>
        <w:t>pode ser</w:t>
      </w:r>
      <w:r w:rsidRPr="00F515A5">
        <w:rPr>
          <w:rFonts w:ascii="Perpetua" w:hAnsi="Perpetua"/>
        </w:rPr>
        <w:t xml:space="preserve"> exemplificada pela expansão da oferta de serviços jurídicos ao longo do período, cujo efeito na produtividade judicial é ambíguo. No caso dos advogados, um aumento da oferta de serviços </w:t>
      </w:r>
      <w:r w:rsidR="00BA03E0">
        <w:rPr>
          <w:rFonts w:ascii="Perpetua" w:hAnsi="Perpetua"/>
        </w:rPr>
        <w:t xml:space="preserve">de consultoria </w:t>
      </w:r>
      <w:r w:rsidRPr="00F515A5">
        <w:rPr>
          <w:rFonts w:ascii="Perpetua" w:hAnsi="Perpetua"/>
        </w:rPr>
        <w:t>jurídic</w:t>
      </w:r>
      <w:r w:rsidR="00BA03E0">
        <w:rPr>
          <w:rFonts w:ascii="Perpetua" w:hAnsi="Perpetua"/>
        </w:rPr>
        <w:t>a</w:t>
      </w:r>
      <w:r w:rsidRPr="00F515A5">
        <w:rPr>
          <w:rFonts w:ascii="Perpetua" w:hAnsi="Perpetua"/>
        </w:rPr>
        <w:t xml:space="preserve"> pode ter produzido alterações no mercado de consultoria jurídica (no preço de mercado, na qualidade de serviço</w:t>
      </w:r>
      <w:r w:rsidR="008932FB">
        <w:rPr>
          <w:rFonts w:ascii="Perpetua" w:hAnsi="Perpetua"/>
        </w:rPr>
        <w:t>,</w:t>
      </w:r>
      <w:r w:rsidRPr="00F515A5">
        <w:rPr>
          <w:rFonts w:ascii="Perpetua" w:hAnsi="Perpetua"/>
        </w:rPr>
        <w:t xml:space="preserve"> etc.) e, assim, ter posto em marcha uma maior actividade de busca de rendas por parte dos advogados que tenha como resultado uma maior duração da resolução processual e, indirectamente, uma redução da produtividade judicial. </w:t>
      </w:r>
    </w:p>
    <w:p w:rsidR="0080386E" w:rsidRDefault="0080386E" w:rsidP="0080386E">
      <w:pPr>
        <w:pStyle w:val="ListParagraph"/>
        <w:spacing w:line="360" w:lineRule="auto"/>
        <w:jc w:val="both"/>
        <w:rPr>
          <w:rFonts w:ascii="Perpetua" w:hAnsi="Perpetua"/>
        </w:rPr>
      </w:pPr>
    </w:p>
    <w:p w:rsidR="0080386E" w:rsidRDefault="0080386E" w:rsidP="0080386E">
      <w:pPr>
        <w:pStyle w:val="ListParagraph"/>
        <w:numPr>
          <w:ilvl w:val="0"/>
          <w:numId w:val="2"/>
        </w:numPr>
        <w:spacing w:line="360" w:lineRule="auto"/>
        <w:jc w:val="both"/>
        <w:rPr>
          <w:rFonts w:ascii="Perpetua" w:hAnsi="Perpetua"/>
        </w:rPr>
      </w:pPr>
      <w:r w:rsidRPr="00F515A5">
        <w:rPr>
          <w:rFonts w:ascii="Perpetua" w:hAnsi="Perpetua"/>
        </w:rPr>
        <w:t xml:space="preserve">Por fim, a análise de estatística descritiva efectuada sugere que a deterioração observada na produtividade judicial cível e penal resulta de uma redução da carga processual dos magistrados judiciais que operam em tribunais que tramitam maioritariamente processos dessas áreas processuais. Dito por outras palavras, há </w:t>
      </w:r>
      <w:r w:rsidR="0077492D">
        <w:rPr>
          <w:rFonts w:ascii="Perpetua" w:hAnsi="Perpetua"/>
        </w:rPr>
        <w:t xml:space="preserve">indícios </w:t>
      </w:r>
      <w:r w:rsidRPr="00F515A5">
        <w:rPr>
          <w:rFonts w:ascii="Perpetua" w:hAnsi="Perpetua"/>
        </w:rPr>
        <w:t>que o fenómeno da endogeneidade da produtividade judicial está presente na 1.ª instância do sistema judicial português</w:t>
      </w:r>
      <w:r>
        <w:rPr>
          <w:rFonts w:ascii="Perpetua" w:hAnsi="Perpetua"/>
        </w:rPr>
        <w:t xml:space="preserve">, </w:t>
      </w:r>
      <w:r w:rsidR="004E5D3A" w:rsidRPr="004E5D3A">
        <w:rPr>
          <w:rFonts w:ascii="Perpetua" w:hAnsi="Perpetua"/>
          <w:i/>
        </w:rPr>
        <w:t>i.e.</w:t>
      </w:r>
      <w:r w:rsidR="0077492D">
        <w:rPr>
          <w:rFonts w:ascii="Perpetua" w:hAnsi="Perpetua"/>
        </w:rPr>
        <w:t xml:space="preserve">, </w:t>
      </w:r>
      <w:r>
        <w:rPr>
          <w:rFonts w:ascii="Perpetua" w:hAnsi="Perpetua"/>
        </w:rPr>
        <w:t>que a produtividade dos tribunais varia positivamente com a sua carga de trabalho</w:t>
      </w:r>
      <w:r w:rsidRPr="00F515A5">
        <w:rPr>
          <w:rFonts w:ascii="Perpetua" w:hAnsi="Perpetua"/>
        </w:rPr>
        <w:t xml:space="preserve">. Todavia, pese embora a plausibilidade do resultado face ao quadro de incentivos existentes durante esse período na produção de serviços judiciais, também neste caso, a hipótese da presença do fenómeno da endogeneidade da produtividade judicial deve ser aceite com cautela e condicionada aos diversos </w:t>
      </w:r>
      <w:r w:rsidRPr="00F515A5">
        <w:rPr>
          <w:rFonts w:ascii="Perpetua" w:hAnsi="Perpetua"/>
          <w:i/>
        </w:rPr>
        <w:t>caveats</w:t>
      </w:r>
      <w:r w:rsidRPr="00F515A5">
        <w:rPr>
          <w:rFonts w:ascii="Perpetua" w:hAnsi="Perpetua"/>
        </w:rPr>
        <w:t xml:space="preserve"> que temos referido.</w:t>
      </w:r>
    </w:p>
    <w:p w:rsidR="00A66E20" w:rsidRDefault="00A66E20" w:rsidP="00A66E20"/>
    <w:p w:rsidR="00AA17E2" w:rsidRDefault="00AA17E2" w:rsidP="00A66E20"/>
    <w:p w:rsidR="0077492D" w:rsidRDefault="0077492D" w:rsidP="00A66E20"/>
    <w:p w:rsidR="00AA17E2" w:rsidRDefault="00AA17E2" w:rsidP="00A66E20"/>
    <w:p w:rsidR="0080386E" w:rsidRPr="00A66E20" w:rsidRDefault="0077492D" w:rsidP="006D0C0A">
      <w:pPr>
        <w:pStyle w:val="Heading1"/>
      </w:pPr>
      <w:bookmarkStart w:id="62" w:name="_Toc206648418"/>
      <w:bookmarkStart w:id="63" w:name="_Toc206648419"/>
      <w:bookmarkStart w:id="64" w:name="_Toc206648463"/>
      <w:bookmarkStart w:id="65" w:name="_Toc206648464"/>
      <w:bookmarkStart w:id="66" w:name="_Toc206652063"/>
      <w:bookmarkStart w:id="67" w:name="_Toc220484464"/>
      <w:bookmarkEnd w:id="62"/>
      <w:bookmarkEnd w:id="63"/>
      <w:bookmarkEnd w:id="64"/>
      <w:r>
        <w:t>L</w:t>
      </w:r>
      <w:r w:rsidR="0080386E" w:rsidRPr="00A66E20">
        <w:t>iteratura</w:t>
      </w:r>
      <w:bookmarkEnd w:id="65"/>
      <w:bookmarkEnd w:id="66"/>
      <w:r>
        <w:t xml:space="preserve"> revista</w:t>
      </w:r>
      <w:bookmarkEnd w:id="67"/>
    </w:p>
    <w:p w:rsidR="0080386E" w:rsidRPr="00C537DC" w:rsidRDefault="0080386E" w:rsidP="00A66E20">
      <w:bookmarkStart w:id="68" w:name="_Toc206648465"/>
      <w:bookmarkEnd w:id="68"/>
    </w:p>
    <w:p w:rsidR="0080386E" w:rsidRPr="00C537DC" w:rsidRDefault="000043AA" w:rsidP="006D0C0A">
      <w:pPr>
        <w:pStyle w:val="Heading2"/>
      </w:pPr>
      <w:bookmarkStart w:id="69" w:name="_Toc206652064"/>
      <w:bookmarkStart w:id="70" w:name="_Toc220484465"/>
      <w:r>
        <w:t xml:space="preserve">3.1. </w:t>
      </w:r>
      <w:r w:rsidR="0080386E" w:rsidRPr="00C537DC">
        <w:t>Introdução</w:t>
      </w:r>
      <w:bookmarkEnd w:id="69"/>
      <w:bookmarkEnd w:id="70"/>
    </w:p>
    <w:p w:rsidR="0080386E" w:rsidRDefault="0080386E" w:rsidP="0080386E">
      <w:pPr>
        <w:spacing w:line="360" w:lineRule="auto"/>
        <w:jc w:val="both"/>
        <w:rPr>
          <w:rFonts w:ascii="Perpetua" w:hAnsi="Perpetua"/>
        </w:rPr>
      </w:pPr>
      <w:bookmarkStart w:id="71" w:name="_Toc206648466"/>
      <w:bookmarkEnd w:id="71"/>
    </w:p>
    <w:p w:rsidR="0080386E" w:rsidRPr="0058439A" w:rsidRDefault="0080386E" w:rsidP="0080386E">
      <w:pPr>
        <w:keepNext/>
        <w:framePr w:dropCap="drop" w:lines="3" w:wrap="around" w:vAnchor="text" w:hAnchor="text"/>
        <w:spacing w:line="1237" w:lineRule="exact"/>
        <w:jc w:val="both"/>
        <w:textAlignment w:val="baseline"/>
        <w:rPr>
          <w:rFonts w:ascii="Perpetua" w:hAnsi="Perpetua"/>
          <w:position w:val="-3"/>
          <w:sz w:val="172"/>
        </w:rPr>
      </w:pPr>
      <w:r w:rsidRPr="0058439A">
        <w:rPr>
          <w:rFonts w:ascii="Perpetua" w:hAnsi="Perpetua"/>
          <w:position w:val="-3"/>
          <w:sz w:val="172"/>
        </w:rPr>
        <w:t>N</w:t>
      </w:r>
    </w:p>
    <w:p w:rsidR="00470EB1" w:rsidRDefault="003C6762" w:rsidP="00470EB1">
      <w:pPr>
        <w:spacing w:line="360" w:lineRule="auto"/>
        <w:jc w:val="both"/>
        <w:rPr>
          <w:rFonts w:ascii="Perpetua" w:hAnsi="Perpetua"/>
        </w:rPr>
      </w:pPr>
      <w:r>
        <w:rPr>
          <w:rFonts w:ascii="Perpetua" w:hAnsi="Perpetua"/>
        </w:rPr>
        <w:t>a primeira</w:t>
      </w:r>
      <w:r w:rsidR="0080386E">
        <w:rPr>
          <w:rFonts w:ascii="Perpetua" w:hAnsi="Perpetua"/>
        </w:rPr>
        <w:t xml:space="preserve"> </w:t>
      </w:r>
      <w:r>
        <w:rPr>
          <w:rFonts w:ascii="Perpetua" w:hAnsi="Perpetua"/>
        </w:rPr>
        <w:t xml:space="preserve">secção </w:t>
      </w:r>
      <w:r w:rsidR="0080386E">
        <w:rPr>
          <w:rFonts w:ascii="Perpetua" w:hAnsi="Perpetua"/>
        </w:rPr>
        <w:t>deste capítulo apresenta</w:t>
      </w:r>
      <w:r w:rsidR="004E5D3A">
        <w:rPr>
          <w:rFonts w:ascii="Perpetua" w:hAnsi="Perpetua"/>
        </w:rPr>
        <w:t>-se</w:t>
      </w:r>
      <w:r w:rsidR="0080386E">
        <w:rPr>
          <w:rFonts w:ascii="Perpetua" w:hAnsi="Perpetua"/>
        </w:rPr>
        <w:t xml:space="preserve"> uma breve revisão dos principais resultados empíricos sobre a provisão pública de serviços judiciais, verificados no âmbito da Análise Económica do Direito</w:t>
      </w:r>
      <w:r w:rsidR="0052311D">
        <w:rPr>
          <w:rFonts w:ascii="Perpetua" w:hAnsi="Perpetua"/>
        </w:rPr>
        <w:t xml:space="preserve"> e da Análise de Eficiência e Produtividade</w:t>
      </w:r>
      <w:r w:rsidR="0080386E">
        <w:rPr>
          <w:rFonts w:ascii="Perpetua" w:hAnsi="Perpetua"/>
        </w:rPr>
        <w:t xml:space="preserve">. Para além da natureza empírica, a literatura revista caracteriza-se pela </w:t>
      </w:r>
      <w:r w:rsidR="004E5D3A">
        <w:rPr>
          <w:rFonts w:ascii="Perpetua" w:hAnsi="Perpetua"/>
        </w:rPr>
        <w:t xml:space="preserve">vocação de fornecer recomendações de </w:t>
      </w:r>
      <w:r w:rsidR="0080386E">
        <w:rPr>
          <w:rFonts w:ascii="Perpetua" w:hAnsi="Perpetua"/>
        </w:rPr>
        <w:t xml:space="preserve">política pública </w:t>
      </w:r>
      <w:r w:rsidR="004E5D3A">
        <w:rPr>
          <w:rFonts w:ascii="Perpetua" w:hAnsi="Perpetua"/>
        </w:rPr>
        <w:t xml:space="preserve">para </w:t>
      </w:r>
      <w:r w:rsidR="0080386E">
        <w:rPr>
          <w:rFonts w:ascii="Perpetua" w:hAnsi="Perpetua"/>
        </w:rPr>
        <w:t xml:space="preserve">o sistema judicial e pela fundamentação num modelo teórico inspirado na teoria económica, </w:t>
      </w:r>
      <w:r w:rsidR="004E5D3A" w:rsidRPr="004E5D3A">
        <w:rPr>
          <w:rFonts w:ascii="Perpetua" w:hAnsi="Perpetua"/>
          <w:i/>
        </w:rPr>
        <w:t>i.e.</w:t>
      </w:r>
      <w:r w:rsidR="0077492D">
        <w:rPr>
          <w:rFonts w:ascii="Perpetua" w:hAnsi="Perpetua"/>
        </w:rPr>
        <w:t xml:space="preserve">, </w:t>
      </w:r>
      <w:r w:rsidR="0080386E">
        <w:rPr>
          <w:rFonts w:ascii="Perpetua" w:hAnsi="Perpetua"/>
        </w:rPr>
        <w:t xml:space="preserve">são excluídos modelos que analisam também variáveis políticas, como, por exemplo, De Figueiredo </w:t>
      </w:r>
      <w:r w:rsidR="003A79EC">
        <w:rPr>
          <w:rFonts w:ascii="Perpetua" w:hAnsi="Perpetua"/>
        </w:rPr>
        <w:t>e</w:t>
      </w:r>
      <w:r w:rsidR="0080386E">
        <w:rPr>
          <w:rFonts w:ascii="Perpetua" w:hAnsi="Perpetua"/>
        </w:rPr>
        <w:t xml:space="preserve"> Tiller (1996) e De Figueiredo </w:t>
      </w:r>
      <w:r w:rsidR="0080386E" w:rsidRPr="004E5D3A">
        <w:rPr>
          <w:rFonts w:ascii="Perpetua" w:hAnsi="Perpetua"/>
          <w:i/>
        </w:rPr>
        <w:t>et al</w:t>
      </w:r>
      <w:r w:rsidR="004E5D3A">
        <w:rPr>
          <w:rFonts w:ascii="Perpetua" w:hAnsi="Perpetua"/>
        </w:rPr>
        <w:t>.</w:t>
      </w:r>
      <w:r w:rsidR="0080386E">
        <w:rPr>
          <w:rFonts w:ascii="Perpetua" w:hAnsi="Perpetua"/>
        </w:rPr>
        <w:t xml:space="preserve"> (2001).</w:t>
      </w:r>
      <w:r w:rsidR="00470EB1" w:rsidRPr="00470EB1">
        <w:rPr>
          <w:rFonts w:ascii="Perpetua" w:hAnsi="Perpetua"/>
          <w:b/>
        </w:rPr>
        <w:t xml:space="preserve"> </w:t>
      </w:r>
      <w:r w:rsidRPr="003C6762">
        <w:rPr>
          <w:rFonts w:ascii="Perpetua" w:hAnsi="Perpetua"/>
        </w:rPr>
        <w:t>Na secção</w:t>
      </w:r>
      <w:r>
        <w:rPr>
          <w:rFonts w:ascii="Perpetua" w:hAnsi="Perpetua"/>
        </w:rPr>
        <w:t xml:space="preserve"> seguinte, 3.3.,</w:t>
      </w:r>
      <w:r w:rsidR="00470EB1">
        <w:rPr>
          <w:rFonts w:ascii="Perpetua" w:hAnsi="Perpetua"/>
        </w:rPr>
        <w:t xml:space="preserve"> apresenta</w:t>
      </w:r>
      <w:r>
        <w:rPr>
          <w:rFonts w:ascii="Perpetua" w:hAnsi="Perpetua"/>
        </w:rPr>
        <w:t>-se</w:t>
      </w:r>
      <w:r w:rsidR="00470EB1">
        <w:rPr>
          <w:rFonts w:ascii="Perpetua" w:hAnsi="Perpetua"/>
        </w:rPr>
        <w:t xml:space="preserve"> u</w:t>
      </w:r>
      <w:r w:rsidR="00A2767C">
        <w:rPr>
          <w:rFonts w:ascii="Perpetua" w:hAnsi="Perpetua"/>
        </w:rPr>
        <w:t>m breve enquadramento teórico do</w:t>
      </w:r>
      <w:r w:rsidR="00470EB1">
        <w:rPr>
          <w:rFonts w:ascii="Perpetua" w:hAnsi="Perpetua"/>
        </w:rPr>
        <w:t xml:space="preserve"> estudo da oferta de serviços judiciais de resolução de litígios na perspectiva da teoria económica da produção. </w:t>
      </w:r>
      <w:r w:rsidR="00470EB1">
        <w:rPr>
          <w:rFonts w:ascii="Perpetua" w:hAnsi="Perpetua"/>
          <w:vanish/>
        </w:rPr>
        <w:t xml:space="preserve">e serviços judiciais </w:t>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vanish/>
        </w:rPr>
        <w:pgNum/>
      </w:r>
      <w:r w:rsidR="00470EB1">
        <w:rPr>
          <w:rFonts w:ascii="Perpetua" w:hAnsi="Perpetua"/>
        </w:rPr>
        <w:t xml:space="preserve">Contudo, dado o enorme volume da literatura sobre a estimação </w:t>
      </w:r>
      <w:r w:rsidR="004E5D3A">
        <w:rPr>
          <w:rFonts w:ascii="Perpetua" w:hAnsi="Perpetua"/>
        </w:rPr>
        <w:t xml:space="preserve">econométrica </w:t>
      </w:r>
      <w:r w:rsidR="00470EB1">
        <w:rPr>
          <w:rFonts w:ascii="Perpetua" w:hAnsi="Perpetua"/>
        </w:rPr>
        <w:t xml:space="preserve">de funções </w:t>
      </w:r>
      <w:r w:rsidR="00A2767C">
        <w:rPr>
          <w:rFonts w:ascii="Perpetua" w:hAnsi="Perpetua"/>
        </w:rPr>
        <w:t>de produção</w:t>
      </w:r>
      <w:r w:rsidR="004E5D3A">
        <w:rPr>
          <w:rFonts w:ascii="Perpetua" w:hAnsi="Perpetua"/>
        </w:rPr>
        <w:t xml:space="preserve"> e da estimação de</w:t>
      </w:r>
      <w:r w:rsidR="00470EB1">
        <w:rPr>
          <w:rFonts w:ascii="Perpetua" w:hAnsi="Perpetua"/>
        </w:rPr>
        <w:t xml:space="preserve"> fronteiras de produção de melhor prática </w:t>
      </w:r>
      <w:r w:rsidR="00A2767C">
        <w:rPr>
          <w:rFonts w:ascii="Perpetua" w:hAnsi="Perpetua"/>
        </w:rPr>
        <w:t>através d</w:t>
      </w:r>
      <w:r w:rsidR="00470EB1">
        <w:rPr>
          <w:rFonts w:ascii="Perpetua" w:hAnsi="Perpetua"/>
        </w:rPr>
        <w:t xml:space="preserve">os métodos de fronteira, a exposição </w:t>
      </w:r>
      <w:r w:rsidR="004E5D3A">
        <w:rPr>
          <w:rFonts w:ascii="Perpetua" w:hAnsi="Perpetua"/>
        </w:rPr>
        <w:t xml:space="preserve">apresentada </w:t>
      </w:r>
      <w:r w:rsidR="00470EB1">
        <w:rPr>
          <w:rFonts w:ascii="Perpetua" w:hAnsi="Perpetua"/>
        </w:rPr>
        <w:t xml:space="preserve">será necessariamente breve e circunscrita aos aspectos mais pertinentes para </w:t>
      </w:r>
      <w:r w:rsidR="004E5D3A">
        <w:rPr>
          <w:rFonts w:ascii="Perpetua" w:hAnsi="Perpetua"/>
        </w:rPr>
        <w:t xml:space="preserve">este </w:t>
      </w:r>
      <w:r w:rsidR="00470EB1">
        <w:rPr>
          <w:rFonts w:ascii="Perpetua" w:hAnsi="Perpetua"/>
        </w:rPr>
        <w:t>trabalho. A apresentação breve do enquadramento teórico dos métodos de estimação empírica é, no entanto, indispensável e, essencialmente, por duas razões: i) permite,</w:t>
      </w:r>
      <w:r w:rsidR="00470EB1" w:rsidRPr="004251FF">
        <w:rPr>
          <w:rFonts w:ascii="Perpetua" w:hAnsi="Perpetua"/>
        </w:rPr>
        <w:t xml:space="preserve"> </w:t>
      </w:r>
      <w:r w:rsidR="00470EB1">
        <w:rPr>
          <w:rFonts w:ascii="Perpetua" w:hAnsi="Perpetua"/>
        </w:rPr>
        <w:t>em conjugação com as limitações informativas encontradas, justificar a estratégia prosseguida para modelar em termos econométricos a oferta judiciária portuguesa</w:t>
      </w:r>
      <w:r w:rsidR="00941AEA">
        <w:rPr>
          <w:rFonts w:ascii="Perpetua" w:hAnsi="Perpetua"/>
        </w:rPr>
        <w:t>, e ii)</w:t>
      </w:r>
      <w:r w:rsidR="00470EB1">
        <w:rPr>
          <w:rFonts w:ascii="Perpetua" w:hAnsi="Perpetua"/>
        </w:rPr>
        <w:t xml:space="preserve"> torna rigorosa a interpretação dos resultados das estimações efectuadas.</w:t>
      </w:r>
    </w:p>
    <w:p w:rsidR="0080386E" w:rsidRDefault="0080386E" w:rsidP="0080386E">
      <w:pPr>
        <w:spacing w:line="360" w:lineRule="auto"/>
        <w:jc w:val="both"/>
        <w:rPr>
          <w:rFonts w:ascii="Perpetua" w:hAnsi="Perpetua"/>
        </w:rPr>
      </w:pPr>
    </w:p>
    <w:p w:rsidR="0080386E" w:rsidRPr="00474BA4" w:rsidRDefault="000043AA" w:rsidP="006D0C0A">
      <w:pPr>
        <w:pStyle w:val="Heading2"/>
      </w:pPr>
      <w:bookmarkStart w:id="72" w:name="_Toc206648467"/>
      <w:bookmarkStart w:id="73" w:name="_Toc206652065"/>
      <w:bookmarkStart w:id="74" w:name="_Toc220484466"/>
      <w:r>
        <w:t xml:space="preserve">3.2. </w:t>
      </w:r>
      <w:r w:rsidR="0029523E">
        <w:t xml:space="preserve">A </w:t>
      </w:r>
      <w:r w:rsidR="0080386E">
        <w:t>pro</w:t>
      </w:r>
      <w:r w:rsidR="004E5D3A">
        <w:t xml:space="preserve">visão </w:t>
      </w:r>
      <w:r w:rsidR="0080386E">
        <w:t>de serviços judiciais</w:t>
      </w:r>
      <w:bookmarkEnd w:id="72"/>
      <w:bookmarkEnd w:id="73"/>
      <w:bookmarkEnd w:id="74"/>
    </w:p>
    <w:p w:rsidR="0080386E" w:rsidRDefault="0080386E" w:rsidP="003307E7">
      <w:pPr>
        <w:spacing w:line="360" w:lineRule="auto"/>
      </w:pPr>
    </w:p>
    <w:p w:rsidR="00D7663F" w:rsidRDefault="00A2767C" w:rsidP="0080386E">
      <w:pPr>
        <w:spacing w:line="360" w:lineRule="auto"/>
        <w:jc w:val="both"/>
        <w:rPr>
          <w:rFonts w:ascii="Perpetua" w:hAnsi="Perpetua" w:cs="Arial"/>
        </w:rPr>
      </w:pPr>
      <w:r>
        <w:rPr>
          <w:rFonts w:ascii="Perpetua" w:hAnsi="Perpetua" w:cs="Arial"/>
        </w:rPr>
        <w:t xml:space="preserve">Previamente à </w:t>
      </w:r>
      <w:r w:rsidR="00260F8E">
        <w:rPr>
          <w:rFonts w:ascii="Perpetua" w:hAnsi="Perpetua" w:cs="Arial"/>
        </w:rPr>
        <w:t xml:space="preserve">descrição </w:t>
      </w:r>
      <w:r>
        <w:rPr>
          <w:rFonts w:ascii="Perpetua" w:hAnsi="Perpetua" w:cs="Arial"/>
        </w:rPr>
        <w:t>da</w:t>
      </w:r>
      <w:r w:rsidR="008D3E5A">
        <w:rPr>
          <w:rFonts w:ascii="Perpetua" w:hAnsi="Perpetua" w:cs="Arial"/>
        </w:rPr>
        <w:t xml:space="preserve">s </w:t>
      </w:r>
      <w:r w:rsidR="00260F8E">
        <w:rPr>
          <w:rFonts w:ascii="Perpetua" w:hAnsi="Perpetua" w:cs="Arial"/>
        </w:rPr>
        <w:t xml:space="preserve">principais </w:t>
      </w:r>
      <w:r w:rsidR="008D3E5A">
        <w:rPr>
          <w:rFonts w:ascii="Perpetua" w:hAnsi="Perpetua" w:cs="Arial"/>
        </w:rPr>
        <w:t>contribuições para o estudo empírico da oferta judiciária no âmbito da Análise Económica do Direito e da Análise de Eficiência e Produtividade</w:t>
      </w:r>
      <w:r w:rsidR="008D3E5A" w:rsidRPr="008D3E5A">
        <w:rPr>
          <w:rFonts w:ascii="Perpetua" w:hAnsi="Perpetua" w:cs="Arial"/>
        </w:rPr>
        <w:t xml:space="preserve"> </w:t>
      </w:r>
      <w:r w:rsidR="008D3E5A">
        <w:rPr>
          <w:rFonts w:ascii="Perpetua" w:hAnsi="Perpetua" w:cs="Arial"/>
        </w:rPr>
        <w:t>com métodos de fronteira</w:t>
      </w:r>
      <w:r>
        <w:rPr>
          <w:rFonts w:ascii="Perpetua" w:hAnsi="Perpetua" w:cs="Arial"/>
        </w:rPr>
        <w:t xml:space="preserve">, importa sublinhar que </w:t>
      </w:r>
      <w:r w:rsidR="00260F8E">
        <w:rPr>
          <w:rFonts w:ascii="Perpetua" w:hAnsi="Perpetua" w:cs="Arial"/>
        </w:rPr>
        <w:t xml:space="preserve">os enquadramentos teóricos subjacentes a </w:t>
      </w:r>
      <w:r>
        <w:rPr>
          <w:rFonts w:ascii="Perpetua" w:hAnsi="Perpetua" w:cs="Arial"/>
        </w:rPr>
        <w:t>essas</w:t>
      </w:r>
      <w:r w:rsidR="0080386E">
        <w:rPr>
          <w:rFonts w:ascii="Perpetua" w:hAnsi="Perpetua" w:cs="Arial"/>
        </w:rPr>
        <w:t xml:space="preserve"> contribuições </w:t>
      </w:r>
      <w:r w:rsidR="00260F8E">
        <w:rPr>
          <w:rFonts w:ascii="Perpetua" w:hAnsi="Perpetua" w:cs="Arial"/>
        </w:rPr>
        <w:t>são, em alguns casos, bastante distintos. Nesta secção</w:t>
      </w:r>
      <w:r w:rsidR="00941AEA">
        <w:rPr>
          <w:rFonts w:ascii="Perpetua" w:hAnsi="Perpetua" w:cs="Arial"/>
        </w:rPr>
        <w:t>,</w:t>
      </w:r>
      <w:r w:rsidR="00260F8E">
        <w:rPr>
          <w:rFonts w:ascii="Perpetua" w:hAnsi="Perpetua" w:cs="Arial"/>
        </w:rPr>
        <w:t xml:space="preserve"> o foco são os resultados empíricos obtidos e não as questões metodológicas subjacentes à modelação da produção de serviços judicia</w:t>
      </w:r>
      <w:r w:rsidR="00D7663F">
        <w:rPr>
          <w:rFonts w:ascii="Perpetua" w:hAnsi="Perpetua" w:cs="Arial"/>
        </w:rPr>
        <w:t>i</w:t>
      </w:r>
      <w:r w:rsidR="00260F8E">
        <w:rPr>
          <w:rFonts w:ascii="Perpetua" w:hAnsi="Perpetua" w:cs="Arial"/>
        </w:rPr>
        <w:t>s</w:t>
      </w:r>
      <w:r w:rsidR="004E5D3A">
        <w:rPr>
          <w:rFonts w:ascii="Perpetua" w:hAnsi="Perpetua" w:cs="Arial"/>
        </w:rPr>
        <w:t xml:space="preserve"> –</w:t>
      </w:r>
      <w:r w:rsidR="00260F8E">
        <w:rPr>
          <w:rFonts w:ascii="Perpetua" w:hAnsi="Perpetua" w:cs="Arial"/>
        </w:rPr>
        <w:t xml:space="preserve"> essas serão discutidas </w:t>
      </w:r>
      <w:r w:rsidR="00941AEA">
        <w:rPr>
          <w:rFonts w:ascii="Perpetua" w:hAnsi="Perpetua" w:cs="Arial"/>
        </w:rPr>
        <w:t xml:space="preserve">com </w:t>
      </w:r>
      <w:r w:rsidR="00260F8E">
        <w:rPr>
          <w:rFonts w:ascii="Perpetua" w:hAnsi="Perpetua" w:cs="Arial"/>
        </w:rPr>
        <w:t>maior detalhe na secção seguinte.</w:t>
      </w:r>
    </w:p>
    <w:p w:rsidR="0080386E" w:rsidRDefault="00260F8E" w:rsidP="0080386E">
      <w:pPr>
        <w:spacing w:line="360" w:lineRule="auto"/>
        <w:jc w:val="both"/>
        <w:rPr>
          <w:rFonts w:ascii="Perpetua" w:hAnsi="Perpetua" w:cs="Arial"/>
        </w:rPr>
      </w:pPr>
      <w:r>
        <w:rPr>
          <w:rFonts w:ascii="Perpetua" w:hAnsi="Perpetua" w:cs="Arial"/>
        </w:rPr>
        <w:t xml:space="preserve"> </w:t>
      </w:r>
    </w:p>
    <w:p w:rsidR="00260F8E" w:rsidRDefault="0080386E" w:rsidP="0080386E">
      <w:pPr>
        <w:spacing w:line="360" w:lineRule="auto"/>
        <w:jc w:val="both"/>
        <w:rPr>
          <w:rFonts w:ascii="Perpetua" w:hAnsi="Perpetua"/>
        </w:rPr>
      </w:pPr>
      <w:r>
        <w:rPr>
          <w:rFonts w:ascii="Perpetua" w:hAnsi="Perpetua"/>
        </w:rPr>
        <w:t xml:space="preserve">Gillespie (1976) apresentou um primeiro modelo de funcionamento dos tribunais baseado na teoria económica da produção, através da estimação de uma função de produção de serviços de resolução de litígios. À semelhança da aplicação dos métodos de fronteira, cuja primeira aplicação à provisão de serviços públicos de resolução judicial de litígios nos tribunais foi apresentada em Lewin, Morey </w:t>
      </w:r>
      <w:r w:rsidR="003A79EC">
        <w:rPr>
          <w:rFonts w:ascii="Perpetua" w:hAnsi="Perpetua"/>
        </w:rPr>
        <w:t>e</w:t>
      </w:r>
      <w:r>
        <w:rPr>
          <w:rFonts w:ascii="Perpetua" w:hAnsi="Perpetua"/>
        </w:rPr>
        <w:t xml:space="preserve"> Cook (1982), os tribunais são definidos como </w:t>
      </w:r>
      <w:r w:rsidR="000E75AA">
        <w:rPr>
          <w:rFonts w:ascii="Perpetua" w:hAnsi="Perpetua"/>
        </w:rPr>
        <w:t>um</w:t>
      </w:r>
      <w:r>
        <w:rPr>
          <w:rFonts w:ascii="Perpetua" w:hAnsi="Perpetua"/>
        </w:rPr>
        <w:t>a unidade produtiva que exibe uma relação funcional de transformação de factores produtivos em serviços judiciais de resolução judicial de litígios. O modelo econométrico estimado usa a produtividade judicial média do tribunal como variável explicada, e testa empiricamente um conjunto de hipóteses fundamentadas na teoria económica</w:t>
      </w:r>
      <w:r w:rsidRPr="00581130">
        <w:rPr>
          <w:rFonts w:ascii="Perpetua" w:hAnsi="Perpetua"/>
        </w:rPr>
        <w:t xml:space="preserve"> </w:t>
      </w:r>
      <w:r>
        <w:rPr>
          <w:rFonts w:ascii="Perpetua" w:hAnsi="Perpetua"/>
        </w:rPr>
        <w:t>para explicar os diferenciais de produtividade judicial observados</w:t>
      </w:r>
      <w:r w:rsidR="00FC788D">
        <w:rPr>
          <w:rFonts w:ascii="Perpetua" w:hAnsi="Perpetua"/>
        </w:rPr>
        <w:t>. Para além das hipóteses teóricas explora-se a relação de factores cujo efeito na produtividade judicial média não é previsto por ne</w:t>
      </w:r>
      <w:r w:rsidR="00941AEA">
        <w:rPr>
          <w:rFonts w:ascii="Perpetua" w:hAnsi="Perpetua"/>
        </w:rPr>
        <w:t>nhuma teoria particular mas cuja</w:t>
      </w:r>
      <w:r w:rsidR="00FC788D">
        <w:rPr>
          <w:rFonts w:ascii="Perpetua" w:hAnsi="Perpetua"/>
        </w:rPr>
        <w:t xml:space="preserve"> relação causal é plausível</w:t>
      </w:r>
      <w:r>
        <w:rPr>
          <w:rFonts w:ascii="Perpetua" w:hAnsi="Perpetua"/>
        </w:rPr>
        <w:t xml:space="preserve">. A medida de produtividade judicial média dos tribunais define-se em anos de juiz-equivalente, e obtém-se pela divisão da quantidade de processos judiciais resolvidos por um tribunal num ano em cada uma das 42 categorias existentes, ponderada pelo </w:t>
      </w:r>
      <w:r w:rsidRPr="0092414B">
        <w:rPr>
          <w:rFonts w:ascii="Perpetua" w:hAnsi="Perpetua"/>
          <w:i/>
        </w:rPr>
        <w:t>case weight</w:t>
      </w:r>
      <w:r>
        <w:rPr>
          <w:rFonts w:ascii="Perpetua" w:hAnsi="Perpetua"/>
        </w:rPr>
        <w:t xml:space="preserve"> de cada categoria – o </w:t>
      </w:r>
      <w:r w:rsidRPr="0092414B">
        <w:rPr>
          <w:rFonts w:ascii="Perpetua" w:hAnsi="Perpetua"/>
          <w:i/>
        </w:rPr>
        <w:t>case weight</w:t>
      </w:r>
      <w:r w:rsidR="00D7663F">
        <w:rPr>
          <w:rFonts w:ascii="Perpetua" w:hAnsi="Perpetua"/>
        </w:rPr>
        <w:t xml:space="preserve"> é o ponderador da intensidade </w:t>
      </w:r>
      <w:r>
        <w:rPr>
          <w:rFonts w:ascii="Perpetua" w:hAnsi="Perpetua"/>
        </w:rPr>
        <w:t>de cada categoria de processo judicial em termos de trabalho do juiz</w:t>
      </w:r>
      <w:r w:rsidR="00FC788D">
        <w:rPr>
          <w:rStyle w:val="FootnoteReference"/>
          <w:rFonts w:ascii="Perpetua" w:hAnsi="Perpetua"/>
        </w:rPr>
        <w:footnoteReference w:id="50"/>
      </w:r>
      <w:r>
        <w:rPr>
          <w:rFonts w:ascii="Perpetua" w:hAnsi="Perpetua"/>
        </w:rPr>
        <w:t xml:space="preserve"> – pelo tempo anual de trabalho </w:t>
      </w:r>
      <w:r w:rsidRPr="0092414B">
        <w:rPr>
          <w:rFonts w:ascii="Perpetua" w:hAnsi="Perpetua"/>
          <w:i/>
        </w:rPr>
        <w:t>esperado</w:t>
      </w:r>
      <w:r>
        <w:rPr>
          <w:rFonts w:ascii="Perpetua" w:hAnsi="Perpetua"/>
        </w:rPr>
        <w:t xml:space="preserve"> dos juízes disponíveis no tribunal no mesmo ano. Dessa forma, a medida de produtividade judicial utilizada controla parcialmente </w:t>
      </w:r>
      <w:r w:rsidR="00D7663F">
        <w:rPr>
          <w:rFonts w:ascii="Perpetua" w:hAnsi="Perpetua"/>
        </w:rPr>
        <w:t>a presença de</w:t>
      </w:r>
      <w:r>
        <w:rPr>
          <w:rFonts w:ascii="Perpetua" w:hAnsi="Perpetua"/>
        </w:rPr>
        <w:t xml:space="preserve"> heterogeneidade dos processos judiciais no que respeita ao tempo do juiz necessário para a sua resolução. </w:t>
      </w:r>
    </w:p>
    <w:p w:rsidR="00260F8E" w:rsidRDefault="00260F8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Recorrendo ao modelo económico descrito e a técnicas clássicas de regressão, o autor testa um conjunto de hipóteses explicativas dos diferenciais na medida de produtividade judicial </w:t>
      </w:r>
      <w:r w:rsidR="004E5D3A">
        <w:rPr>
          <w:rFonts w:ascii="Perpetua" w:hAnsi="Perpetua"/>
        </w:rPr>
        <w:t xml:space="preserve">observados </w:t>
      </w:r>
      <w:r>
        <w:rPr>
          <w:rFonts w:ascii="Perpetua" w:hAnsi="Perpetua"/>
        </w:rPr>
        <w:t xml:space="preserve">entre os tribunais ao longo do tempo e do espaço. As hipóteses testadas são a existência </w:t>
      </w:r>
      <w:proofErr w:type="gramStart"/>
      <w:r>
        <w:rPr>
          <w:rFonts w:ascii="Perpetua" w:hAnsi="Perpetua"/>
        </w:rPr>
        <w:t>de</w:t>
      </w:r>
      <w:proofErr w:type="gramEnd"/>
      <w:r>
        <w:rPr>
          <w:rFonts w:ascii="Perpetua" w:hAnsi="Perpetua"/>
        </w:rPr>
        <w:t xml:space="preserve">: i) economias de escala na produção de serviços judiciais; ii) um impacto positivo da carga processual na produtividade judicial, </w:t>
      </w:r>
      <w:r w:rsidR="004E5D3A" w:rsidRPr="004E5D3A">
        <w:rPr>
          <w:rFonts w:ascii="Perpetua" w:hAnsi="Perpetua"/>
          <w:i/>
        </w:rPr>
        <w:t>i.e.</w:t>
      </w:r>
      <w:r w:rsidR="00941AEA">
        <w:rPr>
          <w:rFonts w:ascii="Perpetua" w:hAnsi="Perpetua"/>
        </w:rPr>
        <w:t xml:space="preserve">, </w:t>
      </w:r>
      <w:r>
        <w:rPr>
          <w:rFonts w:ascii="Perpetua" w:hAnsi="Perpetua"/>
        </w:rPr>
        <w:t xml:space="preserve">a hipótese da endogeneidade da produtividade judicial; iii) um impacto negativo da utilização de julgamentos, no âmbito do processo cível e penal, na produtividade judicial; iv) efeitos específicos na produtividade judicial da uma maior prevalência de processos cíveis ou penais no </w:t>
      </w:r>
      <w:r w:rsidRPr="00EE4E51">
        <w:rPr>
          <w:rFonts w:ascii="Perpetua" w:hAnsi="Perpetua"/>
          <w:i/>
        </w:rPr>
        <w:t>case mix</w:t>
      </w:r>
      <w:r>
        <w:rPr>
          <w:rFonts w:ascii="Perpetua" w:hAnsi="Perpetua"/>
        </w:rPr>
        <w:t xml:space="preserve"> do tribunal; v) um impacto específico do tipo de patrocínio judiciário dos arguidos na produtividade judicial; vi) um efeito negativo na produtividade judicial da maior dispersão dos locais onde as sessões do tribunal foram realizadas</w:t>
      </w:r>
      <w:r w:rsidR="00941AEA">
        <w:rPr>
          <w:rFonts w:ascii="Perpetua" w:hAnsi="Perpetua"/>
        </w:rPr>
        <w:t>;</w:t>
      </w:r>
      <w:r>
        <w:rPr>
          <w:rFonts w:ascii="Perpetua" w:hAnsi="Perpetua"/>
        </w:rPr>
        <w:t xml:space="preserve"> e vii) um efeito positivo na produtividade judicial da presença de um maior contingente de</w:t>
      </w:r>
      <w:r w:rsidRPr="00170ED3">
        <w:rPr>
          <w:rFonts w:ascii="Perpetua" w:hAnsi="Perpetua"/>
          <w:i/>
        </w:rPr>
        <w:t xml:space="preserve"> magistrates</w:t>
      </w:r>
      <w:r>
        <w:rPr>
          <w:rFonts w:ascii="Perpetua" w:hAnsi="Perpetua"/>
          <w:i/>
        </w:rPr>
        <w:t xml:space="preserve"> </w:t>
      </w:r>
      <w:r w:rsidRPr="00170ED3">
        <w:rPr>
          <w:rFonts w:ascii="Perpetua" w:hAnsi="Perpetua"/>
        </w:rPr>
        <w:t>(</w:t>
      </w:r>
      <w:r>
        <w:rPr>
          <w:rFonts w:ascii="Perpetua" w:hAnsi="Perpetua"/>
        </w:rPr>
        <w:t xml:space="preserve">uma categoria de trabalhador judicial que tem competência para realizar tarefas tipicamente exclusivas do juiz) </w:t>
      </w:r>
      <w:r w:rsidRPr="00170ED3">
        <w:rPr>
          <w:rFonts w:ascii="Perpetua" w:hAnsi="Perpetua"/>
        </w:rPr>
        <w:t>por juiz</w:t>
      </w:r>
      <w:r>
        <w:rPr>
          <w:rFonts w:ascii="Perpetua" w:hAnsi="Perpetua"/>
        </w:rPr>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 a</w:t>
      </w:r>
      <w:r w:rsidR="00D7663F">
        <w:rPr>
          <w:rFonts w:ascii="Perpetua" w:hAnsi="Perpetua"/>
        </w:rPr>
        <w:t xml:space="preserve">utor </w:t>
      </w:r>
      <w:r>
        <w:rPr>
          <w:rFonts w:ascii="Perpetua" w:hAnsi="Perpetua"/>
        </w:rPr>
        <w:t xml:space="preserve">conclui </w:t>
      </w:r>
      <w:r w:rsidR="00FC788D">
        <w:rPr>
          <w:rFonts w:ascii="Perpetua" w:hAnsi="Perpetua"/>
        </w:rPr>
        <w:t xml:space="preserve">que há </w:t>
      </w:r>
      <w:r w:rsidR="00674E69">
        <w:rPr>
          <w:rFonts w:ascii="Perpetua" w:hAnsi="Perpetua"/>
        </w:rPr>
        <w:t xml:space="preserve">provas </w:t>
      </w:r>
      <w:r>
        <w:rPr>
          <w:rFonts w:ascii="Perpetua" w:hAnsi="Perpetua"/>
        </w:rPr>
        <w:t>de algum grau de economias de escala, do impacto negativo na produtividade dos processos civis face aos processos penais e da elevada importância da carga processual na produtividade judicial. Com efeito, o autor sugere que os impactos verificados</w:t>
      </w:r>
      <w:r w:rsidR="00941AEA">
        <w:rPr>
          <w:rFonts w:ascii="Perpetua" w:hAnsi="Perpetua"/>
        </w:rPr>
        <w:t xml:space="preserve"> (</w:t>
      </w:r>
      <w:r>
        <w:rPr>
          <w:rFonts w:ascii="Perpetua" w:hAnsi="Perpetua"/>
        </w:rPr>
        <w:t>sendo que alguns são contrários aos previstos</w:t>
      </w:r>
      <w:r w:rsidR="00941AEA">
        <w:rPr>
          <w:rFonts w:ascii="Perpetua" w:hAnsi="Perpetua"/>
        </w:rPr>
        <w:t>)</w:t>
      </w:r>
      <w:r>
        <w:rPr>
          <w:rFonts w:ascii="Perpetua" w:hAnsi="Perpetua"/>
        </w:rPr>
        <w:t xml:space="preserve"> resultam da subutilização do tempo dos juízes em alguns tribunais da amostra. A tese do autor para explicar o impacto positivo, </w:t>
      </w:r>
      <w:r w:rsidRPr="00D4249D">
        <w:rPr>
          <w:rFonts w:ascii="Perpetua" w:hAnsi="Perpetua"/>
          <w:i/>
        </w:rPr>
        <w:t>ceteris paribus</w:t>
      </w:r>
      <w:r>
        <w:rPr>
          <w:rFonts w:ascii="Perpetua" w:hAnsi="Perpetua"/>
        </w:rPr>
        <w:t xml:space="preserve">, dos julgamentos e da maior dispersão geográfica dos locais onde o tribunal se realizou na produtividade judicial é </w:t>
      </w:r>
      <w:r w:rsidR="00941AEA">
        <w:rPr>
          <w:rFonts w:ascii="Perpetua" w:hAnsi="Perpetua"/>
        </w:rPr>
        <w:t xml:space="preserve">a de </w:t>
      </w:r>
      <w:r>
        <w:rPr>
          <w:rFonts w:ascii="Perpetua" w:hAnsi="Perpetua"/>
        </w:rPr>
        <w:t>que há tribunais com juízes subutilizados. A subutilização do tempo dos juízes</w:t>
      </w:r>
      <w:r w:rsidRPr="00D4249D">
        <w:rPr>
          <w:rFonts w:ascii="Perpetua" w:hAnsi="Perpetua"/>
        </w:rPr>
        <w:t xml:space="preserve"> </w:t>
      </w:r>
      <w:r>
        <w:rPr>
          <w:rFonts w:ascii="Perpetua" w:hAnsi="Perpetua"/>
        </w:rPr>
        <w:t xml:space="preserve">leva a que estes, </w:t>
      </w:r>
      <w:r w:rsidRPr="00D4249D">
        <w:rPr>
          <w:rFonts w:ascii="Perpetua" w:hAnsi="Perpetua"/>
        </w:rPr>
        <w:t>de modo a aumentarem a sua produtividade judicial</w:t>
      </w:r>
      <w:r>
        <w:rPr>
          <w:rFonts w:ascii="Perpetua" w:hAnsi="Perpetua"/>
        </w:rPr>
        <w:t>,</w:t>
      </w:r>
      <w:r w:rsidRPr="00D4249D">
        <w:rPr>
          <w:rFonts w:ascii="Perpetua" w:hAnsi="Perpetua"/>
        </w:rPr>
        <w:t xml:space="preserve"> </w:t>
      </w:r>
      <w:r>
        <w:rPr>
          <w:rFonts w:ascii="Perpetua" w:hAnsi="Perpetua"/>
        </w:rPr>
        <w:t xml:space="preserve">se </w:t>
      </w:r>
      <w:r w:rsidRPr="00D4249D">
        <w:rPr>
          <w:rFonts w:ascii="Perpetua" w:hAnsi="Perpetua"/>
        </w:rPr>
        <w:t>deslo</w:t>
      </w:r>
      <w:r>
        <w:rPr>
          <w:rFonts w:ascii="Perpetua" w:hAnsi="Perpetua"/>
        </w:rPr>
        <w:t xml:space="preserve">quem </w:t>
      </w:r>
      <w:r w:rsidRPr="00D4249D">
        <w:rPr>
          <w:rFonts w:ascii="Perpetua" w:hAnsi="Perpetua"/>
        </w:rPr>
        <w:t xml:space="preserve">com maior frequência </w:t>
      </w:r>
      <w:r>
        <w:rPr>
          <w:rFonts w:ascii="Perpetua" w:hAnsi="Perpetua"/>
        </w:rPr>
        <w:t>e use</w:t>
      </w:r>
      <w:r w:rsidRPr="00D4249D">
        <w:rPr>
          <w:rFonts w:ascii="Perpetua" w:hAnsi="Perpetua"/>
        </w:rPr>
        <w:t xml:space="preserve">m formas de terminar os </w:t>
      </w:r>
      <w:r>
        <w:rPr>
          <w:rFonts w:ascii="Perpetua" w:hAnsi="Perpetua"/>
        </w:rPr>
        <w:t>processos mais longo</w:t>
      </w:r>
      <w:r w:rsidRPr="00D4249D">
        <w:rPr>
          <w:rFonts w:ascii="Perpetua" w:hAnsi="Perpetua"/>
        </w:rPr>
        <w:t>s (e que, por isso, têm maior valor em termos da medida de produtividade calculada).</w:t>
      </w:r>
      <w:r>
        <w:rPr>
          <w:rFonts w:ascii="Perpetua" w:hAnsi="Perpetua"/>
        </w:rPr>
        <w:t xml:space="preserve"> Em suma, Gillespie (1976) apresenta a primeira verificação empírica do fenómeno da endogeneidade da produtividade judicial e identifica factores que não foram incluídos no modelo econométrico, mas que, na visão do autor, dada a forma como a produtividade judicial foi medida, serão determinantes para explicar os diferenciais de produtividade entre os tribunais, tais como as características dos magistrados do Ministério Público (</w:t>
      </w:r>
      <w:r w:rsidRPr="004D7C8D">
        <w:rPr>
          <w:rFonts w:ascii="Perpetua" w:hAnsi="Perpetua"/>
          <w:i/>
        </w:rPr>
        <w:t>U.S. Attorneys</w:t>
      </w:r>
      <w:r>
        <w:rPr>
          <w:rFonts w:ascii="Perpetua" w:hAnsi="Perpetua"/>
        </w:rPr>
        <w:t>) e dos advogados (Gillespie, 1976:264-265).</w:t>
      </w:r>
    </w:p>
    <w:p w:rsidR="0080386E" w:rsidRDefault="0080386E" w:rsidP="0080386E">
      <w:pPr>
        <w:spacing w:line="360" w:lineRule="auto"/>
        <w:jc w:val="both"/>
        <w:rPr>
          <w:rFonts w:ascii="Perpetua" w:hAnsi="Perpetua"/>
        </w:rPr>
      </w:pPr>
    </w:p>
    <w:p w:rsidR="00FC788D" w:rsidRPr="008D3E5A" w:rsidRDefault="007E527C" w:rsidP="0080386E">
      <w:pPr>
        <w:spacing w:line="360" w:lineRule="auto"/>
        <w:jc w:val="both"/>
        <w:rPr>
          <w:rFonts w:ascii="Perpetua" w:hAnsi="Perpetua"/>
        </w:rPr>
      </w:pPr>
      <w:r>
        <w:rPr>
          <w:rFonts w:ascii="Perpetua" w:hAnsi="Perpetua"/>
        </w:rPr>
        <w:t xml:space="preserve">No âmbito da literatura de Análise de Eficiência e Produtividade, </w:t>
      </w:r>
      <w:r w:rsidR="00FC788D" w:rsidRPr="008D3E5A">
        <w:rPr>
          <w:rFonts w:ascii="Perpetua" w:hAnsi="Perpetua"/>
        </w:rPr>
        <w:t xml:space="preserve">Lewin, Morey </w:t>
      </w:r>
      <w:r w:rsidR="003A79EC">
        <w:rPr>
          <w:rFonts w:ascii="Perpetua" w:hAnsi="Perpetua"/>
        </w:rPr>
        <w:t>e</w:t>
      </w:r>
      <w:r w:rsidR="00FC788D" w:rsidRPr="008D3E5A">
        <w:rPr>
          <w:rFonts w:ascii="Perpetua" w:hAnsi="Perpetua"/>
        </w:rPr>
        <w:t xml:space="preserve"> Cook (1982) </w:t>
      </w:r>
      <w:r w:rsidR="008D3E5A" w:rsidRPr="008D3E5A">
        <w:rPr>
          <w:rFonts w:ascii="Perpetua" w:hAnsi="Perpetua"/>
        </w:rPr>
        <w:t>propõem-se demonstrar a</w:t>
      </w:r>
      <w:r w:rsidR="008D3E5A">
        <w:rPr>
          <w:rFonts w:ascii="Perpetua" w:hAnsi="Perpetua"/>
        </w:rPr>
        <w:t xml:space="preserve">s vantagens </w:t>
      </w:r>
      <w:r w:rsidR="008D3E5A" w:rsidRPr="008D3E5A">
        <w:rPr>
          <w:rFonts w:ascii="Perpetua" w:hAnsi="Perpetua"/>
        </w:rPr>
        <w:t>da an</w:t>
      </w:r>
      <w:r w:rsidR="008D3E5A">
        <w:rPr>
          <w:rFonts w:ascii="Perpetua" w:hAnsi="Perpetua"/>
        </w:rPr>
        <w:t>álise de envelope de dados, e do enquadramento teórico que lhe está subjacente</w:t>
      </w:r>
      <w:r w:rsidR="008D3E5A">
        <w:rPr>
          <w:rStyle w:val="FootnoteReference"/>
          <w:rFonts w:ascii="Perpetua" w:hAnsi="Perpetua"/>
        </w:rPr>
        <w:footnoteReference w:id="51"/>
      </w:r>
      <w:r w:rsidR="008D3E5A">
        <w:rPr>
          <w:rFonts w:ascii="Perpetua" w:hAnsi="Perpetua"/>
        </w:rPr>
        <w:t>, face a outras metodologias alternativas, designadamente a análise de rácios</w:t>
      </w:r>
      <w:r w:rsidR="00B63093">
        <w:rPr>
          <w:rFonts w:ascii="Perpetua" w:hAnsi="Perpetua"/>
        </w:rPr>
        <w:t xml:space="preserve"> e as abordagens tradicionais da estimação de funções de produção,</w:t>
      </w:r>
      <w:r w:rsidR="008D3E5A">
        <w:rPr>
          <w:rFonts w:ascii="Perpetua" w:hAnsi="Perpetua"/>
        </w:rPr>
        <w:t xml:space="preserve"> </w:t>
      </w:r>
      <w:r w:rsidR="00B63093">
        <w:rPr>
          <w:rFonts w:ascii="Perpetua" w:hAnsi="Perpetua"/>
        </w:rPr>
        <w:t>p</w:t>
      </w:r>
      <w:r w:rsidR="008D3E5A">
        <w:rPr>
          <w:rFonts w:ascii="Perpetua" w:hAnsi="Perpetua"/>
        </w:rPr>
        <w:t>ara avaliar a eficiência produtiva de um conjunto de tribunais (300)</w:t>
      </w:r>
      <w:r w:rsidR="00B63093">
        <w:rPr>
          <w:rFonts w:ascii="Perpetua" w:hAnsi="Perpetua"/>
        </w:rPr>
        <w:t>,</w:t>
      </w:r>
      <w:r w:rsidR="008D3E5A">
        <w:rPr>
          <w:rFonts w:ascii="Perpetua" w:hAnsi="Perpetua"/>
        </w:rPr>
        <w:t xml:space="preserve"> pertencentes a um dos 30 distritos judiciais do estado norte-americano da Carolina do Norte</w:t>
      </w:r>
      <w:r w:rsidR="00B63093">
        <w:rPr>
          <w:rFonts w:ascii="Perpetua" w:hAnsi="Perpetua"/>
        </w:rPr>
        <w:t>,</w:t>
      </w:r>
      <w:r w:rsidR="00B63093" w:rsidRPr="00B63093">
        <w:rPr>
          <w:rFonts w:ascii="Perpetua" w:hAnsi="Perpetua"/>
        </w:rPr>
        <w:t xml:space="preserve"> </w:t>
      </w:r>
      <w:r w:rsidR="00B63093">
        <w:rPr>
          <w:rFonts w:ascii="Perpetua" w:hAnsi="Perpetua"/>
        </w:rPr>
        <w:t>no ano de 1976</w:t>
      </w:r>
      <w:r w:rsidR="008D3E5A">
        <w:rPr>
          <w:rFonts w:ascii="Perpetua" w:hAnsi="Perpetua"/>
        </w:rPr>
        <w:t xml:space="preserve">. </w:t>
      </w:r>
      <w:r w:rsidR="00B63093">
        <w:rPr>
          <w:rFonts w:ascii="Perpetua" w:hAnsi="Perpetua"/>
        </w:rPr>
        <w:t xml:space="preserve">Dado que a aplicação tem um propósito ilustrativo, os autores não procuram testar hipóteses teóricas, mas modelar o funcionamento dos tribunais analisados de modo a produzir recomendações específicas </w:t>
      </w:r>
      <w:r w:rsidR="00941AEA">
        <w:rPr>
          <w:rFonts w:ascii="Perpetua" w:hAnsi="Perpetua"/>
        </w:rPr>
        <w:t>p</w:t>
      </w:r>
      <w:r w:rsidR="00B63093">
        <w:rPr>
          <w:rFonts w:ascii="Perpetua" w:hAnsi="Perpetua"/>
        </w:rPr>
        <w:t>a</w:t>
      </w:r>
      <w:r w:rsidR="00941AEA">
        <w:rPr>
          <w:rFonts w:ascii="Perpetua" w:hAnsi="Perpetua"/>
        </w:rPr>
        <w:t>ra</w:t>
      </w:r>
      <w:r w:rsidR="00B63093">
        <w:rPr>
          <w:rFonts w:ascii="Perpetua" w:hAnsi="Perpetua"/>
        </w:rPr>
        <w:t xml:space="preserve"> cada tribunal que lhes permitam aumentar a sua eficiência produtiva. A selecç</w:t>
      </w:r>
      <w:r w:rsidR="00AA7C25">
        <w:rPr>
          <w:rFonts w:ascii="Perpetua" w:hAnsi="Perpetua"/>
        </w:rPr>
        <w:t>ão da</w:t>
      </w:r>
      <w:r w:rsidR="00B63093">
        <w:rPr>
          <w:rFonts w:ascii="Perpetua" w:hAnsi="Perpetua"/>
        </w:rPr>
        <w:t>s</w:t>
      </w:r>
      <w:r w:rsidR="00AA7C25">
        <w:rPr>
          <w:rFonts w:ascii="Perpetua" w:hAnsi="Perpetua"/>
        </w:rPr>
        <w:t xml:space="preserve"> variáveis de </w:t>
      </w:r>
      <w:r w:rsidR="00AA7C25" w:rsidRPr="00DC64F2">
        <w:rPr>
          <w:rFonts w:ascii="Perpetua" w:hAnsi="Perpetua"/>
          <w:i/>
        </w:rPr>
        <w:t>input</w:t>
      </w:r>
      <w:r w:rsidR="00B63093">
        <w:rPr>
          <w:rFonts w:ascii="Perpetua" w:hAnsi="Perpetua"/>
        </w:rPr>
        <w:t xml:space="preserve"> (</w:t>
      </w:r>
      <w:r w:rsidR="00B63093" w:rsidRPr="00B63093">
        <w:rPr>
          <w:rFonts w:ascii="Perpetua" w:hAnsi="Perpetua"/>
          <w:i/>
        </w:rPr>
        <w:t>inputs</w:t>
      </w:r>
      <w:r w:rsidR="00B63093">
        <w:rPr>
          <w:rFonts w:ascii="Perpetua" w:hAnsi="Perpetua"/>
        </w:rPr>
        <w:t xml:space="preserve">) e </w:t>
      </w:r>
      <w:r w:rsidR="00AA7C25">
        <w:rPr>
          <w:rFonts w:ascii="Perpetua" w:hAnsi="Perpetua"/>
        </w:rPr>
        <w:t xml:space="preserve">de </w:t>
      </w:r>
      <w:r w:rsidR="00B63093">
        <w:rPr>
          <w:rFonts w:ascii="Perpetua" w:hAnsi="Perpetua"/>
        </w:rPr>
        <w:t>serviços (</w:t>
      </w:r>
      <w:r w:rsidR="00B63093" w:rsidRPr="00B63093">
        <w:rPr>
          <w:rFonts w:ascii="Perpetua" w:hAnsi="Perpetua"/>
          <w:i/>
        </w:rPr>
        <w:t>outputs</w:t>
      </w:r>
      <w:r w:rsidR="00B63093">
        <w:rPr>
          <w:rFonts w:ascii="Perpetua" w:hAnsi="Perpetua"/>
        </w:rPr>
        <w:t>) incluíd</w:t>
      </w:r>
      <w:r w:rsidR="00826DD8">
        <w:rPr>
          <w:rFonts w:ascii="Perpetua" w:hAnsi="Perpetua"/>
        </w:rPr>
        <w:t>a</w:t>
      </w:r>
      <w:r w:rsidR="00B63093">
        <w:rPr>
          <w:rFonts w:ascii="Perpetua" w:hAnsi="Perpetua"/>
        </w:rPr>
        <w:t xml:space="preserve">s no modelo </w:t>
      </w:r>
      <w:r w:rsidR="00AA7C25">
        <w:rPr>
          <w:rFonts w:ascii="Perpetua" w:hAnsi="Perpetua"/>
        </w:rPr>
        <w:t>foi</w:t>
      </w:r>
      <w:r w:rsidR="00B63093">
        <w:rPr>
          <w:rFonts w:ascii="Perpetua" w:hAnsi="Perpetua"/>
        </w:rPr>
        <w:t xml:space="preserve"> feita com base em análises de correlação e análises de regress</w:t>
      </w:r>
      <w:r w:rsidR="00826DD8">
        <w:rPr>
          <w:rFonts w:ascii="Perpetua" w:hAnsi="Perpetua"/>
        </w:rPr>
        <w:t xml:space="preserve">ão, tendo sido seleccionadas as seguintes variáveis: i) </w:t>
      </w:r>
      <w:r w:rsidR="00826DD8" w:rsidRPr="00DC64F2">
        <w:rPr>
          <w:rFonts w:ascii="Perpetua" w:hAnsi="Perpetua"/>
          <w:i/>
        </w:rPr>
        <w:t>outputs</w:t>
      </w:r>
      <w:r w:rsidR="00826DD8">
        <w:rPr>
          <w:rFonts w:ascii="Perpetua" w:hAnsi="Perpetua"/>
        </w:rPr>
        <w:t>: número total de processos findos (</w:t>
      </w:r>
      <w:r w:rsidR="00826DD8" w:rsidRPr="00826DD8">
        <w:rPr>
          <w:rFonts w:ascii="Perpetua" w:hAnsi="Perpetua"/>
          <w:i/>
        </w:rPr>
        <w:t>total number of dispositions</w:t>
      </w:r>
      <w:r w:rsidR="00826DD8">
        <w:rPr>
          <w:rFonts w:ascii="Perpetua" w:hAnsi="Perpetua"/>
        </w:rPr>
        <w:t>) e número de processos pendentes há mais de 90 dias (</w:t>
      </w:r>
      <w:r w:rsidR="00826DD8" w:rsidRPr="00AA7C25">
        <w:rPr>
          <w:rFonts w:ascii="Perpetua" w:hAnsi="Perpetua"/>
          <w:i/>
        </w:rPr>
        <w:t>number of cases pending greater than 90 days old</w:t>
      </w:r>
      <w:r w:rsidR="00826DD8">
        <w:rPr>
          <w:rFonts w:ascii="Perpetua" w:hAnsi="Perpetua"/>
        </w:rPr>
        <w:t xml:space="preserve">); ii) </w:t>
      </w:r>
      <w:r w:rsidR="00826DD8" w:rsidRPr="00DC64F2">
        <w:rPr>
          <w:rFonts w:ascii="Perpetua" w:hAnsi="Perpetua"/>
          <w:i/>
        </w:rPr>
        <w:t>inputs</w:t>
      </w:r>
      <w:r w:rsidR="00826DD8">
        <w:rPr>
          <w:rFonts w:ascii="Perpetua" w:hAnsi="Perpetua"/>
        </w:rPr>
        <w:t>: carga judicial, número de magistrados do M.P. (</w:t>
      </w:r>
      <w:r w:rsidR="00826DD8" w:rsidRPr="00923AAB">
        <w:rPr>
          <w:rFonts w:ascii="Perpetua" w:hAnsi="Perpetua"/>
          <w:i/>
        </w:rPr>
        <w:t>District Attorney</w:t>
      </w:r>
      <w:r w:rsidR="00826DD8">
        <w:rPr>
          <w:rFonts w:ascii="Perpetua" w:hAnsi="Perpetua"/>
        </w:rPr>
        <w:t>) e seus assistentes (</w:t>
      </w:r>
      <w:r w:rsidR="00826DD8" w:rsidRPr="00923AAB">
        <w:rPr>
          <w:rFonts w:ascii="Perpetua" w:hAnsi="Perpetua"/>
          <w:i/>
        </w:rPr>
        <w:t>assistants</w:t>
      </w:r>
      <w:r w:rsidR="00826DD8">
        <w:rPr>
          <w:rFonts w:ascii="Perpetua" w:hAnsi="Perpetua"/>
        </w:rPr>
        <w:t>), número de dias de julgamento (</w:t>
      </w:r>
      <w:r w:rsidR="00826DD8" w:rsidRPr="00923AAB">
        <w:rPr>
          <w:rFonts w:ascii="Perpetua" w:hAnsi="Perpetua"/>
          <w:i/>
        </w:rPr>
        <w:t>number of days of criminal superior courts held</w:t>
      </w:r>
      <w:r w:rsidR="00826DD8">
        <w:rPr>
          <w:rFonts w:ascii="Perpetua" w:hAnsi="Perpetua"/>
        </w:rPr>
        <w:t>)</w:t>
      </w:r>
      <w:r w:rsidR="004E5D3A">
        <w:rPr>
          <w:rFonts w:ascii="Perpetua" w:hAnsi="Perpetua"/>
        </w:rPr>
        <w:t>, que é</w:t>
      </w:r>
      <w:r w:rsidR="00826DD8">
        <w:rPr>
          <w:rFonts w:ascii="Perpetua" w:hAnsi="Perpetua"/>
        </w:rPr>
        <w:t xml:space="preserve"> uma variável </w:t>
      </w:r>
      <w:r w:rsidR="00826DD8" w:rsidRPr="00923AAB">
        <w:rPr>
          <w:rFonts w:ascii="Perpetua" w:hAnsi="Perpetua"/>
          <w:i/>
        </w:rPr>
        <w:t>proxy</w:t>
      </w:r>
      <w:r w:rsidR="00826DD8">
        <w:rPr>
          <w:rFonts w:ascii="Perpetua" w:hAnsi="Perpetua"/>
          <w:i/>
        </w:rPr>
        <w:t xml:space="preserve"> </w:t>
      </w:r>
      <w:r w:rsidR="00826DD8">
        <w:rPr>
          <w:rFonts w:ascii="Perpetua" w:hAnsi="Perpetua"/>
        </w:rPr>
        <w:t>do número de magistrados afectos a cada tribunal</w:t>
      </w:r>
      <w:r w:rsidR="00826DD8">
        <w:rPr>
          <w:rStyle w:val="FootnoteReference"/>
          <w:rFonts w:ascii="Perpetua" w:hAnsi="Perpetua"/>
        </w:rPr>
        <w:footnoteReference w:id="52"/>
      </w:r>
      <w:r w:rsidR="00826DD8">
        <w:rPr>
          <w:rFonts w:ascii="Perpetua" w:hAnsi="Perpetua"/>
        </w:rPr>
        <w:t>, número de processos na carga judicial que são contra-ordenações (</w:t>
      </w:r>
      <w:r w:rsidR="00826DD8" w:rsidRPr="00AA7C25">
        <w:rPr>
          <w:rFonts w:ascii="Perpetua" w:hAnsi="Perpetua"/>
          <w:i/>
        </w:rPr>
        <w:t xml:space="preserve">number of cases in the caseload that are </w:t>
      </w:r>
      <w:r w:rsidR="00826DD8" w:rsidRPr="00826DD8">
        <w:rPr>
          <w:rFonts w:ascii="Perpetua" w:hAnsi="Perpetua"/>
          <w:i/>
        </w:rPr>
        <w:t>misdemeanors</w:t>
      </w:r>
      <w:r w:rsidR="00826DD8">
        <w:rPr>
          <w:rFonts w:ascii="Perpetua" w:hAnsi="Perpetua"/>
        </w:rPr>
        <w:t xml:space="preserve">) e dimensão da população de etnia branca. Contudo, deve referir-se que a carga judicial foi a única variável de </w:t>
      </w:r>
      <w:r w:rsidR="00826DD8" w:rsidRPr="00826DD8">
        <w:rPr>
          <w:rFonts w:ascii="Perpetua" w:hAnsi="Perpetua"/>
          <w:i/>
        </w:rPr>
        <w:t>input</w:t>
      </w:r>
      <w:r w:rsidR="00826DD8">
        <w:rPr>
          <w:rFonts w:ascii="Perpetua" w:hAnsi="Perpetua"/>
        </w:rPr>
        <w:t xml:space="preserve"> que revelou um efeito positivo e estatisticamente significativo em ambas as regressões apresentadas pelos autores (a </w:t>
      </w:r>
      <w:r w:rsidR="00923AAB">
        <w:rPr>
          <w:rFonts w:ascii="Perpetua" w:hAnsi="Perpetua"/>
        </w:rPr>
        <w:t>primeira em que a variável explicada é o número total de processos findos,</w:t>
      </w:r>
      <w:r w:rsidR="00826DD8">
        <w:rPr>
          <w:rFonts w:ascii="Perpetua" w:hAnsi="Perpetua"/>
        </w:rPr>
        <w:t xml:space="preserve"> e a segunda em que </w:t>
      </w:r>
      <w:r w:rsidR="00941AEA">
        <w:rPr>
          <w:rFonts w:ascii="Perpetua" w:hAnsi="Perpetua"/>
        </w:rPr>
        <w:t xml:space="preserve">a </w:t>
      </w:r>
      <w:r w:rsidR="00826DD8">
        <w:rPr>
          <w:rFonts w:ascii="Perpetua" w:hAnsi="Perpetua"/>
        </w:rPr>
        <w:t xml:space="preserve">variável explicada é o número de processos pendentes há mais de 90 dias). </w:t>
      </w:r>
    </w:p>
    <w:p w:rsidR="00FC788D" w:rsidRPr="008D3E5A" w:rsidRDefault="00FC788D" w:rsidP="0080386E">
      <w:pPr>
        <w:spacing w:line="360" w:lineRule="auto"/>
        <w:jc w:val="both"/>
        <w:rPr>
          <w:rFonts w:ascii="Perpetua" w:hAnsi="Perpetua"/>
        </w:rPr>
      </w:pPr>
    </w:p>
    <w:p w:rsidR="00113AEB" w:rsidRDefault="008F4F25" w:rsidP="0080386E">
      <w:pPr>
        <w:spacing w:line="360" w:lineRule="auto"/>
        <w:jc w:val="both"/>
        <w:rPr>
          <w:rFonts w:ascii="Perpetua" w:hAnsi="Perpetua"/>
        </w:rPr>
      </w:pPr>
      <w:r>
        <w:rPr>
          <w:rFonts w:ascii="Perpetua" w:hAnsi="Perpetua"/>
        </w:rPr>
        <w:t xml:space="preserve">Na linha do trabalho desenvolvido por Lewin, Morey </w:t>
      </w:r>
      <w:r w:rsidR="003A79EC">
        <w:rPr>
          <w:rFonts w:ascii="Perpetua" w:hAnsi="Perpetua"/>
        </w:rPr>
        <w:t>e</w:t>
      </w:r>
      <w:r>
        <w:rPr>
          <w:rFonts w:ascii="Perpetua" w:hAnsi="Perpetua"/>
        </w:rPr>
        <w:t xml:space="preserve"> Cook (1982), Kittelsen </w:t>
      </w:r>
      <w:r w:rsidR="003A79EC">
        <w:rPr>
          <w:rFonts w:ascii="Perpetua" w:hAnsi="Perpetua"/>
        </w:rPr>
        <w:t>e</w:t>
      </w:r>
      <w:r>
        <w:rPr>
          <w:rFonts w:ascii="Perpetua" w:hAnsi="Perpetua"/>
        </w:rPr>
        <w:t xml:space="preserve"> Forsund (1992) aplicam a metodologia da análise de envelope de dados aos 107 de tribunais de distritos de 1.ª instância do sistema judicial norueguês, ao longo do período de 1983 a 1988. O objectivo dos autores é explorar as propriedades tecnológicas da produção de serviços judiciais no sistema judicial norueguês e demonstrar o poder da metodologia para efectuar recomendações de política pública destinadas a melhorar a eficiência produtiva do sistema judicial norueguês. As variáveis incluídas no problema de optimização linear foram, para os </w:t>
      </w:r>
      <w:r w:rsidRPr="008F4F25">
        <w:rPr>
          <w:rFonts w:ascii="Perpetua" w:hAnsi="Perpetua"/>
          <w:i/>
        </w:rPr>
        <w:t>inputs</w:t>
      </w:r>
      <w:r>
        <w:rPr>
          <w:rFonts w:ascii="Perpetua" w:hAnsi="Perpetua"/>
        </w:rPr>
        <w:t>, o número de juízes (</w:t>
      </w:r>
      <w:r w:rsidRPr="008F4F25">
        <w:rPr>
          <w:rFonts w:ascii="Perpetua" w:hAnsi="Perpetua"/>
          <w:i/>
        </w:rPr>
        <w:t>posts as judges</w:t>
      </w:r>
      <w:r>
        <w:rPr>
          <w:rFonts w:ascii="Perpetua" w:hAnsi="Perpetua"/>
        </w:rPr>
        <w:t>) e o número de auxiliares (</w:t>
      </w:r>
      <w:r w:rsidRPr="008F4F25">
        <w:rPr>
          <w:rFonts w:ascii="Perpetua" w:hAnsi="Perpetua"/>
          <w:i/>
        </w:rPr>
        <w:t>office staff</w:t>
      </w:r>
      <w:r>
        <w:rPr>
          <w:rFonts w:ascii="Perpetua" w:hAnsi="Perpetua"/>
        </w:rPr>
        <w:t xml:space="preserve">) e, para os </w:t>
      </w:r>
      <w:r w:rsidRPr="008F4F25">
        <w:rPr>
          <w:rFonts w:ascii="Perpetua" w:hAnsi="Perpetua"/>
          <w:i/>
        </w:rPr>
        <w:t>outputs</w:t>
      </w:r>
      <w:r>
        <w:rPr>
          <w:rFonts w:ascii="Perpetua" w:hAnsi="Perpetua"/>
        </w:rPr>
        <w:t xml:space="preserve">, sete </w:t>
      </w:r>
      <w:r w:rsidR="00B6634F">
        <w:rPr>
          <w:rFonts w:ascii="Perpetua" w:hAnsi="Perpetua"/>
        </w:rPr>
        <w:t xml:space="preserve">variáveis correspondentes a sete </w:t>
      </w:r>
      <w:r>
        <w:rPr>
          <w:rFonts w:ascii="Perpetua" w:hAnsi="Perpetua"/>
        </w:rPr>
        <w:t>categorias de processos findos (</w:t>
      </w:r>
      <w:r w:rsidRPr="008F4F25">
        <w:rPr>
          <w:rFonts w:ascii="Perpetua" w:hAnsi="Perpetua"/>
          <w:i/>
        </w:rPr>
        <w:t>civil cases</w:t>
      </w:r>
      <w:r>
        <w:rPr>
          <w:rFonts w:ascii="Perpetua" w:hAnsi="Perpetua"/>
        </w:rPr>
        <w:t xml:space="preserve">, </w:t>
      </w:r>
      <w:r w:rsidRPr="008F4F25">
        <w:rPr>
          <w:rFonts w:ascii="Perpetua" w:hAnsi="Perpetua"/>
          <w:i/>
        </w:rPr>
        <w:t>B-cases</w:t>
      </w:r>
      <w:r>
        <w:rPr>
          <w:rFonts w:ascii="Perpetua" w:hAnsi="Perpetua"/>
        </w:rPr>
        <w:t xml:space="preserve">, </w:t>
      </w:r>
      <w:r w:rsidRPr="008F4F25">
        <w:rPr>
          <w:rFonts w:ascii="Perpetua" w:hAnsi="Perpetua"/>
          <w:i/>
        </w:rPr>
        <w:t>examination and summary jurisdiction cases</w:t>
      </w:r>
      <w:r>
        <w:rPr>
          <w:rFonts w:ascii="Perpetua" w:hAnsi="Perpetua"/>
        </w:rPr>
        <w:t xml:space="preserve">, </w:t>
      </w:r>
      <w:r w:rsidRPr="008F4F25">
        <w:rPr>
          <w:rFonts w:ascii="Perpetua" w:hAnsi="Perpetua"/>
          <w:i/>
        </w:rPr>
        <w:t>registry cases</w:t>
      </w:r>
      <w:r>
        <w:rPr>
          <w:rFonts w:ascii="Perpetua" w:hAnsi="Perpetua"/>
        </w:rPr>
        <w:t xml:space="preserve">, </w:t>
      </w:r>
      <w:r w:rsidRPr="008F4F25">
        <w:rPr>
          <w:rFonts w:ascii="Perpetua" w:hAnsi="Perpetua"/>
          <w:i/>
        </w:rPr>
        <w:t>ordinal criminal cases</w:t>
      </w:r>
      <w:r>
        <w:rPr>
          <w:rFonts w:ascii="Perpetua" w:hAnsi="Perpetua"/>
        </w:rPr>
        <w:t xml:space="preserve"> e </w:t>
      </w:r>
      <w:r w:rsidRPr="008F4F25">
        <w:rPr>
          <w:rFonts w:ascii="Perpetua" w:hAnsi="Perpetua"/>
          <w:i/>
        </w:rPr>
        <w:t>probate and bankrupcy cases</w:t>
      </w:r>
      <w:r>
        <w:rPr>
          <w:rFonts w:ascii="Perpetua" w:hAnsi="Perpetua"/>
        </w:rPr>
        <w:t xml:space="preserve">). </w:t>
      </w:r>
      <w:r w:rsidR="006F7830">
        <w:rPr>
          <w:rFonts w:ascii="Perpetua" w:hAnsi="Perpetua"/>
        </w:rPr>
        <w:t>Os resultados do modelo calculado com as nove variáveis descritas e utilizando observações por tribunal correspondentes à média do período analisado</w:t>
      </w:r>
      <w:r w:rsidR="00B6634F">
        <w:rPr>
          <w:rFonts w:ascii="Perpetua" w:hAnsi="Perpetua"/>
        </w:rPr>
        <w:t xml:space="preserve"> </w:t>
      </w:r>
      <w:r w:rsidR="004E5D3A">
        <w:rPr>
          <w:rFonts w:ascii="Perpetua" w:hAnsi="Perpetua"/>
        </w:rPr>
        <w:t xml:space="preserve">(1983-1988) </w:t>
      </w:r>
      <w:r w:rsidR="00B6634F">
        <w:rPr>
          <w:rFonts w:ascii="Perpetua" w:hAnsi="Perpetua"/>
        </w:rPr>
        <w:t>indicam que o</w:t>
      </w:r>
      <w:r w:rsidR="006F7830">
        <w:rPr>
          <w:rFonts w:ascii="Perpetua" w:hAnsi="Perpetua"/>
        </w:rPr>
        <w:t xml:space="preserve">s tribunais </w:t>
      </w:r>
      <w:r w:rsidR="00B6634F">
        <w:rPr>
          <w:rFonts w:ascii="Perpetua" w:hAnsi="Perpetua"/>
        </w:rPr>
        <w:t>analisados têm</w:t>
      </w:r>
      <w:r w:rsidR="006F7830">
        <w:rPr>
          <w:rFonts w:ascii="Perpetua" w:hAnsi="Perpetua"/>
        </w:rPr>
        <w:t xml:space="preserve"> níveis de eficiência </w:t>
      </w:r>
      <w:r w:rsidR="00B6634F">
        <w:rPr>
          <w:rFonts w:ascii="Perpetua" w:hAnsi="Perpetua"/>
        </w:rPr>
        <w:t>(</w:t>
      </w:r>
      <w:r w:rsidR="006F7830">
        <w:rPr>
          <w:rFonts w:ascii="Perpetua" w:hAnsi="Perpetua"/>
        </w:rPr>
        <w:t>para as várias medidas calculadas</w:t>
      </w:r>
      <w:r w:rsidR="00B6634F">
        <w:rPr>
          <w:rFonts w:ascii="Perpetua" w:hAnsi="Perpetua"/>
        </w:rPr>
        <w:t>)</w:t>
      </w:r>
      <w:r w:rsidR="006F7830">
        <w:rPr>
          <w:rFonts w:ascii="Perpetua" w:hAnsi="Perpetua"/>
        </w:rPr>
        <w:t xml:space="preserve"> relativamente elevados</w:t>
      </w:r>
      <w:r w:rsidR="00B6634F">
        <w:rPr>
          <w:rFonts w:ascii="Perpetua" w:hAnsi="Perpetua"/>
        </w:rPr>
        <w:t xml:space="preserve"> – a ineficiência global do conjunto dos tribunais </w:t>
      </w:r>
      <w:r w:rsidR="00941AEA">
        <w:rPr>
          <w:rFonts w:ascii="Perpetua" w:hAnsi="Perpetua"/>
        </w:rPr>
        <w:t xml:space="preserve">situa-se </w:t>
      </w:r>
      <w:r w:rsidR="00B6634F">
        <w:rPr>
          <w:rFonts w:ascii="Perpetua" w:hAnsi="Perpetua"/>
        </w:rPr>
        <w:t>entre 8</w:t>
      </w:r>
      <w:r w:rsidR="00941AEA">
        <w:rPr>
          <w:rFonts w:ascii="Perpetua" w:hAnsi="Perpetua"/>
        </w:rPr>
        <w:t>%</w:t>
      </w:r>
      <w:r w:rsidR="00B6634F">
        <w:rPr>
          <w:rFonts w:ascii="Perpetua" w:hAnsi="Perpetua"/>
        </w:rPr>
        <w:t xml:space="preserve"> e 10%.</w:t>
      </w:r>
      <w:r w:rsidR="006F7830">
        <w:rPr>
          <w:rFonts w:ascii="Perpetua" w:hAnsi="Perpetua"/>
        </w:rPr>
        <w:t xml:space="preserve"> Segundo os autores, esta observação sugere que as pendências processuais verificadas no sistema judicial norueguês não parecem estar relacionadas com a ineficiência dos tribunais. </w:t>
      </w:r>
    </w:p>
    <w:p w:rsidR="00113AEB" w:rsidRDefault="00113AEB" w:rsidP="0080386E">
      <w:pPr>
        <w:spacing w:line="360" w:lineRule="auto"/>
        <w:jc w:val="both"/>
        <w:rPr>
          <w:rFonts w:ascii="Perpetua" w:hAnsi="Perpetua"/>
        </w:rPr>
      </w:pPr>
    </w:p>
    <w:p w:rsidR="00DC64F2" w:rsidRDefault="006F7830" w:rsidP="0080386E">
      <w:pPr>
        <w:spacing w:line="360" w:lineRule="auto"/>
        <w:jc w:val="both"/>
        <w:rPr>
          <w:rFonts w:ascii="Perpetua" w:hAnsi="Perpetua"/>
        </w:rPr>
      </w:pPr>
      <w:r>
        <w:rPr>
          <w:rFonts w:ascii="Perpetua" w:hAnsi="Perpetua"/>
        </w:rPr>
        <w:t xml:space="preserve">A investigação das propriedades tecnológicas da produção de serviços judiciais </w:t>
      </w:r>
      <w:r w:rsidR="00B6634F">
        <w:rPr>
          <w:rFonts w:ascii="Perpetua" w:hAnsi="Perpetua"/>
        </w:rPr>
        <w:t xml:space="preserve">no sistema judicial norueguês permitiu obter </w:t>
      </w:r>
      <w:r w:rsidR="00674E69">
        <w:rPr>
          <w:rFonts w:ascii="Perpetua" w:hAnsi="Perpetua"/>
        </w:rPr>
        <w:t xml:space="preserve">provas </w:t>
      </w:r>
      <w:r>
        <w:rPr>
          <w:rFonts w:ascii="Perpetua" w:hAnsi="Perpetua"/>
        </w:rPr>
        <w:t>de algum grau de economias crescentes à escala. Com efeito, o grau de ineficiência resultante de uma escala subóptima é tão elevado quanto o grau de eficiência técnica</w:t>
      </w:r>
      <w:r w:rsidR="00062E4C">
        <w:rPr>
          <w:rFonts w:ascii="Perpetua" w:hAnsi="Perpetua"/>
        </w:rPr>
        <w:t xml:space="preserve"> (</w:t>
      </w:r>
      <w:r w:rsidR="00062E4C" w:rsidRPr="00062E4C">
        <w:rPr>
          <w:rFonts w:ascii="Perpetua" w:hAnsi="Perpetua"/>
          <w:i/>
        </w:rPr>
        <w:t>technical efficiency</w:t>
      </w:r>
      <w:r w:rsidR="00062E4C">
        <w:rPr>
          <w:rFonts w:ascii="Perpetua" w:hAnsi="Perpetua"/>
        </w:rPr>
        <w:t>)</w:t>
      </w:r>
      <w:r>
        <w:rPr>
          <w:rFonts w:ascii="Perpetua" w:hAnsi="Perpetua"/>
        </w:rPr>
        <w:t xml:space="preserve">. A </w:t>
      </w:r>
      <w:r w:rsidR="00674E69">
        <w:rPr>
          <w:rFonts w:ascii="Perpetua" w:hAnsi="Perpetua"/>
        </w:rPr>
        <w:t>existência de provas da verificação de</w:t>
      </w:r>
      <w:r>
        <w:rPr>
          <w:rFonts w:ascii="Perpetua" w:hAnsi="Perpetua"/>
        </w:rPr>
        <w:t xml:space="preserve"> economias crescentes à escala é</w:t>
      </w:r>
      <w:r w:rsidR="00081B4F">
        <w:rPr>
          <w:rFonts w:ascii="Perpetua" w:hAnsi="Perpetua"/>
        </w:rPr>
        <w:t xml:space="preserve">, porém, </w:t>
      </w:r>
      <w:r>
        <w:rPr>
          <w:rFonts w:ascii="Perpetua" w:hAnsi="Perpetua"/>
        </w:rPr>
        <w:t>fortemente influenciada pela presença de tribunais com quantidade mínima de factores produtivos (</w:t>
      </w:r>
      <w:r w:rsidRPr="006F7830">
        <w:rPr>
          <w:rFonts w:ascii="Perpetua" w:hAnsi="Perpetua"/>
          <w:i/>
        </w:rPr>
        <w:t>minimum court staff</w:t>
      </w:r>
      <w:r>
        <w:rPr>
          <w:rFonts w:ascii="Perpetua" w:hAnsi="Perpetua"/>
        </w:rPr>
        <w:t>)</w:t>
      </w:r>
      <w:r w:rsidR="00081B4F">
        <w:rPr>
          <w:rFonts w:ascii="Perpetua" w:hAnsi="Perpetua"/>
        </w:rPr>
        <w:t>, o que leva os autores a sugerir que a hipótese de economias constante</w:t>
      </w:r>
      <w:r w:rsidR="007402D7">
        <w:rPr>
          <w:rFonts w:ascii="Perpetua" w:hAnsi="Perpetua"/>
        </w:rPr>
        <w:t>s</w:t>
      </w:r>
      <w:r w:rsidR="00081B4F">
        <w:rPr>
          <w:rFonts w:ascii="Perpetua" w:hAnsi="Perpetua"/>
        </w:rPr>
        <w:t xml:space="preserve"> à escala seja a m</w:t>
      </w:r>
      <w:r w:rsidR="00113AEB">
        <w:rPr>
          <w:rFonts w:ascii="Perpetua" w:hAnsi="Perpetua"/>
        </w:rPr>
        <w:t>a</w:t>
      </w:r>
      <w:r w:rsidR="00081B4F">
        <w:rPr>
          <w:rFonts w:ascii="Perpetua" w:hAnsi="Perpetua"/>
        </w:rPr>
        <w:t>is plausível para a maior parte dos tribunais analisados</w:t>
      </w:r>
      <w:r w:rsidR="00081B4F">
        <w:rPr>
          <w:rStyle w:val="FootnoteReference"/>
          <w:rFonts w:ascii="Perpetua" w:hAnsi="Perpetua"/>
        </w:rPr>
        <w:footnoteReference w:id="53"/>
      </w:r>
      <w:r w:rsidR="00081B4F">
        <w:rPr>
          <w:rFonts w:ascii="Perpetua" w:hAnsi="Perpetua"/>
        </w:rPr>
        <w:t xml:space="preserve">. </w:t>
      </w:r>
      <w:r w:rsidR="00113AEB">
        <w:rPr>
          <w:rFonts w:ascii="Perpetua" w:hAnsi="Perpetua"/>
        </w:rPr>
        <w:t xml:space="preserve">No que concerne à presença de economias de gama, os autores concluem que há </w:t>
      </w:r>
      <w:r w:rsidR="00674E69">
        <w:rPr>
          <w:rFonts w:ascii="Perpetua" w:hAnsi="Perpetua"/>
        </w:rPr>
        <w:t xml:space="preserve">provas suficientes de </w:t>
      </w:r>
      <w:r w:rsidR="00113AEB">
        <w:rPr>
          <w:rFonts w:ascii="Perpetua" w:hAnsi="Perpetua"/>
        </w:rPr>
        <w:t>que os tribunais citadinos (</w:t>
      </w:r>
      <w:r w:rsidR="004E5D3A" w:rsidRPr="004E5D3A">
        <w:rPr>
          <w:rFonts w:ascii="Perpetua" w:hAnsi="Perpetua"/>
          <w:i/>
        </w:rPr>
        <w:t>i.e.</w:t>
      </w:r>
      <w:r w:rsidR="00941AEA">
        <w:rPr>
          <w:rFonts w:ascii="Perpetua" w:hAnsi="Perpetua"/>
        </w:rPr>
        <w:t xml:space="preserve">, </w:t>
      </w:r>
      <w:r w:rsidR="00113AEB">
        <w:rPr>
          <w:rFonts w:ascii="Perpetua" w:hAnsi="Perpetua"/>
        </w:rPr>
        <w:t>os tribunais especializados) poderiam aumentar os seus níveis de eficiência se fossem agregados em tribunais de competência genérica (</w:t>
      </w:r>
      <w:r w:rsidR="00113AEB" w:rsidRPr="00113AEB">
        <w:rPr>
          <w:rFonts w:ascii="Perpetua" w:hAnsi="Perpetua"/>
          <w:i/>
        </w:rPr>
        <w:t>diversified courts</w:t>
      </w:r>
      <w:r w:rsidR="00113AEB">
        <w:rPr>
          <w:rFonts w:ascii="Perpetua" w:hAnsi="Perpetua"/>
        </w:rPr>
        <w:t xml:space="preserve">). No entanto, esta conclusão deve ser tida como provisória, visto que os tribunais citadinos podem ter um </w:t>
      </w:r>
      <w:r w:rsidR="00113AEB" w:rsidRPr="00113AEB">
        <w:rPr>
          <w:rFonts w:ascii="Perpetua" w:hAnsi="Perpetua"/>
          <w:i/>
        </w:rPr>
        <w:t>case mix</w:t>
      </w:r>
      <w:r w:rsidR="00113AEB">
        <w:rPr>
          <w:rFonts w:ascii="Perpetua" w:hAnsi="Perpetua"/>
        </w:rPr>
        <w:t xml:space="preserve"> mais </w:t>
      </w:r>
      <w:r w:rsidR="00113AEB" w:rsidRPr="00113AEB">
        <w:rPr>
          <w:rFonts w:ascii="Perpetua" w:hAnsi="Perpetua"/>
          <w:i/>
        </w:rPr>
        <w:t>severo</w:t>
      </w:r>
      <w:r w:rsidR="00113AEB">
        <w:rPr>
          <w:rStyle w:val="FootnoteReference"/>
          <w:rFonts w:ascii="Perpetua" w:hAnsi="Perpetua"/>
        </w:rPr>
        <w:footnoteReference w:id="54"/>
      </w:r>
      <w:r w:rsidR="00113AEB">
        <w:rPr>
          <w:rFonts w:ascii="Perpetua" w:hAnsi="Perpetua"/>
        </w:rPr>
        <w:t>.</w:t>
      </w:r>
      <w:r w:rsidR="00DC64F2">
        <w:rPr>
          <w:rFonts w:ascii="Perpetua" w:hAnsi="Perpetua"/>
        </w:rPr>
        <w:t xml:space="preserve"> </w:t>
      </w:r>
    </w:p>
    <w:p w:rsidR="00DC64F2" w:rsidRDefault="00DC64F2" w:rsidP="0080386E">
      <w:pPr>
        <w:spacing w:line="360" w:lineRule="auto"/>
        <w:jc w:val="both"/>
        <w:rPr>
          <w:rFonts w:ascii="Perpetua" w:hAnsi="Perpetua"/>
        </w:rPr>
      </w:pPr>
    </w:p>
    <w:p w:rsidR="00F2441C" w:rsidRDefault="00113AEB" w:rsidP="0080386E">
      <w:pPr>
        <w:spacing w:line="360" w:lineRule="auto"/>
        <w:jc w:val="both"/>
        <w:rPr>
          <w:rFonts w:ascii="Perpetua" w:hAnsi="Perpetua"/>
        </w:rPr>
      </w:pPr>
      <w:r>
        <w:rPr>
          <w:rFonts w:ascii="Perpetua" w:hAnsi="Perpetua"/>
        </w:rPr>
        <w:t xml:space="preserve">Por fim, </w:t>
      </w:r>
      <w:r w:rsidR="00DD272E">
        <w:rPr>
          <w:rFonts w:ascii="Perpetua" w:hAnsi="Perpetua"/>
        </w:rPr>
        <w:t xml:space="preserve">os autores estudaram </w:t>
      </w:r>
      <w:r>
        <w:rPr>
          <w:rFonts w:ascii="Perpetua" w:hAnsi="Perpetua"/>
        </w:rPr>
        <w:t xml:space="preserve">a evolução da eficiência </w:t>
      </w:r>
      <w:r w:rsidR="00062E4C">
        <w:rPr>
          <w:rFonts w:ascii="Perpetua" w:hAnsi="Perpetua"/>
        </w:rPr>
        <w:t>dos tribunais ao longo do período</w:t>
      </w:r>
      <w:r>
        <w:rPr>
          <w:rFonts w:ascii="Perpetua" w:hAnsi="Perpetua"/>
        </w:rPr>
        <w:t xml:space="preserve"> 1983-1988 através de uma decomposição da evoluç</w:t>
      </w:r>
      <w:r w:rsidR="00DD272E">
        <w:rPr>
          <w:rFonts w:ascii="Perpetua" w:hAnsi="Perpetua"/>
        </w:rPr>
        <w:t>ão do</w:t>
      </w:r>
      <w:r>
        <w:rPr>
          <w:rFonts w:ascii="Perpetua" w:hAnsi="Perpetua"/>
        </w:rPr>
        <w:t xml:space="preserve"> </w:t>
      </w:r>
      <w:r w:rsidR="00DD272E">
        <w:rPr>
          <w:rFonts w:ascii="Perpetua" w:hAnsi="Perpetua"/>
        </w:rPr>
        <w:t>índice de produtividade de Malmquist</w:t>
      </w:r>
      <w:r w:rsidR="00062E4C">
        <w:rPr>
          <w:rFonts w:ascii="Perpetua" w:hAnsi="Perpetua"/>
        </w:rPr>
        <w:t xml:space="preserve">. O índice de Malmquist </w:t>
      </w:r>
      <w:r w:rsidR="00DD272E">
        <w:rPr>
          <w:rFonts w:ascii="Perpetua" w:hAnsi="Perpetua"/>
        </w:rPr>
        <w:t xml:space="preserve">permite decompor o aumento da produtividade em duas componentes: </w:t>
      </w:r>
      <w:r w:rsidR="00062E4C">
        <w:rPr>
          <w:rFonts w:ascii="Perpetua" w:hAnsi="Perpetua"/>
        </w:rPr>
        <w:t xml:space="preserve">o </w:t>
      </w:r>
      <w:r>
        <w:rPr>
          <w:rFonts w:ascii="Perpetua" w:hAnsi="Perpetua"/>
        </w:rPr>
        <w:t>aumento da eficiência</w:t>
      </w:r>
      <w:r w:rsidR="00062E4C">
        <w:rPr>
          <w:rFonts w:ascii="Perpetua" w:hAnsi="Perpetua"/>
        </w:rPr>
        <w:t xml:space="preserve"> técnica</w:t>
      </w:r>
      <w:r>
        <w:rPr>
          <w:rFonts w:ascii="Perpetua" w:hAnsi="Perpetua"/>
        </w:rPr>
        <w:t xml:space="preserve"> </w:t>
      </w:r>
      <w:r w:rsidR="00DD272E">
        <w:rPr>
          <w:rFonts w:ascii="Perpetua" w:hAnsi="Perpetua"/>
        </w:rPr>
        <w:t>(</w:t>
      </w:r>
      <w:r w:rsidR="00DD272E" w:rsidRPr="00DD272E">
        <w:rPr>
          <w:rFonts w:ascii="Perpetua" w:hAnsi="Perpetua"/>
          <w:i/>
        </w:rPr>
        <w:t>catching-up</w:t>
      </w:r>
      <w:r w:rsidR="00DD272E">
        <w:rPr>
          <w:rFonts w:ascii="Perpetua" w:hAnsi="Perpetua"/>
        </w:rPr>
        <w:t xml:space="preserve">) </w:t>
      </w:r>
      <w:r>
        <w:rPr>
          <w:rFonts w:ascii="Perpetua" w:hAnsi="Perpetua"/>
        </w:rPr>
        <w:t xml:space="preserve">e </w:t>
      </w:r>
      <w:r w:rsidR="00062E4C">
        <w:rPr>
          <w:rFonts w:ascii="Perpetua" w:hAnsi="Perpetua"/>
        </w:rPr>
        <w:t xml:space="preserve">a </w:t>
      </w:r>
      <w:r w:rsidR="00DD272E">
        <w:rPr>
          <w:rFonts w:ascii="Perpetua" w:hAnsi="Perpetua"/>
        </w:rPr>
        <w:t>alteração da tecnologia de produção (</w:t>
      </w:r>
      <w:r w:rsidR="00DD272E" w:rsidRPr="00DD272E">
        <w:rPr>
          <w:rFonts w:ascii="Perpetua" w:hAnsi="Perpetua"/>
          <w:i/>
        </w:rPr>
        <w:t>frontier shift</w:t>
      </w:r>
      <w:r w:rsidR="00DD272E">
        <w:rPr>
          <w:rFonts w:ascii="Perpetua" w:hAnsi="Perpetua"/>
        </w:rPr>
        <w:t>)</w:t>
      </w:r>
      <w:r w:rsidR="00062E4C">
        <w:rPr>
          <w:rFonts w:ascii="Perpetua" w:hAnsi="Perpetua"/>
        </w:rPr>
        <w:t xml:space="preserve">. A </w:t>
      </w:r>
      <w:r w:rsidR="00D9510B">
        <w:rPr>
          <w:rFonts w:ascii="Perpetua" w:hAnsi="Perpetua"/>
        </w:rPr>
        <w:t>conclusão obtida é</w:t>
      </w:r>
      <w:r w:rsidR="00DD272E">
        <w:rPr>
          <w:rFonts w:ascii="Perpetua" w:hAnsi="Perpetua"/>
        </w:rPr>
        <w:t xml:space="preserve"> </w:t>
      </w:r>
      <w:r w:rsidR="008B62D5">
        <w:rPr>
          <w:rFonts w:ascii="Perpetua" w:hAnsi="Perpetua"/>
        </w:rPr>
        <w:t xml:space="preserve">a de </w:t>
      </w:r>
      <w:r w:rsidR="00DD272E">
        <w:rPr>
          <w:rFonts w:ascii="Perpetua" w:hAnsi="Perpetua"/>
        </w:rPr>
        <w:t xml:space="preserve">que a maior parte dos tribunais </w:t>
      </w:r>
      <w:r w:rsidR="00B6634F">
        <w:rPr>
          <w:rFonts w:ascii="Perpetua" w:hAnsi="Perpetua"/>
        </w:rPr>
        <w:t>(</w:t>
      </w:r>
      <w:r w:rsidR="00062E4C">
        <w:rPr>
          <w:rFonts w:ascii="Perpetua" w:hAnsi="Perpetua"/>
        </w:rPr>
        <w:t xml:space="preserve">conjunto representativo de </w:t>
      </w:r>
      <w:r w:rsidR="00B6634F">
        <w:rPr>
          <w:rFonts w:ascii="Perpetua" w:hAnsi="Perpetua"/>
        </w:rPr>
        <w:t>70% do total de factores produtivos empregues) aumentou a sua produtividade ao longo do período</w:t>
      </w:r>
      <w:r w:rsidR="00D9510B">
        <w:rPr>
          <w:rFonts w:ascii="Perpetua" w:hAnsi="Perpetua"/>
        </w:rPr>
        <w:t>, sendo esses</w:t>
      </w:r>
      <w:r w:rsidR="00B6634F">
        <w:rPr>
          <w:rFonts w:ascii="Perpetua" w:hAnsi="Perpetua"/>
        </w:rPr>
        <w:t xml:space="preserve"> aumento</w:t>
      </w:r>
      <w:r w:rsidR="00062E4C">
        <w:rPr>
          <w:rFonts w:ascii="Perpetua" w:hAnsi="Perpetua"/>
        </w:rPr>
        <w:t>s</w:t>
      </w:r>
      <w:r w:rsidR="00B6634F">
        <w:rPr>
          <w:rFonts w:ascii="Perpetua" w:hAnsi="Perpetua"/>
        </w:rPr>
        <w:t xml:space="preserve"> dev</w:t>
      </w:r>
      <w:r w:rsidR="00D9510B">
        <w:rPr>
          <w:rFonts w:ascii="Perpetua" w:hAnsi="Perpetua"/>
        </w:rPr>
        <w:t>idos a</w:t>
      </w:r>
      <w:r w:rsidR="00B6634F">
        <w:rPr>
          <w:rFonts w:ascii="Perpetua" w:hAnsi="Perpetua"/>
        </w:rPr>
        <w:t xml:space="preserve"> deslocações positivas da tecnologia de produção. </w:t>
      </w:r>
    </w:p>
    <w:p w:rsidR="00F2441C" w:rsidRDefault="00F2441C" w:rsidP="0080386E">
      <w:pPr>
        <w:spacing w:line="360" w:lineRule="auto"/>
        <w:jc w:val="both"/>
        <w:rPr>
          <w:rFonts w:ascii="Perpetua" w:hAnsi="Perpetua"/>
        </w:rPr>
      </w:pPr>
    </w:p>
    <w:p w:rsidR="00D9510B" w:rsidRDefault="007E527C" w:rsidP="0080386E">
      <w:pPr>
        <w:spacing w:line="360" w:lineRule="auto"/>
        <w:jc w:val="both"/>
        <w:rPr>
          <w:rFonts w:ascii="Perpetua" w:hAnsi="Perpetua"/>
        </w:rPr>
      </w:pPr>
      <w:r>
        <w:rPr>
          <w:rFonts w:ascii="Perpetua" w:hAnsi="Perpetua"/>
        </w:rPr>
        <w:t xml:space="preserve">Ainda no âmbito da literatura de Análise de Eficiência e Produtividade, Tulkens (1993) estuda a eficiência de 187 julgados de paz do sistema judicial belga, através de uma variante da análise de envelope de dados denominada </w:t>
      </w:r>
      <w:r w:rsidRPr="007E527C">
        <w:rPr>
          <w:rFonts w:ascii="Perpetua" w:hAnsi="Perpetua"/>
          <w:i/>
        </w:rPr>
        <w:t>Free Disposal Hull</w:t>
      </w:r>
      <w:r>
        <w:rPr>
          <w:rFonts w:ascii="Perpetua" w:hAnsi="Perpetua"/>
        </w:rPr>
        <w:t xml:space="preserve"> (FDH)</w:t>
      </w:r>
      <w:r w:rsidR="00650C5D">
        <w:rPr>
          <w:rStyle w:val="FootnoteReference"/>
          <w:rFonts w:ascii="Perpetua" w:hAnsi="Perpetua"/>
        </w:rPr>
        <w:footnoteReference w:id="55"/>
      </w:r>
      <w:r>
        <w:rPr>
          <w:rFonts w:ascii="Perpetua" w:hAnsi="Perpetua"/>
        </w:rPr>
        <w:t xml:space="preserve">. A selecção de variáveis de </w:t>
      </w:r>
      <w:r w:rsidRPr="007E527C">
        <w:rPr>
          <w:rFonts w:ascii="Perpetua" w:hAnsi="Perpetua"/>
          <w:i/>
        </w:rPr>
        <w:t>inputs</w:t>
      </w:r>
      <w:r>
        <w:rPr>
          <w:rFonts w:ascii="Perpetua" w:hAnsi="Perpetua"/>
        </w:rPr>
        <w:t xml:space="preserve"> e de </w:t>
      </w:r>
      <w:r w:rsidRPr="007E527C">
        <w:rPr>
          <w:rFonts w:ascii="Perpetua" w:hAnsi="Perpetua"/>
          <w:i/>
        </w:rPr>
        <w:t>outputs</w:t>
      </w:r>
      <w:r>
        <w:rPr>
          <w:rFonts w:ascii="Perpetua" w:hAnsi="Perpetua"/>
        </w:rPr>
        <w:t xml:space="preserve"> é semelhante à utilizada por Kittelsen </w:t>
      </w:r>
      <w:r w:rsidR="003A79EC">
        <w:rPr>
          <w:rFonts w:ascii="Perpetua" w:hAnsi="Perpetua"/>
        </w:rPr>
        <w:t>e</w:t>
      </w:r>
      <w:r>
        <w:rPr>
          <w:rFonts w:ascii="Perpetua" w:hAnsi="Perpetua"/>
        </w:rPr>
        <w:t xml:space="preserve"> Forsund (1992). A única variável de </w:t>
      </w:r>
      <w:r w:rsidRPr="007E527C">
        <w:rPr>
          <w:rFonts w:ascii="Perpetua" w:hAnsi="Perpetua"/>
          <w:i/>
        </w:rPr>
        <w:t>inputs</w:t>
      </w:r>
      <w:r>
        <w:rPr>
          <w:rFonts w:ascii="Perpetua" w:hAnsi="Perpetua"/>
        </w:rPr>
        <w:t xml:space="preserve"> utilizada é o número de auxiliares (</w:t>
      </w:r>
      <w:r w:rsidRPr="007E527C">
        <w:rPr>
          <w:rFonts w:ascii="Perpetua" w:hAnsi="Perpetua"/>
          <w:i/>
        </w:rPr>
        <w:t>clerical staff</w:t>
      </w:r>
      <w:r>
        <w:rPr>
          <w:rFonts w:ascii="Perpetua" w:hAnsi="Perpetua"/>
        </w:rPr>
        <w:t xml:space="preserve">), visto que o número de juízes é constante e igual a um para todos os julgados de paz. As variáveis de </w:t>
      </w:r>
      <w:r w:rsidRPr="007E527C">
        <w:rPr>
          <w:rFonts w:ascii="Perpetua" w:hAnsi="Perpetua"/>
          <w:i/>
        </w:rPr>
        <w:t>outputs</w:t>
      </w:r>
      <w:r>
        <w:rPr>
          <w:rFonts w:ascii="Perpetua" w:hAnsi="Perpetua"/>
        </w:rPr>
        <w:t xml:space="preserve"> escolhidas correspondem às três categorias do critério de agregação de processos </w:t>
      </w:r>
      <w:r w:rsidR="00DC64F2">
        <w:rPr>
          <w:rFonts w:ascii="Perpetua" w:hAnsi="Perpetua"/>
        </w:rPr>
        <w:t xml:space="preserve">findos </w:t>
      </w:r>
      <w:r>
        <w:rPr>
          <w:rFonts w:ascii="Perpetua" w:hAnsi="Perpetua"/>
        </w:rPr>
        <w:t>com base na matéria do processo (</w:t>
      </w:r>
      <w:r w:rsidRPr="007E527C">
        <w:rPr>
          <w:rFonts w:ascii="Perpetua" w:hAnsi="Perpetua"/>
          <w:i/>
        </w:rPr>
        <w:t>rationae materiae</w:t>
      </w:r>
      <w:r>
        <w:rPr>
          <w:rFonts w:ascii="Perpetua" w:hAnsi="Perpetua"/>
        </w:rPr>
        <w:t>): número de processos cíveis e comerciais findos (</w:t>
      </w:r>
      <w:r w:rsidRPr="007E527C">
        <w:rPr>
          <w:rFonts w:ascii="Perpetua" w:hAnsi="Perpetua"/>
          <w:i/>
        </w:rPr>
        <w:t>number of settled civil and commercial cases</w:t>
      </w:r>
      <w:r>
        <w:rPr>
          <w:rFonts w:ascii="Perpetua" w:hAnsi="Perpetua"/>
        </w:rPr>
        <w:t>)</w:t>
      </w:r>
      <w:r w:rsidR="00650C5D">
        <w:rPr>
          <w:rFonts w:ascii="Perpetua" w:hAnsi="Perpetua"/>
        </w:rPr>
        <w:t>, número de sessões de arbitragem no âmbito do processo de família (</w:t>
      </w:r>
      <w:r w:rsidR="00650C5D" w:rsidRPr="00650C5D">
        <w:rPr>
          <w:rFonts w:ascii="Perpetua" w:hAnsi="Perpetua"/>
          <w:i/>
        </w:rPr>
        <w:t>family arbitration sessions held</w:t>
      </w:r>
      <w:r w:rsidR="00650C5D">
        <w:rPr>
          <w:rFonts w:ascii="Perpetua" w:hAnsi="Perpetua"/>
        </w:rPr>
        <w:t>)</w:t>
      </w:r>
      <w:r>
        <w:rPr>
          <w:rFonts w:ascii="Perpetua" w:hAnsi="Perpetua"/>
        </w:rPr>
        <w:t xml:space="preserve"> </w:t>
      </w:r>
      <w:r w:rsidR="00650C5D">
        <w:rPr>
          <w:rFonts w:ascii="Perpetua" w:hAnsi="Perpetua"/>
        </w:rPr>
        <w:t>e número de processos de ofensa de menores findos (</w:t>
      </w:r>
      <w:r w:rsidR="00650C5D" w:rsidRPr="00650C5D">
        <w:rPr>
          <w:rFonts w:ascii="Perpetua" w:hAnsi="Perpetua"/>
          <w:i/>
        </w:rPr>
        <w:t xml:space="preserve">minor offenses cases </w:t>
      </w:r>
      <w:r w:rsidR="00DC64F2" w:rsidRPr="00650C5D">
        <w:rPr>
          <w:rFonts w:ascii="Perpetua" w:hAnsi="Perpetua"/>
          <w:i/>
        </w:rPr>
        <w:t>settled</w:t>
      </w:r>
      <w:r w:rsidR="00DC64F2">
        <w:rPr>
          <w:rFonts w:ascii="Perpetua" w:hAnsi="Perpetua"/>
        </w:rPr>
        <w:t xml:space="preserve">). </w:t>
      </w:r>
      <w:r w:rsidR="0094314A">
        <w:rPr>
          <w:rFonts w:ascii="Perpetua" w:hAnsi="Perpetua"/>
        </w:rPr>
        <w:t>A principal conclus</w:t>
      </w:r>
      <w:r w:rsidR="00A73DFA">
        <w:rPr>
          <w:rFonts w:ascii="Perpetua" w:hAnsi="Perpetua"/>
        </w:rPr>
        <w:t>ão do autor</w:t>
      </w:r>
      <w:r w:rsidR="0094314A">
        <w:rPr>
          <w:rFonts w:ascii="Perpetua" w:hAnsi="Perpetua"/>
        </w:rPr>
        <w:t xml:space="preserve"> é </w:t>
      </w:r>
      <w:r w:rsidR="008B62D5">
        <w:rPr>
          <w:rFonts w:ascii="Perpetua" w:hAnsi="Perpetua"/>
        </w:rPr>
        <w:t xml:space="preserve">a de </w:t>
      </w:r>
      <w:r w:rsidR="0094314A">
        <w:rPr>
          <w:rFonts w:ascii="Perpetua" w:hAnsi="Perpetua"/>
        </w:rPr>
        <w:t>que, apesar da variante da análise envelope de dados</w:t>
      </w:r>
      <w:r w:rsidR="00A73DFA">
        <w:rPr>
          <w:rFonts w:ascii="Perpetua" w:hAnsi="Perpetua"/>
        </w:rPr>
        <w:t xml:space="preserve"> FDH</w:t>
      </w:r>
      <w:r w:rsidR="0094314A">
        <w:rPr>
          <w:rFonts w:ascii="Perpetua" w:hAnsi="Perpetua"/>
        </w:rPr>
        <w:t xml:space="preserve"> </w:t>
      </w:r>
      <w:r w:rsidR="00A73DFA">
        <w:rPr>
          <w:rFonts w:ascii="Perpetua" w:hAnsi="Perpetua"/>
        </w:rPr>
        <w:t xml:space="preserve">ser mais generosa na avaliação da ineficiência das unidades produtivas, os julgados de paz do sistema judicial belga apresentam níveis </w:t>
      </w:r>
      <w:r w:rsidR="004E5D3A">
        <w:rPr>
          <w:rFonts w:ascii="Perpetua" w:hAnsi="Perpetua"/>
        </w:rPr>
        <w:t xml:space="preserve">de eficiência </w:t>
      </w:r>
      <w:r w:rsidR="00A73DFA">
        <w:rPr>
          <w:rFonts w:ascii="Perpetua" w:hAnsi="Perpetua"/>
        </w:rPr>
        <w:t>extremamente reduzidos (82</w:t>
      </w:r>
      <w:r w:rsidR="008B62D5">
        <w:rPr>
          <w:rFonts w:ascii="Perpetua" w:hAnsi="Perpetua"/>
        </w:rPr>
        <w:t>%</w:t>
      </w:r>
      <w:r w:rsidR="00DC64F2">
        <w:rPr>
          <w:rFonts w:ascii="Perpetua" w:hAnsi="Perpetua"/>
        </w:rPr>
        <w:t xml:space="preserve"> e</w:t>
      </w:r>
      <w:r w:rsidR="00A73DFA">
        <w:rPr>
          <w:rFonts w:ascii="Perpetua" w:hAnsi="Perpetua"/>
        </w:rPr>
        <w:t xml:space="preserve"> 87% dos julgados de paz analisados são ineficientes). O autor conclui que os baixos níveis de ineficiência observados reflectem a má organização do trabalho nos tribunais e a falta de motivação dos juízes, ambos resultando da inexistência de uma agência que monitorize o seu trabalho</w:t>
      </w:r>
      <w:r w:rsidR="00A73DFA">
        <w:rPr>
          <w:rStyle w:val="FootnoteReference"/>
          <w:rFonts w:ascii="Perpetua" w:hAnsi="Perpetua"/>
        </w:rPr>
        <w:footnoteReference w:id="56"/>
      </w:r>
      <w:r w:rsidR="00A73DFA">
        <w:rPr>
          <w:rFonts w:ascii="Perpetua" w:hAnsi="Perpetua"/>
        </w:rPr>
        <w:t xml:space="preserve">. </w:t>
      </w:r>
    </w:p>
    <w:p w:rsidR="00650C5D" w:rsidRDefault="00650C5D" w:rsidP="0080386E">
      <w:pPr>
        <w:spacing w:line="360" w:lineRule="auto"/>
        <w:jc w:val="both"/>
        <w:rPr>
          <w:rFonts w:ascii="Perpetua" w:hAnsi="Perpetua"/>
        </w:rPr>
      </w:pPr>
    </w:p>
    <w:p w:rsidR="004745EF" w:rsidRDefault="00A73DFA" w:rsidP="0080386E">
      <w:pPr>
        <w:spacing w:line="360" w:lineRule="auto"/>
        <w:jc w:val="both"/>
        <w:rPr>
          <w:rFonts w:ascii="Perpetua" w:hAnsi="Perpetua"/>
        </w:rPr>
      </w:pPr>
      <w:r>
        <w:rPr>
          <w:rFonts w:ascii="Perpetua" w:hAnsi="Perpetua"/>
        </w:rPr>
        <w:t xml:space="preserve">A última contribuição para a literatura da produção de serviços judiciais revista no âmbito de Análise de Eficiência e Produtividade é o artigo </w:t>
      </w:r>
      <w:r w:rsidR="00DC64F2">
        <w:rPr>
          <w:rFonts w:ascii="Perpetua" w:hAnsi="Perpetua"/>
        </w:rPr>
        <w:t xml:space="preserve">de </w:t>
      </w:r>
      <w:r>
        <w:rPr>
          <w:rFonts w:ascii="Perpetua" w:hAnsi="Perpetua"/>
        </w:rPr>
        <w:t xml:space="preserve">Pedraja-Chaparro </w:t>
      </w:r>
      <w:r w:rsidR="003A79EC">
        <w:rPr>
          <w:rFonts w:ascii="Perpetua" w:hAnsi="Perpetua"/>
        </w:rPr>
        <w:t>e</w:t>
      </w:r>
      <w:r>
        <w:rPr>
          <w:rFonts w:ascii="Perpetua" w:hAnsi="Perpetua"/>
        </w:rPr>
        <w:t xml:space="preserve"> Salinas-Jiménez (1996). Os autores aplicam a análise de envelope de dados </w:t>
      </w:r>
      <w:r w:rsidR="004745EF">
        <w:rPr>
          <w:rFonts w:ascii="Perpetua" w:hAnsi="Perpetua"/>
        </w:rPr>
        <w:t>a</w:t>
      </w:r>
      <w:r>
        <w:rPr>
          <w:rFonts w:ascii="Perpetua" w:hAnsi="Perpetua"/>
        </w:rPr>
        <w:t xml:space="preserve"> 21 secções de contencioso administrativo dos tribunais </w:t>
      </w:r>
      <w:r w:rsidR="004745EF">
        <w:rPr>
          <w:rFonts w:ascii="Perpetua" w:hAnsi="Perpetua"/>
        </w:rPr>
        <w:t>superiores de justiça do sistema judicial espanhol</w:t>
      </w:r>
      <w:r w:rsidR="004E5D3A">
        <w:rPr>
          <w:rFonts w:ascii="Perpetua" w:hAnsi="Perpetua"/>
        </w:rPr>
        <w:t xml:space="preserve"> (</w:t>
      </w:r>
      <w:r w:rsidR="004E5D3A" w:rsidRPr="004745EF">
        <w:rPr>
          <w:rFonts w:ascii="Perpetua" w:hAnsi="Perpetua"/>
          <w:i/>
        </w:rPr>
        <w:t>Administrative Litigation Division of the Spanish High Courts</w:t>
      </w:r>
      <w:r w:rsidR="004E5D3A">
        <w:rPr>
          <w:rFonts w:ascii="Perpetua" w:hAnsi="Perpetua"/>
        </w:rPr>
        <w:t>)</w:t>
      </w:r>
      <w:r w:rsidR="004745EF">
        <w:rPr>
          <w:rFonts w:ascii="Perpetua" w:hAnsi="Perpetua"/>
        </w:rPr>
        <w:t xml:space="preserve">. Na linha das contribuições anteriores, as variáveis de </w:t>
      </w:r>
      <w:r w:rsidR="004745EF" w:rsidRPr="004745EF">
        <w:rPr>
          <w:rFonts w:ascii="Perpetua" w:hAnsi="Perpetua"/>
          <w:i/>
        </w:rPr>
        <w:t>input</w:t>
      </w:r>
      <w:r w:rsidR="004745EF">
        <w:rPr>
          <w:rFonts w:ascii="Perpetua" w:hAnsi="Perpetua"/>
        </w:rPr>
        <w:t xml:space="preserve"> seleccionadas incluem o número de juízes e o número de auxiliares (</w:t>
      </w:r>
      <w:r w:rsidR="004745EF" w:rsidRPr="004745EF">
        <w:rPr>
          <w:rFonts w:ascii="Perpetua" w:hAnsi="Perpetua"/>
          <w:i/>
        </w:rPr>
        <w:t>office staff</w:t>
      </w:r>
      <w:r w:rsidR="004745EF">
        <w:rPr>
          <w:rFonts w:ascii="Perpetua" w:hAnsi="Perpetua"/>
        </w:rPr>
        <w:t xml:space="preserve">) e as variáveis de </w:t>
      </w:r>
      <w:r w:rsidR="004745EF" w:rsidRPr="004745EF">
        <w:rPr>
          <w:rFonts w:ascii="Perpetua" w:hAnsi="Perpetua"/>
          <w:i/>
        </w:rPr>
        <w:t>output</w:t>
      </w:r>
      <w:r w:rsidR="004745EF">
        <w:rPr>
          <w:rFonts w:ascii="Perpetua" w:hAnsi="Perpetua"/>
        </w:rPr>
        <w:t xml:space="preserve"> incluem duas categorias de processos findos: processos findos por sentença do juiz e processos findos por outro tipo de termo (conciliação, desistência</w:t>
      </w:r>
      <w:r w:rsidR="008B62D5">
        <w:rPr>
          <w:rFonts w:ascii="Perpetua" w:hAnsi="Perpetua"/>
        </w:rPr>
        <w:t>,</w:t>
      </w:r>
      <w:r w:rsidR="004745EF">
        <w:rPr>
          <w:rFonts w:ascii="Perpetua" w:hAnsi="Perpetua"/>
        </w:rPr>
        <w:t xml:space="preserve"> </w:t>
      </w:r>
      <w:r w:rsidR="004745EF" w:rsidRPr="008B62D5">
        <w:rPr>
          <w:rFonts w:ascii="Perpetua" w:hAnsi="Perpetua"/>
        </w:rPr>
        <w:t>etc.</w:t>
      </w:r>
      <w:r w:rsidR="004745EF">
        <w:rPr>
          <w:rFonts w:ascii="Perpetua" w:hAnsi="Perpetua"/>
        </w:rPr>
        <w:t>). O grau de eficiência médio dos tribunais analisado é relativamente</w:t>
      </w:r>
      <w:r w:rsidR="00DC64F2">
        <w:rPr>
          <w:rFonts w:ascii="Perpetua" w:hAnsi="Perpetua"/>
        </w:rPr>
        <w:t xml:space="preserve"> baixo</w:t>
      </w:r>
      <w:r w:rsidR="004745EF">
        <w:rPr>
          <w:rFonts w:ascii="Perpetua" w:hAnsi="Perpetua"/>
        </w:rPr>
        <w:t xml:space="preserve"> </w:t>
      </w:r>
      <w:r w:rsidR="008B62D5">
        <w:rPr>
          <w:rFonts w:ascii="Perpetua" w:hAnsi="Perpetua"/>
        </w:rPr>
        <w:t>(</w:t>
      </w:r>
      <w:r w:rsidR="004745EF">
        <w:rPr>
          <w:rFonts w:ascii="Perpetua" w:hAnsi="Perpetua"/>
        </w:rPr>
        <w:t>cerca de 77%</w:t>
      </w:r>
      <w:r w:rsidR="008B62D5">
        <w:rPr>
          <w:rFonts w:ascii="Perpetua" w:hAnsi="Perpetua"/>
        </w:rPr>
        <w:t>)</w:t>
      </w:r>
      <w:r w:rsidR="004745EF">
        <w:rPr>
          <w:rFonts w:ascii="Perpetua" w:hAnsi="Perpetua"/>
        </w:rPr>
        <w:t>. Os autores procuram testar a presença de rendimentos crescentes à escala na produção de serviços judiciais através de uma análise de regressão truncada (</w:t>
      </w:r>
      <w:r w:rsidR="004745EF" w:rsidRPr="004745EF">
        <w:rPr>
          <w:rFonts w:ascii="Perpetua" w:hAnsi="Perpetua"/>
          <w:i/>
        </w:rPr>
        <w:t>Tobit regression</w:t>
      </w:r>
      <w:r w:rsidR="004745EF">
        <w:rPr>
          <w:rFonts w:ascii="Perpetua" w:hAnsi="Perpetua"/>
        </w:rPr>
        <w:t xml:space="preserve">), regredindo os </w:t>
      </w:r>
      <w:r w:rsidR="004745EF" w:rsidRPr="00E3037C">
        <w:rPr>
          <w:rFonts w:ascii="Perpetua" w:hAnsi="Perpetua"/>
          <w:i/>
        </w:rPr>
        <w:t>scores</w:t>
      </w:r>
      <w:r w:rsidR="004745EF">
        <w:rPr>
          <w:rFonts w:ascii="Perpetua" w:hAnsi="Perpetua"/>
        </w:rPr>
        <w:t xml:space="preserve"> de eficiência </w:t>
      </w:r>
      <w:r w:rsidR="00E3037C">
        <w:rPr>
          <w:rFonts w:ascii="Perpetua" w:hAnsi="Perpetua"/>
        </w:rPr>
        <w:t xml:space="preserve">calculados a </w:t>
      </w:r>
      <w:r w:rsidR="004745EF">
        <w:rPr>
          <w:rFonts w:ascii="Perpetua" w:hAnsi="Perpetua"/>
        </w:rPr>
        <w:t>p</w:t>
      </w:r>
      <w:r w:rsidR="00E3037C">
        <w:rPr>
          <w:rFonts w:ascii="Perpetua" w:hAnsi="Perpetua"/>
        </w:rPr>
        <w:t>artir da fronteira CRS (</w:t>
      </w:r>
      <w:r w:rsidR="00E3037C" w:rsidRPr="008B62D5">
        <w:rPr>
          <w:rFonts w:ascii="Perpetua" w:hAnsi="Perpetua"/>
          <w:i/>
        </w:rPr>
        <w:t>constant returns to scale</w:t>
      </w:r>
      <w:r w:rsidR="00E3037C">
        <w:rPr>
          <w:rFonts w:ascii="Perpetua" w:hAnsi="Perpetua"/>
        </w:rPr>
        <w:t>) p</w:t>
      </w:r>
      <w:r w:rsidR="004745EF">
        <w:rPr>
          <w:rFonts w:ascii="Perpetua" w:hAnsi="Perpetua"/>
        </w:rPr>
        <w:t xml:space="preserve">or duas medidas alternativas da dimensão dos tribunais: o número de juízes e o número de auxiliares. </w:t>
      </w:r>
      <w:r w:rsidR="00E3037C">
        <w:rPr>
          <w:rFonts w:ascii="Perpetua" w:hAnsi="Perpetua"/>
        </w:rPr>
        <w:t>Uma vez que n</w:t>
      </w:r>
      <w:r w:rsidR="004745EF">
        <w:rPr>
          <w:rFonts w:ascii="Perpetua" w:hAnsi="Perpetua"/>
        </w:rPr>
        <w:t>enhuma das variáveis se demonstrou estatisticamente significativa</w:t>
      </w:r>
      <w:r w:rsidR="00E3037C">
        <w:rPr>
          <w:rFonts w:ascii="Perpetua" w:hAnsi="Perpetua"/>
        </w:rPr>
        <w:t xml:space="preserve"> e que os </w:t>
      </w:r>
      <w:r w:rsidR="00E3037C" w:rsidRPr="00E3037C">
        <w:rPr>
          <w:rFonts w:ascii="Perpetua" w:hAnsi="Perpetua"/>
          <w:i/>
        </w:rPr>
        <w:t>scores</w:t>
      </w:r>
      <w:r w:rsidR="00E3037C">
        <w:rPr>
          <w:rFonts w:ascii="Perpetua" w:hAnsi="Perpetua"/>
        </w:rPr>
        <w:t xml:space="preserve"> de eficiência obtidos a partir da fronteira VRS (</w:t>
      </w:r>
      <w:r w:rsidR="00E3037C" w:rsidRPr="00E3037C">
        <w:rPr>
          <w:rFonts w:ascii="Perpetua" w:hAnsi="Perpetua"/>
          <w:i/>
        </w:rPr>
        <w:t>variable returns to scale</w:t>
      </w:r>
      <w:r w:rsidR="00E3037C">
        <w:rPr>
          <w:rFonts w:ascii="Perpetua" w:hAnsi="Perpetua"/>
        </w:rPr>
        <w:t>) indicam haver um baixo grau de ineficiência de escala</w:t>
      </w:r>
      <w:r w:rsidR="004745EF">
        <w:rPr>
          <w:rFonts w:ascii="Perpetua" w:hAnsi="Perpetua"/>
        </w:rPr>
        <w:t>, os autores conclu</w:t>
      </w:r>
      <w:r w:rsidR="00E3037C">
        <w:rPr>
          <w:rFonts w:ascii="Perpetua" w:hAnsi="Perpetua"/>
        </w:rPr>
        <w:t>íram pela</w:t>
      </w:r>
      <w:r w:rsidR="004745EF">
        <w:rPr>
          <w:rFonts w:ascii="Perpetua" w:hAnsi="Perpetua"/>
        </w:rPr>
        <w:t xml:space="preserve"> </w:t>
      </w:r>
      <w:r w:rsidR="00E3037C">
        <w:rPr>
          <w:rFonts w:ascii="Perpetua" w:hAnsi="Perpetua"/>
        </w:rPr>
        <w:t>inexistência de economias de escala na produção de serviços judiciais nos tribunais analisados.</w:t>
      </w:r>
    </w:p>
    <w:p w:rsidR="00650C5D" w:rsidRDefault="00650C5D"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Com uma direcção diferente, orientada para a reforma dos tribunais federais norte-americanos, </w:t>
      </w:r>
      <w:r w:rsidRPr="007A02B6">
        <w:rPr>
          <w:rFonts w:ascii="Perpetua" w:hAnsi="Perpetua"/>
        </w:rPr>
        <w:t>Posner (1996)</w:t>
      </w:r>
      <w:r>
        <w:rPr>
          <w:rFonts w:ascii="Perpetua" w:hAnsi="Perpetua"/>
        </w:rPr>
        <w:t xml:space="preserve"> efectua várias análises empíricas do funcionamento dos tribunais federais dos E.U.A., procurando explicar a evolução do sistema judicial ao longo do século XX, embora </w:t>
      </w:r>
      <w:r w:rsidR="008B62D5">
        <w:rPr>
          <w:rFonts w:ascii="Perpetua" w:hAnsi="Perpetua"/>
        </w:rPr>
        <w:t>prestando maior atenção a</w:t>
      </w:r>
      <w:r>
        <w:rPr>
          <w:rFonts w:ascii="Perpetua" w:hAnsi="Perpetua"/>
        </w:rPr>
        <w:t>o período 1960-1995. O autor procura explicar o extraordinário aumento da procura judicial</w:t>
      </w:r>
      <w:r>
        <w:rPr>
          <w:rStyle w:val="FootnoteReference"/>
          <w:rFonts w:ascii="Perpetua" w:hAnsi="Perpetua"/>
        </w:rPr>
        <w:footnoteReference w:id="57"/>
      </w:r>
      <w:r>
        <w:rPr>
          <w:rFonts w:ascii="Perpetua" w:hAnsi="Perpetua"/>
        </w:rPr>
        <w:t xml:space="preserve"> e a reacção da oferta judicial através das previsões da teoria económica, em particular da teoria económica do litígio, servindo-se para o efeito de técnicas de estatística descritiva e, em alguns casos, de análise clássica de regressão. O autor conclui que, ao longo do período, a expansão da procura judicial foi acomodada pela expansão da oferta judicial, de tal modo que o preço económico dos serviços judiciais, medido quer pelos custos financeiros associados à resolução de um litígio quer pelas filas de espera (duração média da resolução processual)</w:t>
      </w:r>
      <w:r w:rsidR="008B62D5">
        <w:rPr>
          <w:rFonts w:ascii="Perpetua" w:hAnsi="Perpetua"/>
        </w:rPr>
        <w:t>,</w:t>
      </w:r>
      <w:r>
        <w:rPr>
          <w:rFonts w:ascii="Perpetua" w:hAnsi="Perpetua"/>
        </w:rPr>
        <w:t xml:space="preserve"> não subiu significativamente ao longo do período. A expansão do </w:t>
      </w:r>
      <w:r w:rsidR="00A2767C">
        <w:rPr>
          <w:rFonts w:ascii="Perpetua" w:hAnsi="Perpetua"/>
        </w:rPr>
        <w:t>número</w:t>
      </w:r>
      <w:r>
        <w:rPr>
          <w:rFonts w:ascii="Perpetua" w:hAnsi="Perpetua"/>
        </w:rPr>
        <w:t xml:space="preserve"> de juízes é apontada como uma das medidas adoptadas pelo sistema judicial federal norte-americano para acomodar o aumento continuado da procura judicial ao longo do período analisado, mas também são referidos o aumento extraordinário da produtividade judicial e a introdução de algumas inovações no processo produtivo, designadamente a atribuição de maiores competências na resolução processual a </w:t>
      </w:r>
      <w:r w:rsidR="004E5D3A">
        <w:rPr>
          <w:rFonts w:ascii="Perpetua" w:hAnsi="Perpetua"/>
        </w:rPr>
        <w:t xml:space="preserve">trabalhadores </w:t>
      </w:r>
      <w:r>
        <w:rPr>
          <w:rFonts w:ascii="Perpetua" w:hAnsi="Perpetua"/>
        </w:rPr>
        <w:t>judiciais que não os juízes</w:t>
      </w:r>
      <w:r>
        <w:rPr>
          <w:rStyle w:val="FootnoteReference"/>
          <w:rFonts w:ascii="Perpetua" w:hAnsi="Perpetua"/>
        </w:rPr>
        <w:footnoteReference w:id="58"/>
      </w:r>
      <w:r>
        <w:rPr>
          <w:rFonts w:ascii="Perpetua" w:hAnsi="Perpetua"/>
        </w:rPr>
        <w:t>. O autor verificou, através da regressão de uma medida de qualidade judicial (número de citações por outros tribunais) por um conjunto de variáveis explicativas independentes, que a qualidade da decisão judicial não diminuiu em razão do aumento da produtividade judicial</w:t>
      </w:r>
      <w:r>
        <w:rPr>
          <w:rStyle w:val="FootnoteReference"/>
          <w:rFonts w:ascii="Perpetua" w:hAnsi="Perpetua"/>
        </w:rPr>
        <w:footnoteReference w:id="59"/>
      </w:r>
      <w:r>
        <w:rPr>
          <w:rFonts w:ascii="Perpetua" w:hAnsi="Perpetua"/>
        </w:rPr>
        <w:t xml:space="preserve">. Por último, </w:t>
      </w:r>
      <w:r w:rsidR="004E5D3A">
        <w:rPr>
          <w:rFonts w:ascii="Perpetua" w:hAnsi="Perpetua"/>
        </w:rPr>
        <w:t xml:space="preserve">importa sublinhar que, </w:t>
      </w:r>
      <w:r>
        <w:rPr>
          <w:rFonts w:ascii="Perpetua" w:hAnsi="Perpetua"/>
        </w:rPr>
        <w:t xml:space="preserve">ao longo de toda a obra, Posner refere alguns dos problemas encontrados com a definição e </w:t>
      </w:r>
      <w:r w:rsidR="008B62D5">
        <w:rPr>
          <w:rFonts w:ascii="Perpetua" w:hAnsi="Perpetua"/>
        </w:rPr>
        <w:t xml:space="preserve">as </w:t>
      </w:r>
      <w:r>
        <w:rPr>
          <w:rFonts w:ascii="Perpetua" w:hAnsi="Perpetua"/>
        </w:rPr>
        <w:t xml:space="preserve">medidas adequadas da qualidade da decisão judicial e da produtividade judicial.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Focando-se na qualidade da decisão judicial enquanto medida de desempenho do tribunal, Posner (2000) procura testar a previsão de que o </w:t>
      </w:r>
      <w:r w:rsidR="00A2767C">
        <w:rPr>
          <w:rFonts w:ascii="Perpetua" w:hAnsi="Perpetua"/>
        </w:rPr>
        <w:t>número</w:t>
      </w:r>
      <w:r>
        <w:rPr>
          <w:rFonts w:ascii="Perpetua" w:hAnsi="Perpetua"/>
        </w:rPr>
        <w:t xml:space="preserve"> de juízos (</w:t>
      </w:r>
      <w:r w:rsidRPr="00BF01AB">
        <w:rPr>
          <w:rFonts w:ascii="Perpetua" w:hAnsi="Perpetua"/>
          <w:i/>
        </w:rPr>
        <w:t>number of judgeships</w:t>
      </w:r>
      <w:r>
        <w:rPr>
          <w:rFonts w:ascii="Perpetua" w:hAnsi="Perpetua"/>
        </w:rPr>
        <w:t xml:space="preserve">) de </w:t>
      </w:r>
      <w:r w:rsidRPr="000206B8">
        <w:rPr>
          <w:rFonts w:ascii="Perpetua" w:hAnsi="Perpetua"/>
        </w:rPr>
        <w:t>um tribunal federal dos E.U.A</w:t>
      </w:r>
      <w:r>
        <w:rPr>
          <w:rFonts w:ascii="Perpetua" w:hAnsi="Perpetua"/>
        </w:rPr>
        <w:t xml:space="preserve"> (o Tribunal de Apelo do 9.º Círculo) é demasiado elevado, o que prejudica o seu desempenho, medido por </w:t>
      </w:r>
      <w:r w:rsidR="00F2441C">
        <w:rPr>
          <w:rFonts w:ascii="Perpetua" w:hAnsi="Perpetua"/>
        </w:rPr>
        <w:t>três</w:t>
      </w:r>
      <w:r>
        <w:rPr>
          <w:rFonts w:ascii="Perpetua" w:hAnsi="Perpetua"/>
        </w:rPr>
        <w:t xml:space="preserve"> </w:t>
      </w:r>
      <w:r w:rsidRPr="000206B8">
        <w:rPr>
          <w:rFonts w:ascii="Perpetua" w:hAnsi="Perpetua"/>
        </w:rPr>
        <w:t>variáveis de qualidade judicial</w:t>
      </w:r>
      <w:r>
        <w:rPr>
          <w:rStyle w:val="FootnoteReference"/>
          <w:rFonts w:ascii="Perpetua" w:hAnsi="Perpetua"/>
        </w:rPr>
        <w:footnoteReference w:id="60"/>
      </w:r>
      <w:r w:rsidRPr="000206B8">
        <w:rPr>
          <w:rFonts w:ascii="Perpetua" w:hAnsi="Perpetua"/>
        </w:rPr>
        <w:t xml:space="preserve">. </w:t>
      </w:r>
      <w:r>
        <w:rPr>
          <w:rFonts w:ascii="Perpetua" w:hAnsi="Perpetua"/>
        </w:rPr>
        <w:t>A previsão testada é fundamentada n</w:t>
      </w:r>
      <w:r w:rsidRPr="00986562">
        <w:rPr>
          <w:rFonts w:ascii="Perpetua" w:hAnsi="Perpetua"/>
        </w:rPr>
        <w:t xml:space="preserve">a </w:t>
      </w:r>
      <w:r>
        <w:rPr>
          <w:rFonts w:ascii="Perpetua" w:hAnsi="Perpetua"/>
        </w:rPr>
        <w:t>hipótese d</w:t>
      </w:r>
      <w:r w:rsidR="008B62D5">
        <w:rPr>
          <w:rFonts w:ascii="Perpetua" w:hAnsi="Perpetua"/>
        </w:rPr>
        <w:t>e a</w:t>
      </w:r>
      <w:r>
        <w:rPr>
          <w:rFonts w:ascii="Perpetua" w:hAnsi="Perpetua"/>
        </w:rPr>
        <w:t xml:space="preserve"> </w:t>
      </w:r>
      <w:r w:rsidRPr="00986562">
        <w:rPr>
          <w:rFonts w:ascii="Perpetua" w:hAnsi="Perpetua"/>
        </w:rPr>
        <w:t>maior dimensão</w:t>
      </w:r>
      <w:r>
        <w:rPr>
          <w:rFonts w:ascii="Perpetua" w:hAnsi="Perpetua"/>
        </w:rPr>
        <w:t xml:space="preserve"> do trib</w:t>
      </w:r>
      <w:r w:rsidRPr="00986562">
        <w:rPr>
          <w:rFonts w:ascii="Perpetua" w:hAnsi="Perpetua"/>
        </w:rPr>
        <w:t>u</w:t>
      </w:r>
      <w:r>
        <w:rPr>
          <w:rFonts w:ascii="Perpetua" w:hAnsi="Perpetua"/>
        </w:rPr>
        <w:t>nal face aos restantes tribunais de círculo – que se demonstra estatisticamente significativa – ter um efeito negativo na qualidade judicial, visto que em tribunais maiores os incentivos para os juízes trabalharem mais e melhor</w:t>
      </w:r>
      <w:r w:rsidR="004E5D3A">
        <w:rPr>
          <w:rFonts w:ascii="Perpetua" w:hAnsi="Perpetua"/>
        </w:rPr>
        <w:t xml:space="preserve"> (</w:t>
      </w:r>
      <w:r w:rsidR="004E5D3A" w:rsidRPr="004E5D3A">
        <w:rPr>
          <w:rFonts w:ascii="Perpetua" w:hAnsi="Perpetua"/>
          <w:i/>
        </w:rPr>
        <w:t>i.e.</w:t>
      </w:r>
      <w:r w:rsidR="00941AEA">
        <w:rPr>
          <w:rFonts w:ascii="Perpetua" w:hAnsi="Perpetua"/>
        </w:rPr>
        <w:t xml:space="preserve">, </w:t>
      </w:r>
      <w:r>
        <w:rPr>
          <w:rFonts w:ascii="Perpetua" w:hAnsi="Perpetua"/>
        </w:rPr>
        <w:t>as regras informais</w:t>
      </w:r>
      <w:r w:rsidR="004E5D3A">
        <w:rPr>
          <w:rFonts w:ascii="Perpetua" w:hAnsi="Perpetua"/>
        </w:rPr>
        <w:t xml:space="preserve"> de decoro e restrição judicial)</w:t>
      </w:r>
      <w:r>
        <w:rPr>
          <w:rFonts w:ascii="Perpetua" w:hAnsi="Perpetua"/>
        </w:rPr>
        <w:t xml:space="preserve"> estão menos presentes e que a operacionalização dos incentivos é também mais difícil, uma vez que os desvios são mais dificilmente detectáveis e a probabilidade de punição pelo desvio inferior</w:t>
      </w:r>
      <w:r>
        <w:rPr>
          <w:rStyle w:val="FootnoteReference"/>
          <w:rFonts w:ascii="Perpetua" w:hAnsi="Perpetua"/>
        </w:rPr>
        <w:footnoteReference w:id="61"/>
      </w:r>
      <w:r>
        <w:rPr>
          <w:rFonts w:ascii="Perpetua" w:hAnsi="Perpetua"/>
        </w:rPr>
        <w:t>. Esta hipótese, como refere o autor, é feita no contexto particular dos tribunais federais, em que as nomeações vitalícias (</w:t>
      </w:r>
      <w:r w:rsidRPr="00FE5AE9">
        <w:rPr>
          <w:rFonts w:ascii="Perpetua" w:hAnsi="Perpetua"/>
          <w:i/>
        </w:rPr>
        <w:t>life tenure</w:t>
      </w:r>
      <w:r>
        <w:rPr>
          <w:rFonts w:ascii="Perpetua" w:hAnsi="Perpetua"/>
        </w:rPr>
        <w:t xml:space="preserve">) e a ausência de estruturas de compensação baseadas no desempenho isolam os juízes das estruturas de incentivos que habitualmente funcionam em relações contratuais de trabalho usadas em organizações privadas. O autor conclui que a baixa qualidade das decisões judiciais do tribunal federal analisado </w:t>
      </w:r>
      <w:r w:rsidR="00744CBE">
        <w:rPr>
          <w:rFonts w:ascii="Perpetua" w:hAnsi="Perpetua"/>
        </w:rPr>
        <w:t xml:space="preserve">é </w:t>
      </w:r>
      <w:r>
        <w:rPr>
          <w:rFonts w:ascii="Perpetua" w:hAnsi="Perpetua"/>
        </w:rPr>
        <w:t xml:space="preserve">parcialmente explicada pelo facto </w:t>
      </w:r>
      <w:r w:rsidR="00744CBE">
        <w:rPr>
          <w:rFonts w:ascii="Perpetua" w:hAnsi="Perpetua"/>
        </w:rPr>
        <w:t xml:space="preserve">de este </w:t>
      </w:r>
      <w:r>
        <w:rPr>
          <w:rFonts w:ascii="Perpetua" w:hAnsi="Perpetua"/>
        </w:rPr>
        <w:t xml:space="preserve">ter um número de juízos acima da média, embora o grau de confiança </w:t>
      </w:r>
      <w:r w:rsidR="00744CBE">
        <w:rPr>
          <w:rFonts w:ascii="Perpetua" w:hAnsi="Perpetua"/>
        </w:rPr>
        <w:t xml:space="preserve">estatística </w:t>
      </w:r>
      <w:r>
        <w:rPr>
          <w:rFonts w:ascii="Perpetua" w:hAnsi="Perpetua"/>
        </w:rPr>
        <w:t xml:space="preserve">desta conclusão não chegue a 90%. </w:t>
      </w:r>
    </w:p>
    <w:p w:rsidR="0080386E" w:rsidRPr="00986562"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Mais recentemente, Beenstock </w:t>
      </w:r>
      <w:r w:rsidR="003A79EC">
        <w:rPr>
          <w:rFonts w:ascii="Perpetua" w:hAnsi="Perpetua"/>
        </w:rPr>
        <w:t>e</w:t>
      </w:r>
      <w:r>
        <w:rPr>
          <w:rFonts w:ascii="Perpetua" w:hAnsi="Perpetua"/>
        </w:rPr>
        <w:t xml:space="preserve"> Haitovsky (2004) demonstraram que,</w:t>
      </w:r>
      <w:r w:rsidRPr="002C1575">
        <w:rPr>
          <w:rFonts w:ascii="Perpetua" w:hAnsi="Perpetua"/>
        </w:rPr>
        <w:t xml:space="preserve"> </w:t>
      </w:r>
      <w:r>
        <w:rPr>
          <w:rFonts w:ascii="Perpetua" w:hAnsi="Perpetua"/>
        </w:rPr>
        <w:t>para o conjunto dos tribunais israelitas durante o</w:t>
      </w:r>
      <w:r w:rsidRPr="002C1575">
        <w:rPr>
          <w:rFonts w:ascii="Perpetua" w:hAnsi="Perpetua"/>
        </w:rPr>
        <w:t xml:space="preserve"> período </w:t>
      </w:r>
      <w:r>
        <w:rPr>
          <w:rFonts w:ascii="Perpetua" w:hAnsi="Perpetua"/>
        </w:rPr>
        <w:t xml:space="preserve">de </w:t>
      </w:r>
      <w:smartTag w:uri="urn:schemas-microsoft-com:office:smarttags" w:element="metricconverter">
        <w:smartTagPr>
          <w:attr w:name="ProductID" w:val="1965 a"/>
        </w:smartTagPr>
        <w:r w:rsidRPr="002C1575">
          <w:rPr>
            <w:rFonts w:ascii="Perpetua" w:hAnsi="Perpetua"/>
          </w:rPr>
          <w:t>1965</w:t>
        </w:r>
        <w:r>
          <w:rPr>
            <w:rFonts w:ascii="Perpetua" w:hAnsi="Perpetua"/>
          </w:rPr>
          <w:t xml:space="preserve"> a</w:t>
        </w:r>
      </w:smartTag>
      <w:r>
        <w:rPr>
          <w:rFonts w:ascii="Perpetua" w:hAnsi="Perpetua"/>
        </w:rPr>
        <w:t xml:space="preserve"> </w:t>
      </w:r>
      <w:r w:rsidRPr="002C1575">
        <w:rPr>
          <w:rFonts w:ascii="Perpetua" w:hAnsi="Perpetua"/>
        </w:rPr>
        <w:t>1995</w:t>
      </w:r>
      <w:r>
        <w:rPr>
          <w:rFonts w:ascii="Perpetua" w:hAnsi="Perpetua"/>
        </w:rPr>
        <w:t>, o volume de processos judiciais findos é, aparentemente, independente do n</w:t>
      </w:r>
      <w:r w:rsidR="00744CBE">
        <w:rPr>
          <w:rFonts w:ascii="Perpetua" w:hAnsi="Perpetua"/>
        </w:rPr>
        <w:t xml:space="preserve">úmero </w:t>
      </w:r>
      <w:r>
        <w:rPr>
          <w:rFonts w:ascii="Perpetua" w:hAnsi="Perpetua"/>
        </w:rPr>
        <w:t xml:space="preserve">de juízes </w:t>
      </w:r>
      <w:r w:rsidR="008B62D5">
        <w:rPr>
          <w:rFonts w:ascii="Perpetua" w:hAnsi="Perpetua"/>
        </w:rPr>
        <w:t xml:space="preserve">que estão </w:t>
      </w:r>
      <w:r>
        <w:rPr>
          <w:rFonts w:ascii="Perpetua" w:hAnsi="Perpetua"/>
        </w:rPr>
        <w:t>empreg</w:t>
      </w:r>
      <w:r w:rsidR="008B62D5">
        <w:rPr>
          <w:rFonts w:ascii="Perpetua" w:hAnsi="Perpetua"/>
        </w:rPr>
        <w:t>ados</w:t>
      </w:r>
      <w:r>
        <w:rPr>
          <w:rFonts w:ascii="Perpetua" w:hAnsi="Perpetua"/>
        </w:rPr>
        <w:t xml:space="preserve"> em cada tribunal e que a produtividade judicial, medida pelo </w:t>
      </w:r>
      <w:r w:rsidR="00A2767C">
        <w:rPr>
          <w:rFonts w:ascii="Perpetua" w:hAnsi="Perpetua"/>
        </w:rPr>
        <w:t>número</w:t>
      </w:r>
      <w:r>
        <w:rPr>
          <w:rFonts w:ascii="Perpetua" w:hAnsi="Perpetua"/>
        </w:rPr>
        <w:t xml:space="preserve"> de processos findos por tribunal</w:t>
      </w:r>
      <w:r>
        <w:rPr>
          <w:rStyle w:val="FootnoteReference"/>
          <w:rFonts w:ascii="Perpetua" w:hAnsi="Perpetua"/>
        </w:rPr>
        <w:footnoteReference w:id="62"/>
      </w:r>
      <w:r>
        <w:rPr>
          <w:rFonts w:ascii="Perpetua" w:hAnsi="Perpetua"/>
        </w:rPr>
        <w:t>, é endógena, ou seja, varia em razão da carga judicial do tribunal</w:t>
      </w:r>
      <w:r>
        <w:rPr>
          <w:rStyle w:val="FootnoteReference"/>
          <w:rFonts w:ascii="Perpetua" w:hAnsi="Perpetua"/>
        </w:rPr>
        <w:footnoteReference w:id="63"/>
      </w:r>
      <w:r>
        <w:rPr>
          <w:rFonts w:ascii="Perpetua" w:hAnsi="Perpetua"/>
        </w:rPr>
        <w:t>. A endogeneidade da produtividade judicial aparece assim como um primeiro resultado teórico empiricamente robusto, já antes verificado para uma análise transversal dos noventa tribunais federais de distrito dos E.U.A. durante o período 1968-1974, apresentada em Gillespie (1976)</w:t>
      </w:r>
      <w:r>
        <w:rPr>
          <w:rStyle w:val="FootnoteReference"/>
          <w:rFonts w:ascii="Perpetua" w:hAnsi="Perpetua"/>
        </w:rPr>
        <w:footnoteReference w:id="64"/>
      </w:r>
      <w:r>
        <w:rPr>
          <w:rFonts w:ascii="Perpetua" w:hAnsi="Perpetua"/>
        </w:rPr>
        <w:t xml:space="preserve">. Os autores sublinham </w:t>
      </w:r>
      <w:r w:rsidR="00B46656">
        <w:rPr>
          <w:rFonts w:ascii="Perpetua" w:hAnsi="Perpetua"/>
        </w:rPr>
        <w:t xml:space="preserve">que </w:t>
      </w:r>
      <w:r>
        <w:rPr>
          <w:rFonts w:ascii="Perpetua" w:hAnsi="Perpetua"/>
        </w:rPr>
        <w:t>o facto de a produtividade judicial variar em função da carga processual tem implicações séri</w:t>
      </w:r>
      <w:r w:rsidR="00B46656">
        <w:rPr>
          <w:rFonts w:ascii="Perpetua" w:hAnsi="Perpetua"/>
        </w:rPr>
        <w:t>as para as políticas públicas do sector judicial, desaconselhando o</w:t>
      </w:r>
      <w:r>
        <w:rPr>
          <w:rFonts w:ascii="Perpetua" w:hAnsi="Perpetua"/>
        </w:rPr>
        <w:t xml:space="preserve"> aumento </w:t>
      </w:r>
      <w:r w:rsidR="008B62D5">
        <w:rPr>
          <w:rFonts w:ascii="Perpetua" w:hAnsi="Perpetua"/>
        </w:rPr>
        <w:t>d</w:t>
      </w:r>
      <w:r>
        <w:rPr>
          <w:rFonts w:ascii="Perpetua" w:hAnsi="Perpetua"/>
        </w:rPr>
        <w:t xml:space="preserve">o </w:t>
      </w:r>
      <w:r w:rsidR="00A2767C">
        <w:rPr>
          <w:rFonts w:ascii="Perpetua" w:hAnsi="Perpetua"/>
        </w:rPr>
        <w:t>número</w:t>
      </w:r>
      <w:r>
        <w:rPr>
          <w:rFonts w:ascii="Perpetua" w:hAnsi="Perpetua"/>
        </w:rPr>
        <w:t xml:space="preserve"> de juízes como solução para a redução do crescimento das pendências processuais</w:t>
      </w:r>
      <w:r>
        <w:rPr>
          <w:rStyle w:val="FootnoteReference"/>
          <w:rFonts w:ascii="Perpetua" w:hAnsi="Perpetua"/>
        </w:rPr>
        <w:footnoteReference w:id="65"/>
      </w:r>
      <w:r>
        <w:rPr>
          <w:rFonts w:ascii="Perpetua" w:hAnsi="Perpetua"/>
        </w:rPr>
        <w:t>. À semelhança de Posner (1996), os autores controlaram a variação da qualidade judicial fora do modelo e</w:t>
      </w:r>
      <w:r w:rsidR="00B46656">
        <w:rPr>
          <w:rFonts w:ascii="Perpetua" w:hAnsi="Perpetua"/>
        </w:rPr>
        <w:t>conométrico</w:t>
      </w:r>
      <w:r>
        <w:rPr>
          <w:rFonts w:ascii="Perpetua" w:hAnsi="Perpetua"/>
          <w:i/>
        </w:rPr>
        <w:t xml:space="preserve">, </w:t>
      </w:r>
      <w:r w:rsidRPr="00087D0D">
        <w:rPr>
          <w:rFonts w:ascii="Perpetua" w:hAnsi="Perpetua"/>
        </w:rPr>
        <w:t>observando</w:t>
      </w:r>
      <w:r>
        <w:rPr>
          <w:rFonts w:ascii="Perpetua" w:hAnsi="Perpetua"/>
        </w:rPr>
        <w:t xml:space="preserve"> o comportamento </w:t>
      </w:r>
      <w:r w:rsidRPr="00087D0D">
        <w:rPr>
          <w:rFonts w:ascii="Perpetua" w:hAnsi="Perpetua"/>
        </w:rPr>
        <w:t>longitudinal de</w:t>
      </w:r>
      <w:r>
        <w:rPr>
          <w:rFonts w:ascii="Perpetua" w:hAnsi="Perpetua"/>
        </w:rPr>
        <w:t xml:space="preserve"> duas variáveis de qualidade</w:t>
      </w:r>
      <w:r w:rsidR="00B46656">
        <w:rPr>
          <w:rFonts w:ascii="Perpetua" w:hAnsi="Perpetua"/>
        </w:rPr>
        <w:t>:</w:t>
      </w:r>
      <w:r>
        <w:rPr>
          <w:rFonts w:ascii="Perpetua" w:hAnsi="Perpetua"/>
        </w:rPr>
        <w:t xml:space="preserve"> o rácio </w:t>
      </w:r>
      <w:r w:rsidR="00B46656">
        <w:rPr>
          <w:rFonts w:ascii="Perpetua" w:hAnsi="Perpetua"/>
        </w:rPr>
        <w:t xml:space="preserve">do volume de </w:t>
      </w:r>
      <w:r>
        <w:rPr>
          <w:rFonts w:ascii="Perpetua" w:hAnsi="Perpetua"/>
        </w:rPr>
        <w:t xml:space="preserve">recursos de decisões judiciais pelo volume de processos findos e o rácio </w:t>
      </w:r>
      <w:r w:rsidR="00B46656">
        <w:rPr>
          <w:rFonts w:ascii="Perpetua" w:hAnsi="Perpetua"/>
        </w:rPr>
        <w:t xml:space="preserve">do volume de recursos </w:t>
      </w:r>
      <w:r>
        <w:rPr>
          <w:rFonts w:ascii="Perpetua" w:hAnsi="Perpetua"/>
        </w:rPr>
        <w:t xml:space="preserve">indeferidos pelo volume de recursos. A esperada indicação de uma diminuição da qualidade </w:t>
      </w:r>
      <w:r w:rsidR="00F2441C">
        <w:rPr>
          <w:rFonts w:ascii="Perpetua" w:hAnsi="Perpetua"/>
        </w:rPr>
        <w:t xml:space="preserve">da decisão judicial resultante </w:t>
      </w:r>
      <w:r>
        <w:rPr>
          <w:rFonts w:ascii="Perpetua" w:hAnsi="Perpetua"/>
        </w:rPr>
        <w:t>do aumento da produtividade judicial, mediante o aumento da taxa de recursos e a d</w:t>
      </w:r>
      <w:r w:rsidR="004C4E17">
        <w:rPr>
          <w:rFonts w:ascii="Perpetua" w:hAnsi="Perpetua"/>
        </w:rPr>
        <w:t xml:space="preserve">iminuição da taxa de recursos </w:t>
      </w:r>
      <w:r>
        <w:rPr>
          <w:rFonts w:ascii="Perpetua" w:hAnsi="Perpetua"/>
        </w:rPr>
        <w:t>deferidos, não se verificou. Outra variável de controlo utilizada foi a taxa de processos findos por compromisso ou arbitragem, não se tendo também verificado o aumento esperado desta variável como sinal de uma diminuição da qualidade</w:t>
      </w:r>
      <w:r>
        <w:rPr>
          <w:rStyle w:val="FootnoteReference"/>
          <w:rFonts w:ascii="Perpetua" w:hAnsi="Perpetua"/>
        </w:rPr>
        <w:footnoteReference w:id="66"/>
      </w:r>
      <w:r>
        <w:rPr>
          <w:rFonts w:ascii="Perpetua" w:hAnsi="Perpetua"/>
        </w:rPr>
        <w:t xml:space="preserve">. </w:t>
      </w:r>
    </w:p>
    <w:p w:rsidR="0080386E" w:rsidRDefault="0080386E" w:rsidP="0080386E">
      <w:pPr>
        <w:spacing w:line="360" w:lineRule="auto"/>
        <w:jc w:val="both"/>
        <w:rPr>
          <w:rFonts w:ascii="Perpetua" w:hAnsi="Perpetua"/>
        </w:rPr>
      </w:pPr>
    </w:p>
    <w:p w:rsidR="0080386E" w:rsidRPr="00986562" w:rsidRDefault="0080386E" w:rsidP="0080386E">
      <w:pPr>
        <w:spacing w:line="360" w:lineRule="auto"/>
        <w:jc w:val="both"/>
        <w:rPr>
          <w:rFonts w:ascii="Perpetua" w:hAnsi="Perpetua"/>
        </w:rPr>
      </w:pPr>
      <w:r>
        <w:rPr>
          <w:rFonts w:ascii="Perpetua" w:hAnsi="Perpetua"/>
        </w:rPr>
        <w:t>Apesar das semelhanças quanto às conclusões empíricas, o modelo teórico apresentado pelos autores israelitas é consideravelmente diferente do proposto em Gillespie (</w:t>
      </w:r>
      <w:r w:rsidR="008B62D5">
        <w:rPr>
          <w:rFonts w:ascii="Perpetua" w:hAnsi="Perpetua"/>
        </w:rPr>
        <w:t>1976) e daquele</w:t>
      </w:r>
      <w:r>
        <w:rPr>
          <w:rFonts w:ascii="Perpetua" w:hAnsi="Perpetua"/>
        </w:rPr>
        <w:t xml:space="preserve"> que subjaz às estimações de fronteiras de produção de melhor prática pelos métodos de fronteira. As hipóteses teóricas formuladas são </w:t>
      </w:r>
      <w:r w:rsidRPr="00937F7F">
        <w:rPr>
          <w:rFonts w:ascii="Perpetua" w:hAnsi="Perpetua"/>
        </w:rPr>
        <w:t>fundamenta</w:t>
      </w:r>
      <w:r>
        <w:rPr>
          <w:rFonts w:ascii="Perpetua" w:hAnsi="Perpetua"/>
        </w:rPr>
        <w:t>das</w:t>
      </w:r>
      <w:r w:rsidRPr="00937F7F">
        <w:rPr>
          <w:rFonts w:ascii="Perpetua" w:hAnsi="Perpetua"/>
        </w:rPr>
        <w:t xml:space="preserve"> num modelo microeconómico</w:t>
      </w:r>
      <w:r w:rsidR="00B46656">
        <w:rPr>
          <w:rFonts w:ascii="Perpetua" w:hAnsi="Perpetua"/>
        </w:rPr>
        <w:t xml:space="preserve"> estilizado, </w:t>
      </w:r>
      <w:r w:rsidRPr="00937F7F">
        <w:rPr>
          <w:rFonts w:ascii="Perpetua" w:hAnsi="Perpetua"/>
        </w:rPr>
        <w:t>na linha dos apresentados por Posner (1993) e Cooter (1983). As duas principais hipóteses comportamentais são que os juízes retiram desutilidade do esforço de resolução processual e da dimensão da pendênci</w:t>
      </w:r>
      <w:r>
        <w:rPr>
          <w:rFonts w:ascii="Perpetua" w:hAnsi="Perpetua"/>
        </w:rPr>
        <w:t>a processual, sendo a</w:t>
      </w:r>
      <w:r w:rsidR="00B46656">
        <w:rPr>
          <w:rFonts w:ascii="Perpetua" w:hAnsi="Perpetua"/>
        </w:rPr>
        <w:t xml:space="preserve">s respectivas utilidades marginais </w:t>
      </w:r>
      <w:r w:rsidRPr="00937F7F">
        <w:rPr>
          <w:rFonts w:ascii="Perpetua" w:hAnsi="Perpetua"/>
        </w:rPr>
        <w:t xml:space="preserve">negativas e decrescentes. A função </w:t>
      </w:r>
      <w:r>
        <w:rPr>
          <w:rFonts w:ascii="Perpetua" w:hAnsi="Perpetua"/>
        </w:rPr>
        <w:t xml:space="preserve">individual </w:t>
      </w:r>
      <w:r w:rsidRPr="00937F7F">
        <w:rPr>
          <w:rFonts w:ascii="Perpetua" w:hAnsi="Perpetua"/>
        </w:rPr>
        <w:t>de</w:t>
      </w:r>
      <w:r>
        <w:rPr>
          <w:rFonts w:ascii="Perpetua" w:hAnsi="Perpetua"/>
        </w:rPr>
        <w:t xml:space="preserve"> resolução de</w:t>
      </w:r>
      <w:r w:rsidRPr="00937F7F">
        <w:rPr>
          <w:rFonts w:ascii="Perpetua" w:hAnsi="Perpetua"/>
        </w:rPr>
        <w:t xml:space="preserve"> processos judiciais</w:t>
      </w:r>
      <w:r>
        <w:rPr>
          <w:rFonts w:ascii="Perpetua" w:hAnsi="Perpetua"/>
        </w:rPr>
        <w:t xml:space="preserve"> tem </w:t>
      </w:r>
      <w:r w:rsidRPr="00937F7F">
        <w:rPr>
          <w:rFonts w:ascii="Perpetua" w:hAnsi="Perpetua"/>
        </w:rPr>
        <w:t>como argumento o esforço do juiz e exibe produtividades marginais positivas e decrescentes.</w:t>
      </w:r>
      <w:r>
        <w:rPr>
          <w:rFonts w:ascii="Perpetua" w:hAnsi="Perpetua"/>
        </w:rPr>
        <w:t xml:space="preserve"> A teoria da produtividade endógena do juiz representativo é testada empiricamente c</w:t>
      </w:r>
      <w:r w:rsidRPr="00937F7F">
        <w:rPr>
          <w:rFonts w:ascii="Perpetua" w:hAnsi="Perpetua"/>
        </w:rPr>
        <w:t xml:space="preserve">om base na metodologia do agente representativo, em que se assume que o comportamento do agente representativo é semelhante ao comportamento </w:t>
      </w:r>
      <w:r>
        <w:rPr>
          <w:rFonts w:ascii="Perpetua" w:hAnsi="Perpetua"/>
        </w:rPr>
        <w:t xml:space="preserve">do agente </w:t>
      </w:r>
      <w:r w:rsidRPr="00937F7F">
        <w:rPr>
          <w:rFonts w:ascii="Perpetua" w:hAnsi="Perpetua"/>
        </w:rPr>
        <w:t>médio das variáveis agreg</w:t>
      </w:r>
      <w:r>
        <w:rPr>
          <w:rFonts w:ascii="Perpetua" w:hAnsi="Perpetua"/>
        </w:rPr>
        <w:t xml:space="preserve">adas, </w:t>
      </w:r>
      <w:r w:rsidR="004E5D3A" w:rsidRPr="004E5D3A">
        <w:rPr>
          <w:rFonts w:ascii="Perpetua" w:hAnsi="Perpetua"/>
          <w:i/>
        </w:rPr>
        <w:t>i.e.</w:t>
      </w:r>
      <w:r w:rsidR="00941AEA">
        <w:rPr>
          <w:rFonts w:ascii="Perpetua" w:hAnsi="Perpetua"/>
        </w:rPr>
        <w:t xml:space="preserve">, </w:t>
      </w:r>
      <w:r>
        <w:rPr>
          <w:rFonts w:ascii="Perpetua" w:hAnsi="Perpetua"/>
        </w:rPr>
        <w:t xml:space="preserve">os dados utilizados correspondem às médias por juiz de cada tribunal. </w:t>
      </w:r>
    </w:p>
    <w:p w:rsidR="0080386E" w:rsidRDefault="0080386E" w:rsidP="0080386E">
      <w:pPr>
        <w:spacing w:line="360" w:lineRule="auto"/>
        <w:jc w:val="both"/>
        <w:rPr>
          <w:rFonts w:ascii="Perpetua" w:hAnsi="Perpetua"/>
        </w:rPr>
      </w:pPr>
    </w:p>
    <w:p w:rsidR="00DA3E7B" w:rsidRDefault="00D75032" w:rsidP="0080386E">
      <w:pPr>
        <w:spacing w:line="360" w:lineRule="auto"/>
        <w:jc w:val="both"/>
        <w:rPr>
          <w:rFonts w:ascii="Perpetua" w:hAnsi="Perpetua"/>
        </w:rPr>
      </w:pPr>
      <w:r>
        <w:rPr>
          <w:rFonts w:ascii="Perpetua" w:hAnsi="Perpetua"/>
        </w:rPr>
        <w:t>Em conclusão, a</w:t>
      </w:r>
      <w:r w:rsidR="0080386E">
        <w:rPr>
          <w:rFonts w:ascii="Perpetua" w:hAnsi="Perpetua"/>
        </w:rPr>
        <w:t xml:space="preserve"> revisão da literatura efectuada permite constatar que ainda subsistem problemas empíricos sérios respeitantes à medição da produtividade judicial e da qualidade da decisão judicial e que, portanto, os resultados empíricos obtidos a partir da base informativa existente devem ser considerados como provisórios. Apesar desta limitação empírica, a endogeneidade da produtividade judicial surge como um resultado empiricamente robusto</w:t>
      </w:r>
      <w:r>
        <w:rPr>
          <w:rFonts w:ascii="Perpetua" w:hAnsi="Perpetua"/>
        </w:rPr>
        <w:t xml:space="preserve">. Na verdade, </w:t>
      </w:r>
      <w:r w:rsidR="0080386E">
        <w:rPr>
          <w:rFonts w:ascii="Perpetua" w:hAnsi="Perpetua"/>
        </w:rPr>
        <w:t xml:space="preserve">o que Beenstock </w:t>
      </w:r>
      <w:r w:rsidR="003A79EC">
        <w:rPr>
          <w:rFonts w:ascii="Perpetua" w:hAnsi="Perpetua"/>
        </w:rPr>
        <w:t>e</w:t>
      </w:r>
      <w:r w:rsidR="0080386E">
        <w:rPr>
          <w:rFonts w:ascii="Perpetua" w:hAnsi="Perpetua"/>
        </w:rPr>
        <w:t xml:space="preserve"> Haitovsky (2004), Posner (1996) e Gillespie (1976) verificaram empiricamente tem elevada plausibilidade, sobretudo se </w:t>
      </w:r>
      <w:r>
        <w:rPr>
          <w:rFonts w:ascii="Perpetua" w:hAnsi="Perpetua"/>
        </w:rPr>
        <w:t>for</w:t>
      </w:r>
      <w:r w:rsidR="008B62D5">
        <w:rPr>
          <w:rFonts w:ascii="Perpetua" w:hAnsi="Perpetua"/>
        </w:rPr>
        <w:t>em</w:t>
      </w:r>
      <w:r>
        <w:rPr>
          <w:rFonts w:ascii="Perpetua" w:hAnsi="Perpetua"/>
        </w:rPr>
        <w:t xml:space="preserve"> tido</w:t>
      </w:r>
      <w:r w:rsidR="008B62D5">
        <w:rPr>
          <w:rFonts w:ascii="Perpetua" w:hAnsi="Perpetua"/>
        </w:rPr>
        <w:t>s</w:t>
      </w:r>
      <w:r>
        <w:rPr>
          <w:rFonts w:ascii="Perpetua" w:hAnsi="Perpetua"/>
        </w:rPr>
        <w:t xml:space="preserve"> </w:t>
      </w:r>
      <w:r w:rsidR="0080386E">
        <w:rPr>
          <w:rFonts w:ascii="Perpetua" w:hAnsi="Perpetua"/>
        </w:rPr>
        <w:t>em conta a natureza do serviço em causa (público e intangível) e o quadro de incentivos que estruturam a processo de produção de serviços judiciais de resolução de litígios</w:t>
      </w:r>
      <w:r w:rsidR="00DA3E7B">
        <w:rPr>
          <w:rStyle w:val="FootnoteReference"/>
          <w:rFonts w:ascii="Perpetua" w:hAnsi="Perpetua"/>
        </w:rPr>
        <w:footnoteReference w:id="67"/>
      </w:r>
      <w:r w:rsidR="0080386E">
        <w:rPr>
          <w:rFonts w:ascii="Perpetua" w:hAnsi="Perpetua"/>
        </w:rPr>
        <w:t xml:space="preserve">. </w:t>
      </w:r>
      <w:r w:rsidR="00383A71">
        <w:rPr>
          <w:rFonts w:ascii="Perpetua" w:hAnsi="Perpetua"/>
        </w:rPr>
        <w:t xml:space="preserve">Alguns dos resultados obtidos na literatura da Análise de Eficiência e Produtividade, designadamente Lewin, Morey </w:t>
      </w:r>
      <w:r w:rsidR="003A79EC">
        <w:rPr>
          <w:rFonts w:ascii="Perpetua" w:hAnsi="Perpetua"/>
        </w:rPr>
        <w:t>e</w:t>
      </w:r>
      <w:r w:rsidR="00383A71">
        <w:rPr>
          <w:rFonts w:ascii="Perpetua" w:hAnsi="Perpetua"/>
        </w:rPr>
        <w:t xml:space="preserve"> Cook (1982), mas também Tulkens (1993) e Pedraja-Chaparro </w:t>
      </w:r>
      <w:r w:rsidR="003A79EC">
        <w:rPr>
          <w:rFonts w:ascii="Perpetua" w:hAnsi="Perpetua"/>
        </w:rPr>
        <w:t>e</w:t>
      </w:r>
      <w:r w:rsidR="00383A71">
        <w:rPr>
          <w:rFonts w:ascii="Perpetua" w:hAnsi="Perpetua"/>
        </w:rPr>
        <w:t xml:space="preserve"> Salinas-Jiménez (1996), </w:t>
      </w:r>
      <w:r>
        <w:rPr>
          <w:rFonts w:ascii="Perpetua" w:hAnsi="Perpetua"/>
        </w:rPr>
        <w:t xml:space="preserve">reforçam a plausibilidade da teoria </w:t>
      </w:r>
      <w:r w:rsidR="00383A71">
        <w:rPr>
          <w:rFonts w:ascii="Perpetua" w:hAnsi="Perpetua"/>
        </w:rPr>
        <w:t>da endogeneidade da produtividade judicial. O facto dos níveis médios de eficiência técnica observados serem baixos</w:t>
      </w:r>
      <w:r>
        <w:rPr>
          <w:rFonts w:ascii="Perpetua" w:hAnsi="Perpetua"/>
        </w:rPr>
        <w:t xml:space="preserve">, concomitante com os modelos terem como únicas variáveis de </w:t>
      </w:r>
      <w:r w:rsidRPr="00D75032">
        <w:rPr>
          <w:rFonts w:ascii="Perpetua" w:hAnsi="Perpetua"/>
          <w:i/>
        </w:rPr>
        <w:t>inputs</w:t>
      </w:r>
      <w:r>
        <w:rPr>
          <w:rFonts w:ascii="Perpetua" w:hAnsi="Perpetua"/>
        </w:rPr>
        <w:t xml:space="preserve"> as quantidades de diferentes categorias de recursos humanos,</w:t>
      </w:r>
      <w:r w:rsidR="00383A71">
        <w:rPr>
          <w:rFonts w:ascii="Perpetua" w:hAnsi="Perpetua"/>
        </w:rPr>
        <w:t xml:space="preserve"> sugere que há uma percentagem elevada de tribunais </w:t>
      </w:r>
      <w:r>
        <w:rPr>
          <w:rFonts w:ascii="Perpetua" w:hAnsi="Perpetua"/>
        </w:rPr>
        <w:t xml:space="preserve">com recursos humanos que não estão a operar ao nível da </w:t>
      </w:r>
      <w:r w:rsidR="00383A71">
        <w:rPr>
          <w:rFonts w:ascii="Perpetua" w:hAnsi="Perpetua"/>
        </w:rPr>
        <w:t xml:space="preserve">produtividade máxima. </w:t>
      </w:r>
      <w:r w:rsidR="00DA3E7B">
        <w:rPr>
          <w:rFonts w:ascii="Perpetua" w:hAnsi="Perpetua"/>
        </w:rPr>
        <w:t xml:space="preserve">Por </w:t>
      </w:r>
      <w:r>
        <w:rPr>
          <w:rFonts w:ascii="Perpetua" w:hAnsi="Perpetua"/>
        </w:rPr>
        <w:t xml:space="preserve">último, a maior parte </w:t>
      </w:r>
      <w:r w:rsidR="008932FB">
        <w:rPr>
          <w:rFonts w:ascii="Perpetua" w:hAnsi="Perpetua"/>
        </w:rPr>
        <w:t>dos artigos analisados menciona a fraca base informativa</w:t>
      </w:r>
      <w:r w:rsidR="00DA3E7B">
        <w:rPr>
          <w:rFonts w:ascii="Perpetua" w:hAnsi="Perpetua"/>
        </w:rPr>
        <w:t xml:space="preserve">, nomeadamente a existência de dados estatísticos relativos apenas às quantidades de </w:t>
      </w:r>
      <w:r w:rsidR="00DA3E7B" w:rsidRPr="00DA3E7B">
        <w:rPr>
          <w:rFonts w:ascii="Perpetua" w:hAnsi="Perpetua"/>
          <w:i/>
        </w:rPr>
        <w:t>inputs</w:t>
      </w:r>
      <w:r w:rsidR="00DA3E7B">
        <w:rPr>
          <w:rFonts w:ascii="Perpetua" w:hAnsi="Perpetua"/>
        </w:rPr>
        <w:t xml:space="preserve"> e de </w:t>
      </w:r>
      <w:r w:rsidR="00DA3E7B" w:rsidRPr="00DA3E7B">
        <w:rPr>
          <w:rFonts w:ascii="Perpetua" w:hAnsi="Perpetua"/>
          <w:i/>
        </w:rPr>
        <w:t>outputs</w:t>
      </w:r>
      <w:r>
        <w:rPr>
          <w:rFonts w:ascii="Perpetua" w:hAnsi="Perpetua"/>
        </w:rPr>
        <w:t xml:space="preserve">, como uma das principais restrições das análises efectuadas. </w:t>
      </w:r>
    </w:p>
    <w:p w:rsidR="00D75032" w:rsidRDefault="00D75032" w:rsidP="0080386E">
      <w:pPr>
        <w:spacing w:line="360" w:lineRule="auto"/>
        <w:jc w:val="both"/>
        <w:rPr>
          <w:rFonts w:ascii="Perpetua" w:hAnsi="Perpetua"/>
        </w:rPr>
      </w:pPr>
    </w:p>
    <w:p w:rsidR="0080386E" w:rsidRPr="00474BA4" w:rsidRDefault="003F016B" w:rsidP="003F016B">
      <w:pPr>
        <w:pStyle w:val="Heading2"/>
      </w:pPr>
      <w:bookmarkStart w:id="75" w:name="_Toc206648468"/>
      <w:bookmarkStart w:id="76" w:name="_Toc206652066"/>
      <w:bookmarkStart w:id="77" w:name="_Toc220484467"/>
      <w:r>
        <w:t xml:space="preserve">3.3. </w:t>
      </w:r>
      <w:r w:rsidR="0029523E">
        <w:t>A</w:t>
      </w:r>
      <w:r w:rsidR="0080386E">
        <w:t xml:space="preserve"> modelação econométrica da produção de serviços judiciais</w:t>
      </w:r>
      <w:bookmarkEnd w:id="75"/>
      <w:bookmarkEnd w:id="76"/>
      <w:bookmarkEnd w:id="77"/>
    </w:p>
    <w:p w:rsidR="00825F90" w:rsidRDefault="00825F90" w:rsidP="003F0303">
      <w:pPr>
        <w:jc w:val="both"/>
        <w:rPr>
          <w:rFonts w:ascii="Perpetua" w:hAnsi="Perpetua"/>
        </w:rPr>
      </w:pPr>
    </w:p>
    <w:p w:rsidR="000043AA" w:rsidRDefault="000043AA" w:rsidP="00470EB1"/>
    <w:p w:rsidR="0080386E" w:rsidRDefault="0080386E" w:rsidP="0080386E">
      <w:pPr>
        <w:spacing w:line="360" w:lineRule="auto"/>
        <w:jc w:val="both"/>
        <w:rPr>
          <w:rFonts w:ascii="Perpetua" w:hAnsi="Perpetua"/>
        </w:rPr>
      </w:pPr>
      <w:r>
        <w:rPr>
          <w:rFonts w:ascii="Perpetua" w:hAnsi="Perpetua"/>
        </w:rPr>
        <w:t>A modelação econométrica da produção de serviços judiciais resulta de um modelo económico da produção de serviços judiciais e da sua posterior tradução num mo</w:t>
      </w:r>
      <w:r w:rsidR="00D75032">
        <w:rPr>
          <w:rFonts w:ascii="Perpetua" w:hAnsi="Perpetua"/>
        </w:rPr>
        <w:t xml:space="preserve">delo estatístico. </w:t>
      </w:r>
      <w:r w:rsidR="008932FB">
        <w:rPr>
          <w:rFonts w:ascii="Perpetua" w:hAnsi="Perpetua"/>
        </w:rPr>
        <w:t>N</w:t>
      </w:r>
      <w:r w:rsidR="00D75032">
        <w:rPr>
          <w:rFonts w:ascii="Perpetua" w:hAnsi="Perpetua"/>
        </w:rPr>
        <w:t>esta</w:t>
      </w:r>
      <w:r>
        <w:rPr>
          <w:rFonts w:ascii="Perpetua" w:hAnsi="Perpetua"/>
        </w:rPr>
        <w:t xml:space="preserve"> </w:t>
      </w:r>
      <w:r w:rsidR="00D75032">
        <w:rPr>
          <w:rFonts w:ascii="Perpetua" w:hAnsi="Perpetua"/>
        </w:rPr>
        <w:t>secção</w:t>
      </w:r>
      <w:r w:rsidR="008932FB">
        <w:rPr>
          <w:rFonts w:ascii="Perpetua" w:hAnsi="Perpetua"/>
        </w:rPr>
        <w:t>,</w:t>
      </w:r>
      <w:r w:rsidR="00D75032">
        <w:rPr>
          <w:rFonts w:ascii="Perpetua" w:hAnsi="Perpetua"/>
        </w:rPr>
        <w:t xml:space="preserve"> </w:t>
      </w:r>
      <w:r>
        <w:rPr>
          <w:rFonts w:ascii="Perpetua" w:hAnsi="Perpetua"/>
        </w:rPr>
        <w:t>apresenta</w:t>
      </w:r>
      <w:r w:rsidR="00D75032">
        <w:rPr>
          <w:rFonts w:ascii="Perpetua" w:hAnsi="Perpetua"/>
        </w:rPr>
        <w:t>m-se</w:t>
      </w:r>
      <w:r>
        <w:rPr>
          <w:rFonts w:ascii="Perpetua" w:hAnsi="Perpetua"/>
        </w:rPr>
        <w:t xml:space="preserve"> as principais </w:t>
      </w:r>
      <w:r w:rsidR="00D75032">
        <w:rPr>
          <w:rFonts w:ascii="Perpetua" w:hAnsi="Perpetua"/>
        </w:rPr>
        <w:t xml:space="preserve">questões </w:t>
      </w:r>
      <w:r>
        <w:rPr>
          <w:rFonts w:ascii="Perpetua" w:hAnsi="Perpetua"/>
        </w:rPr>
        <w:t xml:space="preserve">e soluções </w:t>
      </w:r>
      <w:r w:rsidR="00A730A0">
        <w:rPr>
          <w:rFonts w:ascii="Perpetua" w:hAnsi="Perpetua"/>
        </w:rPr>
        <w:t xml:space="preserve">metodológicas </w:t>
      </w:r>
      <w:r>
        <w:rPr>
          <w:rFonts w:ascii="Perpetua" w:hAnsi="Perpetua"/>
        </w:rPr>
        <w:t xml:space="preserve">que podem surgir na modelação econométrica da </w:t>
      </w:r>
      <w:r w:rsidR="00D75032">
        <w:rPr>
          <w:rFonts w:ascii="Perpetua" w:hAnsi="Perpetua"/>
        </w:rPr>
        <w:t>produção de serviços judiciais.</w:t>
      </w:r>
    </w:p>
    <w:p w:rsidR="00DA3E7B" w:rsidRDefault="00DA3E7B" w:rsidP="0080386E">
      <w:pPr>
        <w:spacing w:line="360" w:lineRule="auto"/>
        <w:jc w:val="both"/>
        <w:rPr>
          <w:rFonts w:ascii="Perpetua" w:hAnsi="Perpetua"/>
        </w:rPr>
      </w:pPr>
    </w:p>
    <w:p w:rsidR="0080386E" w:rsidRDefault="004B7547" w:rsidP="00470EB1">
      <w:pPr>
        <w:pStyle w:val="Heading3"/>
      </w:pPr>
      <w:bookmarkStart w:id="78" w:name="_Toc206652067"/>
      <w:bookmarkStart w:id="79" w:name="_Toc220484468"/>
      <w:r>
        <w:t xml:space="preserve">3.3.1. </w:t>
      </w:r>
      <w:r w:rsidR="00D75032">
        <w:t>S</w:t>
      </w:r>
      <w:r w:rsidR="0080386E">
        <w:t>erviços (</w:t>
      </w:r>
      <w:r w:rsidR="0080386E" w:rsidRPr="005E7665">
        <w:rPr>
          <w:i/>
        </w:rPr>
        <w:t>outputs</w:t>
      </w:r>
      <w:r w:rsidR="0080386E">
        <w:t>) e factores produtivos (</w:t>
      </w:r>
      <w:r w:rsidR="0080386E" w:rsidRPr="005E7665">
        <w:rPr>
          <w:i/>
        </w:rPr>
        <w:t>inputs</w:t>
      </w:r>
      <w:r w:rsidR="0080386E">
        <w:t>)</w:t>
      </w:r>
      <w:bookmarkEnd w:id="78"/>
      <w:bookmarkEnd w:id="79"/>
      <w:r w:rsidR="0080386E">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sidRPr="008D335F">
        <w:rPr>
          <w:rFonts w:ascii="Perpetua" w:hAnsi="Perpetua"/>
        </w:rPr>
        <w:t>Na teoria económica da produção as unidades produtivas</w:t>
      </w:r>
      <w:r>
        <w:rPr>
          <w:rStyle w:val="FootnoteReference"/>
          <w:rFonts w:ascii="Perpetua" w:hAnsi="Perpetua"/>
        </w:rPr>
        <w:footnoteReference w:id="68"/>
      </w:r>
      <w:r w:rsidRPr="008D335F">
        <w:rPr>
          <w:rFonts w:ascii="Perpetua" w:hAnsi="Perpetua"/>
        </w:rPr>
        <w:t xml:space="preserve"> são comparáveis se partilham uma mesma </w:t>
      </w:r>
      <w:r>
        <w:rPr>
          <w:rFonts w:ascii="Perpetua" w:hAnsi="Perpetua"/>
        </w:rPr>
        <w:t>tecnologia de produção</w:t>
      </w:r>
      <w:r w:rsidRPr="008D335F">
        <w:rPr>
          <w:rFonts w:ascii="Perpetua" w:hAnsi="Perpetua"/>
        </w:rPr>
        <w:t xml:space="preserve">, </w:t>
      </w:r>
      <w:r w:rsidR="004E5D3A" w:rsidRPr="004E5D3A">
        <w:rPr>
          <w:rFonts w:ascii="Perpetua" w:hAnsi="Perpetua"/>
          <w:i/>
        </w:rPr>
        <w:t>i.e.</w:t>
      </w:r>
      <w:r w:rsidR="00941AEA">
        <w:rPr>
          <w:rFonts w:ascii="Perpetua" w:hAnsi="Perpetua"/>
        </w:rPr>
        <w:t xml:space="preserve">, </w:t>
      </w:r>
      <w:r w:rsidRPr="008D335F">
        <w:rPr>
          <w:rFonts w:ascii="Perpetua" w:hAnsi="Perpetua"/>
        </w:rPr>
        <w:t xml:space="preserve">se </w:t>
      </w:r>
      <w:r>
        <w:rPr>
          <w:rFonts w:ascii="Perpetua" w:hAnsi="Perpetua"/>
        </w:rPr>
        <w:t>transformam factores produtivos em</w:t>
      </w:r>
      <w:r w:rsidRPr="008D335F">
        <w:rPr>
          <w:rFonts w:ascii="Perpetua" w:hAnsi="Perpetua"/>
        </w:rPr>
        <w:t xml:space="preserve"> produtos acabados ou</w:t>
      </w:r>
      <w:r>
        <w:rPr>
          <w:rFonts w:ascii="Perpetua" w:hAnsi="Perpetua"/>
        </w:rPr>
        <w:t xml:space="preserve"> intermédios (bens e serviços), através de uma </w:t>
      </w:r>
      <w:r w:rsidRPr="008D335F">
        <w:rPr>
          <w:rFonts w:ascii="Perpetua" w:hAnsi="Perpetua"/>
        </w:rPr>
        <w:t>mesma tecnologia</w:t>
      </w:r>
      <w:r>
        <w:rPr>
          <w:rFonts w:ascii="Perpetua" w:hAnsi="Perpetua"/>
        </w:rPr>
        <w:t>.</w:t>
      </w:r>
      <w:r w:rsidRPr="008D335F">
        <w:rPr>
          <w:rFonts w:ascii="Perpetua" w:hAnsi="Perpetua"/>
        </w:rPr>
        <w:t xml:space="preserve"> </w:t>
      </w:r>
      <w:r>
        <w:rPr>
          <w:rFonts w:ascii="Perpetua" w:hAnsi="Perpetua"/>
        </w:rPr>
        <w:t xml:space="preserve">Um primeiro aspecto </w:t>
      </w:r>
      <w:r w:rsidR="00A730A0">
        <w:rPr>
          <w:rFonts w:ascii="Perpetua" w:hAnsi="Perpetua"/>
        </w:rPr>
        <w:t xml:space="preserve">metodológico </w:t>
      </w:r>
      <w:r>
        <w:rPr>
          <w:rFonts w:ascii="Perpetua" w:hAnsi="Perpetua"/>
        </w:rPr>
        <w:t>respeita então à definição da unidade produtiva analisada. As unidades produtivas definem-se como entidades com capacidade autónoma para transformar factores produtivos em bens e serviços, e podem ser consideradas em diferentes níveis de agregação. A escolha do nível de agregação depende da disponibilidade informativa, da ade</w:t>
      </w:r>
      <w:r w:rsidR="008932FB">
        <w:rPr>
          <w:rFonts w:ascii="Perpetua" w:hAnsi="Perpetua"/>
        </w:rPr>
        <w:t>são</w:t>
      </w:r>
      <w:r>
        <w:rPr>
          <w:rFonts w:ascii="Perpetua" w:hAnsi="Perpetua"/>
        </w:rPr>
        <w:t xml:space="preserve"> à realidade do processo produtivo e dos objectivos do estudo. No presente trabalho consider</w:t>
      </w:r>
      <w:r w:rsidR="00A730A0">
        <w:rPr>
          <w:rFonts w:ascii="Perpetua" w:hAnsi="Perpetua"/>
        </w:rPr>
        <w:t>a-se</w:t>
      </w:r>
      <w:r>
        <w:rPr>
          <w:rFonts w:ascii="Perpetua" w:hAnsi="Perpetua"/>
        </w:rPr>
        <w:t xml:space="preserve"> uma definição específica de tribunal como unidade produtiva, que </w:t>
      </w:r>
      <w:r w:rsidR="00A730A0">
        <w:rPr>
          <w:rFonts w:ascii="Perpetua" w:hAnsi="Perpetua"/>
        </w:rPr>
        <w:t>será concretizada na secção</w:t>
      </w:r>
      <w:r>
        <w:rPr>
          <w:rFonts w:ascii="Perpetua" w:hAnsi="Perpetua"/>
        </w:rPr>
        <w:t xml:space="preserve"> </w:t>
      </w:r>
      <w:r w:rsidR="004B3830">
        <w:rPr>
          <w:rFonts w:ascii="Perpetua" w:hAnsi="Perpetua"/>
        </w:rPr>
        <w:t>4</w:t>
      </w:r>
      <w:r w:rsidR="00A730A0">
        <w:rPr>
          <w:rFonts w:ascii="Perpetua" w:hAnsi="Perpetua"/>
        </w:rPr>
        <w:t>.3.</w:t>
      </w:r>
      <w:r>
        <w:rPr>
          <w:rFonts w:ascii="Perpetua" w:hAnsi="Perpetua"/>
        </w:rPr>
        <w:t xml:space="preserve">, juntamente com as restantes opções metodológicas.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Um segundo aspecto </w:t>
      </w:r>
      <w:r w:rsidR="00A730A0">
        <w:rPr>
          <w:rFonts w:ascii="Perpetua" w:hAnsi="Perpetua"/>
        </w:rPr>
        <w:t xml:space="preserve">metodológico </w:t>
      </w:r>
      <w:r>
        <w:rPr>
          <w:rFonts w:ascii="Perpetua" w:hAnsi="Perpetua"/>
        </w:rPr>
        <w:t>importante na modelação econométrica da produção de serviços judiciais respeita à classificação económica dos bens e serviços produzidos. Ao longo deste parágrafo segu</w:t>
      </w:r>
      <w:r w:rsidR="00A730A0">
        <w:rPr>
          <w:rFonts w:ascii="Perpetua" w:hAnsi="Perpetua"/>
        </w:rPr>
        <w:t xml:space="preserve">e-se </w:t>
      </w:r>
      <w:r>
        <w:rPr>
          <w:rFonts w:ascii="Perpetua" w:hAnsi="Perpetua"/>
        </w:rPr>
        <w:t xml:space="preserve">a análise efectuada em Landes </w:t>
      </w:r>
      <w:r w:rsidR="003A79EC">
        <w:rPr>
          <w:rFonts w:ascii="Perpetua" w:hAnsi="Perpetua"/>
        </w:rPr>
        <w:t>e</w:t>
      </w:r>
      <w:r>
        <w:rPr>
          <w:rFonts w:ascii="Perpetua" w:hAnsi="Perpetua"/>
        </w:rPr>
        <w:t xml:space="preserve"> Posner (1979:236-242). Em sistemas jurídicos continentais considera-se que o principal, senão o único, serviço produzido pelos tribunais é a resolução judi</w:t>
      </w:r>
      <w:r w:rsidR="00A37CA8">
        <w:rPr>
          <w:rFonts w:ascii="Perpetua" w:hAnsi="Perpetua"/>
        </w:rPr>
        <w:t xml:space="preserve">cial de litígios. Nos sistemas </w:t>
      </w:r>
      <w:r>
        <w:rPr>
          <w:rFonts w:ascii="Perpetua" w:hAnsi="Perpetua"/>
        </w:rPr>
        <w:t xml:space="preserve">anglo-saxónicos, para além da resolução judicial de litígios, os tribunais criam também regras de conduta através de precedentes. No caso do sistema judicial português, de tradição </w:t>
      </w:r>
      <w:r w:rsidR="00A37CA8">
        <w:rPr>
          <w:rFonts w:ascii="Perpetua" w:hAnsi="Perpetua"/>
        </w:rPr>
        <w:t>c</w:t>
      </w:r>
      <w:r>
        <w:rPr>
          <w:rFonts w:ascii="Perpetua" w:hAnsi="Perpetua"/>
        </w:rPr>
        <w:t xml:space="preserve">ontinental, consideraremos apenas a produção de serviços judiciais de resolução de litígios. A resolução de litígios resulta em benefícios individuais para os agentes envolvidos na litigância (os litigantes) e em benefícios agregados, sob a forma de paz social, resultante do cumprimento com </w:t>
      </w:r>
      <w:r w:rsidR="00A730A0">
        <w:rPr>
          <w:rFonts w:ascii="Perpetua" w:hAnsi="Perpetua"/>
        </w:rPr>
        <w:t xml:space="preserve">os </w:t>
      </w:r>
      <w:r>
        <w:rPr>
          <w:rFonts w:ascii="Perpetua" w:hAnsi="Perpetua"/>
        </w:rPr>
        <w:t>comportamento</w:t>
      </w:r>
      <w:r w:rsidR="00A730A0">
        <w:rPr>
          <w:rFonts w:ascii="Perpetua" w:hAnsi="Perpetua"/>
        </w:rPr>
        <w:t>s</w:t>
      </w:r>
      <w:r>
        <w:rPr>
          <w:rFonts w:ascii="Perpetua" w:hAnsi="Perpetua"/>
        </w:rPr>
        <w:t xml:space="preserve"> socialmente desejado</w:t>
      </w:r>
      <w:r w:rsidR="00A730A0">
        <w:rPr>
          <w:rFonts w:ascii="Perpetua" w:hAnsi="Perpetua"/>
        </w:rPr>
        <w:t>s</w:t>
      </w:r>
      <w:r>
        <w:rPr>
          <w:rFonts w:ascii="Perpetua" w:hAnsi="Perpetua"/>
        </w:rPr>
        <w:t xml:space="preserve">. Esta característica, </w:t>
      </w:r>
      <w:r w:rsidR="004E5D3A" w:rsidRPr="004E5D3A">
        <w:rPr>
          <w:rFonts w:ascii="Perpetua" w:hAnsi="Perpetua"/>
          <w:i/>
        </w:rPr>
        <w:t>i.e.</w:t>
      </w:r>
      <w:r w:rsidR="00941AEA">
        <w:rPr>
          <w:rFonts w:ascii="Perpetua" w:hAnsi="Perpetua"/>
        </w:rPr>
        <w:t xml:space="preserve">, </w:t>
      </w:r>
      <w:r>
        <w:rPr>
          <w:rFonts w:ascii="Perpetua" w:hAnsi="Perpetua"/>
        </w:rPr>
        <w:t xml:space="preserve">a produção simultânea de benefícios agregados e individuais, coloca a resolução judicial de litígios na categoria dos bens mistos. A natureza mista da actividade económica dos tribunais está reflectida na forma do seu financiamento, misto, que incorpora transferências do Orçamento de Estado e taxas pagas pelos utilizadores do sistema judicial (as custas processuais).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A modelação econométrica depende em grande medida da disponibilidade de dados estatísticos para proceder à estimação da função</w:t>
      </w:r>
      <w:r w:rsidR="00A730A0">
        <w:rPr>
          <w:rFonts w:ascii="Perpetua" w:hAnsi="Perpetua"/>
        </w:rPr>
        <w:t xml:space="preserve"> ou fronteira </w:t>
      </w:r>
      <w:r>
        <w:rPr>
          <w:rFonts w:ascii="Perpetua" w:hAnsi="Perpetua"/>
        </w:rPr>
        <w:t>de produção empírica. No caso da produção de serviços judiciais de resolução de litígios, existem importantes limitações informativas que obrigam a uma análise mais modesta da oferta em comparação com as análises efectuadas nos sectores da Saúde e Educação – sobretudo no que respeita à necessidade de analisar a produção de bens intermédios no lugar de bens económicos finais</w:t>
      </w:r>
      <w:r>
        <w:rPr>
          <w:rStyle w:val="FootnoteReference"/>
          <w:rFonts w:ascii="Perpetua" w:hAnsi="Perpetua"/>
        </w:rPr>
        <w:footnoteReference w:id="69"/>
      </w:r>
      <w:r>
        <w:rPr>
          <w:rFonts w:ascii="Perpetua" w:hAnsi="Perpetua"/>
        </w:rPr>
        <w:t xml:space="preserve">. Com efeito, não se tratando de um bem transaccionado no mercado, a métrica do valor de troca (o preço de mercado) não pode ser utilizada como variável aproximativa do benefício privado da resolução judicial de litígios. Por outro lado, a medição empírica do </w:t>
      </w:r>
      <w:r w:rsidR="00A730A0">
        <w:rPr>
          <w:rFonts w:ascii="Perpetua" w:hAnsi="Perpetua"/>
        </w:rPr>
        <w:t xml:space="preserve">benefício associado ao </w:t>
      </w:r>
      <w:r w:rsidRPr="007E1AFB">
        <w:rPr>
          <w:rFonts w:ascii="Perpetua" w:hAnsi="Perpetua"/>
          <w:i/>
        </w:rPr>
        <w:t>cumprimento com o comportamento socialmente desejad</w:t>
      </w:r>
      <w:r>
        <w:rPr>
          <w:rFonts w:ascii="Perpetua" w:hAnsi="Perpetua"/>
        </w:rPr>
        <w:t xml:space="preserve">o resultante da resolução de um litígio </w:t>
      </w:r>
      <w:r w:rsidR="00A730A0">
        <w:rPr>
          <w:rFonts w:ascii="Perpetua" w:hAnsi="Perpetua"/>
        </w:rPr>
        <w:t xml:space="preserve">constitui </w:t>
      </w:r>
      <w:r>
        <w:rPr>
          <w:rFonts w:ascii="Perpetua" w:hAnsi="Perpetua"/>
        </w:rPr>
        <w:t>um desafio empírico ao qual não foi ainda dada uma resposta adequada. Dadas estas limitações, a nossa perspectiva da análise da oferta judiciária irá concentrar-se na análise da quantidade de serviços de resolução judicial de litígios produzidos pelas unidades produtivas (os indicadores concretamen</w:t>
      </w:r>
      <w:r w:rsidR="00A730A0">
        <w:rPr>
          <w:rFonts w:ascii="Perpetua" w:hAnsi="Perpetua"/>
        </w:rPr>
        <w:t>te utilizados serão descritos na</w:t>
      </w:r>
      <w:r>
        <w:rPr>
          <w:rFonts w:ascii="Perpetua" w:hAnsi="Perpetua"/>
        </w:rPr>
        <w:t xml:space="preserve"> </w:t>
      </w:r>
      <w:r w:rsidR="00A730A0">
        <w:rPr>
          <w:rFonts w:ascii="Perpetua" w:hAnsi="Perpetua"/>
        </w:rPr>
        <w:t>secção 4.3.</w:t>
      </w:r>
      <w:r>
        <w:rPr>
          <w:rFonts w:ascii="Perpetua" w:hAnsi="Perpetua"/>
        </w:rPr>
        <w:t xml:space="preserve">). </w:t>
      </w:r>
    </w:p>
    <w:p w:rsidR="0080386E" w:rsidRDefault="0080386E" w:rsidP="0080386E">
      <w:pPr>
        <w:spacing w:line="360" w:lineRule="auto"/>
        <w:jc w:val="both"/>
        <w:rPr>
          <w:rFonts w:ascii="Perpetua" w:hAnsi="Perpetua"/>
        </w:rPr>
      </w:pPr>
    </w:p>
    <w:p w:rsidR="004B7547" w:rsidRDefault="0080386E" w:rsidP="004B7547">
      <w:pPr>
        <w:spacing w:line="360" w:lineRule="auto"/>
        <w:jc w:val="both"/>
        <w:rPr>
          <w:rFonts w:ascii="Perpetua" w:hAnsi="Perpetua"/>
        </w:rPr>
      </w:pPr>
      <w:r>
        <w:rPr>
          <w:rFonts w:ascii="Perpetua" w:hAnsi="Perpetua"/>
        </w:rPr>
        <w:t xml:space="preserve">Um terceiro aspecto </w:t>
      </w:r>
      <w:r w:rsidR="00A730A0">
        <w:rPr>
          <w:rFonts w:ascii="Perpetua" w:hAnsi="Perpetua"/>
        </w:rPr>
        <w:t xml:space="preserve">metodológico </w:t>
      </w:r>
      <w:r>
        <w:rPr>
          <w:rFonts w:ascii="Perpetua" w:hAnsi="Perpetua"/>
        </w:rPr>
        <w:t xml:space="preserve">da modelação econométrica da produção de serviços judiciais </w:t>
      </w:r>
      <w:r w:rsidR="008932FB">
        <w:rPr>
          <w:rFonts w:ascii="Perpetua" w:hAnsi="Perpetua"/>
        </w:rPr>
        <w:t>prende-se com a</w:t>
      </w:r>
      <w:r>
        <w:rPr>
          <w:rFonts w:ascii="Perpetua" w:hAnsi="Perpetua"/>
        </w:rPr>
        <w:t xml:space="preserve"> identificação dos factores produtivos utilizados. Em termos teóricos, todos os factores produtivos deveriam ser tidos em conta na análise de oferta judiciária, sendo sempre valorizados ao custo de oportunidade agregado da sua utilização. A resolução judicial de litígios requer o consumo de diversos recursos económicos, como sejam os edifícios onde os tribunais estão instalados, electricidade, equipamentos informáticos, material de escritório</w:t>
      </w:r>
      <w:r w:rsidR="008932FB">
        <w:rPr>
          <w:rFonts w:ascii="Perpetua" w:hAnsi="Perpetua"/>
        </w:rPr>
        <w:t>,</w:t>
      </w:r>
      <w:r>
        <w:rPr>
          <w:rFonts w:ascii="Perpetua" w:hAnsi="Perpetua"/>
        </w:rPr>
        <w:t xml:space="preserve"> etc., sendo</w:t>
      </w:r>
      <w:r w:rsidR="008932FB">
        <w:rPr>
          <w:rFonts w:ascii="Perpetua" w:hAnsi="Perpetua"/>
        </w:rPr>
        <w:t>,</w:t>
      </w:r>
      <w:r>
        <w:rPr>
          <w:rFonts w:ascii="Perpetua" w:hAnsi="Perpetua"/>
        </w:rPr>
        <w:t xml:space="preserve"> contudo</w:t>
      </w:r>
      <w:r w:rsidR="008932FB">
        <w:rPr>
          <w:rFonts w:ascii="Perpetua" w:hAnsi="Perpetua"/>
        </w:rPr>
        <w:t>,</w:t>
      </w:r>
      <w:r>
        <w:rPr>
          <w:rFonts w:ascii="Perpetua" w:hAnsi="Perpetua"/>
        </w:rPr>
        <w:t xml:space="preserve"> os </w:t>
      </w:r>
      <w:r w:rsidR="008932FB">
        <w:rPr>
          <w:rFonts w:ascii="Perpetua" w:hAnsi="Perpetua"/>
        </w:rPr>
        <w:t xml:space="preserve">recursos humanos os </w:t>
      </w:r>
      <w:r>
        <w:rPr>
          <w:rFonts w:ascii="Perpetua" w:hAnsi="Perpetua"/>
        </w:rPr>
        <w:t>mais importantes (magistrados judiciais, magistrados do Ministério Público e funcionários judiciais)</w:t>
      </w:r>
      <w:r>
        <w:rPr>
          <w:rStyle w:val="FootnoteReference"/>
          <w:rFonts w:ascii="Perpetua" w:hAnsi="Perpetua"/>
        </w:rPr>
        <w:footnoteReference w:id="70"/>
      </w:r>
      <w:r>
        <w:rPr>
          <w:rFonts w:ascii="Perpetua" w:hAnsi="Perpetua"/>
        </w:rPr>
        <w:t>. Às limitações existentes na medição empírica dos benefícios da produção de serviços judiciais, acrescentam-se as limitações com a medição dos custos de oportunidade dos factores produtivos utilizados na produção desses serviços. A informação estatística disponível nas Estatísticas da Justiça respeita apenas às quantidades de recursos humanos, não existindo informação disponível sobre a sua qualidade (nível de educação, experiência</w:t>
      </w:r>
      <w:r w:rsidR="008932FB">
        <w:rPr>
          <w:rFonts w:ascii="Perpetua" w:hAnsi="Perpetua"/>
        </w:rPr>
        <w:t>,</w:t>
      </w:r>
      <w:r>
        <w:rPr>
          <w:rFonts w:ascii="Perpetua" w:hAnsi="Perpetua"/>
        </w:rPr>
        <w:t xml:space="preserve"> etc.) nem o seu custo relativo (salários).</w:t>
      </w:r>
    </w:p>
    <w:p w:rsidR="004B7547" w:rsidRDefault="004B7547" w:rsidP="004B7547">
      <w:pPr>
        <w:spacing w:line="360" w:lineRule="auto"/>
        <w:jc w:val="both"/>
        <w:rPr>
          <w:rFonts w:ascii="Perpetua" w:hAnsi="Perpetua"/>
        </w:rPr>
      </w:pPr>
    </w:p>
    <w:p w:rsidR="0080386E" w:rsidRPr="004B7547" w:rsidRDefault="004B7547" w:rsidP="00470EB1">
      <w:pPr>
        <w:pStyle w:val="Heading3"/>
      </w:pPr>
      <w:bookmarkStart w:id="80" w:name="_Toc206652068"/>
      <w:bookmarkStart w:id="81" w:name="_Toc220484469"/>
      <w:r>
        <w:t xml:space="preserve">3.3.2. </w:t>
      </w:r>
      <w:r w:rsidR="0080386E" w:rsidRPr="004B7547">
        <w:t>A heterogeneidade das intensidades de trabalho dos serviços judiciais</w:t>
      </w:r>
      <w:bookmarkEnd w:id="80"/>
      <w:bookmarkEnd w:id="81"/>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No contexto acima descrito de elevadas limitações informativas, estratégias empíricas alternativas que permitam colmatar o défice informativo na modelação </w:t>
      </w:r>
      <w:r w:rsidR="00614B4C">
        <w:rPr>
          <w:rFonts w:ascii="Perpetua" w:hAnsi="Perpetua"/>
        </w:rPr>
        <w:t xml:space="preserve">da </w:t>
      </w:r>
      <w:r>
        <w:rPr>
          <w:rFonts w:ascii="Perpetua" w:hAnsi="Perpetua"/>
        </w:rPr>
        <w:t>produção de serviços judiciais são, naturalmente, bem-vindas. Uma dessas estratégias passa pela ponderação dos serviços judiciais produzidos com base na sua intensidade relativa de trabalho (dos trabalhadores judiciais, entenda-se)</w:t>
      </w:r>
      <w:r>
        <w:rPr>
          <w:rStyle w:val="FootnoteReference"/>
          <w:rFonts w:ascii="Perpetua" w:hAnsi="Perpetua"/>
        </w:rPr>
        <w:footnoteReference w:id="71"/>
      </w:r>
      <w:r>
        <w:rPr>
          <w:rFonts w:ascii="Perpetua" w:hAnsi="Perpetua"/>
        </w:rPr>
        <w:t>. Sublinhe-se que, para os efeitos deste trabalho, o interesse num vector de ponderadores das intensidades relativas dos serviços está limitado à melhoria da modelação econométrica da produção de serviços judiciais</w:t>
      </w:r>
      <w:r w:rsidR="00A730A0">
        <w:rPr>
          <w:rFonts w:ascii="Perpetua" w:hAnsi="Perpetua"/>
        </w:rPr>
        <w:t xml:space="preserve"> e, portanto, não abrange a potencial utilização desse vector na gestão do trabalho nos tribunais</w:t>
      </w:r>
      <w:r>
        <w:rPr>
          <w:rFonts w:ascii="Perpetua" w:hAnsi="Perpetua"/>
        </w:rPr>
        <w:t>. A despeito d</w:t>
      </w:r>
      <w:r w:rsidR="00A730A0">
        <w:rPr>
          <w:rFonts w:ascii="Perpetua" w:hAnsi="Perpetua"/>
        </w:rPr>
        <w:t xml:space="preserve">a circunscrição </w:t>
      </w:r>
      <w:r>
        <w:rPr>
          <w:rFonts w:ascii="Perpetua" w:hAnsi="Perpetua"/>
        </w:rPr>
        <w:t xml:space="preserve">do </w:t>
      </w:r>
      <w:r w:rsidR="00A730A0">
        <w:rPr>
          <w:rFonts w:ascii="Perpetua" w:hAnsi="Perpetua"/>
        </w:rPr>
        <w:t>interesse dess</w:t>
      </w:r>
      <w:r>
        <w:rPr>
          <w:rFonts w:ascii="Perpetua" w:hAnsi="Perpetua"/>
        </w:rPr>
        <w:t>a questão</w:t>
      </w:r>
      <w:r w:rsidR="00A730A0">
        <w:rPr>
          <w:rFonts w:ascii="Perpetua" w:hAnsi="Perpetua"/>
        </w:rPr>
        <w:t xml:space="preserve"> para este trabalho</w:t>
      </w:r>
      <w:r>
        <w:rPr>
          <w:rFonts w:ascii="Perpetua" w:hAnsi="Perpetua"/>
        </w:rPr>
        <w:t xml:space="preserve">, uma enunciação clara do problema </w:t>
      </w:r>
      <w:r w:rsidR="00A730A0">
        <w:rPr>
          <w:rFonts w:ascii="Perpetua" w:hAnsi="Perpetua"/>
        </w:rPr>
        <w:t xml:space="preserve">é requerida, </w:t>
      </w:r>
      <w:r>
        <w:rPr>
          <w:rFonts w:ascii="Perpetua" w:hAnsi="Perpetua"/>
        </w:rPr>
        <w:t xml:space="preserve">não apenas para a investigação futura desta questão, mas também para enquadrar a escolha metodológica </w:t>
      </w:r>
      <w:r w:rsidR="00BE1F22">
        <w:rPr>
          <w:rFonts w:ascii="Perpetua" w:hAnsi="Perpetua"/>
        </w:rPr>
        <w:t>d</w:t>
      </w:r>
      <w:r w:rsidR="00A730A0">
        <w:rPr>
          <w:rFonts w:ascii="Perpetua" w:hAnsi="Perpetua"/>
        </w:rPr>
        <w:t xml:space="preserve">este trabalho </w:t>
      </w:r>
      <w:r>
        <w:rPr>
          <w:rFonts w:ascii="Perpetua" w:hAnsi="Perpetua"/>
        </w:rPr>
        <w:t>nes</w:t>
      </w:r>
      <w:r w:rsidR="00BE1F22">
        <w:rPr>
          <w:rFonts w:ascii="Perpetua" w:hAnsi="Perpetua"/>
        </w:rPr>
        <w:t>s</w:t>
      </w:r>
      <w:r>
        <w:rPr>
          <w:rFonts w:ascii="Perpetua" w:hAnsi="Perpetua"/>
        </w:rPr>
        <w:t xml:space="preserve">e particular, que </w:t>
      </w:r>
      <w:r w:rsidR="00BE1F22">
        <w:rPr>
          <w:rFonts w:ascii="Perpetua" w:hAnsi="Perpetua"/>
        </w:rPr>
        <w:t>será descrita na</w:t>
      </w:r>
      <w:r w:rsidR="00614B4C">
        <w:rPr>
          <w:rFonts w:ascii="Perpetua" w:hAnsi="Perpetua"/>
        </w:rPr>
        <w:t xml:space="preserve"> secção 4.3.</w:t>
      </w:r>
      <w:r>
        <w:rPr>
          <w:rFonts w:ascii="Perpetua" w:hAnsi="Perpetua"/>
        </w:rPr>
        <w:t xml:space="preserve"> Desde logo importa realçar que a definição de ponderadores de intensidades relativas de trabalho compreende quer uma dimensão positiva – o tempo médio efectivamente despendido pelos trabalhadores dos tribunais com a resolução de uma determinada categoria de serviço judicial – quer uma dimensão normativa – o tempo médio que os trabalhadores dos tribunais </w:t>
      </w:r>
      <w:r w:rsidRPr="00BE1F22">
        <w:rPr>
          <w:rFonts w:ascii="Perpetua" w:hAnsi="Perpetua"/>
          <w:i/>
        </w:rPr>
        <w:t>devem</w:t>
      </w:r>
      <w:r>
        <w:rPr>
          <w:rFonts w:ascii="Perpetua" w:hAnsi="Perpetua"/>
        </w:rPr>
        <w:t xml:space="preserve"> despender com uma determinada categoria de serviço judicial, tendo em conta a qualidade da decisão judicial e a celeridade da resolução processual socialmente desejadas. No entanto, em lin</w:t>
      </w:r>
      <w:r w:rsidR="00BE1F22">
        <w:rPr>
          <w:rFonts w:ascii="Perpetua" w:hAnsi="Perpetua"/>
        </w:rPr>
        <w:t>ha com a abordagem tradicional d</w:t>
      </w:r>
      <w:r>
        <w:rPr>
          <w:rFonts w:ascii="Perpetua" w:hAnsi="Perpetua"/>
        </w:rPr>
        <w:t>o trabalho de investigação feito</w:t>
      </w:r>
      <w:r w:rsidRPr="00E87F5D">
        <w:rPr>
          <w:rFonts w:ascii="Perpetua" w:hAnsi="Perpetua"/>
        </w:rPr>
        <w:t xml:space="preserve"> </w:t>
      </w:r>
      <w:r>
        <w:rPr>
          <w:rFonts w:ascii="Perpetua" w:hAnsi="Perpetua"/>
        </w:rPr>
        <w:t xml:space="preserve">até ao momento sobre esta questão, </w:t>
      </w:r>
      <w:r w:rsidR="00BE1F22">
        <w:rPr>
          <w:rFonts w:ascii="Perpetua" w:hAnsi="Perpetua"/>
        </w:rPr>
        <w:t>a perspectiva adoptada neste trabalho irá</w:t>
      </w:r>
      <w:r>
        <w:rPr>
          <w:rFonts w:ascii="Perpetua" w:hAnsi="Perpetua"/>
        </w:rPr>
        <w:t xml:space="preserve"> concentrar-</w:t>
      </w:r>
      <w:r w:rsidR="00BE1F22">
        <w:rPr>
          <w:rFonts w:ascii="Perpetua" w:hAnsi="Perpetua"/>
        </w:rPr>
        <w:t>se</w:t>
      </w:r>
      <w:r>
        <w:rPr>
          <w:rFonts w:ascii="Perpetua" w:hAnsi="Perpetua"/>
        </w:rPr>
        <w:t xml:space="preserve"> na dimensão positiva desses ponderadores. </w:t>
      </w:r>
    </w:p>
    <w:p w:rsidR="0080386E" w:rsidRDefault="0080386E" w:rsidP="0080386E">
      <w:pPr>
        <w:spacing w:line="360" w:lineRule="auto"/>
        <w:jc w:val="both"/>
        <w:rPr>
          <w:rFonts w:ascii="Perpetua" w:hAnsi="Perpetua"/>
        </w:rPr>
      </w:pPr>
    </w:p>
    <w:p w:rsidR="0080386E" w:rsidRDefault="00614B4C" w:rsidP="0080386E">
      <w:pPr>
        <w:spacing w:line="360" w:lineRule="auto"/>
        <w:jc w:val="both"/>
        <w:rPr>
          <w:rFonts w:ascii="Perpetua" w:hAnsi="Perpetua"/>
        </w:rPr>
      </w:pPr>
      <w:r>
        <w:rPr>
          <w:rFonts w:ascii="Perpetua" w:hAnsi="Perpetua"/>
        </w:rPr>
        <w:t xml:space="preserve">Uma vez identificada a presença de </w:t>
      </w:r>
      <w:r w:rsidR="0080386E">
        <w:rPr>
          <w:rFonts w:ascii="Perpetua" w:hAnsi="Perpetua"/>
        </w:rPr>
        <w:t>algum</w:t>
      </w:r>
      <w:r>
        <w:rPr>
          <w:rFonts w:ascii="Perpetua" w:hAnsi="Perpetua"/>
        </w:rPr>
        <w:t xml:space="preserve"> grau de </w:t>
      </w:r>
      <w:r w:rsidR="0080386E">
        <w:rPr>
          <w:rFonts w:ascii="Perpetua" w:hAnsi="Perpetua"/>
        </w:rPr>
        <w:t>heterogeneidade na</w:t>
      </w:r>
      <w:r>
        <w:rPr>
          <w:rFonts w:ascii="Perpetua" w:hAnsi="Perpetua"/>
        </w:rPr>
        <w:t>s</w:t>
      </w:r>
      <w:r w:rsidR="0080386E">
        <w:rPr>
          <w:rFonts w:ascii="Perpetua" w:hAnsi="Perpetua"/>
        </w:rPr>
        <w:t xml:space="preserve"> intensidade</w:t>
      </w:r>
      <w:r>
        <w:rPr>
          <w:rFonts w:ascii="Perpetua" w:hAnsi="Perpetua"/>
        </w:rPr>
        <w:t>s</w:t>
      </w:r>
      <w:r w:rsidR="0080386E">
        <w:rPr>
          <w:rFonts w:ascii="Perpetua" w:hAnsi="Perpetua"/>
        </w:rPr>
        <w:t xml:space="preserve"> de trabalho dos serviços judiciais de resolução de litígios, a construção de indicadores numa situação de informação completa deveria tomar em consideração todas as características diferenciadoras dos serviços judiciais, de modo a que o critério de agregação de serviços judiciais escolhido fosse aquele que oferecesse maior diferenciação/discriminação das intensidades relativas de trabalho judicial. No entanto, tratando-se de uma questão essencialmente prática, a </w:t>
      </w:r>
      <w:r w:rsidR="00BE1F22">
        <w:rPr>
          <w:rFonts w:ascii="Perpetua" w:hAnsi="Perpetua"/>
        </w:rPr>
        <w:t xml:space="preserve">escolha </w:t>
      </w:r>
      <w:r w:rsidR="0080386E">
        <w:rPr>
          <w:rFonts w:ascii="Perpetua" w:hAnsi="Perpetua"/>
        </w:rPr>
        <w:t xml:space="preserve">do critério de agregação de processos </w:t>
      </w:r>
      <w:r w:rsidR="00BE1F22">
        <w:rPr>
          <w:rFonts w:ascii="Perpetua" w:hAnsi="Perpetua"/>
        </w:rPr>
        <w:t xml:space="preserve">findos </w:t>
      </w:r>
      <w:r w:rsidR="0080386E">
        <w:rPr>
          <w:rFonts w:ascii="Perpetua" w:hAnsi="Perpetua"/>
        </w:rPr>
        <w:t>deve ser o</w:t>
      </w:r>
      <w:r w:rsidR="00BE1F22">
        <w:rPr>
          <w:rFonts w:ascii="Perpetua" w:hAnsi="Perpetua"/>
        </w:rPr>
        <w:t>rientada por juízos da razão pragmática</w:t>
      </w:r>
      <w:r w:rsidR="0080386E">
        <w:rPr>
          <w:rFonts w:ascii="Perpetua" w:hAnsi="Perpetua"/>
        </w:rPr>
        <w:t>, ou seja, devem considerar-se os critérios de agregação exis</w:t>
      </w:r>
      <w:r w:rsidR="008D0624">
        <w:rPr>
          <w:rFonts w:ascii="Perpetua" w:hAnsi="Perpetua"/>
        </w:rPr>
        <w:t>tentes no sistema estatístico do sector judicial português</w:t>
      </w:r>
      <w:r w:rsidR="0080386E">
        <w:rPr>
          <w:rFonts w:ascii="Perpetua" w:hAnsi="Perpetua"/>
        </w:rPr>
        <w:t xml:space="preserve">, </w:t>
      </w:r>
      <w:r w:rsidR="004E5D3A" w:rsidRPr="004E5D3A">
        <w:rPr>
          <w:rFonts w:ascii="Perpetua" w:hAnsi="Perpetua"/>
          <w:i/>
        </w:rPr>
        <w:t>i.e.</w:t>
      </w:r>
      <w:r w:rsidR="00941AEA">
        <w:rPr>
          <w:rFonts w:ascii="Perpetua" w:hAnsi="Perpetua"/>
        </w:rPr>
        <w:t xml:space="preserve">, </w:t>
      </w:r>
      <w:r w:rsidR="0080386E">
        <w:rPr>
          <w:rFonts w:ascii="Perpetua" w:hAnsi="Perpetua"/>
        </w:rPr>
        <w:t>nas Estatísticas da Justiça</w:t>
      </w:r>
      <w:r w:rsidR="008D0624">
        <w:rPr>
          <w:rStyle w:val="FootnoteReference"/>
          <w:rFonts w:ascii="Perpetua" w:hAnsi="Perpetua"/>
        </w:rPr>
        <w:footnoteReference w:id="72"/>
      </w:r>
      <w:r w:rsidR="0080386E">
        <w:rPr>
          <w:rFonts w:ascii="Perpetua" w:hAnsi="Perpetua"/>
        </w:rPr>
        <w:t>. Face a um vector finito de critérios de agregação de processos</w:t>
      </w:r>
      <w:r w:rsidR="008D0624">
        <w:rPr>
          <w:rFonts w:ascii="Perpetua" w:hAnsi="Perpetua"/>
        </w:rPr>
        <w:t xml:space="preserve"> findos</w:t>
      </w:r>
      <w:r w:rsidR="0080386E">
        <w:rPr>
          <w:rFonts w:ascii="Perpetua" w:hAnsi="Perpetua"/>
        </w:rPr>
        <w:t xml:space="preserve">, </w:t>
      </w:r>
      <w:r w:rsidRPr="00EE28E5">
        <w:rPr>
          <w:rFonts w:ascii="Perpetua" w:hAnsi="Perpetua"/>
          <w:position w:val="-12"/>
        </w:rPr>
        <w:object w:dxaOrig="1560" w:dyaOrig="400">
          <v:shape id="_x0000_i1034" type="#_x0000_t75" style="width:78pt;height:21pt" o:ole="">
            <v:imagedata r:id="rId33" o:title=""/>
          </v:shape>
          <o:OLEObject Type="Embed" ProgID="Equation.3" ShapeID="_x0000_i1034" DrawAspect="Content" ObjectID="_1294230251" r:id="rId34"/>
        </w:object>
      </w:r>
      <w:r w:rsidR="0080386E">
        <w:t>,</w:t>
      </w:r>
      <w:r w:rsidR="0080386E">
        <w:rPr>
          <w:rFonts w:ascii="Perpetua" w:hAnsi="Perpetua"/>
        </w:rPr>
        <w:t xml:space="preserve"> a variável de escolha do critério de agregação é o grau de diferenciação produzido nas intensidades relativas de trabalho dos serviços judiciais, </w:t>
      </w:r>
      <w:r w:rsidR="0080386E" w:rsidRPr="0045043B">
        <w:rPr>
          <w:rFonts w:ascii="Perpetua" w:hAnsi="Perpetua"/>
          <w:position w:val="-12"/>
        </w:rPr>
        <w:object w:dxaOrig="260" w:dyaOrig="360">
          <v:shape id="_x0000_i1035" type="#_x0000_t75" style="width:13pt;height:18pt" o:ole="">
            <v:imagedata r:id="rId35" o:title=""/>
          </v:shape>
          <o:OLEObject Type="Embed" ProgID="Equation.3" ShapeID="_x0000_i1035" DrawAspect="Content" ObjectID="_1294230252" r:id="rId36"/>
        </w:object>
      </w:r>
      <w:r w:rsidR="0080386E">
        <w:rPr>
          <w:rFonts w:ascii="Perpetua" w:hAnsi="Perpetua"/>
        </w:rPr>
        <w:t xml:space="preserve">, estando essa diferenciação dependente, em primeiro lugar, do número de categorias de cada critério de agregação, </w:t>
      </w:r>
      <w:r w:rsidR="0080386E" w:rsidRPr="0045043B">
        <w:rPr>
          <w:rFonts w:ascii="Perpetua" w:hAnsi="Perpetua"/>
          <w:position w:val="-12"/>
        </w:rPr>
        <w:object w:dxaOrig="279" w:dyaOrig="360">
          <v:shape id="_x0000_i1036" type="#_x0000_t75" style="width:15pt;height:18pt" o:ole="">
            <v:imagedata r:id="rId37" o:title=""/>
          </v:shape>
          <o:OLEObject Type="Embed" ProgID="Equation.3" ShapeID="_x0000_i1036" DrawAspect="Content" ObjectID="_1294230253" r:id="rId38"/>
        </w:object>
      </w:r>
      <w:r w:rsidR="0080386E">
        <w:rPr>
          <w:rFonts w:ascii="Perpetua" w:hAnsi="Perpetua"/>
        </w:rPr>
        <w:t>, e, em segundo lugar, da dispersão dos valores da variável seleccionada para medir a intensidade de trabalho de cada categoria (</w:t>
      </w:r>
      <w:r w:rsidR="008D0624" w:rsidRPr="008D0624">
        <w:rPr>
          <w:rFonts w:ascii="Perpetua" w:hAnsi="Perpetua"/>
          <w:i/>
        </w:rPr>
        <w:t>e.g.</w:t>
      </w:r>
      <w:r w:rsidR="00A751DF">
        <w:rPr>
          <w:rFonts w:ascii="Perpetua" w:hAnsi="Perpetua"/>
        </w:rPr>
        <w:t xml:space="preserve">, </w:t>
      </w:r>
      <w:r w:rsidR="0080386E">
        <w:rPr>
          <w:rFonts w:ascii="Perpetua" w:hAnsi="Perpetua"/>
        </w:rPr>
        <w:t>o tempo necessário em minutos, a escala ordinal de complexidade dos processos obtida através de um inquérito junto dos trabalhadores judiciais</w:t>
      </w:r>
      <w:r w:rsidR="008932FB">
        <w:rPr>
          <w:rFonts w:ascii="Perpetua" w:hAnsi="Perpetua"/>
        </w:rPr>
        <w:t>,</w:t>
      </w:r>
      <w:r w:rsidR="0080386E">
        <w:rPr>
          <w:rFonts w:ascii="Perpetua" w:hAnsi="Perpetua"/>
        </w:rPr>
        <w:t xml:space="preserve"> etc.), </w:t>
      </w:r>
      <w:r w:rsidR="0080386E" w:rsidRPr="0045043B">
        <w:rPr>
          <w:rFonts w:ascii="Perpetua" w:hAnsi="Perpetua"/>
          <w:position w:val="-12"/>
        </w:rPr>
        <w:object w:dxaOrig="279" w:dyaOrig="360">
          <v:shape id="_x0000_i1037" type="#_x0000_t75" style="width:15pt;height:18pt" o:ole="">
            <v:imagedata r:id="rId39" o:title=""/>
          </v:shape>
          <o:OLEObject Type="Embed" ProgID="Equation.3" ShapeID="_x0000_i1037" DrawAspect="Content" ObjectID="_1294230254" r:id="rId40"/>
        </w:object>
      </w:r>
      <w:r w:rsidR="0080386E">
        <w:rPr>
          <w:rFonts w:ascii="Perpetua" w:hAnsi="Perpetua"/>
        </w:rPr>
        <w:t xml:space="preserve">. Porém, o grau de diferenciação produzido por cada critério de agregação deve ter em conta a distribuição de frequências das categorias de processo do respectivo critério </w:t>
      </w:r>
      <w:r w:rsidR="0080386E" w:rsidRPr="00EE57C7">
        <w:rPr>
          <w:rFonts w:ascii="Perpetua" w:hAnsi="Perpetua"/>
          <w:position w:val="-12"/>
        </w:rPr>
        <w:object w:dxaOrig="680" w:dyaOrig="360">
          <v:shape id="_x0000_i1038" type="#_x0000_t75" style="width:35pt;height:18pt" o:ole="">
            <v:imagedata r:id="rId41" o:title=""/>
          </v:shape>
          <o:OLEObject Type="Embed" ProgID="Equation.3" ShapeID="_x0000_i1038" DrawAspect="Content" ObjectID="_1294230255" r:id="rId42"/>
        </w:object>
      </w:r>
      <w:r w:rsidR="0080386E">
        <w:rPr>
          <w:rFonts w:ascii="Perpetua" w:hAnsi="Perpetua"/>
        </w:rPr>
        <w:t xml:space="preserve"> – em concreto, uma distribuição uniforme das frequências relativas das categorias de um critério de agregação promove maior diferenciação das intensidades de trabalho das categorias do processo. Por fim, a </w:t>
      </w:r>
      <w:r w:rsidR="008D0624">
        <w:rPr>
          <w:rFonts w:ascii="Perpetua" w:hAnsi="Perpetua"/>
        </w:rPr>
        <w:t xml:space="preserve">escolha do critério de agregação </w:t>
      </w:r>
      <w:r w:rsidR="0080386E">
        <w:rPr>
          <w:rFonts w:ascii="Perpetua" w:hAnsi="Perpetua"/>
        </w:rPr>
        <w:t xml:space="preserve">implica a </w:t>
      </w:r>
      <w:r w:rsidR="008D0624">
        <w:rPr>
          <w:rFonts w:ascii="Perpetua" w:hAnsi="Perpetua"/>
        </w:rPr>
        <w:t xml:space="preserve">selecção de </w:t>
      </w:r>
      <w:r w:rsidR="0080386E">
        <w:rPr>
          <w:rFonts w:ascii="Perpetua" w:hAnsi="Perpetua"/>
        </w:rPr>
        <w:t>uma forma funcional que sintetize a informação sobre as três dimensões do critério de agregação dos serviços judiciais.</w:t>
      </w:r>
      <w:r w:rsidR="008D0624">
        <w:rPr>
          <w:rFonts w:ascii="Perpetua" w:hAnsi="Perpetua"/>
        </w:rPr>
        <w:t xml:space="preserve"> Formalmente, a escolha do critério de agregação de processos pode ser definido pelo problema de maximização apresentado abaixo. </w:t>
      </w:r>
    </w:p>
    <w:p w:rsidR="00E3037C" w:rsidRDefault="00E3037C" w:rsidP="0080386E">
      <w:pPr>
        <w:spacing w:line="360" w:lineRule="auto"/>
        <w:jc w:val="both"/>
        <w:rPr>
          <w:rFonts w:ascii="Perpetua" w:hAnsi="Perpetua"/>
        </w:rPr>
      </w:pPr>
    </w:p>
    <w:p w:rsidR="0080386E" w:rsidRDefault="0080386E" w:rsidP="0080386E">
      <w:pPr>
        <w:spacing w:line="360" w:lineRule="auto"/>
        <w:ind w:left="1416"/>
        <w:jc w:val="both"/>
        <w:rPr>
          <w:rFonts w:ascii="Perpetua" w:hAnsi="Perpetua"/>
        </w:rPr>
      </w:pPr>
      <w:r>
        <w:rPr>
          <w:rFonts w:ascii="Perpetua" w:hAnsi="Perpetua"/>
        </w:rPr>
        <w:t xml:space="preserve">Max </w:t>
      </w:r>
      <w:r w:rsidRPr="0045043B">
        <w:rPr>
          <w:rFonts w:ascii="Perpetua" w:hAnsi="Perpetua"/>
          <w:position w:val="-12"/>
        </w:rPr>
        <w:object w:dxaOrig="2079" w:dyaOrig="360">
          <v:shape id="_x0000_i1039" type="#_x0000_t75" style="width:105pt;height:18pt" o:ole="">
            <v:imagedata r:id="rId43" o:title=""/>
          </v:shape>
          <o:OLEObject Type="Embed" ProgID="Equation.3" ShapeID="_x0000_i1039" DrawAspect="Content" ObjectID="_1294230256" r:id="rId44"/>
        </w:object>
      </w:r>
    </w:p>
    <w:p w:rsidR="0080386E" w:rsidRDefault="0080386E" w:rsidP="0080386E">
      <w:pPr>
        <w:spacing w:line="360" w:lineRule="auto"/>
        <w:ind w:left="1416"/>
        <w:jc w:val="both"/>
        <w:rPr>
          <w:rFonts w:ascii="Perpetua" w:hAnsi="Perpetua"/>
        </w:rPr>
      </w:pPr>
      <w:proofErr w:type="gramStart"/>
      <w:r>
        <w:rPr>
          <w:rFonts w:ascii="Perpetua" w:hAnsi="Perpetua"/>
        </w:rPr>
        <w:t>s.a.</w:t>
      </w:r>
      <w:proofErr w:type="gramEnd"/>
      <w:r>
        <w:rPr>
          <w:rFonts w:ascii="Perpetua" w:hAnsi="Perpetua"/>
        </w:rPr>
        <w:t xml:space="preserve">  </w:t>
      </w:r>
      <w:r w:rsidRPr="005668C0">
        <w:rPr>
          <w:rFonts w:ascii="Perpetua" w:hAnsi="Perpetua"/>
          <w:position w:val="-12"/>
        </w:rPr>
        <w:object w:dxaOrig="1560" w:dyaOrig="400">
          <v:shape id="_x0000_i1040" type="#_x0000_t75" style="width:78pt;height:21pt" o:ole="">
            <v:imagedata r:id="rId45" o:title=""/>
          </v:shape>
          <o:OLEObject Type="Embed" ProgID="Equation.3" ShapeID="_x0000_i1040" DrawAspect="Content" ObjectID="_1294230257" r:id="rId46"/>
        </w:objec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N</w:t>
      </w:r>
      <w:r w:rsidR="00614B4C">
        <w:rPr>
          <w:rFonts w:ascii="Perpetua" w:hAnsi="Perpetua"/>
        </w:rPr>
        <w:t xml:space="preserve">a secção 4.3. </w:t>
      </w:r>
      <w:r w:rsidR="008D0624">
        <w:rPr>
          <w:rFonts w:ascii="Perpetua" w:hAnsi="Perpetua"/>
        </w:rPr>
        <w:t xml:space="preserve">serão apresentadas as opções </w:t>
      </w:r>
      <w:r>
        <w:rPr>
          <w:rFonts w:ascii="Perpetua" w:hAnsi="Perpetua"/>
        </w:rPr>
        <w:t xml:space="preserve">metodológicas </w:t>
      </w:r>
      <w:r w:rsidR="008D0624">
        <w:rPr>
          <w:rFonts w:ascii="Perpetua" w:hAnsi="Perpetua"/>
        </w:rPr>
        <w:t xml:space="preserve">deste trabalho no que respeita à escolha do critério de agregação de processos findos </w:t>
      </w:r>
      <w:r>
        <w:rPr>
          <w:rFonts w:ascii="Perpetua" w:hAnsi="Perpetua"/>
        </w:rPr>
        <w:t>fa</w:t>
      </w:r>
      <w:r w:rsidR="008D0624">
        <w:rPr>
          <w:rFonts w:ascii="Perpetua" w:hAnsi="Perpetua"/>
        </w:rPr>
        <w:t xml:space="preserve">ce a este enunciado do problema </w:t>
      </w:r>
    </w:p>
    <w:p w:rsidR="0080386E" w:rsidRDefault="0080386E" w:rsidP="0080386E">
      <w:pPr>
        <w:spacing w:line="360" w:lineRule="auto"/>
        <w:jc w:val="both"/>
        <w:rPr>
          <w:rFonts w:ascii="Perpetua" w:hAnsi="Perpetua"/>
        </w:rPr>
      </w:pPr>
      <w:r>
        <w:rPr>
          <w:rFonts w:ascii="Perpetua" w:hAnsi="Perpetua"/>
        </w:rPr>
        <w:t xml:space="preserve"> </w:t>
      </w:r>
    </w:p>
    <w:p w:rsidR="0080386E" w:rsidRPr="00F9678E" w:rsidRDefault="00470EB1" w:rsidP="00470EB1">
      <w:pPr>
        <w:pStyle w:val="Heading3"/>
      </w:pPr>
      <w:bookmarkStart w:id="82" w:name="_Toc206652069"/>
      <w:bookmarkStart w:id="83" w:name="_Toc220484470"/>
      <w:r>
        <w:t>3.3.3</w:t>
      </w:r>
      <w:r w:rsidR="00A52DF1">
        <w:t xml:space="preserve">. </w:t>
      </w:r>
      <w:r w:rsidR="0080386E" w:rsidRPr="00F9678E">
        <w:t>A qualidade da decisão judicial</w:t>
      </w:r>
      <w:bookmarkEnd w:id="82"/>
      <w:bookmarkEnd w:id="83"/>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Uma segunda estratégia alternativa para colmatar o défice informativo sobre a função de produção passa pela diferenciação dos serviços judiciais em função da qualidade da sua decisão judicial. À semelhança da questão da heterogeneidade, do ponto de vista teórico, a qualidade da decisão judicial pode ou não ser uma dimensão relevante para a modelação econométrica da produção de serviços judiciais de resolução de litígios. Essa relevância pode apenas ser avaliada num contexto concreto, que, neste trabalho, respeita ao período de análise da produção de serviços judiciais. A primeira questão que se coloca respeita ao próprio conceito de qualidade da decisão judicial, que, sublinhe-se, não deve ser confundido com o conceito de qualidade mais abrangente utilizado em alguma bibliografia da avaliação do sistema judicial, em particular a discutida em Cluzel (2002: 53-72) </w:t>
      </w:r>
      <w:r w:rsidR="00A751DF">
        <w:rPr>
          <w:rFonts w:ascii="Perpetua" w:hAnsi="Perpetua"/>
        </w:rPr>
        <w:t>em</w:t>
      </w:r>
      <w:r>
        <w:rPr>
          <w:rFonts w:ascii="Perpetua" w:hAnsi="Perpetua"/>
        </w:rPr>
        <w:t xml:space="preserve"> Breen (</w:t>
      </w:r>
      <w:r w:rsidR="00DA3E7B">
        <w:rPr>
          <w:rFonts w:ascii="Perpetua" w:hAnsi="Perpetua"/>
        </w:rPr>
        <w:t>e</w:t>
      </w:r>
      <w:r>
        <w:rPr>
          <w:rFonts w:ascii="Perpetua" w:hAnsi="Perpetua"/>
        </w:rPr>
        <w:t xml:space="preserve">d.) (2002). Neste trabalho entende-se por qualidade da decisão judicial </w:t>
      </w:r>
      <w:r w:rsidRPr="00867A60">
        <w:rPr>
          <w:rFonts w:ascii="Perpetua" w:hAnsi="Perpetua"/>
          <w:i/>
        </w:rPr>
        <w:t>a dimensão dos serviços judiciais que caracteriza cada serviço judicial face a uma norma técnica</w:t>
      </w:r>
      <w:r>
        <w:rPr>
          <w:rFonts w:ascii="Perpetua" w:hAnsi="Perpetua"/>
        </w:rPr>
        <w:t xml:space="preserve"> (</w:t>
      </w:r>
      <w:r w:rsidR="004E5D3A" w:rsidRPr="004E5D3A">
        <w:rPr>
          <w:rFonts w:ascii="Perpetua" w:hAnsi="Perpetua"/>
          <w:i/>
        </w:rPr>
        <w:t>i.e.</w:t>
      </w:r>
      <w:r>
        <w:rPr>
          <w:rFonts w:ascii="Perpetua" w:hAnsi="Perpetua"/>
        </w:rPr>
        <w:t xml:space="preserve">, de acordo com as regras previstas na lei) </w:t>
      </w:r>
      <w:r w:rsidRPr="00867A60">
        <w:rPr>
          <w:rFonts w:ascii="Perpetua" w:hAnsi="Perpetua"/>
          <w:i/>
        </w:rPr>
        <w:t>de prestação de serviços judiciais</w:t>
      </w:r>
      <w:r>
        <w:rPr>
          <w:rFonts w:ascii="Perpetua" w:hAnsi="Perpetua"/>
        </w:rPr>
        <w:t>. Assim, a medição empírica da qualidade judicial consiste na operacionalização do conceito numa variável que permita medir o desvio de cada decisão judicial concreta face à norma técnica definida. Tanto quanto nos foi possível averiguar, a dimensão técnica da qualidade da de</w:t>
      </w:r>
      <w:r w:rsidR="00A751DF">
        <w:rPr>
          <w:rFonts w:ascii="Perpetua" w:hAnsi="Perpetua"/>
        </w:rPr>
        <w:t>cisão judicial não é observável,</w:t>
      </w:r>
      <w:r>
        <w:rPr>
          <w:rFonts w:ascii="Perpetua" w:hAnsi="Perpetua"/>
        </w:rPr>
        <w:t xml:space="preserve"> o que não significa que não possa ser indirectamente observada através de uma variável </w:t>
      </w:r>
      <w:r w:rsidR="004C4E17">
        <w:rPr>
          <w:rFonts w:ascii="Perpetua" w:hAnsi="Perpetua"/>
        </w:rPr>
        <w:t>indirecta</w:t>
      </w:r>
      <w:r>
        <w:rPr>
          <w:rFonts w:ascii="Perpetua" w:hAnsi="Perpetua"/>
        </w:rPr>
        <w:t xml:space="preserve"> (</w:t>
      </w:r>
      <w:r w:rsidRPr="00867A60">
        <w:rPr>
          <w:rFonts w:ascii="Perpetua" w:hAnsi="Perpetua"/>
          <w:i/>
        </w:rPr>
        <w:t>proxy</w:t>
      </w:r>
      <w:r>
        <w:rPr>
          <w:rFonts w:ascii="Perpetua" w:hAnsi="Perpetua"/>
        </w:rPr>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Para a análise de eficiência produtiva, a qualidade da decisão judicial é uma questão relevante apenas se existir heterogeneidade, ao longo do tempo e do espaço, na qualidade da decisão judicial das unidades produtivas analisadas, e se essa heterogeneidade for motivada pela existência de um </w:t>
      </w:r>
      <w:r w:rsidRPr="00F86641">
        <w:rPr>
          <w:rFonts w:ascii="Perpetua" w:hAnsi="Perpetua"/>
          <w:i/>
        </w:rPr>
        <w:t>trade-off</w:t>
      </w:r>
      <w:r>
        <w:rPr>
          <w:rFonts w:ascii="Perpetua" w:hAnsi="Perpetua"/>
        </w:rPr>
        <w:t xml:space="preserve"> entre a quantidade de serviços judiciais resolvidos e a qualidade da decisão judicial. Por exemplo, se houver </w:t>
      </w:r>
      <w:r w:rsidR="00674E69">
        <w:rPr>
          <w:rFonts w:ascii="Perpetua" w:hAnsi="Perpetua"/>
        </w:rPr>
        <w:t xml:space="preserve">provas de </w:t>
      </w:r>
      <w:r>
        <w:rPr>
          <w:rFonts w:ascii="Perpetua" w:hAnsi="Perpetua"/>
        </w:rPr>
        <w:t xml:space="preserve">que os mecanismos de inspecção judicial criam incentivos suficientes para que os trabalhadores dos tribunais tomem decisões judiciais que respeitam as normas de qualidade definida, poucas razões subsistem para analisar esta dimensão. Da mesma forma, se a qualidade da decisão judicial não implica um </w:t>
      </w:r>
      <w:r w:rsidRPr="00EE57C7">
        <w:rPr>
          <w:rFonts w:ascii="Perpetua" w:hAnsi="Perpetua"/>
          <w:i/>
        </w:rPr>
        <w:t>trade-off</w:t>
      </w:r>
      <w:r>
        <w:rPr>
          <w:rFonts w:ascii="Perpetua" w:hAnsi="Perpetua"/>
        </w:rPr>
        <w:t xml:space="preserve"> com a quantidade de decisões judiciais, ou de processos resolvidos, ela é irrelevante para uma análise da eficiência da produção de serviços judiciais.</w:t>
      </w:r>
    </w:p>
    <w:p w:rsidR="0080386E" w:rsidRDefault="0080386E" w:rsidP="0080386E">
      <w:pPr>
        <w:spacing w:line="360" w:lineRule="auto"/>
        <w:jc w:val="both"/>
        <w:rPr>
          <w:rFonts w:ascii="Perpetua" w:hAnsi="Perpetua"/>
        </w:rPr>
      </w:pPr>
    </w:p>
    <w:p w:rsidR="0080386E" w:rsidRPr="00470EB1" w:rsidRDefault="00A52DF1" w:rsidP="00470EB1">
      <w:pPr>
        <w:pStyle w:val="Heading3"/>
      </w:pPr>
      <w:bookmarkStart w:id="84" w:name="_Toc206652070"/>
      <w:bookmarkStart w:id="85" w:name="_Toc220484471"/>
      <w:r>
        <w:t>3</w:t>
      </w:r>
      <w:r w:rsidRPr="00470EB1">
        <w:t xml:space="preserve">.3.4. </w:t>
      </w:r>
      <w:r w:rsidR="0080386E" w:rsidRPr="00470EB1">
        <w:t xml:space="preserve">Representações </w:t>
      </w:r>
      <w:r w:rsidR="004B6165">
        <w:t>abstractas</w:t>
      </w:r>
      <w:r w:rsidR="0080386E" w:rsidRPr="00470EB1">
        <w:t xml:space="preserve"> da produção e técnicas de estimação</w:t>
      </w:r>
      <w:bookmarkEnd w:id="84"/>
      <w:bookmarkEnd w:id="85"/>
      <w:r w:rsidR="0080386E" w:rsidRPr="00470EB1">
        <w:t xml:space="preserve"> </w:t>
      </w:r>
    </w:p>
    <w:p w:rsidR="0080386E" w:rsidRDefault="0080386E" w:rsidP="0080386E">
      <w:pPr>
        <w:spacing w:line="360" w:lineRule="auto"/>
        <w:jc w:val="both"/>
        <w:rPr>
          <w:rFonts w:ascii="Perpetua" w:hAnsi="Perpetua"/>
        </w:rPr>
      </w:pPr>
      <w:r>
        <w:rPr>
          <w:rFonts w:ascii="Perpetua" w:hAnsi="Perpetua"/>
        </w:rPr>
        <w:t xml:space="preserve"> </w:t>
      </w:r>
    </w:p>
    <w:p w:rsidR="0080386E" w:rsidRDefault="0080386E" w:rsidP="0080386E">
      <w:pPr>
        <w:spacing w:line="360" w:lineRule="auto"/>
        <w:jc w:val="both"/>
        <w:rPr>
          <w:rFonts w:ascii="Perpetua" w:hAnsi="Perpetua"/>
        </w:rPr>
      </w:pPr>
      <w:r>
        <w:rPr>
          <w:rFonts w:ascii="Perpetua" w:hAnsi="Perpetua"/>
        </w:rPr>
        <w:t>Nos pontos anteriores discuti</w:t>
      </w:r>
      <w:r w:rsidR="008D0624">
        <w:rPr>
          <w:rFonts w:ascii="Perpetua" w:hAnsi="Perpetua"/>
        </w:rPr>
        <w:t>u-se</w:t>
      </w:r>
      <w:r>
        <w:rPr>
          <w:rFonts w:ascii="Perpetua" w:hAnsi="Perpetua"/>
        </w:rPr>
        <w:t>, num plano teórico, as questões mais pertinentes para a modelação da produção de serviços judiciais</w:t>
      </w:r>
      <w:r w:rsidR="008D0624">
        <w:rPr>
          <w:rFonts w:ascii="Perpetua" w:hAnsi="Perpetua"/>
        </w:rPr>
        <w:t>, nomeadamente a</w:t>
      </w:r>
      <w:r>
        <w:rPr>
          <w:rFonts w:ascii="Perpetua" w:hAnsi="Perpetua"/>
        </w:rPr>
        <w:t xml:space="preserve"> </w:t>
      </w:r>
      <w:r w:rsidR="008D0624">
        <w:rPr>
          <w:rFonts w:ascii="Perpetua" w:hAnsi="Perpetua"/>
        </w:rPr>
        <w:t xml:space="preserve">definição das </w:t>
      </w:r>
      <w:r>
        <w:rPr>
          <w:rFonts w:ascii="Perpetua" w:hAnsi="Perpetua"/>
        </w:rPr>
        <w:t>unidades produtivas,</w:t>
      </w:r>
      <w:r w:rsidR="008D0624">
        <w:rPr>
          <w:rFonts w:ascii="Perpetua" w:hAnsi="Perpetua"/>
        </w:rPr>
        <w:t xml:space="preserve"> a selecção </w:t>
      </w:r>
      <w:r>
        <w:rPr>
          <w:rFonts w:ascii="Perpetua" w:hAnsi="Perpetua"/>
        </w:rPr>
        <w:t>dos factores produtivos, dos serviços e dos respectivos custos e benefícios agregados e privados (</w:t>
      </w:r>
      <w:r w:rsidR="004E5D3A" w:rsidRPr="004E5D3A">
        <w:rPr>
          <w:rFonts w:ascii="Perpetua" w:hAnsi="Perpetua"/>
          <w:i/>
        </w:rPr>
        <w:t>i.e.</w:t>
      </w:r>
      <w:r w:rsidR="00941AEA" w:rsidRPr="00941AEA">
        <w:rPr>
          <w:rFonts w:ascii="Perpetua" w:hAnsi="Perpetua"/>
        </w:rPr>
        <w:t>,</w:t>
      </w:r>
      <w:r>
        <w:rPr>
          <w:rFonts w:ascii="Perpetua" w:hAnsi="Perpetua"/>
        </w:rPr>
        <w:t xml:space="preserve"> os custos económicos dos factores produtivos e os preços económicos dos serviços, que inclui a qualidade da decisão</w:t>
      </w:r>
      <w:r w:rsidR="008D0624">
        <w:rPr>
          <w:rFonts w:ascii="Perpetua" w:hAnsi="Perpetua"/>
        </w:rPr>
        <w:t xml:space="preserve"> judicial). Neste ponto discut</w:t>
      </w:r>
      <w:r w:rsidR="00A751DF">
        <w:rPr>
          <w:rFonts w:ascii="Perpetua" w:hAnsi="Perpetua"/>
        </w:rPr>
        <w:t>e</w:t>
      </w:r>
      <w:r w:rsidR="008D0624">
        <w:rPr>
          <w:rFonts w:ascii="Perpetua" w:hAnsi="Perpetua"/>
        </w:rPr>
        <w:t>-s</w:t>
      </w:r>
      <w:r>
        <w:rPr>
          <w:rFonts w:ascii="Perpetua" w:hAnsi="Perpetua"/>
        </w:rPr>
        <w:t>e, de forma sumária, as abordagens teóricas e as técni</w:t>
      </w:r>
      <w:r w:rsidR="00614B4C">
        <w:rPr>
          <w:rFonts w:ascii="Perpetua" w:hAnsi="Perpetua"/>
        </w:rPr>
        <w:t xml:space="preserve">cas que podem ser utilizadas na </w:t>
      </w:r>
      <w:r>
        <w:rPr>
          <w:rFonts w:ascii="Perpetua" w:hAnsi="Perpetua"/>
        </w:rPr>
        <w:t xml:space="preserve">estimação </w:t>
      </w:r>
      <w:r w:rsidR="00B76857">
        <w:rPr>
          <w:rFonts w:ascii="Perpetua" w:hAnsi="Perpetua"/>
        </w:rPr>
        <w:t>empírica de</w:t>
      </w:r>
      <w:r>
        <w:rPr>
          <w:rFonts w:ascii="Perpetua" w:hAnsi="Perpetua"/>
        </w:rPr>
        <w:t xml:space="preserve"> tecnologia</w:t>
      </w:r>
      <w:r w:rsidR="00B76857">
        <w:rPr>
          <w:rFonts w:ascii="Perpetua" w:hAnsi="Perpetua"/>
        </w:rPr>
        <w:t>s</w:t>
      </w:r>
      <w:r>
        <w:rPr>
          <w:rFonts w:ascii="Perpetua" w:hAnsi="Perpetua"/>
        </w:rPr>
        <w:t xml:space="preserve"> de produção de serviços judiciais e a interpretação económica das medidas estimadas por essas técnicas, nomeadamente os conceitos de eficiência técnica e produtiva. O objectivo é tornar claras as opções metodológicas que </w:t>
      </w:r>
      <w:r w:rsidR="00B76857">
        <w:rPr>
          <w:rFonts w:ascii="Perpetua" w:hAnsi="Perpetua"/>
        </w:rPr>
        <w:t xml:space="preserve">serão </w:t>
      </w:r>
      <w:r>
        <w:rPr>
          <w:rFonts w:ascii="Perpetua" w:hAnsi="Perpetua"/>
        </w:rPr>
        <w:t>efectua</w:t>
      </w:r>
      <w:r w:rsidR="00B76857">
        <w:rPr>
          <w:rFonts w:ascii="Perpetua" w:hAnsi="Perpetua"/>
        </w:rPr>
        <w:t>das</w:t>
      </w:r>
      <w:r>
        <w:rPr>
          <w:rFonts w:ascii="Perpetua" w:hAnsi="Perpetua"/>
        </w:rPr>
        <w:t xml:space="preserve"> n</w:t>
      </w:r>
      <w:r w:rsidR="00614B4C">
        <w:rPr>
          <w:rFonts w:ascii="Perpetua" w:hAnsi="Perpetua"/>
        </w:rPr>
        <w:t>a</w:t>
      </w:r>
      <w:r>
        <w:rPr>
          <w:rFonts w:ascii="Perpetua" w:hAnsi="Perpetua"/>
        </w:rPr>
        <w:t xml:space="preserve"> </w:t>
      </w:r>
      <w:r w:rsidR="00614B4C">
        <w:rPr>
          <w:rFonts w:ascii="Perpetua" w:hAnsi="Perpetua"/>
        </w:rPr>
        <w:t xml:space="preserve">secção 4.3. </w:t>
      </w:r>
      <w:r>
        <w:rPr>
          <w:rFonts w:ascii="Perpetua" w:hAnsi="Perpetua"/>
        </w:rPr>
        <w:t>para estudar a produção de serviços judiciais no sistema judicial português.</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N</w:t>
      </w:r>
      <w:r w:rsidR="00260F8E">
        <w:rPr>
          <w:rFonts w:ascii="Perpetua" w:hAnsi="Perpetua"/>
        </w:rPr>
        <w:t>a</w:t>
      </w:r>
      <w:r>
        <w:rPr>
          <w:rFonts w:ascii="Perpetua" w:hAnsi="Perpetua"/>
        </w:rPr>
        <w:t xml:space="preserve"> </w:t>
      </w:r>
      <w:r w:rsidR="0033195E">
        <w:rPr>
          <w:rFonts w:ascii="Perpetua" w:hAnsi="Perpetua"/>
        </w:rPr>
        <w:t xml:space="preserve">secção anterior </w:t>
      </w:r>
      <w:r>
        <w:rPr>
          <w:rFonts w:ascii="Perpetua" w:hAnsi="Perpetua"/>
        </w:rPr>
        <w:t xml:space="preserve">distinguimos, no âmbito da apresentação geral das literaturas que estudam empiricamente a produção de serviços judiciais, </w:t>
      </w:r>
      <w:r w:rsidR="00614B4C">
        <w:rPr>
          <w:rFonts w:ascii="Perpetua" w:hAnsi="Perpetua"/>
        </w:rPr>
        <w:t xml:space="preserve">a Análise de Eficiência e Produtividade, </w:t>
      </w:r>
      <w:r>
        <w:rPr>
          <w:rFonts w:ascii="Perpetua" w:hAnsi="Perpetua"/>
        </w:rPr>
        <w:t xml:space="preserve">cuja </w:t>
      </w:r>
      <w:r w:rsidR="00B76857">
        <w:rPr>
          <w:rFonts w:ascii="Perpetua" w:hAnsi="Perpetua"/>
        </w:rPr>
        <w:t xml:space="preserve">principal </w:t>
      </w:r>
      <w:r>
        <w:rPr>
          <w:rFonts w:ascii="Perpetua" w:hAnsi="Perpetua"/>
        </w:rPr>
        <w:t xml:space="preserve">técnica </w:t>
      </w:r>
      <w:r w:rsidR="00DA3E7B">
        <w:rPr>
          <w:rFonts w:ascii="Perpetua" w:hAnsi="Perpetua"/>
        </w:rPr>
        <w:t xml:space="preserve">utilizada </w:t>
      </w:r>
      <w:r w:rsidR="00B76857">
        <w:rPr>
          <w:rFonts w:ascii="Perpetua" w:hAnsi="Perpetua"/>
        </w:rPr>
        <w:t>é a análise de envelope de dados</w:t>
      </w:r>
      <w:r w:rsidR="00DA3E7B">
        <w:rPr>
          <w:rFonts w:ascii="Perpetua" w:hAnsi="Perpetua"/>
        </w:rPr>
        <w:t>,</w:t>
      </w:r>
      <w:r>
        <w:rPr>
          <w:rFonts w:ascii="Perpetua" w:hAnsi="Perpetua"/>
        </w:rPr>
        <w:t xml:space="preserve"> e a Análise Económica do Direito</w:t>
      </w:r>
      <w:r w:rsidR="00614B4C">
        <w:rPr>
          <w:rFonts w:ascii="Perpetua" w:hAnsi="Perpetua"/>
        </w:rPr>
        <w:t>,</w:t>
      </w:r>
      <w:r>
        <w:rPr>
          <w:rFonts w:ascii="Perpetua" w:hAnsi="Perpetua"/>
        </w:rPr>
        <w:t xml:space="preserve"> cuja técnica </w:t>
      </w:r>
      <w:r w:rsidR="0033195E">
        <w:rPr>
          <w:rFonts w:ascii="Perpetua" w:hAnsi="Perpetua"/>
        </w:rPr>
        <w:t>predominante tem sido a</w:t>
      </w:r>
      <w:r>
        <w:rPr>
          <w:rFonts w:ascii="Perpetua" w:hAnsi="Perpetua"/>
        </w:rPr>
        <w:t xml:space="preserve"> análise clássica de regressão. Para além da diferença fundamental das técnicas utilizadas, estas duas abordagens diferem também quanto à representação </w:t>
      </w:r>
      <w:r w:rsidR="0033195E">
        <w:rPr>
          <w:rFonts w:ascii="Perpetua" w:hAnsi="Perpetua"/>
        </w:rPr>
        <w:t xml:space="preserve">abstracta </w:t>
      </w:r>
      <w:r>
        <w:rPr>
          <w:rFonts w:ascii="Perpetua" w:hAnsi="Perpetua"/>
        </w:rPr>
        <w:t>utilizada para descrever o processo produtivo. A representação clássica da produção</w:t>
      </w:r>
      <w:r>
        <w:rPr>
          <w:rStyle w:val="FootnoteReference"/>
          <w:rFonts w:ascii="Perpetua" w:hAnsi="Perpetua"/>
        </w:rPr>
        <w:footnoteReference w:id="73"/>
      </w:r>
      <w:r>
        <w:rPr>
          <w:rFonts w:ascii="Perpetua" w:hAnsi="Perpetua"/>
        </w:rPr>
        <w:t xml:space="preserve"> centra-se no conceito de função de produção, que se define como uma relação funcional conhecida, ou postulada, entre a utilização de factores produtivos para produzir bens e serviços finais. A estimação de uma função de produção tem estado historicamente associada à modelação de processos produtivos uniserviço (</w:t>
      </w:r>
      <w:r w:rsidR="004E5D3A" w:rsidRPr="004E5D3A">
        <w:rPr>
          <w:rFonts w:ascii="Perpetua" w:hAnsi="Perpetua"/>
          <w:i/>
        </w:rPr>
        <w:t>i.e.</w:t>
      </w:r>
      <w:r w:rsidR="00941AEA">
        <w:rPr>
          <w:rFonts w:ascii="Perpetua" w:hAnsi="Perpetua"/>
        </w:rPr>
        <w:t xml:space="preserve">, </w:t>
      </w:r>
      <w:r w:rsidR="0033195E">
        <w:rPr>
          <w:rFonts w:ascii="Perpetua" w:hAnsi="Perpetua"/>
        </w:rPr>
        <w:t>à</w:t>
      </w:r>
      <w:r>
        <w:rPr>
          <w:rFonts w:ascii="Perpetua" w:hAnsi="Perpetua"/>
        </w:rPr>
        <w:t xml:space="preserve"> produção de um único bem económico final) com métodos econométricos clássicos de regressão. No caso de funções de produção clássicas multi</w:t>
      </w:r>
      <w:r w:rsidR="0099691F">
        <w:rPr>
          <w:rFonts w:ascii="Perpetua" w:hAnsi="Perpetua"/>
        </w:rPr>
        <w:t>s</w:t>
      </w:r>
      <w:r>
        <w:rPr>
          <w:rFonts w:ascii="Perpetua" w:hAnsi="Perpetua"/>
        </w:rPr>
        <w:t>serviços, a estimação por métodos econométricos pode ser efectuada mediante duas metodologias: i) agregação de todos os serviços numa medida única de serviços</w:t>
      </w:r>
      <w:r w:rsidR="00B76857">
        <w:rPr>
          <w:rFonts w:ascii="Perpetua" w:hAnsi="Perpetua"/>
        </w:rPr>
        <w:t xml:space="preserve"> através de uma medida de agregação</w:t>
      </w:r>
      <w:r>
        <w:rPr>
          <w:rFonts w:ascii="Perpetua" w:hAnsi="Perpetua"/>
        </w:rPr>
        <w:t>, ou ii)</w:t>
      </w:r>
      <w:r w:rsidR="00B76857">
        <w:rPr>
          <w:rFonts w:ascii="Perpetua" w:hAnsi="Perpetua"/>
        </w:rPr>
        <w:t>,</w:t>
      </w:r>
      <w:r>
        <w:rPr>
          <w:rFonts w:ascii="Perpetua" w:hAnsi="Perpetua"/>
        </w:rPr>
        <w:t xml:space="preserve"> abordagens duais do processo produtivo, </w:t>
      </w:r>
      <w:r w:rsidR="004E5D3A" w:rsidRPr="004E5D3A">
        <w:rPr>
          <w:rFonts w:ascii="Perpetua" w:hAnsi="Perpetua"/>
          <w:i/>
        </w:rPr>
        <w:t>i.e.</w:t>
      </w:r>
      <w:r w:rsidR="00941AEA">
        <w:rPr>
          <w:rFonts w:ascii="Perpetua" w:hAnsi="Perpetua"/>
        </w:rPr>
        <w:t xml:space="preserve">, </w:t>
      </w:r>
      <w:r w:rsidR="00A751DF">
        <w:rPr>
          <w:rFonts w:ascii="Perpetua" w:hAnsi="Perpetua"/>
        </w:rPr>
        <w:t xml:space="preserve">a </w:t>
      </w:r>
      <w:r>
        <w:rPr>
          <w:rFonts w:ascii="Perpetua" w:hAnsi="Perpetua"/>
        </w:rPr>
        <w:t>modelação de funções</w:t>
      </w:r>
      <w:r w:rsidR="00A751DF">
        <w:rPr>
          <w:rFonts w:ascii="Perpetua" w:hAnsi="Perpetua"/>
        </w:rPr>
        <w:t xml:space="preserve"> de </w:t>
      </w:r>
      <w:r w:rsidRPr="00A751DF">
        <w:rPr>
          <w:rFonts w:ascii="Perpetua" w:hAnsi="Perpetua"/>
        </w:rPr>
        <w:t>lucro</w:t>
      </w:r>
      <w:r>
        <w:rPr>
          <w:rFonts w:ascii="Perpetua" w:hAnsi="Perpetua"/>
        </w:rPr>
        <w:t xml:space="preserve"> e funções</w:t>
      </w:r>
      <w:r w:rsidR="00A751DF">
        <w:rPr>
          <w:rFonts w:ascii="Perpetua" w:hAnsi="Perpetua"/>
        </w:rPr>
        <w:t xml:space="preserve"> de </w:t>
      </w:r>
      <w:r w:rsidRPr="00A751DF">
        <w:rPr>
          <w:rFonts w:ascii="Perpetua" w:hAnsi="Perpetua"/>
        </w:rPr>
        <w:t>custo</w:t>
      </w:r>
      <w:r>
        <w:rPr>
          <w:rFonts w:ascii="Perpetua" w:hAnsi="Perpetua"/>
        </w:rPr>
        <w:t>, sendo que no segundo caso se impõem maiores requisitos informativos, nomeadamente dados sobre preços e a assunção de hipóteses sobre o objectivo comportamental das unidades produtivas</w:t>
      </w:r>
      <w:r>
        <w:rPr>
          <w:rStyle w:val="FootnoteReference"/>
          <w:rFonts w:ascii="Perpetua" w:hAnsi="Perpetua"/>
        </w:rPr>
        <w:footnoteReference w:id="74"/>
      </w:r>
      <w:r>
        <w:rPr>
          <w:rFonts w:ascii="Perpetua" w:hAnsi="Perpetua"/>
        </w:rPr>
        <w:t>. As principais características da abordagem clássica são: i) a estimação de uma função de produção média e não de uma verdadeira função de produção (</w:t>
      </w:r>
      <w:r w:rsidR="004E5D3A" w:rsidRPr="004E5D3A">
        <w:rPr>
          <w:rFonts w:ascii="Perpetua" w:hAnsi="Perpetua"/>
          <w:i/>
        </w:rPr>
        <w:t>i.e.</w:t>
      </w:r>
      <w:r w:rsidR="00941AEA">
        <w:rPr>
          <w:rFonts w:ascii="Perpetua" w:hAnsi="Perpetua"/>
        </w:rPr>
        <w:t xml:space="preserve">, </w:t>
      </w:r>
      <w:r>
        <w:rPr>
          <w:rFonts w:ascii="Perpetua" w:hAnsi="Perpetua"/>
        </w:rPr>
        <w:t xml:space="preserve">uma relação entre a produção máxima de serviços dada a utilização de um vector de factores produtivos); ii) a não </w:t>
      </w:r>
      <w:r w:rsidR="0033195E">
        <w:rPr>
          <w:rFonts w:ascii="Perpetua" w:hAnsi="Perpetua"/>
        </w:rPr>
        <w:t xml:space="preserve">distinção </w:t>
      </w:r>
      <w:r>
        <w:rPr>
          <w:rFonts w:ascii="Perpetua" w:hAnsi="Perpetua"/>
        </w:rPr>
        <w:t>entre as componentes técnica e alocativa</w:t>
      </w:r>
      <w:r w:rsidR="0033195E">
        <w:rPr>
          <w:rStyle w:val="FootnoteReference"/>
          <w:rFonts w:ascii="Perpetua" w:hAnsi="Perpetua"/>
        </w:rPr>
        <w:footnoteReference w:id="75"/>
      </w:r>
      <w:r>
        <w:rPr>
          <w:rFonts w:ascii="Perpetua" w:hAnsi="Perpetua"/>
        </w:rPr>
        <w:t xml:space="preserve"> da eficiência económica estimada das unidades produtivas (Webster, Kennedy </w:t>
      </w:r>
      <w:r w:rsidR="003A79EC">
        <w:rPr>
          <w:rFonts w:ascii="Perpetua" w:hAnsi="Perpetua"/>
        </w:rPr>
        <w:t>e</w:t>
      </w:r>
      <w:r>
        <w:rPr>
          <w:rFonts w:ascii="Perpetua" w:hAnsi="Perpetua"/>
        </w:rPr>
        <w:t xml:space="preserve"> Johnson, 2000:61); </w:t>
      </w:r>
      <w:r w:rsidR="00DA3E7B">
        <w:rPr>
          <w:rFonts w:ascii="Perpetua" w:hAnsi="Perpetua"/>
        </w:rPr>
        <w:t>i</w:t>
      </w:r>
      <w:r>
        <w:rPr>
          <w:rFonts w:ascii="Perpetua" w:hAnsi="Perpetua"/>
        </w:rPr>
        <w:t>ii) o facto de assumir que todas as unidades produtivas são eficientes (Coelli, Prasada Rao</w:t>
      </w:r>
      <w:r w:rsidR="0033195E">
        <w:rPr>
          <w:rFonts w:ascii="Perpetua" w:hAnsi="Perpetua"/>
        </w:rPr>
        <w:t xml:space="preserve"> </w:t>
      </w:r>
      <w:r w:rsidR="003A79EC">
        <w:rPr>
          <w:rFonts w:ascii="Perpetua" w:hAnsi="Perpetua"/>
        </w:rPr>
        <w:t>e</w:t>
      </w:r>
      <w:r w:rsidR="0033195E">
        <w:rPr>
          <w:rFonts w:ascii="Perpetua" w:hAnsi="Perpetua"/>
        </w:rPr>
        <w:t xml:space="preserve"> Battese, 1998:133)</w:t>
      </w:r>
      <w:r w:rsidR="00A751DF">
        <w:rPr>
          <w:rFonts w:ascii="Perpetua" w:hAnsi="Perpetua"/>
        </w:rPr>
        <w:t xml:space="preserve"> e iv)</w:t>
      </w:r>
      <w:r w:rsidR="00DA3E7B">
        <w:rPr>
          <w:rFonts w:ascii="Perpetua" w:hAnsi="Perpetua"/>
        </w:rPr>
        <w:t xml:space="preserve"> o facto de não haver </w:t>
      </w:r>
      <w:r w:rsidR="00B76857">
        <w:rPr>
          <w:rFonts w:ascii="Perpetua" w:hAnsi="Perpetua"/>
        </w:rPr>
        <w:t xml:space="preserve">restrições </w:t>
      </w:r>
      <w:r w:rsidR="00DA3E7B">
        <w:rPr>
          <w:rFonts w:ascii="Perpetua" w:hAnsi="Perpetua"/>
        </w:rPr>
        <w:t xml:space="preserve">à utilização de factores produtivos e à produção de bens e serviços (Lewin, Morey </w:t>
      </w:r>
      <w:r w:rsidR="003A79EC">
        <w:rPr>
          <w:rFonts w:ascii="Perpetua" w:hAnsi="Perpetua"/>
        </w:rPr>
        <w:t>e</w:t>
      </w:r>
      <w:r w:rsidR="00DA3E7B">
        <w:rPr>
          <w:rFonts w:ascii="Perpetua" w:hAnsi="Perpetua"/>
        </w:rPr>
        <w:t xml:space="preserve"> Cook, 1982:402)</w:t>
      </w:r>
      <w:r w:rsidR="0033195E">
        <w:rPr>
          <w:rFonts w:ascii="Perpetua" w:hAnsi="Perpetua"/>
        </w:rPr>
        <w:t>.</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Os conceitos de eficiência económica, alocativa e técnica propostos por Farrell (1957) estabeleceram os fundamentos para a estimação de fronteiras de produção de melhor prática através dos métodos de fronteira</w:t>
      </w:r>
      <w:r>
        <w:rPr>
          <w:rStyle w:val="FootnoteReference"/>
          <w:rFonts w:ascii="Perpetua" w:hAnsi="Perpetua"/>
        </w:rPr>
        <w:footnoteReference w:id="76"/>
      </w:r>
      <w:r>
        <w:rPr>
          <w:rFonts w:ascii="Perpetua" w:hAnsi="Perpetua"/>
        </w:rPr>
        <w:t xml:space="preserve">. As medidas de eficiência propostas por Farrell definem-se, alternativamente, no espaço multidimensional dos serviços ou dos factores produtivos. A eficiência técnica reflecte a distância da capacidade verificada pela unidade produtiva na transformação de factores produtivos em serviços face à capacidade máxima possibilitada na economia, </w:t>
      </w:r>
      <w:r w:rsidR="004E5D3A" w:rsidRPr="004E5D3A">
        <w:rPr>
          <w:rFonts w:ascii="Perpetua" w:hAnsi="Perpetua"/>
          <w:i/>
        </w:rPr>
        <w:t>i.e.</w:t>
      </w:r>
      <w:r w:rsidR="00941AEA">
        <w:rPr>
          <w:rFonts w:ascii="Perpetua" w:hAnsi="Perpetua"/>
        </w:rPr>
        <w:t xml:space="preserve">, </w:t>
      </w:r>
      <w:r>
        <w:rPr>
          <w:rFonts w:ascii="Perpetua" w:hAnsi="Perpetua"/>
        </w:rPr>
        <w:t xml:space="preserve">a distância face à fronteira de melhor prática. A eficiência alocativa reflecte a capacidade da unidade produtiva na combinação de factores produtivos para a produção de um conjunto de serviços, dados os seus preços e a tecnologia de produção existente na economia. Por fim, a eficiência económica resulta da combinação da eficiência técnica e da eficiência alocativa de uma unidade produtiva. </w:t>
      </w:r>
      <w:r>
        <w:rPr>
          <w:rFonts w:ascii="Perpetua" w:hAnsi="Perpetua" w:cs="Arial"/>
        </w:rPr>
        <w:t>Os dois principais métodos de fronteira são métodos econométricos</w:t>
      </w:r>
      <w:r w:rsidR="00B76857">
        <w:rPr>
          <w:rFonts w:ascii="Perpetua" w:hAnsi="Perpetua" w:cs="Arial"/>
        </w:rPr>
        <w:t>,</w:t>
      </w:r>
      <w:r>
        <w:rPr>
          <w:rFonts w:ascii="Perpetua" w:hAnsi="Perpetua" w:cs="Arial"/>
        </w:rPr>
        <w:t xml:space="preserve"> denominados análise de fronteiras estocásticas (</w:t>
      </w:r>
      <w:r w:rsidRPr="00A54734">
        <w:rPr>
          <w:rFonts w:ascii="Perpetua" w:hAnsi="Perpetua" w:cs="Arial"/>
          <w:i/>
        </w:rPr>
        <w:t>stochastic frontier analysis</w:t>
      </w:r>
      <w:r>
        <w:rPr>
          <w:rFonts w:ascii="Perpetua" w:hAnsi="Perpetua" w:cs="Arial"/>
        </w:rPr>
        <w:t>), e métodos de programação matemática</w:t>
      </w:r>
      <w:r w:rsidR="00B76857">
        <w:rPr>
          <w:rFonts w:ascii="Perpetua" w:hAnsi="Perpetua" w:cs="Arial"/>
        </w:rPr>
        <w:t>,</w:t>
      </w:r>
      <w:r>
        <w:rPr>
          <w:rFonts w:ascii="Perpetua" w:hAnsi="Perpetua" w:cs="Arial"/>
        </w:rPr>
        <w:t xml:space="preserve"> denominados análise de envelope de dados (</w:t>
      </w:r>
      <w:r w:rsidRPr="00A54734">
        <w:rPr>
          <w:rFonts w:ascii="Perpetua" w:hAnsi="Perpetua" w:cs="Arial"/>
          <w:i/>
        </w:rPr>
        <w:t>data envelopment analysis</w:t>
      </w:r>
      <w:r>
        <w:rPr>
          <w:rFonts w:ascii="Perpetua" w:hAnsi="Perpetua" w:cs="Arial"/>
        </w:rPr>
        <w:t>). Estes métodos permitem, consoante o enquadramento analítico</w:t>
      </w:r>
      <w:r>
        <w:rPr>
          <w:rStyle w:val="FootnoteReference"/>
          <w:rFonts w:ascii="Perpetua" w:hAnsi="Perpetua" w:cs="Arial"/>
        </w:rPr>
        <w:footnoteReference w:id="77"/>
      </w:r>
      <w:r>
        <w:rPr>
          <w:rFonts w:ascii="Perpetua" w:hAnsi="Perpetua" w:cs="Arial"/>
        </w:rPr>
        <w:t>, estimar conceitos de eficiência específicos</w:t>
      </w:r>
      <w:r>
        <w:rPr>
          <w:rStyle w:val="FootnoteReference"/>
          <w:rFonts w:ascii="Perpetua" w:hAnsi="Perpetua" w:cs="Arial"/>
        </w:rPr>
        <w:footnoteReference w:id="78"/>
      </w:r>
      <w:r>
        <w:rPr>
          <w:rFonts w:ascii="Perpetua" w:hAnsi="Perpetua" w:cs="Arial"/>
        </w:rPr>
        <w:t>. As principais características da abordagem das fronteiras de produção de melhor prática</w:t>
      </w:r>
      <w:r>
        <w:rPr>
          <w:rStyle w:val="FootnoteReference"/>
          <w:rFonts w:ascii="Perpetua" w:hAnsi="Perpetua"/>
        </w:rPr>
        <w:footnoteReference w:id="79"/>
      </w:r>
      <w:r>
        <w:rPr>
          <w:rFonts w:ascii="Perpetua" w:hAnsi="Perpetua" w:cs="Arial"/>
        </w:rPr>
        <w:t xml:space="preserve"> são: i) a assunção da existência de ineficiência técnica, medida pela distância </w:t>
      </w:r>
      <w:r w:rsidR="00A751DF">
        <w:rPr>
          <w:rFonts w:ascii="Perpetua" w:hAnsi="Perpetua" w:cs="Arial"/>
        </w:rPr>
        <w:t xml:space="preserve">entre os pontos de produção de cada unidade produtiva e a </w:t>
      </w:r>
      <w:r>
        <w:rPr>
          <w:rFonts w:ascii="Perpetua" w:hAnsi="Perpetua" w:cs="Arial"/>
        </w:rPr>
        <w:t>fronteira de produção de melhor prática; ii) a maior flexibilidade funcional da fronteira de produção de melhor prática estimada; e iii) a vocação para a estimação de processos produtivos multifactores e multi</w:t>
      </w:r>
      <w:r w:rsidR="0099691F">
        <w:rPr>
          <w:rFonts w:ascii="Perpetua" w:hAnsi="Perpetua" w:cs="Arial"/>
        </w:rPr>
        <w:t>s</w:t>
      </w:r>
      <w:r>
        <w:rPr>
          <w:rFonts w:ascii="Perpetua" w:hAnsi="Perpetua" w:cs="Arial"/>
        </w:rPr>
        <w:t>serviços, onde o processo produtivo é dificilmente descrito como uma relação de engenharia.</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Uma outra </w:t>
      </w:r>
      <w:r w:rsidRPr="00B76857">
        <w:rPr>
          <w:rFonts w:ascii="Perpetua" w:hAnsi="Perpetua"/>
          <w:i/>
        </w:rPr>
        <w:t>nuance</w:t>
      </w:r>
      <w:r>
        <w:rPr>
          <w:rFonts w:ascii="Perpetua" w:hAnsi="Perpetua"/>
        </w:rPr>
        <w:t xml:space="preserve"> importante entre as duas abordagens apresentadas respeita ao enquadramento analítico da produção, ou à estrutura da </w:t>
      </w:r>
      <w:r w:rsidR="00B76857">
        <w:rPr>
          <w:rFonts w:ascii="Perpetua" w:hAnsi="Perpetua"/>
        </w:rPr>
        <w:t xml:space="preserve">tecnologia </w:t>
      </w:r>
      <w:r>
        <w:rPr>
          <w:rFonts w:ascii="Perpetua" w:hAnsi="Perpetua"/>
        </w:rPr>
        <w:t xml:space="preserve">de produção. </w:t>
      </w:r>
      <w:r w:rsidRPr="007B0BD0">
        <w:rPr>
          <w:rFonts w:ascii="Perpetua" w:hAnsi="Perpetua"/>
        </w:rPr>
        <w:t xml:space="preserve">Na literatura </w:t>
      </w:r>
      <w:r w:rsidR="00B76857">
        <w:rPr>
          <w:rFonts w:ascii="Perpetua" w:hAnsi="Perpetua"/>
        </w:rPr>
        <w:t>das</w:t>
      </w:r>
      <w:r w:rsidRPr="007B0BD0">
        <w:rPr>
          <w:rFonts w:ascii="Perpetua" w:hAnsi="Perpetua"/>
        </w:rPr>
        <w:t xml:space="preserve"> funções de produção</w:t>
      </w:r>
      <w:r w:rsidR="00B76857">
        <w:rPr>
          <w:rFonts w:ascii="Perpetua" w:hAnsi="Perpetua"/>
        </w:rPr>
        <w:t xml:space="preserve"> clássicas</w:t>
      </w:r>
      <w:r w:rsidRPr="007B0BD0">
        <w:rPr>
          <w:rFonts w:ascii="Perpetua" w:hAnsi="Perpetua"/>
        </w:rPr>
        <w:t xml:space="preserve"> </w:t>
      </w:r>
      <w:r>
        <w:rPr>
          <w:rFonts w:ascii="Perpetua" w:hAnsi="Perpetua"/>
        </w:rPr>
        <w:t xml:space="preserve">está habitualmente implícito que a </w:t>
      </w:r>
      <w:r w:rsidRPr="007B0BD0">
        <w:rPr>
          <w:rFonts w:ascii="Perpetua" w:hAnsi="Perpetua"/>
        </w:rPr>
        <w:t xml:space="preserve">tecnologia </w:t>
      </w:r>
      <w:r>
        <w:rPr>
          <w:rFonts w:ascii="Perpetua" w:hAnsi="Perpetua"/>
        </w:rPr>
        <w:t xml:space="preserve">de produção estimada é empregue por </w:t>
      </w:r>
      <w:r w:rsidRPr="007B0BD0">
        <w:rPr>
          <w:rFonts w:ascii="Perpetua" w:hAnsi="Perpetua"/>
        </w:rPr>
        <w:t>unidades produtivas, tipicamente empresas privadas, cuja função</w:t>
      </w:r>
      <w:r w:rsidR="00A751DF">
        <w:rPr>
          <w:rFonts w:ascii="Perpetua" w:hAnsi="Perpetua"/>
        </w:rPr>
        <w:t>-</w:t>
      </w:r>
      <w:r w:rsidRPr="007B0BD0">
        <w:rPr>
          <w:rFonts w:ascii="Perpetua" w:hAnsi="Perpetua"/>
        </w:rPr>
        <w:t>objectivo é a maximização do lucro ou a minimização dos custos.</w:t>
      </w:r>
      <w:r w:rsidRPr="00F55707">
        <w:rPr>
          <w:rFonts w:ascii="Perpetua" w:hAnsi="Perpetua"/>
        </w:rPr>
        <w:t xml:space="preserve"> </w:t>
      </w:r>
      <w:r>
        <w:rPr>
          <w:rFonts w:ascii="Perpetua" w:hAnsi="Perpetua"/>
        </w:rPr>
        <w:t xml:space="preserve">A abordagem das fronteiras de produção de melhor prática, no âmbito da qual se cunhou o termo </w:t>
      </w:r>
      <w:r w:rsidR="00A751DF">
        <w:rPr>
          <w:rFonts w:ascii="Perpetua" w:hAnsi="Perpetua"/>
        </w:rPr>
        <w:t>«</w:t>
      </w:r>
      <w:r>
        <w:rPr>
          <w:rFonts w:ascii="Perpetua" w:hAnsi="Perpetua"/>
        </w:rPr>
        <w:t>enquadramento analítico</w:t>
      </w:r>
      <w:r w:rsidR="00A751DF">
        <w:rPr>
          <w:rFonts w:ascii="Perpetua" w:hAnsi="Perpetua"/>
        </w:rPr>
        <w:t>»</w:t>
      </w:r>
      <w:r>
        <w:rPr>
          <w:rFonts w:ascii="Perpetua" w:hAnsi="Perpetua"/>
        </w:rPr>
        <w:t>, há uma maior abrangência quanto a</w:t>
      </w:r>
      <w:r w:rsidRPr="007B0BD0">
        <w:rPr>
          <w:rFonts w:ascii="Perpetua" w:hAnsi="Perpetua"/>
        </w:rPr>
        <w:t xml:space="preserve">o </w:t>
      </w:r>
      <w:r w:rsidRPr="00E625C6">
        <w:rPr>
          <w:rFonts w:ascii="Perpetua" w:hAnsi="Perpetua"/>
        </w:rPr>
        <w:t>enquadramento analítico</w:t>
      </w:r>
      <w:r w:rsidRPr="007B0BD0">
        <w:rPr>
          <w:rFonts w:ascii="Perpetua" w:hAnsi="Perpetua"/>
        </w:rPr>
        <w:t xml:space="preserve"> </w:t>
      </w:r>
      <w:r>
        <w:rPr>
          <w:rFonts w:ascii="Perpetua" w:hAnsi="Perpetua"/>
        </w:rPr>
        <w:t xml:space="preserve">das tecnologias de produção estimadas. A </w:t>
      </w:r>
      <w:r w:rsidRPr="007B0BD0">
        <w:rPr>
          <w:rFonts w:ascii="Perpetua" w:hAnsi="Perpetua"/>
        </w:rPr>
        <w:t xml:space="preserve">estrutura da tecnologia que se pretende </w:t>
      </w:r>
      <w:r>
        <w:rPr>
          <w:rFonts w:ascii="Perpetua" w:hAnsi="Perpetua"/>
        </w:rPr>
        <w:t xml:space="preserve">estimar, </w:t>
      </w:r>
      <w:r w:rsidR="004E5D3A" w:rsidRPr="004E5D3A">
        <w:rPr>
          <w:rFonts w:ascii="Perpetua" w:hAnsi="Perpetua"/>
          <w:i/>
        </w:rPr>
        <w:t>i.e.</w:t>
      </w:r>
      <w:r w:rsidR="00941AEA">
        <w:rPr>
          <w:rFonts w:ascii="Perpetua" w:hAnsi="Perpetua"/>
        </w:rPr>
        <w:t xml:space="preserve">, </w:t>
      </w:r>
      <w:r>
        <w:rPr>
          <w:rFonts w:ascii="Perpetua" w:hAnsi="Perpetua"/>
        </w:rPr>
        <w:t>o</w:t>
      </w:r>
      <w:r w:rsidRPr="007B0BD0">
        <w:rPr>
          <w:rFonts w:ascii="Perpetua" w:hAnsi="Perpetua"/>
        </w:rPr>
        <w:t xml:space="preserve"> enquadramento analítico</w:t>
      </w:r>
      <w:r>
        <w:rPr>
          <w:rFonts w:ascii="Perpetua" w:hAnsi="Perpetua"/>
        </w:rPr>
        <w:t>,</w:t>
      </w:r>
      <w:r w:rsidRPr="007B0BD0">
        <w:rPr>
          <w:rFonts w:ascii="Perpetua" w:hAnsi="Perpetua"/>
        </w:rPr>
        <w:t xml:space="preserve"> é </w:t>
      </w:r>
      <w:r>
        <w:rPr>
          <w:rFonts w:ascii="Perpetua" w:hAnsi="Perpetua"/>
        </w:rPr>
        <w:t xml:space="preserve">explicitado através da caracterização do </w:t>
      </w:r>
      <w:r w:rsidRPr="007B0BD0">
        <w:rPr>
          <w:rFonts w:ascii="Perpetua" w:hAnsi="Perpetua"/>
        </w:rPr>
        <w:t xml:space="preserve">objectivo comportamental das unidades produtivas, por um lado, e </w:t>
      </w:r>
      <w:r>
        <w:rPr>
          <w:rFonts w:ascii="Perpetua" w:hAnsi="Perpetua"/>
        </w:rPr>
        <w:t xml:space="preserve">dos </w:t>
      </w:r>
      <w:r w:rsidRPr="007B0BD0">
        <w:rPr>
          <w:rFonts w:ascii="Perpetua" w:hAnsi="Perpetua"/>
        </w:rPr>
        <w:t xml:space="preserve">dados estatísticos </w:t>
      </w:r>
      <w:r>
        <w:rPr>
          <w:rFonts w:ascii="Perpetua" w:hAnsi="Perpetua"/>
        </w:rPr>
        <w:t xml:space="preserve">disponíveis </w:t>
      </w:r>
      <w:r w:rsidRPr="007B0BD0">
        <w:rPr>
          <w:rFonts w:ascii="Perpetua" w:hAnsi="Perpetua"/>
        </w:rPr>
        <w:t xml:space="preserve">sobre </w:t>
      </w:r>
      <w:r>
        <w:rPr>
          <w:rFonts w:ascii="Perpetua" w:hAnsi="Perpetua"/>
        </w:rPr>
        <w:t xml:space="preserve">as </w:t>
      </w:r>
      <w:r w:rsidRPr="007B0BD0">
        <w:rPr>
          <w:rFonts w:ascii="Perpetua" w:hAnsi="Perpetua"/>
        </w:rPr>
        <w:t>unidades produtivas</w:t>
      </w:r>
      <w:r>
        <w:rPr>
          <w:rFonts w:ascii="Perpetua" w:hAnsi="Perpetua"/>
        </w:rPr>
        <w:t xml:space="preserve"> </w:t>
      </w:r>
      <w:r w:rsidR="0033195E">
        <w:rPr>
          <w:rFonts w:ascii="Perpetua" w:hAnsi="Perpetua"/>
        </w:rPr>
        <w:t>(</w:t>
      </w:r>
      <w:r w:rsidRPr="007B0BD0">
        <w:rPr>
          <w:rFonts w:ascii="Perpetua" w:hAnsi="Perpetua"/>
        </w:rPr>
        <w:t>preços, quantidades e qualidade dos serviços e</w:t>
      </w:r>
      <w:r w:rsidR="0033195E">
        <w:rPr>
          <w:rFonts w:ascii="Perpetua" w:hAnsi="Perpetua"/>
        </w:rPr>
        <w:t xml:space="preserve"> factores produtivos utilizados),</w:t>
      </w:r>
      <w:r>
        <w:rPr>
          <w:rFonts w:ascii="Perpetua" w:hAnsi="Perpetua"/>
        </w:rPr>
        <w:t xml:space="preserve"> por outro.</w:t>
      </w:r>
    </w:p>
    <w:p w:rsidR="0080386E" w:rsidRDefault="0080386E" w:rsidP="0080386E">
      <w:pPr>
        <w:spacing w:line="360" w:lineRule="auto"/>
        <w:jc w:val="both"/>
        <w:rPr>
          <w:rFonts w:ascii="Perpetua" w:hAnsi="Perpetua"/>
        </w:rPr>
      </w:pPr>
    </w:p>
    <w:p w:rsidR="000043AA" w:rsidRDefault="0080386E" w:rsidP="000043AA">
      <w:pPr>
        <w:spacing w:line="360" w:lineRule="auto"/>
        <w:jc w:val="both"/>
        <w:rPr>
          <w:rFonts w:ascii="Perpetua" w:hAnsi="Perpetua"/>
        </w:rPr>
      </w:pPr>
      <w:r>
        <w:rPr>
          <w:rFonts w:ascii="Perpetua" w:hAnsi="Perpetua"/>
        </w:rPr>
        <w:t>Por fim, a interpretação e a utilidade dos resultados da aplicação das duas abordagens</w:t>
      </w:r>
      <w:r w:rsidRPr="00481807">
        <w:rPr>
          <w:rFonts w:ascii="Perpetua" w:hAnsi="Perpetua"/>
        </w:rPr>
        <w:t xml:space="preserve"> </w:t>
      </w:r>
      <w:r>
        <w:rPr>
          <w:rFonts w:ascii="Perpetua" w:hAnsi="Perpetua"/>
        </w:rPr>
        <w:t>apresentadas, e respectivas técnicas, ao estudo da produção de serviços judiciais são diferentes. No caso da estimação de f</w:t>
      </w:r>
      <w:r w:rsidR="0033195E">
        <w:rPr>
          <w:rFonts w:ascii="Perpetua" w:hAnsi="Perpetua"/>
        </w:rPr>
        <w:t xml:space="preserve">ronteiras </w:t>
      </w:r>
      <w:r>
        <w:rPr>
          <w:rFonts w:ascii="Perpetua" w:hAnsi="Perpetua"/>
        </w:rPr>
        <w:t xml:space="preserve">de produção de melhor prática através dos métodos de fronteira, em que os factores contextuais tenham sido apropriadamente tidos em conta, os </w:t>
      </w:r>
      <w:r w:rsidRPr="001167E8">
        <w:rPr>
          <w:rFonts w:ascii="Perpetua" w:hAnsi="Perpetua"/>
          <w:i/>
        </w:rPr>
        <w:t>scores</w:t>
      </w:r>
      <w:r>
        <w:rPr>
          <w:rFonts w:ascii="Perpetua" w:hAnsi="Perpetua"/>
        </w:rPr>
        <w:t xml:space="preserve"> obtidos são uma medida multidimensional da ineficiência </w:t>
      </w:r>
      <w:r w:rsidR="0033195E">
        <w:rPr>
          <w:rFonts w:ascii="Perpetua" w:hAnsi="Perpetua"/>
        </w:rPr>
        <w:t>produtiva</w:t>
      </w:r>
      <w:r>
        <w:rPr>
          <w:rFonts w:ascii="Perpetua" w:hAnsi="Perpetua"/>
        </w:rPr>
        <w:t xml:space="preserve"> relativa de cada unidade produtiva, cuja interpretação mais comum é a capacidade do gestor da unidade produtiva. No caso das funções de produção clássicas utilizando técnicas clássicas de regressão, em que a variável explicada corresponde à medida de eficiência produtiva média das unidades produtivas, </w:t>
      </w:r>
      <w:r w:rsidR="004E5D3A" w:rsidRPr="004E5D3A">
        <w:rPr>
          <w:rFonts w:ascii="Perpetua" w:hAnsi="Perpetua"/>
          <w:i/>
        </w:rPr>
        <w:t>i.e.</w:t>
      </w:r>
      <w:r w:rsidR="00941AEA">
        <w:rPr>
          <w:rFonts w:ascii="Perpetua" w:hAnsi="Perpetua"/>
        </w:rPr>
        <w:t xml:space="preserve">, </w:t>
      </w:r>
      <w:r w:rsidR="0033195E">
        <w:rPr>
          <w:rFonts w:ascii="Perpetua" w:hAnsi="Perpetua"/>
        </w:rPr>
        <w:t>a</w:t>
      </w:r>
      <w:r>
        <w:rPr>
          <w:rFonts w:ascii="Perpetua" w:hAnsi="Perpetua"/>
        </w:rPr>
        <w:t>o ponto em que</w:t>
      </w:r>
      <w:r w:rsidR="00B76857">
        <w:rPr>
          <w:rFonts w:ascii="Perpetua" w:hAnsi="Perpetua"/>
        </w:rPr>
        <w:t xml:space="preserve"> estes</w:t>
      </w:r>
      <w:r>
        <w:rPr>
          <w:rFonts w:ascii="Perpetua" w:hAnsi="Perpetua"/>
        </w:rPr>
        <w:t xml:space="preserve"> se situam na função de produção média, a forma funcional assumida e as variáveis explicativas introduzidas na regressão permitem validar hipóteses sobre as propriedades tecnológicas da função de produção média (grau de economias de escala, elasticidade de substituição entre factores produtivos</w:t>
      </w:r>
      <w:r w:rsidR="008932FB">
        <w:rPr>
          <w:rFonts w:ascii="Perpetua" w:hAnsi="Perpetua"/>
        </w:rPr>
        <w:t>,</w:t>
      </w:r>
      <w:r>
        <w:rPr>
          <w:rFonts w:ascii="Perpetua" w:hAnsi="Perpetua"/>
        </w:rPr>
        <w:t xml:space="preserve"> etc.). </w:t>
      </w: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2A56EA" w:rsidRDefault="002A56EA" w:rsidP="000043AA">
      <w:pPr>
        <w:spacing w:line="360" w:lineRule="auto"/>
        <w:jc w:val="both"/>
        <w:rPr>
          <w:rFonts w:ascii="Perpetua" w:hAnsi="Perpetua"/>
        </w:rPr>
      </w:pPr>
    </w:p>
    <w:p w:rsidR="00825F90" w:rsidRPr="000043AA" w:rsidRDefault="0080386E" w:rsidP="006D0C0A">
      <w:pPr>
        <w:pStyle w:val="Heading1"/>
      </w:pPr>
      <w:bookmarkStart w:id="86" w:name="_Toc206648469"/>
      <w:bookmarkStart w:id="87" w:name="_Toc206648470"/>
      <w:bookmarkStart w:id="88" w:name="_Toc206648471"/>
      <w:bookmarkStart w:id="89" w:name="_Toc206652071"/>
      <w:bookmarkStart w:id="90" w:name="_Toc220484472"/>
      <w:bookmarkEnd w:id="86"/>
      <w:bookmarkEnd w:id="87"/>
      <w:r w:rsidRPr="000043AA">
        <w:t xml:space="preserve">Análise </w:t>
      </w:r>
      <w:r w:rsidR="009F1342">
        <w:t xml:space="preserve">económica </w:t>
      </w:r>
      <w:r w:rsidRPr="000043AA">
        <w:t xml:space="preserve">da produção de serviços judiciais no sistema judicial </w:t>
      </w:r>
      <w:r w:rsidR="001F0455">
        <w:t>p</w:t>
      </w:r>
      <w:r w:rsidRPr="000043AA">
        <w:t>ortuguês</w:t>
      </w:r>
      <w:bookmarkEnd w:id="88"/>
      <w:bookmarkEnd w:id="89"/>
      <w:bookmarkEnd w:id="90"/>
    </w:p>
    <w:p w:rsidR="00825F90" w:rsidRDefault="00825F90" w:rsidP="00A52DF1"/>
    <w:p w:rsidR="0080386E" w:rsidRDefault="00A52DF1" w:rsidP="00A52DF1">
      <w:pPr>
        <w:pStyle w:val="Heading2"/>
      </w:pPr>
      <w:bookmarkStart w:id="91" w:name="_Toc206652072"/>
      <w:bookmarkStart w:id="92" w:name="_Toc220484473"/>
      <w:r>
        <w:t>4.1. I</w:t>
      </w:r>
      <w:r w:rsidR="00CE6829">
        <w:t>n</w:t>
      </w:r>
      <w:r>
        <w:t>trodução</w:t>
      </w:r>
      <w:bookmarkEnd w:id="91"/>
      <w:bookmarkEnd w:id="92"/>
      <w:r>
        <w:t xml:space="preserve"> </w:t>
      </w:r>
    </w:p>
    <w:p w:rsidR="001F0455" w:rsidRDefault="001F0455" w:rsidP="001F0455">
      <w:pPr>
        <w:spacing w:line="360" w:lineRule="auto"/>
        <w:jc w:val="both"/>
        <w:rPr>
          <w:rFonts w:ascii="Perpetua" w:hAnsi="Perpetua"/>
        </w:rPr>
      </w:pPr>
    </w:p>
    <w:p w:rsidR="001F0455" w:rsidRPr="008C168F" w:rsidRDefault="001F0455" w:rsidP="001F0455">
      <w:pPr>
        <w:keepNext/>
        <w:framePr w:dropCap="drop" w:lines="3" w:wrap="around" w:vAnchor="text" w:hAnchor="text"/>
        <w:spacing w:line="1237" w:lineRule="exact"/>
        <w:jc w:val="both"/>
        <w:textAlignment w:val="baseline"/>
        <w:rPr>
          <w:rFonts w:ascii="Perpetua" w:hAnsi="Perpetua"/>
          <w:position w:val="-3"/>
          <w:sz w:val="172"/>
        </w:rPr>
      </w:pPr>
      <w:r>
        <w:rPr>
          <w:rFonts w:ascii="Perpetua" w:hAnsi="Perpetua"/>
          <w:position w:val="-3"/>
          <w:sz w:val="172"/>
        </w:rPr>
        <w:t>E</w:t>
      </w:r>
    </w:p>
    <w:p w:rsidR="00A52DF1" w:rsidRDefault="001F0455" w:rsidP="0080386E">
      <w:pPr>
        <w:spacing w:line="360" w:lineRule="auto"/>
        <w:jc w:val="both"/>
        <w:rPr>
          <w:rFonts w:ascii="Perpetua" w:hAnsi="Perpetua"/>
        </w:rPr>
      </w:pPr>
      <w:r>
        <w:rPr>
          <w:rFonts w:ascii="Perpetua" w:hAnsi="Perpetua"/>
        </w:rPr>
        <w:t>este capítulo inicia-se</w:t>
      </w:r>
      <w:r w:rsidR="00EC330B">
        <w:rPr>
          <w:rFonts w:ascii="Perpetua" w:hAnsi="Perpetua"/>
        </w:rPr>
        <w:t xml:space="preserve"> (secção 4.2</w:t>
      </w:r>
      <w:r w:rsidR="007F1308">
        <w:rPr>
          <w:rFonts w:ascii="Perpetua" w:hAnsi="Perpetua"/>
        </w:rPr>
        <w:t>.</w:t>
      </w:r>
      <w:r w:rsidR="00EC330B">
        <w:rPr>
          <w:rFonts w:ascii="Perpetua" w:hAnsi="Perpetua"/>
        </w:rPr>
        <w:t xml:space="preserve">) </w:t>
      </w:r>
      <w:r>
        <w:rPr>
          <w:rFonts w:ascii="Perpetua" w:hAnsi="Perpetua"/>
        </w:rPr>
        <w:t xml:space="preserve">com a formulação das hipóteses de teste sobre os factores tecnológicos e </w:t>
      </w:r>
      <w:r w:rsidR="00470EB1">
        <w:rPr>
          <w:rFonts w:ascii="Perpetua" w:hAnsi="Perpetua"/>
        </w:rPr>
        <w:t xml:space="preserve">de contexto </w:t>
      </w:r>
      <w:r>
        <w:rPr>
          <w:rFonts w:ascii="Perpetua" w:hAnsi="Perpetua"/>
        </w:rPr>
        <w:t xml:space="preserve">que condicionam a </w:t>
      </w:r>
      <w:r w:rsidR="001658CE">
        <w:rPr>
          <w:rFonts w:ascii="Perpetua" w:hAnsi="Perpetua"/>
        </w:rPr>
        <w:t xml:space="preserve">eficiência produtiva dos tribunais </w:t>
      </w:r>
      <w:r w:rsidR="00340DFD">
        <w:rPr>
          <w:rFonts w:ascii="Perpetua" w:hAnsi="Perpetua"/>
        </w:rPr>
        <w:t>judiciais</w:t>
      </w:r>
      <w:r>
        <w:rPr>
          <w:rFonts w:ascii="Perpetua" w:hAnsi="Perpetua"/>
        </w:rPr>
        <w:t xml:space="preserve">, a par de um conjunto de factores cujo efeito na produtividade judicial média, não sendo previsível por nenhuma teoria em particular, </w:t>
      </w:r>
      <w:r w:rsidR="00470EB1">
        <w:rPr>
          <w:rFonts w:ascii="Perpetua" w:hAnsi="Perpetua"/>
        </w:rPr>
        <w:t>se pretende explorar</w:t>
      </w:r>
      <w:r w:rsidR="007374A3">
        <w:rPr>
          <w:rFonts w:ascii="Perpetua" w:hAnsi="Perpetua"/>
        </w:rPr>
        <w:t xml:space="preserve"> na análise de regressão</w:t>
      </w:r>
      <w:r w:rsidR="00470EB1">
        <w:rPr>
          <w:rFonts w:ascii="Perpetua" w:hAnsi="Perpetua"/>
        </w:rPr>
        <w:t>. N</w:t>
      </w:r>
      <w:r w:rsidR="009F1342">
        <w:rPr>
          <w:rFonts w:ascii="Perpetua" w:hAnsi="Perpetua"/>
        </w:rPr>
        <w:t>a</w:t>
      </w:r>
      <w:r w:rsidR="00470EB1">
        <w:rPr>
          <w:rFonts w:ascii="Perpetua" w:hAnsi="Perpetua"/>
        </w:rPr>
        <w:t xml:space="preserve"> secção</w:t>
      </w:r>
      <w:r w:rsidR="007374A3">
        <w:rPr>
          <w:rFonts w:ascii="Perpetua" w:hAnsi="Perpetua"/>
        </w:rPr>
        <w:t xml:space="preserve"> 4.3.</w:t>
      </w:r>
      <w:r w:rsidR="00470EB1">
        <w:rPr>
          <w:rFonts w:ascii="Perpetua" w:hAnsi="Perpetua"/>
        </w:rPr>
        <w:t xml:space="preserve"> </w:t>
      </w:r>
      <w:r>
        <w:rPr>
          <w:rFonts w:ascii="Perpetua" w:hAnsi="Perpetua"/>
        </w:rPr>
        <w:t>descreve</w:t>
      </w:r>
      <w:r w:rsidR="00470EB1">
        <w:rPr>
          <w:rFonts w:ascii="Perpetua" w:hAnsi="Perpetua"/>
        </w:rPr>
        <w:t xml:space="preserve">m-se </w:t>
      </w:r>
      <w:r>
        <w:rPr>
          <w:rFonts w:ascii="Perpetua" w:hAnsi="Perpetua"/>
        </w:rPr>
        <w:t xml:space="preserve">as escolhas metodológicas respeitantes aos dados estatísticos e aos vários aspectos da modelação econométrica da produção de serviços judiciais, designadamente: a representação abstracta da produção, as variáveis dos serviços, dos factores produtivos, da qualidade da decisão judicial, dos factores de contexto, dos factores de controlo e das restantes hipóteses teóricas que </w:t>
      </w:r>
      <w:r w:rsidR="00043617">
        <w:rPr>
          <w:rFonts w:ascii="Perpetua" w:hAnsi="Perpetua"/>
        </w:rPr>
        <w:t xml:space="preserve">se </w:t>
      </w:r>
      <w:r>
        <w:rPr>
          <w:rFonts w:ascii="Perpetua" w:hAnsi="Perpetua"/>
        </w:rPr>
        <w:t>pretendem testar empiricamente. Sempre que justificado, procurar</w:t>
      </w:r>
      <w:r w:rsidR="00043617">
        <w:rPr>
          <w:rFonts w:ascii="Perpetua" w:hAnsi="Perpetua"/>
        </w:rPr>
        <w:t>-s</w:t>
      </w:r>
      <w:r>
        <w:rPr>
          <w:rFonts w:ascii="Perpetua" w:hAnsi="Perpetua"/>
        </w:rPr>
        <w:t>e</w:t>
      </w:r>
      <w:r w:rsidR="00043617">
        <w:rPr>
          <w:rFonts w:ascii="Perpetua" w:hAnsi="Perpetua"/>
        </w:rPr>
        <w:t>-á</w:t>
      </w:r>
      <w:r>
        <w:rPr>
          <w:rFonts w:ascii="Perpetua" w:hAnsi="Perpetua"/>
        </w:rPr>
        <w:t xml:space="preserve"> discutir as opções metodológicas </w:t>
      </w:r>
      <w:r w:rsidR="00043617">
        <w:rPr>
          <w:rFonts w:ascii="Perpetua" w:hAnsi="Perpetua"/>
        </w:rPr>
        <w:t xml:space="preserve">deste trabalho </w:t>
      </w:r>
      <w:r>
        <w:rPr>
          <w:rFonts w:ascii="Perpetua" w:hAnsi="Perpetua"/>
        </w:rPr>
        <w:t xml:space="preserve">face às alternativas existentes, fazendo especial referência às limitações informativas encontradas.  </w:t>
      </w:r>
    </w:p>
    <w:p w:rsidR="00A52DF1" w:rsidRDefault="00A52DF1" w:rsidP="0080386E">
      <w:pPr>
        <w:spacing w:line="360" w:lineRule="auto"/>
        <w:jc w:val="both"/>
        <w:rPr>
          <w:rFonts w:ascii="Perpetua" w:hAnsi="Perpetua"/>
        </w:rPr>
      </w:pPr>
    </w:p>
    <w:p w:rsidR="00A52DF1" w:rsidRDefault="00A52DF1" w:rsidP="00A52DF1">
      <w:pPr>
        <w:pStyle w:val="Heading2"/>
      </w:pPr>
      <w:bookmarkStart w:id="93" w:name="_Toc206652073"/>
      <w:bookmarkStart w:id="94" w:name="_Toc220484474"/>
      <w:r>
        <w:t>4.2. Formulação de h</w:t>
      </w:r>
      <w:r w:rsidR="006738AA">
        <w:t xml:space="preserve">ipóteses de teste e de relações causais </w:t>
      </w:r>
      <w:r>
        <w:t>exploratórias</w:t>
      </w:r>
      <w:bookmarkEnd w:id="93"/>
      <w:bookmarkEnd w:id="94"/>
    </w:p>
    <w:p w:rsidR="00A52DF1" w:rsidRDefault="00A52DF1"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A revisão </w:t>
      </w:r>
      <w:r w:rsidR="00A52DF1">
        <w:rPr>
          <w:rFonts w:ascii="Perpetua" w:hAnsi="Perpetua"/>
        </w:rPr>
        <w:t xml:space="preserve">da literatura efectuada no capítulo </w:t>
      </w:r>
      <w:r>
        <w:rPr>
          <w:rFonts w:ascii="Perpetua" w:hAnsi="Perpetua"/>
        </w:rPr>
        <w:t xml:space="preserve">anterior permite concluir que, com excepção da teoria da endogeneidade da produtividade judicial, há poucos resultados empíricos </w:t>
      </w:r>
      <w:r w:rsidR="00043617">
        <w:rPr>
          <w:rFonts w:ascii="Perpetua" w:hAnsi="Perpetua"/>
        </w:rPr>
        <w:t xml:space="preserve">robustos </w:t>
      </w:r>
      <w:r>
        <w:rPr>
          <w:rFonts w:ascii="Perpetua" w:hAnsi="Perpetua"/>
        </w:rPr>
        <w:t>sobre a produção de serviços judiciais e que, do ponto de vista teórico, não existe ainda uma teoria unificadora sobre os factores que condicionam a produção de serviços judiciais ou sobre o comportamento dos juízes</w:t>
      </w:r>
      <w:r>
        <w:rPr>
          <w:rStyle w:val="FootnoteReference"/>
          <w:rFonts w:ascii="Perpetua" w:hAnsi="Perpetua"/>
        </w:rPr>
        <w:footnoteReference w:id="80"/>
      </w:r>
      <w:r w:rsidR="00043617">
        <w:rPr>
          <w:rFonts w:ascii="Perpetua" w:hAnsi="Perpetua"/>
        </w:rPr>
        <w:t>. Dali decorre que a análise empírica</w:t>
      </w:r>
      <w:r>
        <w:rPr>
          <w:rFonts w:ascii="Perpetua" w:hAnsi="Perpetua"/>
        </w:rPr>
        <w:t xml:space="preserve"> efectua</w:t>
      </w:r>
      <w:r w:rsidR="00043617">
        <w:rPr>
          <w:rFonts w:ascii="Perpetua" w:hAnsi="Perpetua"/>
        </w:rPr>
        <w:t>da</w:t>
      </w:r>
      <w:r>
        <w:rPr>
          <w:rFonts w:ascii="Perpetua" w:hAnsi="Perpetua"/>
        </w:rPr>
        <w:t xml:space="preserve"> </w:t>
      </w:r>
      <w:r w:rsidR="00043617">
        <w:rPr>
          <w:rFonts w:ascii="Perpetua" w:hAnsi="Perpetua"/>
        </w:rPr>
        <w:t xml:space="preserve">neste </w:t>
      </w:r>
      <w:proofErr w:type="gramStart"/>
      <w:r w:rsidR="00043617">
        <w:rPr>
          <w:rFonts w:ascii="Perpetua" w:hAnsi="Perpetua"/>
        </w:rPr>
        <w:t>trabalho</w:t>
      </w:r>
      <w:proofErr w:type="gramEnd"/>
      <w:r w:rsidR="00043617">
        <w:rPr>
          <w:rFonts w:ascii="Perpetua" w:hAnsi="Perpetua"/>
        </w:rPr>
        <w:t xml:space="preserve"> tenha</w:t>
      </w:r>
      <w:r>
        <w:rPr>
          <w:rFonts w:ascii="Perpetua" w:hAnsi="Perpetua"/>
        </w:rPr>
        <w:t>,</w:t>
      </w:r>
      <w:r w:rsidRPr="007F6FCE">
        <w:rPr>
          <w:rFonts w:ascii="Perpetua" w:hAnsi="Perpetua"/>
        </w:rPr>
        <w:t xml:space="preserve"> </w:t>
      </w:r>
      <w:r>
        <w:rPr>
          <w:rFonts w:ascii="Perpetua" w:hAnsi="Perpetua"/>
        </w:rPr>
        <w:t xml:space="preserve">à semelhança da abordagem adoptada em Gillespie (1976), uma natureza abrangente e essencialmente exploratória. </w:t>
      </w:r>
      <w:r w:rsidR="00043617">
        <w:rPr>
          <w:rFonts w:ascii="Perpetua" w:hAnsi="Perpetua"/>
        </w:rPr>
        <w:t xml:space="preserve">Esta </w:t>
      </w:r>
      <w:r>
        <w:rPr>
          <w:rFonts w:ascii="Perpetua" w:hAnsi="Perpetua"/>
        </w:rPr>
        <w:t>escolha reflecte uma preferência por um enquadramento teórico com maior ade</w:t>
      </w:r>
      <w:r w:rsidR="00340DFD">
        <w:rPr>
          <w:rFonts w:ascii="Perpetua" w:hAnsi="Perpetua"/>
        </w:rPr>
        <w:t>são</w:t>
      </w:r>
      <w:r>
        <w:rPr>
          <w:rFonts w:ascii="Perpetua" w:hAnsi="Perpetua"/>
        </w:rPr>
        <w:t xml:space="preserve"> à realidade da produção de serviços judiciais, nomeadamente a concorrência de vários factores, internos e externos, para a produtividade judicial média dos tribunais, em detrimento de um enquadramento teórico elegante </w:t>
      </w:r>
      <w:r w:rsidR="00043617">
        <w:rPr>
          <w:rFonts w:ascii="Perpetua" w:hAnsi="Perpetua"/>
        </w:rPr>
        <w:t>que reflicta</w:t>
      </w:r>
      <w:r>
        <w:rPr>
          <w:rFonts w:ascii="Perpetua" w:hAnsi="Perpetua"/>
        </w:rPr>
        <w:t xml:space="preserve"> apenas uma</w:t>
      </w:r>
      <w:r w:rsidR="00CA75DF">
        <w:rPr>
          <w:rFonts w:ascii="Perpetua" w:hAnsi="Perpetua"/>
        </w:rPr>
        <w:t xml:space="preserve"> vertente </w:t>
      </w:r>
      <w:r>
        <w:rPr>
          <w:rFonts w:ascii="Perpetua" w:hAnsi="Perpetua"/>
        </w:rPr>
        <w:t>do processo produtivo de serviços judiciais</w:t>
      </w:r>
      <w:r w:rsidR="00043617">
        <w:rPr>
          <w:rFonts w:ascii="Perpetua" w:hAnsi="Perpetua"/>
        </w:rPr>
        <w:t xml:space="preserve">. </w:t>
      </w:r>
      <w:r>
        <w:rPr>
          <w:rFonts w:ascii="Perpetua" w:hAnsi="Perpetua"/>
        </w:rPr>
        <w:t>Assim, a abordagem empírica adopta</w:t>
      </w:r>
      <w:r w:rsidR="00043617">
        <w:rPr>
          <w:rFonts w:ascii="Perpetua" w:hAnsi="Perpetua"/>
        </w:rPr>
        <w:t>da</w:t>
      </w:r>
      <w:r>
        <w:rPr>
          <w:rFonts w:ascii="Perpetua" w:hAnsi="Perpetua"/>
        </w:rPr>
        <w:t xml:space="preserve"> consiste, num primeiro plano, em testar a hipótese da endogeneidade da produtividade judicial e, num segundo plano, explorar relações causais entre a eficiência </w:t>
      </w:r>
      <w:r w:rsidR="00124B2F">
        <w:rPr>
          <w:rFonts w:ascii="Perpetua" w:hAnsi="Perpetua"/>
        </w:rPr>
        <w:t xml:space="preserve">produtiva </w:t>
      </w:r>
      <w:r>
        <w:rPr>
          <w:rFonts w:ascii="Perpetua" w:hAnsi="Perpetua"/>
        </w:rPr>
        <w:t>dos tribunais</w:t>
      </w:r>
      <w:r>
        <w:rPr>
          <w:rStyle w:val="FootnoteReference"/>
          <w:rFonts w:ascii="Perpetua" w:hAnsi="Perpetua"/>
        </w:rPr>
        <w:footnoteReference w:id="81"/>
      </w:r>
      <w:r>
        <w:rPr>
          <w:rFonts w:ascii="Perpetua" w:hAnsi="Perpetua"/>
        </w:rPr>
        <w:t xml:space="preserve"> e um conjunto de variáveis representativas de factores internos e externos à estrutura produtiva dos tribunais e que poderão ter, à luz da teoria económica e do funcionamento dos tribunais, uma influência na produção de serviços judiciais </w:t>
      </w:r>
      <w:r w:rsidR="00FC58D3">
        <w:rPr>
          <w:rFonts w:ascii="Perpetua" w:hAnsi="Perpetua"/>
        </w:rPr>
        <w:t>nos</w:t>
      </w:r>
      <w:r>
        <w:rPr>
          <w:rFonts w:ascii="Perpetua" w:hAnsi="Perpetua"/>
        </w:rPr>
        <w:t xml:space="preserve"> tribunais.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u w:val="single"/>
        </w:rPr>
        <w:t>A</w:t>
      </w:r>
      <w:r w:rsidRPr="00DD1609">
        <w:rPr>
          <w:rFonts w:ascii="Perpetua" w:hAnsi="Perpetua"/>
          <w:u w:val="single"/>
        </w:rPr>
        <w:t xml:space="preserve"> endogeneidade da produtividade judicial</w:t>
      </w:r>
      <w:r w:rsidR="007635C8">
        <w:rPr>
          <w:rFonts w:ascii="Perpetua" w:hAnsi="Perpetua"/>
        </w:rPr>
        <w:t>: A</w:t>
      </w:r>
      <w:r>
        <w:rPr>
          <w:rFonts w:ascii="Perpetua" w:hAnsi="Perpetua"/>
        </w:rPr>
        <w:t xml:space="preserve"> primeir</w:t>
      </w:r>
      <w:r w:rsidR="007635C8">
        <w:rPr>
          <w:rFonts w:ascii="Perpetua" w:hAnsi="Perpetua"/>
        </w:rPr>
        <w:t>a</w:t>
      </w:r>
      <w:r>
        <w:rPr>
          <w:rFonts w:ascii="Perpetua" w:hAnsi="Perpetua"/>
        </w:rPr>
        <w:t xml:space="preserve"> </w:t>
      </w:r>
      <w:r w:rsidR="007635C8">
        <w:rPr>
          <w:rFonts w:ascii="Perpetua" w:hAnsi="Perpetua"/>
        </w:rPr>
        <w:t xml:space="preserve">hipótese </w:t>
      </w:r>
      <w:r>
        <w:rPr>
          <w:rFonts w:ascii="Perpetua" w:hAnsi="Perpetua"/>
        </w:rPr>
        <w:t xml:space="preserve">que </w:t>
      </w:r>
      <w:r w:rsidR="00340DFD">
        <w:rPr>
          <w:rFonts w:ascii="Perpetua" w:hAnsi="Perpetua"/>
        </w:rPr>
        <w:t xml:space="preserve">se </w:t>
      </w:r>
      <w:r>
        <w:rPr>
          <w:rFonts w:ascii="Perpetua" w:hAnsi="Perpetua"/>
        </w:rPr>
        <w:t xml:space="preserve">pretende testar </w:t>
      </w:r>
      <w:r w:rsidR="007635C8">
        <w:rPr>
          <w:rFonts w:ascii="Perpetua" w:hAnsi="Perpetua"/>
        </w:rPr>
        <w:t xml:space="preserve">no contexto da </w:t>
      </w:r>
      <w:r>
        <w:rPr>
          <w:rFonts w:ascii="Perpetua" w:hAnsi="Perpetua"/>
        </w:rPr>
        <w:t xml:space="preserve">produção de serviços judiciais no sistema judicial português é </w:t>
      </w:r>
      <w:r w:rsidR="007635C8">
        <w:rPr>
          <w:rFonts w:ascii="Perpetua" w:hAnsi="Perpetua"/>
        </w:rPr>
        <w:t>a da</w:t>
      </w:r>
      <w:r>
        <w:rPr>
          <w:rFonts w:ascii="Perpetua" w:hAnsi="Perpetua"/>
        </w:rPr>
        <w:t xml:space="preserve"> endogeneidade da produtividade judicial. </w:t>
      </w:r>
      <w:r w:rsidR="0038606A">
        <w:rPr>
          <w:rFonts w:ascii="Perpetua" w:hAnsi="Perpetua"/>
        </w:rPr>
        <w:t xml:space="preserve">A teoria da endogeneidade da produtividade judicial </w:t>
      </w:r>
      <w:r w:rsidR="00340DFD">
        <w:rPr>
          <w:rFonts w:ascii="Perpetua" w:hAnsi="Perpetua"/>
        </w:rPr>
        <w:t>assenta</w:t>
      </w:r>
      <w:r w:rsidR="007635C8">
        <w:rPr>
          <w:rFonts w:ascii="Perpetua" w:hAnsi="Perpetua"/>
        </w:rPr>
        <w:t xml:space="preserve"> em duas premissas sobre </w:t>
      </w:r>
      <w:r w:rsidR="0038606A">
        <w:rPr>
          <w:rFonts w:ascii="Perpetua" w:hAnsi="Perpetua"/>
        </w:rPr>
        <w:t>o comportamento dos trabalhadores judiciais</w:t>
      </w:r>
      <w:r w:rsidR="007635C8">
        <w:rPr>
          <w:rFonts w:ascii="Perpetua" w:hAnsi="Perpetua"/>
        </w:rPr>
        <w:t>: os trabalhadores judicia</w:t>
      </w:r>
      <w:r w:rsidR="00D627C6">
        <w:rPr>
          <w:rFonts w:ascii="Perpetua" w:hAnsi="Perpetua"/>
        </w:rPr>
        <w:t>i</w:t>
      </w:r>
      <w:r w:rsidR="007635C8">
        <w:rPr>
          <w:rFonts w:ascii="Perpetua" w:hAnsi="Perpetua"/>
        </w:rPr>
        <w:t xml:space="preserve">s perdem </w:t>
      </w:r>
      <w:r w:rsidR="0038606A">
        <w:rPr>
          <w:rFonts w:ascii="Perpetua" w:hAnsi="Perpetua"/>
        </w:rPr>
        <w:t xml:space="preserve">utilidade </w:t>
      </w:r>
      <w:r w:rsidR="007635C8">
        <w:rPr>
          <w:rFonts w:ascii="Perpetua" w:hAnsi="Perpetua"/>
        </w:rPr>
        <w:t>quan</w:t>
      </w:r>
      <w:r w:rsidR="0038606A">
        <w:rPr>
          <w:rFonts w:ascii="Perpetua" w:hAnsi="Perpetua"/>
        </w:rPr>
        <w:t xml:space="preserve">do </w:t>
      </w:r>
      <w:r w:rsidR="007635C8">
        <w:rPr>
          <w:rFonts w:ascii="Perpetua" w:hAnsi="Perpetua"/>
        </w:rPr>
        <w:t xml:space="preserve">exercem </w:t>
      </w:r>
      <w:r w:rsidR="0038606A">
        <w:rPr>
          <w:rFonts w:ascii="Perpetua" w:hAnsi="Perpetua"/>
        </w:rPr>
        <w:t xml:space="preserve">esforço </w:t>
      </w:r>
      <w:r w:rsidR="007635C8">
        <w:rPr>
          <w:rFonts w:ascii="Perpetua" w:hAnsi="Perpetua"/>
        </w:rPr>
        <w:t>(necessário para findar processos judiciais</w:t>
      </w:r>
      <w:r w:rsidR="00D627C6">
        <w:rPr>
          <w:rFonts w:ascii="Perpetua" w:hAnsi="Perpetua"/>
        </w:rPr>
        <w:t xml:space="preserve"> e outros serviços intermédios</w:t>
      </w:r>
      <w:r w:rsidR="007635C8">
        <w:rPr>
          <w:rFonts w:ascii="Perpetua" w:hAnsi="Perpetua"/>
        </w:rPr>
        <w:t xml:space="preserve">) </w:t>
      </w:r>
      <w:r w:rsidR="0038606A">
        <w:rPr>
          <w:rFonts w:ascii="Perpetua" w:hAnsi="Perpetua"/>
        </w:rPr>
        <w:t xml:space="preserve">e </w:t>
      </w:r>
      <w:r w:rsidR="007635C8">
        <w:rPr>
          <w:rFonts w:ascii="Perpetua" w:hAnsi="Perpetua"/>
        </w:rPr>
        <w:t>pe</w:t>
      </w:r>
      <w:r w:rsidR="00D627C6">
        <w:rPr>
          <w:rFonts w:ascii="Perpetua" w:hAnsi="Perpetua"/>
        </w:rPr>
        <w:t xml:space="preserve">rdem utilidade </w:t>
      </w:r>
      <w:r w:rsidR="007F01BB">
        <w:rPr>
          <w:rFonts w:ascii="Perpetua" w:hAnsi="Perpetua"/>
        </w:rPr>
        <w:t>quando a</w:t>
      </w:r>
      <w:r w:rsidR="00D627C6">
        <w:rPr>
          <w:rFonts w:ascii="Perpetua" w:hAnsi="Perpetua"/>
        </w:rPr>
        <w:t>s pendências processuais crescem</w:t>
      </w:r>
      <w:r w:rsidR="0038606A">
        <w:rPr>
          <w:rFonts w:ascii="Perpetua" w:hAnsi="Perpetua"/>
        </w:rPr>
        <w:t xml:space="preserve">. Esta </w:t>
      </w:r>
      <w:r w:rsidR="00D627C6">
        <w:rPr>
          <w:rFonts w:ascii="Perpetua" w:hAnsi="Perpetua"/>
        </w:rPr>
        <w:t xml:space="preserve">caracterização do comportamento dos trabalhadores judiciais </w:t>
      </w:r>
      <w:r w:rsidR="00340DFD">
        <w:rPr>
          <w:rFonts w:ascii="Perpetua" w:hAnsi="Perpetua"/>
        </w:rPr>
        <w:t>adequa-se</w:t>
      </w:r>
      <w:r w:rsidR="00D627C6">
        <w:rPr>
          <w:rFonts w:ascii="Perpetua" w:hAnsi="Perpetua"/>
        </w:rPr>
        <w:t xml:space="preserve"> bem a</w:t>
      </w:r>
      <w:r w:rsidR="0038606A">
        <w:rPr>
          <w:rFonts w:ascii="Perpetua" w:hAnsi="Perpetua"/>
        </w:rPr>
        <w:t xml:space="preserve">o </w:t>
      </w:r>
      <w:r w:rsidR="00D627C6">
        <w:rPr>
          <w:rFonts w:ascii="Perpetua" w:hAnsi="Perpetua"/>
        </w:rPr>
        <w:t xml:space="preserve">funcionamento do </w:t>
      </w:r>
      <w:r w:rsidR="0038606A">
        <w:rPr>
          <w:rFonts w:ascii="Perpetua" w:hAnsi="Perpetua"/>
        </w:rPr>
        <w:t xml:space="preserve">sistema judicial português, onde </w:t>
      </w:r>
      <w:r w:rsidR="001037C2">
        <w:rPr>
          <w:rFonts w:ascii="Perpetua" w:hAnsi="Perpetua"/>
        </w:rPr>
        <w:t xml:space="preserve">os </w:t>
      </w:r>
      <w:r w:rsidR="00D627C6">
        <w:rPr>
          <w:rFonts w:ascii="Perpetua" w:hAnsi="Perpetua"/>
        </w:rPr>
        <w:t>trabalhadores judiciais</w:t>
      </w:r>
      <w:r w:rsidR="005A70A9">
        <w:rPr>
          <w:rFonts w:ascii="Perpetua" w:hAnsi="Perpetua"/>
        </w:rPr>
        <w:t xml:space="preserve"> se comportam como os restantes indivíduos, no sentido em que são agentes económicos que respondem a</w:t>
      </w:r>
      <w:r w:rsidR="00EF095D">
        <w:rPr>
          <w:rFonts w:ascii="Perpetua" w:hAnsi="Perpetua"/>
        </w:rPr>
        <w:t>o</w:t>
      </w:r>
      <w:r w:rsidR="005A70A9">
        <w:rPr>
          <w:rFonts w:ascii="Perpetua" w:hAnsi="Perpetua"/>
        </w:rPr>
        <w:t xml:space="preserve"> conjunto de incentivos</w:t>
      </w:r>
      <w:r w:rsidR="00545786">
        <w:rPr>
          <w:rFonts w:ascii="Perpetua" w:hAnsi="Perpetua"/>
        </w:rPr>
        <w:t xml:space="preserve"> que lhes é</w:t>
      </w:r>
      <w:r w:rsidR="00EF095D">
        <w:rPr>
          <w:rFonts w:ascii="Perpetua" w:hAnsi="Perpetua"/>
        </w:rPr>
        <w:t xml:space="preserve"> oferecido</w:t>
      </w:r>
      <w:r w:rsidR="00545786">
        <w:rPr>
          <w:rFonts w:ascii="Perpetua" w:hAnsi="Perpetua"/>
        </w:rPr>
        <w:t xml:space="preserve"> e</w:t>
      </w:r>
      <w:r w:rsidR="005A70A9">
        <w:rPr>
          <w:rFonts w:ascii="Perpetua" w:hAnsi="Perpetua"/>
        </w:rPr>
        <w:t xml:space="preserve"> </w:t>
      </w:r>
      <w:r w:rsidR="0038606A">
        <w:rPr>
          <w:rFonts w:ascii="Perpetua" w:hAnsi="Perpetua"/>
        </w:rPr>
        <w:t>onde a</w:t>
      </w:r>
      <w:r w:rsidR="0038606A" w:rsidRPr="0038606A">
        <w:rPr>
          <w:rFonts w:ascii="Perpetua" w:hAnsi="Perpetua"/>
        </w:rPr>
        <w:t xml:space="preserve"> principal variável </w:t>
      </w:r>
      <w:r w:rsidR="005A70A9">
        <w:rPr>
          <w:rFonts w:ascii="Perpetua" w:hAnsi="Perpetua"/>
        </w:rPr>
        <w:t xml:space="preserve">objectiva </w:t>
      </w:r>
      <w:r w:rsidR="0038606A" w:rsidRPr="0038606A">
        <w:rPr>
          <w:rFonts w:ascii="Perpetua" w:hAnsi="Perpetua"/>
        </w:rPr>
        <w:t>de avaliação de desempenho dos judiciais e</w:t>
      </w:r>
      <w:r w:rsidR="00EE685E">
        <w:rPr>
          <w:rFonts w:ascii="Perpetua" w:hAnsi="Perpetua"/>
        </w:rPr>
        <w:t>, consequ</w:t>
      </w:r>
      <w:r w:rsidR="00484CA8">
        <w:rPr>
          <w:rFonts w:ascii="Perpetua" w:hAnsi="Perpetua"/>
        </w:rPr>
        <w:t>e</w:t>
      </w:r>
      <w:r w:rsidR="00EE685E">
        <w:rPr>
          <w:rFonts w:ascii="Perpetua" w:hAnsi="Perpetua"/>
        </w:rPr>
        <w:t>ntemente, dos trabalhadores judiciais</w:t>
      </w:r>
      <w:r w:rsidR="00545786">
        <w:rPr>
          <w:rFonts w:ascii="Perpetua" w:hAnsi="Perpetua"/>
        </w:rPr>
        <w:t>,</w:t>
      </w:r>
      <w:r w:rsidR="0038606A" w:rsidRPr="0038606A">
        <w:rPr>
          <w:rFonts w:ascii="Perpetua" w:hAnsi="Perpetua"/>
        </w:rPr>
        <w:t xml:space="preserve"> é a quantidade de processos pendentes </w:t>
      </w:r>
      <w:r w:rsidR="00EE685E">
        <w:rPr>
          <w:rFonts w:ascii="Perpetua" w:hAnsi="Perpetua"/>
        </w:rPr>
        <w:t xml:space="preserve">(ou a pendência processual) </w:t>
      </w:r>
      <w:r w:rsidR="0038606A" w:rsidRPr="0038606A">
        <w:rPr>
          <w:rFonts w:ascii="Perpetua" w:hAnsi="Perpetua"/>
        </w:rPr>
        <w:t>por tribunal e magistrado judicial</w:t>
      </w:r>
      <w:r w:rsidR="005A70A9">
        <w:rPr>
          <w:rStyle w:val="FootnoteReference"/>
          <w:rFonts w:ascii="Perpetua" w:hAnsi="Perpetua"/>
        </w:rPr>
        <w:footnoteReference w:id="82"/>
      </w:r>
      <w:r w:rsidR="00EE685E">
        <w:rPr>
          <w:rFonts w:ascii="Perpetua" w:hAnsi="Perpetua"/>
        </w:rPr>
        <w:t>, respectivamente</w:t>
      </w:r>
      <w:r w:rsidR="0038606A" w:rsidRPr="0038606A">
        <w:rPr>
          <w:rFonts w:ascii="Perpetua" w:hAnsi="Perpetua"/>
        </w:rPr>
        <w:t>.</w:t>
      </w:r>
      <w:r>
        <w:rPr>
          <w:rFonts w:ascii="Perpetua" w:hAnsi="Perpetua"/>
        </w:rPr>
        <w:t xml:space="preserve"> </w:t>
      </w:r>
      <w:r w:rsidR="00D627C6">
        <w:rPr>
          <w:rFonts w:ascii="Perpetua" w:hAnsi="Perpetua"/>
        </w:rPr>
        <w:t>A</w:t>
      </w:r>
      <w:r w:rsidR="007635C8">
        <w:rPr>
          <w:rFonts w:ascii="Perpetua" w:hAnsi="Perpetua"/>
        </w:rPr>
        <w:t xml:space="preserve"> </w:t>
      </w:r>
      <w:r w:rsidR="00D627C6">
        <w:rPr>
          <w:rFonts w:ascii="Perpetua" w:hAnsi="Perpetua"/>
        </w:rPr>
        <w:t xml:space="preserve">verificação da hipótese da endogeneidade da produtividade judicial na </w:t>
      </w:r>
      <w:r w:rsidR="007635C8">
        <w:rPr>
          <w:rFonts w:ascii="Perpetua" w:hAnsi="Perpetua"/>
        </w:rPr>
        <w:t xml:space="preserve">produção de serviços judiciais </w:t>
      </w:r>
      <w:r w:rsidR="00D627C6">
        <w:rPr>
          <w:rFonts w:ascii="Perpetua" w:hAnsi="Perpetua"/>
        </w:rPr>
        <w:t xml:space="preserve">no sistema judicial português é tão mais relevante quanto </w:t>
      </w:r>
      <w:r w:rsidR="00491142">
        <w:rPr>
          <w:rFonts w:ascii="Perpetua" w:hAnsi="Perpetua"/>
        </w:rPr>
        <w:t xml:space="preserve">este </w:t>
      </w:r>
      <w:r w:rsidR="00D627C6">
        <w:rPr>
          <w:rFonts w:ascii="Perpetua" w:hAnsi="Perpetua"/>
        </w:rPr>
        <w:t xml:space="preserve">parece </w:t>
      </w:r>
      <w:r w:rsidR="007635C8">
        <w:rPr>
          <w:rFonts w:ascii="Perpetua" w:hAnsi="Perpetua"/>
        </w:rPr>
        <w:t xml:space="preserve">sofrer de graves problemas </w:t>
      </w:r>
      <w:r w:rsidR="00D627C6">
        <w:rPr>
          <w:rFonts w:ascii="Perpetua" w:hAnsi="Perpetua"/>
        </w:rPr>
        <w:t>no que respeita aos sistemas de</w:t>
      </w:r>
      <w:r w:rsidR="007635C8">
        <w:rPr>
          <w:rFonts w:ascii="Perpetua" w:hAnsi="Perpetua"/>
        </w:rPr>
        <w:t xml:space="preserve"> incentivos dos trabalhadores judiciais</w:t>
      </w:r>
      <w:r w:rsidR="00D627C6">
        <w:rPr>
          <w:rFonts w:ascii="Perpetua" w:hAnsi="Perpetua"/>
        </w:rPr>
        <w:t xml:space="preserve">. </w:t>
      </w:r>
      <w:r w:rsidR="009039F6">
        <w:rPr>
          <w:rFonts w:ascii="Perpetua" w:hAnsi="Perpetua"/>
        </w:rPr>
        <w:t>N</w:t>
      </w:r>
      <w:r w:rsidR="00D627C6">
        <w:rPr>
          <w:rFonts w:ascii="Perpetua" w:hAnsi="Perpetua"/>
        </w:rPr>
        <w:t>os parágrafos seguintes apresenta-se uma caracterização geral d</w:t>
      </w:r>
      <w:r w:rsidR="009039F6">
        <w:rPr>
          <w:rFonts w:ascii="Perpetua" w:hAnsi="Perpetua"/>
        </w:rPr>
        <w:t>a racionalidade subjacente à introdução</w:t>
      </w:r>
      <w:r w:rsidR="00D627C6">
        <w:rPr>
          <w:rFonts w:ascii="Perpetua" w:hAnsi="Perpetua"/>
        </w:rPr>
        <w:t xml:space="preserve"> </w:t>
      </w:r>
      <w:r w:rsidR="009039F6">
        <w:rPr>
          <w:rFonts w:ascii="Perpetua" w:hAnsi="Perpetua"/>
        </w:rPr>
        <w:t>d</w:t>
      </w:r>
      <w:r w:rsidR="00D627C6">
        <w:rPr>
          <w:rFonts w:ascii="Perpetua" w:hAnsi="Perpetua"/>
        </w:rPr>
        <w:t xml:space="preserve">e </w:t>
      </w:r>
      <w:r w:rsidR="009039F6">
        <w:rPr>
          <w:rFonts w:ascii="Perpetua" w:hAnsi="Perpetua"/>
        </w:rPr>
        <w:t>sistema de incentivos e, em particular, da sua introdução em sectores com as características do sistema judicial português. De seguida, a</w:t>
      </w:r>
      <w:r w:rsidR="009F0998">
        <w:rPr>
          <w:rFonts w:ascii="Perpetua" w:hAnsi="Perpetua"/>
        </w:rPr>
        <w:t>pós a</w:t>
      </w:r>
      <w:r w:rsidR="009173F1">
        <w:rPr>
          <w:rFonts w:ascii="Perpetua" w:hAnsi="Perpetua"/>
        </w:rPr>
        <w:t xml:space="preserve"> referência a alguns </w:t>
      </w:r>
      <w:r w:rsidR="009039F6">
        <w:rPr>
          <w:rFonts w:ascii="Perpetua" w:hAnsi="Perpetua"/>
        </w:rPr>
        <w:t>dos incentivos dos trabalhadores judiciais no sistema judicial português</w:t>
      </w:r>
      <w:r w:rsidR="009F0998">
        <w:rPr>
          <w:rFonts w:ascii="Perpetua" w:hAnsi="Perpetua"/>
        </w:rPr>
        <w:t xml:space="preserve">, </w:t>
      </w:r>
      <w:r w:rsidR="009039F6">
        <w:rPr>
          <w:rFonts w:ascii="Perpetua" w:hAnsi="Perpetua"/>
        </w:rPr>
        <w:t xml:space="preserve">apresenta-se uma previsão empírica da verificação da hipótese da endogeneidade da produtividade judicial.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Os sistemas de incentivos resultam da natureza da relação entre empregador/empregado </w:t>
      </w:r>
      <w:r w:rsidR="00AA3A9A">
        <w:rPr>
          <w:rFonts w:ascii="Perpetua" w:hAnsi="Perpetua"/>
        </w:rPr>
        <w:t>(</w:t>
      </w:r>
      <w:r>
        <w:rPr>
          <w:rFonts w:ascii="Perpetua" w:hAnsi="Perpetua"/>
        </w:rPr>
        <w:t>ou principal/agent</w:t>
      </w:r>
      <w:r w:rsidR="00AA3A9A">
        <w:rPr>
          <w:rFonts w:ascii="Perpetua" w:hAnsi="Perpetua"/>
        </w:rPr>
        <w:t>e, na terminologia da Economia d</w:t>
      </w:r>
      <w:r w:rsidR="00340DFD">
        <w:rPr>
          <w:rFonts w:ascii="Perpetua" w:hAnsi="Perpetua"/>
        </w:rPr>
        <w:t>a</w:t>
      </w:r>
      <w:r w:rsidR="00AA3A9A">
        <w:rPr>
          <w:rFonts w:ascii="Perpetua" w:hAnsi="Perpetua"/>
        </w:rPr>
        <w:t xml:space="preserve"> Incerteza e I</w:t>
      </w:r>
      <w:r>
        <w:rPr>
          <w:rFonts w:ascii="Perpetua" w:hAnsi="Perpetua"/>
        </w:rPr>
        <w:t>nformação</w:t>
      </w:r>
      <w:r w:rsidR="00AA3A9A">
        <w:rPr>
          <w:rFonts w:ascii="Perpetua" w:hAnsi="Perpetua"/>
        </w:rPr>
        <w:t>)</w:t>
      </w:r>
      <w:r>
        <w:rPr>
          <w:rFonts w:ascii="Perpetua" w:hAnsi="Perpetua"/>
        </w:rPr>
        <w:t xml:space="preserve"> e, em particular, da existência de informação assimétrica. Posner (2005:2) defende que o sistema de incentivos</w:t>
      </w:r>
      <w:r w:rsidR="00043617">
        <w:rPr>
          <w:rFonts w:ascii="Perpetua" w:hAnsi="Perpetua"/>
        </w:rPr>
        <w:t xml:space="preserve"> tipicamente</w:t>
      </w:r>
      <w:r>
        <w:rPr>
          <w:rFonts w:ascii="Perpetua" w:hAnsi="Perpetua"/>
        </w:rPr>
        <w:t xml:space="preserve"> enfrentado pelos juízes de carreira, o predominante nos sistemas jurídicos de tradição </w:t>
      </w:r>
      <w:r w:rsidR="00BC52EB">
        <w:rPr>
          <w:rFonts w:ascii="Perpetua" w:hAnsi="Perpetua"/>
        </w:rPr>
        <w:t>c</w:t>
      </w:r>
      <w:r>
        <w:rPr>
          <w:rFonts w:ascii="Perpetua" w:hAnsi="Perpetua"/>
        </w:rPr>
        <w:t>ontinental como o português, não difere em nenhum aspecto fundamental dos sistemas de incentivos presentes nas restantes carreiras da administração pública</w:t>
      </w:r>
      <w:r>
        <w:rPr>
          <w:rStyle w:val="FootnoteReference"/>
          <w:rFonts w:ascii="Perpetua" w:hAnsi="Perpetua"/>
        </w:rPr>
        <w:footnoteReference w:id="83"/>
      </w:r>
      <w:r>
        <w:rPr>
          <w:rFonts w:ascii="Perpetua" w:hAnsi="Perpetua"/>
        </w:rPr>
        <w:t>. A</w:t>
      </w:r>
      <w:r w:rsidR="00BC52EB">
        <w:rPr>
          <w:rFonts w:ascii="Perpetua" w:hAnsi="Perpetua"/>
        </w:rPr>
        <w:t xml:space="preserve"> principal característica</w:t>
      </w:r>
      <w:r>
        <w:rPr>
          <w:rFonts w:ascii="Perpetua" w:hAnsi="Perpetua"/>
        </w:rPr>
        <w:t xml:space="preserve"> desses sistemas de incentivos </w:t>
      </w:r>
      <w:r w:rsidR="00BC52EB">
        <w:rPr>
          <w:rFonts w:ascii="Perpetua" w:hAnsi="Perpetua"/>
        </w:rPr>
        <w:t xml:space="preserve">é </w:t>
      </w:r>
      <w:r>
        <w:rPr>
          <w:rFonts w:ascii="Perpetua" w:hAnsi="Perpetua"/>
        </w:rPr>
        <w:t>a importância da promoção – visto que os indivíduos entram cedo na carreira –</w:t>
      </w:r>
      <w:r w:rsidR="00043617">
        <w:rPr>
          <w:rFonts w:ascii="Perpetua" w:hAnsi="Perpetua"/>
        </w:rPr>
        <w:t>,</w:t>
      </w:r>
      <w:r>
        <w:rPr>
          <w:rFonts w:ascii="Perpetua" w:hAnsi="Perpetua"/>
        </w:rPr>
        <w:t xml:space="preserve"> </w:t>
      </w:r>
      <w:r w:rsidR="00AA3A9A">
        <w:rPr>
          <w:rFonts w:ascii="Perpetua" w:hAnsi="Perpetua"/>
        </w:rPr>
        <w:t xml:space="preserve">à </w:t>
      </w:r>
      <w:r>
        <w:rPr>
          <w:rFonts w:ascii="Perpetua" w:hAnsi="Perpetua"/>
        </w:rPr>
        <w:t xml:space="preserve">qual está associada não apenas </w:t>
      </w:r>
      <w:r w:rsidR="00AA3A9A">
        <w:rPr>
          <w:rFonts w:ascii="Perpetua" w:hAnsi="Perpetua"/>
        </w:rPr>
        <w:t>um</w:t>
      </w:r>
      <w:r>
        <w:rPr>
          <w:rFonts w:ascii="Perpetua" w:hAnsi="Perpetua"/>
        </w:rPr>
        <w:t xml:space="preserve"> aumento de responsabilidades mas também </w:t>
      </w:r>
      <w:r w:rsidR="00AA3A9A">
        <w:rPr>
          <w:rFonts w:ascii="Perpetua" w:hAnsi="Perpetua"/>
        </w:rPr>
        <w:t>um</w:t>
      </w:r>
      <w:r>
        <w:rPr>
          <w:rFonts w:ascii="Perpetua" w:hAnsi="Perpetua"/>
        </w:rPr>
        <w:t xml:space="preserve"> aumento da remuneração, e o facto de esta ser efectuada, teoricamente, com base no mérito individual. À semelhança da relação entre empregador e empregado numa empresa privada de </w:t>
      </w:r>
      <w:r w:rsidR="00340DFD">
        <w:rPr>
          <w:rFonts w:ascii="Perpetua" w:hAnsi="Perpetua"/>
        </w:rPr>
        <w:t>grande</w:t>
      </w:r>
      <w:r>
        <w:rPr>
          <w:rFonts w:ascii="Perpetua" w:hAnsi="Perpetua"/>
        </w:rPr>
        <w:t xml:space="preserve"> dimensão, os dirigentes da administração da justiça não observam o esforço efectuado pelos trabalhadores judiciais (</w:t>
      </w:r>
      <w:r w:rsidR="00043617">
        <w:rPr>
          <w:rFonts w:ascii="Perpetua" w:hAnsi="Perpetua"/>
        </w:rPr>
        <w:t xml:space="preserve">em geral, ele </w:t>
      </w:r>
      <w:r>
        <w:rPr>
          <w:rFonts w:ascii="Perpetua" w:hAnsi="Perpetua"/>
        </w:rPr>
        <w:t>não é observável) e têm custos elevados com a obs</w:t>
      </w:r>
      <w:r w:rsidR="008932FB">
        <w:rPr>
          <w:rFonts w:ascii="Perpetua" w:hAnsi="Perpetua"/>
        </w:rPr>
        <w:t>ervação/</w:t>
      </w:r>
      <w:r>
        <w:rPr>
          <w:rFonts w:ascii="Perpetua" w:hAnsi="Perpetua"/>
        </w:rPr>
        <w:t>monitorização da quantidade de trabalho efectuado</w:t>
      </w:r>
      <w:r w:rsidR="00D66125" w:rsidRPr="004532A1">
        <w:rPr>
          <w:rStyle w:val="FootnoteReference"/>
          <w:rFonts w:ascii="Perpetua" w:hAnsi="Perpetua"/>
        </w:rPr>
        <w:footnoteReference w:id="84"/>
      </w:r>
      <w:r>
        <w:rPr>
          <w:rFonts w:ascii="Perpetua" w:hAnsi="Perpetua"/>
        </w:rPr>
        <w:t xml:space="preserve"> e da qualidade da decisão judicial (apenas aplicável aos magistrados)</w:t>
      </w:r>
      <w:r w:rsidR="00545786">
        <w:rPr>
          <w:rFonts w:ascii="Perpetua" w:hAnsi="Perpetua"/>
        </w:rPr>
        <w:t xml:space="preserve"> pelos trabalhadores judiciais.</w:t>
      </w:r>
    </w:p>
    <w:p w:rsidR="00545786" w:rsidRDefault="00545786" w:rsidP="0080386E">
      <w:pPr>
        <w:spacing w:line="360" w:lineRule="auto"/>
        <w:jc w:val="both"/>
        <w:rPr>
          <w:rFonts w:ascii="Perpetua" w:hAnsi="Perpetua"/>
        </w:rPr>
      </w:pPr>
    </w:p>
    <w:p w:rsidR="0038606A" w:rsidRDefault="0080386E" w:rsidP="0080386E">
      <w:pPr>
        <w:spacing w:line="360" w:lineRule="auto"/>
        <w:jc w:val="both"/>
        <w:rPr>
          <w:rFonts w:ascii="Perpetua" w:hAnsi="Perpetua"/>
        </w:rPr>
      </w:pPr>
      <w:r>
        <w:rPr>
          <w:rFonts w:ascii="Perpetua" w:hAnsi="Perpetua"/>
        </w:rPr>
        <w:t xml:space="preserve">Na presença de custos de agência elevados os administradores </w:t>
      </w:r>
      <w:r w:rsidR="00AA3A9A">
        <w:rPr>
          <w:rFonts w:ascii="Perpetua" w:hAnsi="Perpetua"/>
        </w:rPr>
        <w:t xml:space="preserve">do sistema judicial (ou principais, na terminologia da Economia da Incerteza e Informação) </w:t>
      </w:r>
      <w:r>
        <w:rPr>
          <w:rFonts w:ascii="Perpetua" w:hAnsi="Perpetua"/>
        </w:rPr>
        <w:t xml:space="preserve">podem recorrer a vários mecanismos de incentivos para </w:t>
      </w:r>
      <w:r w:rsidR="00D66125">
        <w:rPr>
          <w:rFonts w:ascii="Perpetua" w:hAnsi="Perpetua"/>
        </w:rPr>
        <w:t xml:space="preserve">alinhar o </w:t>
      </w:r>
      <w:r>
        <w:rPr>
          <w:rFonts w:ascii="Perpetua" w:hAnsi="Perpetua"/>
        </w:rPr>
        <w:t>comportamento dos trabalhadores judiciais</w:t>
      </w:r>
      <w:r w:rsidR="00D66125">
        <w:rPr>
          <w:rFonts w:ascii="Perpetua" w:hAnsi="Perpetua"/>
        </w:rPr>
        <w:t xml:space="preserve"> com </w:t>
      </w:r>
      <w:r w:rsidR="001B4F29">
        <w:rPr>
          <w:rFonts w:ascii="Perpetua" w:hAnsi="Perpetua"/>
        </w:rPr>
        <w:t>o objectivo dos tribunais</w:t>
      </w:r>
      <w:r>
        <w:rPr>
          <w:rFonts w:ascii="Perpetua" w:hAnsi="Perpetua"/>
        </w:rPr>
        <w:t xml:space="preserve">. Uma primeira estratégia passa pela </w:t>
      </w:r>
      <w:r w:rsidRPr="001326D9">
        <w:rPr>
          <w:rFonts w:ascii="Perpetua" w:hAnsi="Perpetua"/>
        </w:rPr>
        <w:t>selecção de</w:t>
      </w:r>
      <w:r>
        <w:rPr>
          <w:rFonts w:ascii="Perpetua" w:hAnsi="Perpetua"/>
        </w:rPr>
        <w:t xml:space="preserve"> trabalhadores judiciais com base em critérios </w:t>
      </w:r>
      <w:r w:rsidRPr="009755E4">
        <w:rPr>
          <w:rFonts w:ascii="Perpetua" w:hAnsi="Perpetua"/>
          <w:i/>
        </w:rPr>
        <w:t>ex ante</w:t>
      </w:r>
      <w:r>
        <w:rPr>
          <w:rFonts w:ascii="Perpetua" w:hAnsi="Perpetua"/>
        </w:rPr>
        <w:t>, como a experiência, o currículo</w:t>
      </w:r>
      <w:r w:rsidR="008932FB">
        <w:rPr>
          <w:rFonts w:ascii="Perpetua" w:hAnsi="Perpetua"/>
        </w:rPr>
        <w:t>,</w:t>
      </w:r>
      <w:r>
        <w:rPr>
          <w:rFonts w:ascii="Perpetua" w:hAnsi="Perpetua"/>
        </w:rPr>
        <w:t xml:space="preserve"> </w:t>
      </w:r>
      <w:r w:rsidRPr="001326D9">
        <w:rPr>
          <w:rFonts w:ascii="Perpetua" w:hAnsi="Perpetua"/>
        </w:rPr>
        <w:t xml:space="preserve">etc., em detrimento de critérios </w:t>
      </w:r>
      <w:r w:rsidRPr="009755E4">
        <w:rPr>
          <w:rFonts w:ascii="Perpetua" w:hAnsi="Perpetua"/>
          <w:i/>
        </w:rPr>
        <w:t>ex post</w:t>
      </w:r>
      <w:r w:rsidRPr="001326D9">
        <w:rPr>
          <w:rFonts w:ascii="Perpetua" w:hAnsi="Perpetua"/>
        </w:rPr>
        <w:t>, como a produtividade</w:t>
      </w:r>
      <w:r>
        <w:rPr>
          <w:rFonts w:ascii="Perpetua" w:hAnsi="Perpetua"/>
        </w:rPr>
        <w:t xml:space="preserve"> judicial</w:t>
      </w:r>
      <w:r w:rsidRPr="001326D9">
        <w:rPr>
          <w:rFonts w:ascii="Perpetua" w:hAnsi="Perpetua"/>
        </w:rPr>
        <w:t xml:space="preserve"> </w:t>
      </w:r>
      <w:r w:rsidR="00AA3A9A">
        <w:rPr>
          <w:rFonts w:ascii="Perpetua" w:hAnsi="Perpetua"/>
        </w:rPr>
        <w:t>média</w:t>
      </w:r>
      <w:r w:rsidR="008932FB">
        <w:rPr>
          <w:rFonts w:ascii="Perpetua" w:hAnsi="Perpetua"/>
        </w:rPr>
        <w:t>,</w:t>
      </w:r>
      <w:r w:rsidR="00AA3A9A">
        <w:rPr>
          <w:rFonts w:ascii="Perpetua" w:hAnsi="Perpetua"/>
        </w:rPr>
        <w:t xml:space="preserve"> </w:t>
      </w:r>
      <w:r w:rsidRPr="001326D9">
        <w:rPr>
          <w:rFonts w:ascii="Perpetua" w:hAnsi="Perpetua"/>
        </w:rPr>
        <w:t xml:space="preserve">etc. </w:t>
      </w:r>
      <w:r>
        <w:rPr>
          <w:rFonts w:ascii="Perpetua" w:hAnsi="Perpetua"/>
        </w:rPr>
        <w:t xml:space="preserve">Uma segunda estratégia consiste na </w:t>
      </w:r>
      <w:r w:rsidRPr="001326D9">
        <w:rPr>
          <w:rFonts w:ascii="Perpetua" w:hAnsi="Perpetua"/>
        </w:rPr>
        <w:t xml:space="preserve">monitorização </w:t>
      </w:r>
      <w:r>
        <w:rPr>
          <w:rFonts w:ascii="Perpetua" w:hAnsi="Perpetua"/>
        </w:rPr>
        <w:t>do trabalho com</w:t>
      </w:r>
      <w:r w:rsidRPr="001326D9">
        <w:rPr>
          <w:rFonts w:ascii="Perpetua" w:hAnsi="Perpetua"/>
        </w:rPr>
        <w:t xml:space="preserve"> </w:t>
      </w:r>
      <w:r>
        <w:rPr>
          <w:rFonts w:ascii="Perpetua" w:hAnsi="Perpetua"/>
        </w:rPr>
        <w:t xml:space="preserve">variáveis </w:t>
      </w:r>
      <w:r w:rsidR="00AA3A9A">
        <w:rPr>
          <w:rFonts w:ascii="Perpetua" w:hAnsi="Perpetua"/>
        </w:rPr>
        <w:t xml:space="preserve">indirectas </w:t>
      </w:r>
      <w:r>
        <w:rPr>
          <w:rFonts w:ascii="Perpetua" w:hAnsi="Perpetua"/>
        </w:rPr>
        <w:t>(</w:t>
      </w:r>
      <w:r w:rsidRPr="00FA63FB">
        <w:rPr>
          <w:rFonts w:ascii="Perpetua" w:hAnsi="Perpetua"/>
          <w:i/>
        </w:rPr>
        <w:t>proxy variables</w:t>
      </w:r>
      <w:r>
        <w:rPr>
          <w:rFonts w:ascii="Perpetua" w:hAnsi="Perpetua"/>
        </w:rPr>
        <w:t xml:space="preserve">) </w:t>
      </w:r>
      <w:r w:rsidRPr="001326D9">
        <w:rPr>
          <w:rFonts w:ascii="Perpetua" w:hAnsi="Perpetua"/>
        </w:rPr>
        <w:t xml:space="preserve">do </w:t>
      </w:r>
      <w:r>
        <w:rPr>
          <w:rFonts w:ascii="Perpetua" w:hAnsi="Perpetua"/>
        </w:rPr>
        <w:t>trabalho (</w:t>
      </w:r>
      <w:r w:rsidRPr="00363128">
        <w:rPr>
          <w:rFonts w:ascii="Perpetua" w:hAnsi="Perpetua"/>
          <w:i/>
        </w:rPr>
        <w:t>output</w:t>
      </w:r>
      <w:r>
        <w:rPr>
          <w:rFonts w:ascii="Perpetua" w:hAnsi="Perpetua"/>
        </w:rPr>
        <w:t>) dos juízes (</w:t>
      </w:r>
      <w:r w:rsidRPr="001326D9">
        <w:rPr>
          <w:rFonts w:ascii="Perpetua" w:hAnsi="Perpetua"/>
        </w:rPr>
        <w:t>quantidade, qualidade ou a celeridade da decisão judicial</w:t>
      </w:r>
      <w:r>
        <w:rPr>
          <w:rFonts w:ascii="Perpetua" w:hAnsi="Perpetua"/>
        </w:rPr>
        <w:t>)</w:t>
      </w:r>
      <w:r w:rsidRPr="001326D9">
        <w:rPr>
          <w:rFonts w:ascii="Perpetua" w:hAnsi="Perpetua"/>
        </w:rPr>
        <w:t xml:space="preserve">, tais como a taxa de confirmação da decisão por instâncias superiores, a pendência processual, a duração média de resolução processual, </w:t>
      </w:r>
      <w:r>
        <w:rPr>
          <w:rFonts w:ascii="Perpetua" w:hAnsi="Perpetua"/>
        </w:rPr>
        <w:t xml:space="preserve">a </w:t>
      </w:r>
      <w:r w:rsidRPr="001326D9">
        <w:rPr>
          <w:rFonts w:ascii="Perpetua" w:hAnsi="Perpetua"/>
        </w:rPr>
        <w:t>opinião dos litigantes e advogad</w:t>
      </w:r>
      <w:r>
        <w:rPr>
          <w:rFonts w:ascii="Perpetua" w:hAnsi="Perpetua"/>
        </w:rPr>
        <w:t>os</w:t>
      </w:r>
      <w:r w:rsidR="008932FB">
        <w:rPr>
          <w:rFonts w:ascii="Perpetua" w:hAnsi="Perpetua"/>
        </w:rPr>
        <w:t>,</w:t>
      </w:r>
      <w:r>
        <w:rPr>
          <w:rFonts w:ascii="Perpetua" w:hAnsi="Perpetua"/>
        </w:rPr>
        <w:t xml:space="preserve"> etc. Uma terceira estratégia é a </w:t>
      </w:r>
      <w:r w:rsidRPr="001326D9">
        <w:rPr>
          <w:rFonts w:ascii="Perpetua" w:hAnsi="Perpetua"/>
        </w:rPr>
        <w:t xml:space="preserve">definição </w:t>
      </w:r>
      <w:r>
        <w:rPr>
          <w:rFonts w:ascii="Perpetua" w:hAnsi="Perpetua"/>
        </w:rPr>
        <w:t xml:space="preserve">rigorosa e </w:t>
      </w:r>
      <w:r w:rsidRPr="001326D9">
        <w:rPr>
          <w:rFonts w:ascii="Perpetua" w:hAnsi="Perpetua"/>
        </w:rPr>
        <w:t>exaustiva de</w:t>
      </w:r>
      <w:r>
        <w:rPr>
          <w:rFonts w:ascii="Perpetua" w:hAnsi="Perpetua"/>
        </w:rPr>
        <w:t xml:space="preserve"> procedimentos que os trabalhadores judiciais </w:t>
      </w:r>
      <w:r w:rsidRPr="001326D9">
        <w:rPr>
          <w:rFonts w:ascii="Perpetua" w:hAnsi="Perpetua"/>
        </w:rPr>
        <w:t>deve</w:t>
      </w:r>
      <w:r>
        <w:rPr>
          <w:rFonts w:ascii="Perpetua" w:hAnsi="Perpetua"/>
        </w:rPr>
        <w:t xml:space="preserve">m </w:t>
      </w:r>
      <w:r w:rsidRPr="001326D9">
        <w:rPr>
          <w:rFonts w:ascii="Perpetua" w:hAnsi="Perpetua"/>
        </w:rPr>
        <w:t xml:space="preserve">cumprir </w:t>
      </w:r>
      <w:r>
        <w:rPr>
          <w:rFonts w:ascii="Perpetua" w:hAnsi="Perpetua"/>
        </w:rPr>
        <w:t xml:space="preserve">na execução do seu trabalho, </w:t>
      </w:r>
      <w:r w:rsidR="00340DFD">
        <w:rPr>
          <w:rFonts w:ascii="Perpetua" w:hAnsi="Perpetua"/>
        </w:rPr>
        <w:t xml:space="preserve">o </w:t>
      </w:r>
      <w:r>
        <w:rPr>
          <w:rFonts w:ascii="Perpetua" w:hAnsi="Perpetua"/>
        </w:rPr>
        <w:t xml:space="preserve">que permite diminuir os custos de monitorização – não se observa a qualidade da decisão judicial mas o cumprimento </w:t>
      </w:r>
      <w:r w:rsidR="00340DFD">
        <w:rPr>
          <w:rFonts w:ascii="Perpetua" w:hAnsi="Perpetua"/>
        </w:rPr>
        <w:t>d</w:t>
      </w:r>
      <w:r>
        <w:rPr>
          <w:rFonts w:ascii="Perpetua" w:hAnsi="Perpetua"/>
        </w:rPr>
        <w:t xml:space="preserve">os procedimentos </w:t>
      </w:r>
      <w:r w:rsidR="00043617">
        <w:rPr>
          <w:rFonts w:ascii="Perpetua" w:hAnsi="Perpetua"/>
        </w:rPr>
        <w:t xml:space="preserve">observáveis </w:t>
      </w:r>
      <w:r>
        <w:rPr>
          <w:rFonts w:ascii="Perpetua" w:hAnsi="Perpetua"/>
        </w:rPr>
        <w:t>que visam garantir a qualidade da decisão judicial.</w:t>
      </w:r>
      <w:r w:rsidRPr="001326D9">
        <w:rPr>
          <w:rFonts w:ascii="Perpetua" w:hAnsi="Perpetua"/>
        </w:rPr>
        <w:t xml:space="preserve"> </w:t>
      </w:r>
      <w:r>
        <w:rPr>
          <w:rFonts w:ascii="Perpetua" w:hAnsi="Perpetua"/>
        </w:rPr>
        <w:t>Por fim, uma última estratégia passa pela prática de salários de eficiência</w:t>
      </w:r>
      <w:r>
        <w:rPr>
          <w:rStyle w:val="FootnoteReference"/>
          <w:rFonts w:ascii="Perpetua" w:hAnsi="Perpetua"/>
        </w:rPr>
        <w:footnoteReference w:id="85"/>
      </w:r>
      <w:r>
        <w:rPr>
          <w:rFonts w:ascii="Perpetua" w:hAnsi="Perpetua"/>
        </w:rPr>
        <w:t xml:space="preserve"> (</w:t>
      </w:r>
      <w:r w:rsidR="004E5D3A" w:rsidRPr="004E5D3A">
        <w:rPr>
          <w:rFonts w:ascii="Perpetua" w:hAnsi="Perpetua"/>
          <w:i/>
        </w:rPr>
        <w:t>i.e.</w:t>
      </w:r>
      <w:r w:rsidR="00941AEA">
        <w:rPr>
          <w:rFonts w:ascii="Perpetua" w:hAnsi="Perpetua"/>
        </w:rPr>
        <w:t xml:space="preserve">, </w:t>
      </w:r>
      <w:r>
        <w:rPr>
          <w:rFonts w:ascii="Perpetua" w:hAnsi="Perpetua"/>
        </w:rPr>
        <w:t>salários que são superiores à produtividade marginal do trabalhador). A prática de salários de eficiência visa criar um custo de oportunidade elevado associado ao não</w:t>
      </w:r>
      <w:r w:rsidR="00340DFD">
        <w:rPr>
          <w:rFonts w:ascii="Perpetua" w:hAnsi="Perpetua"/>
        </w:rPr>
        <w:t>-</w:t>
      </w:r>
      <w:r>
        <w:rPr>
          <w:rFonts w:ascii="Perpetua" w:hAnsi="Perpetua"/>
        </w:rPr>
        <w:t xml:space="preserve">emprego no sistema judicial. </w:t>
      </w:r>
    </w:p>
    <w:p w:rsidR="0038606A" w:rsidRDefault="0038606A" w:rsidP="0080386E">
      <w:pPr>
        <w:spacing w:line="360" w:lineRule="auto"/>
        <w:jc w:val="both"/>
        <w:rPr>
          <w:rFonts w:ascii="Perpetua" w:hAnsi="Perpetua"/>
        </w:rPr>
      </w:pPr>
    </w:p>
    <w:p w:rsidR="0080386E" w:rsidRDefault="00043617" w:rsidP="0080386E">
      <w:pPr>
        <w:spacing w:line="360" w:lineRule="auto"/>
        <w:jc w:val="both"/>
        <w:rPr>
          <w:rFonts w:ascii="Perpetua" w:hAnsi="Perpetua"/>
        </w:rPr>
      </w:pPr>
      <w:r>
        <w:rPr>
          <w:rFonts w:ascii="Perpetua" w:hAnsi="Perpetua"/>
        </w:rPr>
        <w:t>Apesar do interesse para os propósitos deste trabalho, n</w:t>
      </w:r>
      <w:r w:rsidR="0080386E">
        <w:rPr>
          <w:rFonts w:ascii="Perpetua" w:hAnsi="Perpetua"/>
        </w:rPr>
        <w:t xml:space="preserve">ão </w:t>
      </w:r>
      <w:r w:rsidR="0038606A">
        <w:rPr>
          <w:rFonts w:ascii="Perpetua" w:hAnsi="Perpetua"/>
        </w:rPr>
        <w:t xml:space="preserve">se </w:t>
      </w:r>
      <w:r w:rsidR="0080386E">
        <w:rPr>
          <w:rFonts w:ascii="Perpetua" w:hAnsi="Perpetua"/>
        </w:rPr>
        <w:t xml:space="preserve">pretende </w:t>
      </w:r>
      <w:r w:rsidR="00340DFD">
        <w:rPr>
          <w:rFonts w:ascii="Perpetua" w:hAnsi="Perpetua"/>
        </w:rPr>
        <w:t>aqui</w:t>
      </w:r>
      <w:r w:rsidR="0080386E">
        <w:rPr>
          <w:rFonts w:ascii="Perpetua" w:hAnsi="Perpetua"/>
        </w:rPr>
        <w:t xml:space="preserve"> </w:t>
      </w:r>
      <w:r>
        <w:rPr>
          <w:rFonts w:ascii="Perpetua" w:hAnsi="Perpetua"/>
        </w:rPr>
        <w:t xml:space="preserve">verificar se as previsões da Economia da Incerteza e Informação estão presentes no sistema judicial português nem </w:t>
      </w:r>
      <w:r w:rsidR="009039F6">
        <w:rPr>
          <w:rFonts w:ascii="Perpetua" w:hAnsi="Perpetua"/>
        </w:rPr>
        <w:t>caracterizar o sistema judicial quanto aos incentivos dos trabalhadores judiciais</w:t>
      </w:r>
      <w:r>
        <w:rPr>
          <w:rFonts w:ascii="Perpetua" w:hAnsi="Perpetua"/>
        </w:rPr>
        <w:t>. N</w:t>
      </w:r>
      <w:r w:rsidR="0080386E">
        <w:rPr>
          <w:rFonts w:ascii="Perpetua" w:hAnsi="Perpetua"/>
        </w:rPr>
        <w:t>o entanto, a consulta de duas fontes autorizadas permite inferir que</w:t>
      </w:r>
      <w:r w:rsidR="009039F6">
        <w:rPr>
          <w:rFonts w:ascii="Perpetua" w:hAnsi="Perpetua"/>
        </w:rPr>
        <w:t xml:space="preserve"> há problemas nos incentivos dos trabalhadores judiciais</w:t>
      </w:r>
      <w:r w:rsidR="009F0998">
        <w:rPr>
          <w:rFonts w:ascii="Perpetua" w:hAnsi="Perpetua"/>
        </w:rPr>
        <w:t>, designadamente no que respeita aos incentivos relativos à quantidade de trabalho</w:t>
      </w:r>
      <w:r w:rsidR="007F01BB">
        <w:rPr>
          <w:rFonts w:ascii="Perpetua" w:hAnsi="Perpetua"/>
        </w:rPr>
        <w:t xml:space="preserve"> e não tanto no que respeita à qualidade da decisão judicial.</w:t>
      </w:r>
      <w:r w:rsidR="0080386E">
        <w:rPr>
          <w:rFonts w:ascii="Perpetua" w:hAnsi="Perpetua"/>
        </w:rPr>
        <w:t xml:space="preserve"> </w:t>
      </w:r>
      <w:r w:rsidR="009F0998">
        <w:rPr>
          <w:rFonts w:ascii="Perpetua" w:hAnsi="Perpetua"/>
        </w:rPr>
        <w:t>Com efeito, s</w:t>
      </w:r>
      <w:r w:rsidR="0080386E">
        <w:rPr>
          <w:rFonts w:ascii="Perpetua" w:hAnsi="Perpetua"/>
        </w:rPr>
        <w:t>egundo CEPEJ (2006</w:t>
      </w:r>
      <w:r w:rsidR="00904C23">
        <w:rPr>
          <w:rFonts w:ascii="Perpetua" w:hAnsi="Perpetua"/>
        </w:rPr>
        <w:t>:74</w:t>
      </w:r>
      <w:r w:rsidR="0080386E">
        <w:rPr>
          <w:rFonts w:ascii="Perpetua" w:hAnsi="Perpetua"/>
        </w:rPr>
        <w:t>)</w:t>
      </w:r>
      <w:r w:rsidR="009F0998">
        <w:rPr>
          <w:rFonts w:ascii="Perpetua" w:hAnsi="Perpetua"/>
        </w:rPr>
        <w:t xml:space="preserve"> os tribunais portugueses não são avaliados segundo indicadores de desempenho nem metas de trabalho, nem</w:t>
      </w:r>
      <w:r w:rsidR="0080386E">
        <w:rPr>
          <w:rFonts w:ascii="Perpetua" w:hAnsi="Perpetua"/>
        </w:rPr>
        <w:t xml:space="preserve"> </w:t>
      </w:r>
      <w:r w:rsidR="009F0998">
        <w:rPr>
          <w:rFonts w:ascii="Perpetua" w:hAnsi="Perpetua"/>
        </w:rPr>
        <w:t>os magistrados judiciais</w:t>
      </w:r>
      <w:r w:rsidR="007F01BB">
        <w:rPr>
          <w:rFonts w:ascii="Perpetua" w:hAnsi="Perpetua"/>
        </w:rPr>
        <w:t xml:space="preserve"> –</w:t>
      </w:r>
      <w:r w:rsidR="00626D7C">
        <w:rPr>
          <w:rFonts w:ascii="Perpetua" w:hAnsi="Perpetua"/>
        </w:rPr>
        <w:t xml:space="preserve"> que têm nomeações vitalícias</w:t>
      </w:r>
      <w:r w:rsidR="007F01BB">
        <w:rPr>
          <w:rFonts w:ascii="Perpetua" w:hAnsi="Perpetua"/>
        </w:rPr>
        <w:t xml:space="preserve"> – </w:t>
      </w:r>
      <w:r w:rsidR="0080386E">
        <w:rPr>
          <w:rFonts w:ascii="Perpetua" w:hAnsi="Perpetua"/>
        </w:rPr>
        <w:t>t</w:t>
      </w:r>
      <w:r w:rsidR="009F0998">
        <w:rPr>
          <w:rFonts w:ascii="Perpetua" w:hAnsi="Perpetua"/>
        </w:rPr>
        <w:t>ê</w:t>
      </w:r>
      <w:r w:rsidR="0080386E">
        <w:rPr>
          <w:rFonts w:ascii="Perpetua" w:hAnsi="Perpetua"/>
        </w:rPr>
        <w:t>m incentivos remuneratórios baseados no desempenho avaliado através de indicadores quantitativos</w:t>
      </w:r>
      <w:r w:rsidR="00545786">
        <w:rPr>
          <w:rStyle w:val="FootnoteReference"/>
          <w:rFonts w:ascii="Perpetua" w:hAnsi="Perpetua"/>
        </w:rPr>
        <w:footnoteReference w:id="86"/>
      </w:r>
      <w:r w:rsidR="009F0998">
        <w:rPr>
          <w:rFonts w:ascii="Perpetua" w:hAnsi="Perpetua"/>
        </w:rPr>
        <w:t xml:space="preserve">. Porém, </w:t>
      </w:r>
      <w:r w:rsidR="00340DFD">
        <w:rPr>
          <w:rFonts w:ascii="Perpetua" w:hAnsi="Perpetua"/>
        </w:rPr>
        <w:t xml:space="preserve">e também </w:t>
      </w:r>
      <w:r w:rsidR="007F01BB">
        <w:rPr>
          <w:rFonts w:ascii="Perpetua" w:hAnsi="Perpetua"/>
        </w:rPr>
        <w:t>segundo</w:t>
      </w:r>
      <w:r w:rsidR="00626D7C" w:rsidRPr="00626D7C">
        <w:rPr>
          <w:rFonts w:ascii="Perpetua" w:hAnsi="Perpetua"/>
        </w:rPr>
        <w:t xml:space="preserve"> </w:t>
      </w:r>
      <w:r w:rsidR="00626D7C">
        <w:rPr>
          <w:rFonts w:ascii="Perpetua" w:hAnsi="Perpetua"/>
        </w:rPr>
        <w:t>CEPEJ (2006:73)</w:t>
      </w:r>
      <w:r w:rsidR="00340DFD">
        <w:rPr>
          <w:rFonts w:ascii="Perpetua" w:hAnsi="Perpetua"/>
        </w:rPr>
        <w:t>,</w:t>
      </w:r>
      <w:r w:rsidR="00626D7C">
        <w:rPr>
          <w:rFonts w:ascii="Perpetua" w:hAnsi="Perpetua"/>
        </w:rPr>
        <w:t xml:space="preserve"> são </w:t>
      </w:r>
      <w:r w:rsidR="00340DFD">
        <w:rPr>
          <w:rFonts w:ascii="Perpetua" w:hAnsi="Perpetua"/>
        </w:rPr>
        <w:t xml:space="preserve">regularmente </w:t>
      </w:r>
      <w:r w:rsidR="00626D7C">
        <w:rPr>
          <w:rFonts w:ascii="Perpetua" w:hAnsi="Perpetua"/>
        </w:rPr>
        <w:t>efectuadas</w:t>
      </w:r>
      <w:r w:rsidR="00340DFD">
        <w:rPr>
          <w:rFonts w:ascii="Perpetua" w:hAnsi="Perpetua"/>
        </w:rPr>
        <w:t>,</w:t>
      </w:r>
      <w:r w:rsidR="00626D7C">
        <w:rPr>
          <w:rFonts w:ascii="Perpetua" w:hAnsi="Perpetua"/>
        </w:rPr>
        <w:t xml:space="preserve"> p</w:t>
      </w:r>
      <w:r w:rsidR="00545786">
        <w:rPr>
          <w:rFonts w:ascii="Perpetua" w:hAnsi="Perpetua"/>
        </w:rPr>
        <w:t>or parte do Conselho Superior da</w:t>
      </w:r>
      <w:r w:rsidR="00626D7C">
        <w:rPr>
          <w:rFonts w:ascii="Perpetua" w:hAnsi="Perpetua"/>
        </w:rPr>
        <w:t xml:space="preserve"> Magistratura</w:t>
      </w:r>
      <w:r w:rsidR="00340DFD">
        <w:rPr>
          <w:rFonts w:ascii="Perpetua" w:hAnsi="Perpetua"/>
        </w:rPr>
        <w:t>,</w:t>
      </w:r>
      <w:r w:rsidR="00626D7C">
        <w:rPr>
          <w:rFonts w:ascii="Perpetua" w:hAnsi="Perpetua"/>
        </w:rPr>
        <w:t xml:space="preserve"> </w:t>
      </w:r>
      <w:r w:rsidR="00340DFD">
        <w:rPr>
          <w:rFonts w:ascii="Perpetua" w:hAnsi="Perpetua"/>
        </w:rPr>
        <w:t xml:space="preserve">inspecções </w:t>
      </w:r>
      <w:r w:rsidR="00626D7C">
        <w:rPr>
          <w:rFonts w:ascii="Perpetua" w:hAnsi="Perpetua"/>
        </w:rPr>
        <w:t xml:space="preserve">que têm como objectivo assegurar o cumprimento </w:t>
      </w:r>
      <w:r w:rsidR="00340DFD">
        <w:rPr>
          <w:rFonts w:ascii="Perpetua" w:hAnsi="Perpetua"/>
        </w:rPr>
        <w:t xml:space="preserve">de </w:t>
      </w:r>
      <w:r w:rsidR="00626D7C">
        <w:rPr>
          <w:rFonts w:ascii="Perpetua" w:hAnsi="Perpetua"/>
        </w:rPr>
        <w:t xml:space="preserve">procedimentos que garantem a qualidade da decisão judicial. No que respeita aos incentivos remuneratórios, </w:t>
      </w:r>
      <w:r w:rsidR="0080386E">
        <w:rPr>
          <w:rFonts w:ascii="Perpetua" w:hAnsi="Perpetua"/>
        </w:rPr>
        <w:t xml:space="preserve">Centeno </w:t>
      </w:r>
      <w:r w:rsidR="003A79EC">
        <w:rPr>
          <w:rFonts w:ascii="Perpetua" w:hAnsi="Perpetua"/>
        </w:rPr>
        <w:t>e</w:t>
      </w:r>
      <w:r w:rsidR="0080386E">
        <w:rPr>
          <w:rFonts w:ascii="Perpetua" w:hAnsi="Perpetua"/>
        </w:rPr>
        <w:t xml:space="preserve"> Pereira (2005)</w:t>
      </w:r>
      <w:r w:rsidR="00626D7C">
        <w:rPr>
          <w:rFonts w:ascii="Perpetua" w:hAnsi="Perpetua"/>
        </w:rPr>
        <w:t xml:space="preserve"> observam que </w:t>
      </w:r>
      <w:r w:rsidR="0080386E">
        <w:rPr>
          <w:rFonts w:ascii="Perpetua" w:hAnsi="Perpetua"/>
        </w:rPr>
        <w:t>«</w:t>
      </w:r>
      <w:r w:rsidR="0080386E" w:rsidRPr="0041216C">
        <w:rPr>
          <w:rFonts w:ascii="Perpetua" w:hAnsi="Perpetua"/>
          <w:i/>
        </w:rPr>
        <w:t>os magistrados atingem 80% da remuneração máxima após 13 anos de carreira</w:t>
      </w:r>
      <w:r w:rsidR="0080386E">
        <w:rPr>
          <w:rFonts w:ascii="Perpetua" w:hAnsi="Perpetua"/>
        </w:rPr>
        <w:t>», o que indicia «</w:t>
      </w:r>
      <w:r w:rsidR="0080386E" w:rsidRPr="0041216C">
        <w:rPr>
          <w:rFonts w:ascii="Perpetua" w:hAnsi="Perpetua"/>
          <w:i/>
        </w:rPr>
        <w:t xml:space="preserve">um problema de coordenação dos incentivos numa fase </w:t>
      </w:r>
      <w:r w:rsidR="00626D7C" w:rsidRPr="0041216C">
        <w:rPr>
          <w:rFonts w:ascii="Perpetua" w:hAnsi="Perpetua"/>
          <w:i/>
        </w:rPr>
        <w:t>ma</w:t>
      </w:r>
      <w:r w:rsidR="0080386E" w:rsidRPr="0041216C">
        <w:rPr>
          <w:rFonts w:ascii="Perpetua" w:hAnsi="Perpetua"/>
          <w:i/>
        </w:rPr>
        <w:t>is adiantada da carreira</w:t>
      </w:r>
      <w:r w:rsidR="0080386E">
        <w:rPr>
          <w:rFonts w:ascii="Perpetua" w:hAnsi="Perpetua"/>
        </w:rPr>
        <w:t xml:space="preserve">». Por outro lado, segundo </w:t>
      </w:r>
      <w:r w:rsidR="00626D7C">
        <w:rPr>
          <w:rFonts w:ascii="Perpetua" w:hAnsi="Perpetua"/>
        </w:rPr>
        <w:t>a</w:t>
      </w:r>
      <w:r w:rsidR="0080386E">
        <w:rPr>
          <w:rFonts w:ascii="Perpetua" w:hAnsi="Perpetua"/>
        </w:rPr>
        <w:t xml:space="preserve"> mesm</w:t>
      </w:r>
      <w:r w:rsidR="00626D7C">
        <w:rPr>
          <w:rFonts w:ascii="Perpetua" w:hAnsi="Perpetua"/>
        </w:rPr>
        <w:t>a</w:t>
      </w:r>
      <w:r w:rsidR="0080386E">
        <w:rPr>
          <w:rFonts w:ascii="Perpetua" w:hAnsi="Perpetua"/>
        </w:rPr>
        <w:t xml:space="preserve"> </w:t>
      </w:r>
      <w:r w:rsidR="00626D7C">
        <w:rPr>
          <w:rFonts w:ascii="Perpetua" w:hAnsi="Perpetua"/>
        </w:rPr>
        <w:t>fonte</w:t>
      </w:r>
      <w:r w:rsidR="0080386E">
        <w:rPr>
          <w:rFonts w:ascii="Perpetua" w:hAnsi="Perpetua"/>
        </w:rPr>
        <w:t>, os magistrados apresentam o mais baixo grau de dispersão salarial das carreiras consideradas</w:t>
      </w:r>
      <w:r w:rsidR="00340DFD">
        <w:rPr>
          <w:rFonts w:ascii="Perpetua" w:hAnsi="Perpetua"/>
        </w:rPr>
        <w:t>,</w:t>
      </w:r>
      <w:r w:rsidR="0080386E">
        <w:rPr>
          <w:rFonts w:ascii="Perpetua" w:hAnsi="Perpetua"/>
        </w:rPr>
        <w:t xml:space="preserve"> o que, de acordo com os autores, revela a «</w:t>
      </w:r>
      <w:r w:rsidR="0080386E" w:rsidRPr="0041216C">
        <w:rPr>
          <w:rFonts w:ascii="Perpetua" w:hAnsi="Perpetua"/>
          <w:i/>
        </w:rPr>
        <w:t>incapacidade de introduzir diferenciação salarial</w:t>
      </w:r>
      <w:r w:rsidR="0041216C">
        <w:rPr>
          <w:rFonts w:ascii="Perpetua" w:hAnsi="Perpetua"/>
        </w:rPr>
        <w:t>»</w:t>
      </w:r>
      <w:r w:rsidR="0080386E">
        <w:rPr>
          <w:rFonts w:ascii="Perpetua" w:hAnsi="Perpetua"/>
        </w:rPr>
        <w:t xml:space="preserve"> e «</w:t>
      </w:r>
      <w:r w:rsidR="0080386E" w:rsidRPr="0041216C">
        <w:rPr>
          <w:rFonts w:ascii="Perpetua" w:hAnsi="Perpetua"/>
          <w:i/>
        </w:rPr>
        <w:t>uma deficiente gestão dos recursos humano</w:t>
      </w:r>
      <w:r w:rsidR="0038606A" w:rsidRPr="0041216C">
        <w:rPr>
          <w:rFonts w:ascii="Perpetua" w:hAnsi="Perpetua"/>
          <w:i/>
        </w:rPr>
        <w:t>s</w:t>
      </w:r>
      <w:r w:rsidR="0080386E" w:rsidRPr="0041216C">
        <w:rPr>
          <w:rFonts w:ascii="Perpetua" w:hAnsi="Perpetua"/>
          <w:i/>
        </w:rPr>
        <w:t>, na medida em que constitui um desincentivo ao bom desempenho dos trabalhadores</w:t>
      </w:r>
      <w:r w:rsidR="0080386E">
        <w:rPr>
          <w:rFonts w:ascii="Perpetua" w:hAnsi="Perpetua"/>
        </w:rPr>
        <w:t xml:space="preserve">». </w:t>
      </w:r>
    </w:p>
    <w:p w:rsidR="0080386E" w:rsidRDefault="0080386E" w:rsidP="0080386E">
      <w:pPr>
        <w:spacing w:line="360" w:lineRule="auto"/>
        <w:jc w:val="both"/>
        <w:rPr>
          <w:rFonts w:ascii="Perpetua" w:hAnsi="Perpetua"/>
        </w:rPr>
      </w:pPr>
    </w:p>
    <w:p w:rsidR="0080386E" w:rsidRDefault="00626D7C" w:rsidP="0080386E">
      <w:pPr>
        <w:spacing w:line="360" w:lineRule="auto"/>
        <w:jc w:val="both"/>
        <w:rPr>
          <w:rFonts w:ascii="Perpetua" w:hAnsi="Perpetua"/>
        </w:rPr>
      </w:pPr>
      <w:r>
        <w:rPr>
          <w:rFonts w:ascii="Perpetua" w:hAnsi="Perpetua"/>
        </w:rPr>
        <w:t>No quadro de incentivos descrito e das premissas sobre o comportamento dos trabalhadores judicia</w:t>
      </w:r>
      <w:r w:rsidR="0041216C">
        <w:rPr>
          <w:rFonts w:ascii="Perpetua" w:hAnsi="Perpetua"/>
        </w:rPr>
        <w:t>i</w:t>
      </w:r>
      <w:r>
        <w:rPr>
          <w:rFonts w:ascii="Perpetua" w:hAnsi="Perpetua"/>
        </w:rPr>
        <w:t>s é expectável que</w:t>
      </w:r>
      <w:r w:rsidR="0080386E">
        <w:rPr>
          <w:rFonts w:ascii="Perpetua" w:hAnsi="Perpetua"/>
        </w:rPr>
        <w:t xml:space="preserve"> os tribunais que tenham uma carga de trabalho elevad</w:t>
      </w:r>
      <w:r w:rsidR="009A4F4F">
        <w:rPr>
          <w:rFonts w:ascii="Perpetua" w:hAnsi="Perpetua"/>
        </w:rPr>
        <w:t>a</w:t>
      </w:r>
      <w:r w:rsidR="0080386E">
        <w:rPr>
          <w:rFonts w:ascii="Perpetua" w:hAnsi="Perpetua"/>
        </w:rPr>
        <w:t xml:space="preserve"> sejam, em média, mais produtivos que os tribunais que tenham uma carga de trabalho judicial baixa. </w:t>
      </w:r>
      <w:r w:rsidR="009173F1">
        <w:rPr>
          <w:rFonts w:ascii="Perpetua" w:hAnsi="Perpetua"/>
        </w:rPr>
        <w:t>Em comparação com os tribunais com uma carga judicial média mais baixa, o</w:t>
      </w:r>
      <w:r w:rsidR="0041216C">
        <w:rPr>
          <w:rFonts w:ascii="Perpetua" w:hAnsi="Perpetua"/>
        </w:rPr>
        <w:t xml:space="preserve">s trabalhadores judiciais com carga judicial mais elevada serão </w:t>
      </w:r>
      <w:r w:rsidR="0041216C" w:rsidRPr="0041216C">
        <w:rPr>
          <w:rFonts w:ascii="Perpetua" w:hAnsi="Perpetua"/>
          <w:i/>
        </w:rPr>
        <w:t>forçados</w:t>
      </w:r>
      <w:r w:rsidR="0041216C">
        <w:rPr>
          <w:rFonts w:ascii="Perpetua" w:hAnsi="Perpetua"/>
        </w:rPr>
        <w:t xml:space="preserve"> a findar mais processos, de modo a evitar que as pendências processuais cresçam de forma excessiva. </w:t>
      </w:r>
      <w:r w:rsidR="0080386E">
        <w:rPr>
          <w:rFonts w:ascii="Perpetua" w:hAnsi="Perpetua"/>
        </w:rPr>
        <w:t>A análise de estatística descritiva da evolução das variáveis agregadas do sistema judicial efectuada para o período de 1991-2006 constitui uma forte indicação no sentido da presença do fenómeno de endogeneidade da produtividade judicial ao nível agregado do sistema judicial português</w:t>
      </w:r>
      <w:r>
        <w:rPr>
          <w:rFonts w:ascii="Perpetua" w:hAnsi="Perpetua"/>
        </w:rPr>
        <w:t xml:space="preserve"> (demonstra-se que existe uma elevada correlação</w:t>
      </w:r>
      <w:r w:rsidR="0041216C">
        <w:rPr>
          <w:rFonts w:ascii="Perpetua" w:hAnsi="Perpetua"/>
        </w:rPr>
        <w:t xml:space="preserve"> positiva</w:t>
      </w:r>
      <w:r>
        <w:rPr>
          <w:rFonts w:ascii="Perpetua" w:hAnsi="Perpetua"/>
        </w:rPr>
        <w:t xml:space="preserve"> entre a carga judicial </w:t>
      </w:r>
      <w:r w:rsidR="0041216C">
        <w:rPr>
          <w:rFonts w:ascii="Perpetua" w:hAnsi="Perpetua"/>
        </w:rPr>
        <w:t xml:space="preserve">média </w:t>
      </w:r>
      <w:r>
        <w:rPr>
          <w:rFonts w:ascii="Perpetua" w:hAnsi="Perpetua"/>
        </w:rPr>
        <w:t xml:space="preserve">e a produtividade </w:t>
      </w:r>
      <w:r w:rsidR="0041216C">
        <w:rPr>
          <w:rFonts w:ascii="Perpetua" w:hAnsi="Perpetua"/>
        </w:rPr>
        <w:t xml:space="preserve">judicial média </w:t>
      </w:r>
      <w:r>
        <w:rPr>
          <w:rFonts w:ascii="Perpetua" w:hAnsi="Perpetua"/>
        </w:rPr>
        <w:t>da 1.ª instância do sistema judicial). A</w:t>
      </w:r>
      <w:r w:rsidR="0080386E">
        <w:rPr>
          <w:rFonts w:ascii="Perpetua" w:hAnsi="Perpetua"/>
        </w:rPr>
        <w:t xml:space="preserve"> análise </w:t>
      </w:r>
      <w:r w:rsidR="0038606A">
        <w:rPr>
          <w:rFonts w:ascii="Perpetua" w:hAnsi="Perpetua"/>
        </w:rPr>
        <w:t xml:space="preserve">econométrica </w:t>
      </w:r>
      <w:r w:rsidR="0041216C">
        <w:rPr>
          <w:rFonts w:ascii="Perpetua" w:hAnsi="Perpetua"/>
        </w:rPr>
        <w:t xml:space="preserve">efectuada na secção 5.3. </w:t>
      </w:r>
      <w:r>
        <w:rPr>
          <w:rFonts w:ascii="Perpetua" w:hAnsi="Perpetua"/>
        </w:rPr>
        <w:t xml:space="preserve">procurará verificar </w:t>
      </w:r>
      <w:r w:rsidR="0080386E">
        <w:rPr>
          <w:rFonts w:ascii="Perpetua" w:hAnsi="Perpetua"/>
        </w:rPr>
        <w:t>se a endogeneidade da produtividade judicial também está presente ao nível microeconómico</w:t>
      </w:r>
      <w:r w:rsidR="0041216C">
        <w:rPr>
          <w:rFonts w:ascii="Perpetua" w:hAnsi="Perpetua"/>
        </w:rPr>
        <w:t xml:space="preserve"> da 1.ª instância do sistema judicial português</w:t>
      </w:r>
      <w:r w:rsidR="0080386E">
        <w:rPr>
          <w:rFonts w:ascii="Perpetua" w:hAnsi="Perpetua"/>
        </w:rPr>
        <w:t xml:space="preserve">. Em suma, </w:t>
      </w:r>
      <w:r w:rsidR="0041216C">
        <w:rPr>
          <w:rFonts w:ascii="Perpetua" w:hAnsi="Perpetua"/>
        </w:rPr>
        <w:t xml:space="preserve">prevê-se </w:t>
      </w:r>
      <w:r w:rsidR="0080386E">
        <w:rPr>
          <w:rFonts w:ascii="Perpetua" w:hAnsi="Perpetua"/>
        </w:rPr>
        <w:t xml:space="preserve">que </w:t>
      </w:r>
      <w:r w:rsidR="0080386E" w:rsidRPr="00DD1609">
        <w:rPr>
          <w:rFonts w:ascii="Perpetua" w:hAnsi="Perpetua"/>
        </w:rPr>
        <w:t xml:space="preserve">a </w:t>
      </w:r>
      <w:r w:rsidR="0080386E">
        <w:rPr>
          <w:rFonts w:ascii="Perpetua" w:hAnsi="Perpetua"/>
        </w:rPr>
        <w:t xml:space="preserve">eficiência (ou a </w:t>
      </w:r>
      <w:r w:rsidR="0080386E" w:rsidRPr="00DD1609">
        <w:rPr>
          <w:rFonts w:ascii="Perpetua" w:hAnsi="Perpetua"/>
        </w:rPr>
        <w:t xml:space="preserve">produtividade judicial média </w:t>
      </w:r>
      <w:r w:rsidR="0080386E">
        <w:rPr>
          <w:rFonts w:ascii="Perpetua" w:hAnsi="Perpetua"/>
        </w:rPr>
        <w:t xml:space="preserve">dos tribunais) </w:t>
      </w:r>
      <w:r w:rsidR="0080386E" w:rsidRPr="00DD1609">
        <w:rPr>
          <w:rFonts w:ascii="Perpetua" w:hAnsi="Perpetua"/>
        </w:rPr>
        <w:t xml:space="preserve">varie </w:t>
      </w:r>
      <w:r w:rsidR="009A4F4F">
        <w:rPr>
          <w:rFonts w:ascii="Perpetua" w:hAnsi="Perpetua"/>
        </w:rPr>
        <w:t xml:space="preserve">positivamente com </w:t>
      </w:r>
      <w:r w:rsidR="0080386E" w:rsidRPr="00DD1609">
        <w:rPr>
          <w:rFonts w:ascii="Perpetua" w:hAnsi="Perpetua"/>
        </w:rPr>
        <w:t xml:space="preserve">a carga </w:t>
      </w:r>
      <w:r w:rsidR="009A4F4F">
        <w:rPr>
          <w:rFonts w:ascii="Perpetua" w:hAnsi="Perpetua"/>
        </w:rPr>
        <w:t>judicial média</w:t>
      </w:r>
      <w:r w:rsidR="0080386E" w:rsidRPr="00DD1609">
        <w:rPr>
          <w:rFonts w:ascii="Perpetua" w:hAnsi="Perpetua"/>
        </w:rPr>
        <w:t xml:space="preserve"> (soma dos processos entrados e pendentes </w:t>
      </w:r>
      <w:r w:rsidR="0080386E">
        <w:rPr>
          <w:rFonts w:ascii="Perpetua" w:hAnsi="Perpetua"/>
        </w:rPr>
        <w:t xml:space="preserve">por magistrado judicial </w:t>
      </w:r>
      <w:r w:rsidR="0080386E" w:rsidRPr="00DD1609">
        <w:rPr>
          <w:rFonts w:ascii="Perpetua" w:hAnsi="Perpetua"/>
        </w:rPr>
        <w:t xml:space="preserve">num determinado período) dos tribunais. </w:t>
      </w:r>
    </w:p>
    <w:p w:rsidR="0080386E" w:rsidRDefault="0080386E" w:rsidP="0080386E">
      <w:pPr>
        <w:spacing w:line="360" w:lineRule="auto"/>
        <w:jc w:val="both"/>
        <w:rPr>
          <w:rFonts w:ascii="Perpetua" w:hAnsi="Perpetua"/>
        </w:rPr>
      </w:pPr>
    </w:p>
    <w:p w:rsidR="00CE59EA" w:rsidRDefault="0080386E" w:rsidP="0080386E">
      <w:pPr>
        <w:spacing w:line="360" w:lineRule="auto"/>
        <w:jc w:val="both"/>
        <w:rPr>
          <w:rFonts w:ascii="Perpetua" w:hAnsi="Perpetua"/>
        </w:rPr>
      </w:pPr>
      <w:r w:rsidRPr="000366F1">
        <w:rPr>
          <w:rFonts w:ascii="Perpetua" w:hAnsi="Perpetua"/>
          <w:u w:val="single"/>
        </w:rPr>
        <w:t xml:space="preserve">Economias </w:t>
      </w:r>
      <w:r w:rsidR="009F6799">
        <w:rPr>
          <w:rFonts w:ascii="Perpetua" w:hAnsi="Perpetua"/>
          <w:u w:val="single"/>
        </w:rPr>
        <w:t xml:space="preserve">de </w:t>
      </w:r>
      <w:r w:rsidRPr="000366F1">
        <w:rPr>
          <w:rFonts w:ascii="Perpetua" w:hAnsi="Perpetua"/>
          <w:u w:val="single"/>
        </w:rPr>
        <w:t>escala na produção de serviços judiciais</w:t>
      </w:r>
      <w:r>
        <w:rPr>
          <w:rFonts w:ascii="Perpetua" w:hAnsi="Perpetua"/>
          <w:u w:val="single"/>
        </w:rPr>
        <w:t>:</w:t>
      </w:r>
      <w:r>
        <w:rPr>
          <w:rFonts w:ascii="Perpetua" w:hAnsi="Perpetua"/>
        </w:rPr>
        <w:t xml:space="preserve"> No estudo de qualquer processo produtivo interessa investigar as principais propriedades da tecnologia de produção, nomeadamente a presença de economias de </w:t>
      </w:r>
      <w:r w:rsidR="00CA75DF">
        <w:rPr>
          <w:rFonts w:ascii="Perpetua" w:hAnsi="Perpetua"/>
        </w:rPr>
        <w:t xml:space="preserve">gama </w:t>
      </w:r>
      <w:r>
        <w:rPr>
          <w:rFonts w:ascii="Perpetua" w:hAnsi="Perpetua"/>
        </w:rPr>
        <w:t xml:space="preserve">e de economias de escala. Na </w:t>
      </w:r>
      <w:r w:rsidR="00626D7C">
        <w:rPr>
          <w:rFonts w:ascii="Perpetua" w:hAnsi="Perpetua"/>
        </w:rPr>
        <w:t xml:space="preserve">literatura revista é possível verificar </w:t>
      </w:r>
      <w:r w:rsidR="006F6EAA">
        <w:rPr>
          <w:rFonts w:ascii="Perpetua" w:hAnsi="Perpetua"/>
        </w:rPr>
        <w:t xml:space="preserve">previsões teóricas </w:t>
      </w:r>
      <w:r w:rsidR="00626D7C">
        <w:rPr>
          <w:rFonts w:ascii="Perpetua" w:hAnsi="Perpetua"/>
        </w:rPr>
        <w:t xml:space="preserve">contrárias quanto ao perfil das economias de escala na </w:t>
      </w:r>
      <w:r>
        <w:rPr>
          <w:rFonts w:ascii="Perpetua" w:hAnsi="Perpetua"/>
        </w:rPr>
        <w:t>produção de serviços judiciais</w:t>
      </w:r>
      <w:r w:rsidR="00B72E9D">
        <w:rPr>
          <w:rFonts w:ascii="Perpetua" w:hAnsi="Perpetua"/>
        </w:rPr>
        <w:t>.</w:t>
      </w:r>
      <w:r w:rsidR="007402D7">
        <w:rPr>
          <w:rFonts w:ascii="Perpetua" w:hAnsi="Perpetua"/>
        </w:rPr>
        <w:t xml:space="preserve"> Em todos os artigos revistos</w:t>
      </w:r>
      <w:r w:rsidR="00340DFD">
        <w:rPr>
          <w:rFonts w:ascii="Perpetua" w:hAnsi="Perpetua"/>
        </w:rPr>
        <w:t>,</w:t>
      </w:r>
      <w:r w:rsidR="007402D7">
        <w:rPr>
          <w:rFonts w:ascii="Perpetua" w:hAnsi="Perpetua"/>
        </w:rPr>
        <w:t xml:space="preserve"> a definição de escala é dada pela dimensão dos tribunais, medida por uma variável quantitativa dos recursos humanos utilizados pelos tribunais. </w:t>
      </w:r>
      <w:r w:rsidR="009840DA">
        <w:rPr>
          <w:rFonts w:ascii="Perpetua" w:hAnsi="Perpetua"/>
        </w:rPr>
        <w:t>Nesse sentido, o conceito medido difere do conceito tradicional de economias de escala</w:t>
      </w:r>
      <w:r w:rsidR="00944B98">
        <w:rPr>
          <w:rFonts w:ascii="Perpetua" w:hAnsi="Perpetua"/>
        </w:rPr>
        <w:t>,</w:t>
      </w:r>
      <w:r w:rsidR="009840DA">
        <w:rPr>
          <w:rFonts w:ascii="Perpetua" w:hAnsi="Perpetua"/>
        </w:rPr>
        <w:t xml:space="preserve"> em que a medida de escala é dada pelo produto (</w:t>
      </w:r>
      <w:r w:rsidR="009840DA" w:rsidRPr="009840DA">
        <w:rPr>
          <w:rFonts w:ascii="Perpetua" w:hAnsi="Perpetua"/>
          <w:i/>
        </w:rPr>
        <w:t>output</w:t>
      </w:r>
      <w:r w:rsidR="00944B98">
        <w:rPr>
          <w:rFonts w:ascii="Perpetua" w:hAnsi="Perpetua"/>
        </w:rPr>
        <w:t>) das unidades produtivas; n</w:t>
      </w:r>
      <w:r w:rsidR="006C588A">
        <w:rPr>
          <w:rFonts w:ascii="Perpetua" w:hAnsi="Perpetua"/>
        </w:rPr>
        <w:t>o entanto, uma vez que a acepção de economias de escala foi adoptada na literatura</w:t>
      </w:r>
      <w:r w:rsidR="00E464C5">
        <w:rPr>
          <w:rFonts w:ascii="Perpetua" w:hAnsi="Perpetua"/>
        </w:rPr>
        <w:t>,</w:t>
      </w:r>
      <w:r w:rsidR="006C588A">
        <w:rPr>
          <w:rFonts w:ascii="Perpetua" w:hAnsi="Perpetua"/>
        </w:rPr>
        <w:t xml:space="preserve"> não </w:t>
      </w:r>
      <w:r w:rsidR="00E464C5">
        <w:rPr>
          <w:rFonts w:ascii="Perpetua" w:hAnsi="Perpetua"/>
        </w:rPr>
        <w:t xml:space="preserve">se julgou </w:t>
      </w:r>
      <w:r w:rsidR="006C588A">
        <w:rPr>
          <w:rFonts w:ascii="Perpetua" w:hAnsi="Perpetua"/>
        </w:rPr>
        <w:t>profícuo sugerir uma terminologia alternativa.</w:t>
      </w:r>
      <w:r w:rsidR="009840DA">
        <w:rPr>
          <w:rFonts w:ascii="Perpetua" w:hAnsi="Perpetua"/>
        </w:rPr>
        <w:t xml:space="preserve"> A raz</w:t>
      </w:r>
      <w:r w:rsidR="00246966">
        <w:rPr>
          <w:rFonts w:ascii="Perpetua" w:hAnsi="Perpetua"/>
        </w:rPr>
        <w:t xml:space="preserve">ão para essa diferença </w:t>
      </w:r>
      <w:r w:rsidR="006C588A">
        <w:rPr>
          <w:rFonts w:ascii="Perpetua" w:hAnsi="Perpetua"/>
        </w:rPr>
        <w:t xml:space="preserve">conceptual </w:t>
      </w:r>
      <w:r w:rsidR="00246966">
        <w:rPr>
          <w:rFonts w:ascii="Perpetua" w:hAnsi="Perpetua"/>
        </w:rPr>
        <w:t>deve-se</w:t>
      </w:r>
      <w:r w:rsidR="009840DA">
        <w:rPr>
          <w:rFonts w:ascii="Perpetua" w:hAnsi="Perpetua"/>
        </w:rPr>
        <w:t xml:space="preserve"> </w:t>
      </w:r>
      <w:r w:rsidR="00246966">
        <w:rPr>
          <w:rFonts w:ascii="Perpetua" w:hAnsi="Perpetua"/>
        </w:rPr>
        <w:t>ao enquadramento analítico em que ocorre a produção de serviços judiciais</w:t>
      </w:r>
      <w:r w:rsidR="004F095F">
        <w:rPr>
          <w:rFonts w:ascii="Perpetua" w:hAnsi="Perpetua"/>
        </w:rPr>
        <w:t>, que difere do postulado na teoria económica da produção</w:t>
      </w:r>
      <w:r w:rsidR="00246966">
        <w:rPr>
          <w:rFonts w:ascii="Perpetua" w:hAnsi="Perpetua"/>
        </w:rPr>
        <w:t>. No caso d</w:t>
      </w:r>
      <w:r w:rsidR="006C588A">
        <w:rPr>
          <w:rFonts w:ascii="Perpetua" w:hAnsi="Perpetua"/>
        </w:rPr>
        <w:t>as</w:t>
      </w:r>
      <w:r w:rsidR="00246966">
        <w:rPr>
          <w:rFonts w:ascii="Perpetua" w:hAnsi="Perpetua"/>
        </w:rPr>
        <w:t xml:space="preserve"> </w:t>
      </w:r>
      <w:r w:rsidR="009840DA">
        <w:rPr>
          <w:rFonts w:ascii="Perpetua" w:hAnsi="Perpetua"/>
        </w:rPr>
        <w:t>serviços públicos cuja função-objectivo é a satisfação de procuras geradas em áreas geograficamente delimitadas</w:t>
      </w:r>
      <w:r w:rsidR="00246966">
        <w:rPr>
          <w:rStyle w:val="FootnoteReference"/>
          <w:rFonts w:ascii="Perpetua" w:hAnsi="Perpetua"/>
        </w:rPr>
        <w:footnoteReference w:id="87"/>
      </w:r>
      <w:r w:rsidR="009840DA">
        <w:rPr>
          <w:rFonts w:ascii="Perpetua" w:hAnsi="Perpetua"/>
        </w:rPr>
        <w:t xml:space="preserve">, a </w:t>
      </w:r>
      <w:r w:rsidR="00246966">
        <w:rPr>
          <w:rFonts w:ascii="Perpetua" w:hAnsi="Perpetua"/>
        </w:rPr>
        <w:t xml:space="preserve">relação entre a </w:t>
      </w:r>
      <w:r w:rsidR="009840DA">
        <w:rPr>
          <w:rFonts w:ascii="Perpetua" w:hAnsi="Perpetua"/>
        </w:rPr>
        <w:t xml:space="preserve">quantidade de serviços produzidos </w:t>
      </w:r>
      <w:r w:rsidR="00246966">
        <w:rPr>
          <w:rFonts w:ascii="Perpetua" w:hAnsi="Perpetua"/>
        </w:rPr>
        <w:t xml:space="preserve">e a eficiência produtiva, mesmo que </w:t>
      </w:r>
      <w:r w:rsidR="006C588A">
        <w:rPr>
          <w:rFonts w:ascii="Perpetua" w:hAnsi="Perpetua"/>
        </w:rPr>
        <w:t>seja</w:t>
      </w:r>
      <w:r w:rsidR="00246966">
        <w:rPr>
          <w:rFonts w:ascii="Perpetua" w:hAnsi="Perpetua"/>
        </w:rPr>
        <w:t xml:space="preserve"> empiricamente possível conhecê-la</w:t>
      </w:r>
      <w:r w:rsidR="00E464C5">
        <w:rPr>
          <w:rFonts w:ascii="Perpetua" w:hAnsi="Perpetua"/>
        </w:rPr>
        <w:t>,</w:t>
      </w:r>
      <w:r w:rsidR="00246966">
        <w:rPr>
          <w:rFonts w:ascii="Perpetua" w:hAnsi="Perpetua"/>
        </w:rPr>
        <w:t xml:space="preserve"> </w:t>
      </w:r>
      <w:r w:rsidR="009840DA">
        <w:rPr>
          <w:rFonts w:ascii="Perpetua" w:hAnsi="Perpetua"/>
        </w:rPr>
        <w:t xml:space="preserve">não </w:t>
      </w:r>
      <w:r w:rsidR="00246966">
        <w:rPr>
          <w:rFonts w:ascii="Perpetua" w:hAnsi="Perpetua"/>
        </w:rPr>
        <w:t>tem relevância</w:t>
      </w:r>
      <w:r w:rsidR="00E464C5">
        <w:rPr>
          <w:rFonts w:ascii="Perpetua" w:hAnsi="Perpetua"/>
        </w:rPr>
        <w:t xml:space="preserve"> prática</w:t>
      </w:r>
      <w:r w:rsidR="00246966">
        <w:rPr>
          <w:rFonts w:ascii="Perpetua" w:hAnsi="Perpetua"/>
        </w:rPr>
        <w:t>, visto que não con</w:t>
      </w:r>
      <w:r w:rsidR="009840DA">
        <w:rPr>
          <w:rFonts w:ascii="Perpetua" w:hAnsi="Perpetua"/>
        </w:rPr>
        <w:t>stitui uma variável de decisão dos tribunais ou da administração do</w:t>
      </w:r>
      <w:r w:rsidR="00246966">
        <w:rPr>
          <w:rFonts w:ascii="Perpetua" w:hAnsi="Perpetua"/>
        </w:rPr>
        <w:t xml:space="preserve"> </w:t>
      </w:r>
      <w:r w:rsidR="009840DA">
        <w:rPr>
          <w:rFonts w:ascii="Perpetua" w:hAnsi="Perpetua"/>
        </w:rPr>
        <w:t>s</w:t>
      </w:r>
      <w:r w:rsidR="00246966">
        <w:rPr>
          <w:rFonts w:ascii="Perpetua" w:hAnsi="Perpetua"/>
        </w:rPr>
        <w:t>istema judicial</w:t>
      </w:r>
      <w:r w:rsidR="009840DA">
        <w:rPr>
          <w:rFonts w:ascii="Perpetua" w:hAnsi="Perpetua"/>
        </w:rPr>
        <w:t xml:space="preserve">. </w:t>
      </w:r>
      <w:r w:rsidR="00246966">
        <w:rPr>
          <w:rFonts w:ascii="Perpetua" w:hAnsi="Perpetua"/>
        </w:rPr>
        <w:t xml:space="preserve">A informação relevante respeita </w:t>
      </w:r>
      <w:r w:rsidR="006C588A">
        <w:rPr>
          <w:rFonts w:ascii="Perpetua" w:hAnsi="Perpetua"/>
        </w:rPr>
        <w:t xml:space="preserve">à relação entre a quantidade de factores produtivos utilizados </w:t>
      </w:r>
      <w:r w:rsidR="000E5B21">
        <w:rPr>
          <w:rFonts w:ascii="Perpetua" w:hAnsi="Perpetua"/>
        </w:rPr>
        <w:t>(neste caso os recursos humanos, o único tipo de factor produtivo para o qual à informação estatística)</w:t>
      </w:r>
      <w:r w:rsidR="006C588A">
        <w:rPr>
          <w:rFonts w:ascii="Perpetua" w:hAnsi="Perpetua"/>
        </w:rPr>
        <w:t xml:space="preserve"> </w:t>
      </w:r>
      <w:r w:rsidR="000E5B21">
        <w:rPr>
          <w:rFonts w:ascii="Perpetua" w:hAnsi="Perpetua"/>
        </w:rPr>
        <w:t xml:space="preserve">por </w:t>
      </w:r>
      <w:r w:rsidR="006C588A">
        <w:rPr>
          <w:rFonts w:ascii="Perpetua" w:hAnsi="Perpetua"/>
        </w:rPr>
        <w:t xml:space="preserve">unidade produtiva e a eficiência produtiva, pois essa informação permite ajustar de forma óptima a dimensão das unidades produtivas ao perfil </w:t>
      </w:r>
      <w:r w:rsidR="00E464C5">
        <w:rPr>
          <w:rFonts w:ascii="Perpetua" w:hAnsi="Perpetua"/>
        </w:rPr>
        <w:t xml:space="preserve">observado </w:t>
      </w:r>
      <w:r w:rsidR="006C588A">
        <w:rPr>
          <w:rFonts w:ascii="Perpetua" w:hAnsi="Perpetua"/>
        </w:rPr>
        <w:t>d</w:t>
      </w:r>
      <w:r w:rsidR="00E464C5">
        <w:rPr>
          <w:rFonts w:ascii="Perpetua" w:hAnsi="Perpetua"/>
        </w:rPr>
        <w:t>as</w:t>
      </w:r>
      <w:r w:rsidR="006C588A">
        <w:rPr>
          <w:rFonts w:ascii="Perpetua" w:hAnsi="Perpetua"/>
        </w:rPr>
        <w:t xml:space="preserve"> economias de escala da função de resolução serviços judiciais.</w:t>
      </w:r>
      <w:r w:rsidR="0041268E">
        <w:rPr>
          <w:rFonts w:ascii="Perpetua" w:hAnsi="Perpetua"/>
        </w:rPr>
        <w:t xml:space="preserve"> </w:t>
      </w:r>
      <w:r w:rsidR="00B72E9D">
        <w:rPr>
          <w:rFonts w:ascii="Perpetua" w:hAnsi="Perpetua"/>
        </w:rPr>
        <w:t xml:space="preserve">Posner (2000) prevê </w:t>
      </w:r>
      <w:r w:rsidR="007402D7">
        <w:rPr>
          <w:rFonts w:ascii="Perpetua" w:hAnsi="Perpetua"/>
        </w:rPr>
        <w:t xml:space="preserve">e verifica algum grau de </w:t>
      </w:r>
      <w:r w:rsidR="00B72E9D">
        <w:rPr>
          <w:rFonts w:ascii="Perpetua" w:hAnsi="Perpetua"/>
        </w:rPr>
        <w:t>deseconomias de escala</w:t>
      </w:r>
      <w:r>
        <w:rPr>
          <w:rFonts w:ascii="Perpetua" w:hAnsi="Perpetua"/>
        </w:rPr>
        <w:t>,</w:t>
      </w:r>
      <w:r w:rsidR="00B72E9D">
        <w:rPr>
          <w:rFonts w:ascii="Perpetua" w:hAnsi="Perpetua"/>
        </w:rPr>
        <w:t xml:space="preserve"> enquanto Gillespie (1976)</w:t>
      </w:r>
      <w:r w:rsidR="007402D7">
        <w:rPr>
          <w:rFonts w:ascii="Perpetua" w:hAnsi="Perpetua"/>
        </w:rPr>
        <w:t xml:space="preserve"> e Pedraja-Chaparro </w:t>
      </w:r>
      <w:r w:rsidR="003A79EC">
        <w:rPr>
          <w:rFonts w:ascii="Perpetua" w:hAnsi="Perpetua"/>
        </w:rPr>
        <w:t>e</w:t>
      </w:r>
      <w:r w:rsidR="006F6EAA">
        <w:rPr>
          <w:rFonts w:ascii="Perpetua" w:hAnsi="Perpetua"/>
        </w:rPr>
        <w:t xml:space="preserve"> Salinas-Jiménez (1996) </w:t>
      </w:r>
      <w:r w:rsidR="007402D7">
        <w:rPr>
          <w:rFonts w:ascii="Perpetua" w:hAnsi="Perpetua"/>
        </w:rPr>
        <w:t xml:space="preserve">prevêem </w:t>
      </w:r>
      <w:r w:rsidR="006C588A">
        <w:rPr>
          <w:rFonts w:ascii="Perpetua" w:hAnsi="Perpetua"/>
        </w:rPr>
        <w:t xml:space="preserve">rendimentos </w:t>
      </w:r>
      <w:r w:rsidR="007402D7">
        <w:rPr>
          <w:rFonts w:ascii="Perpetua" w:hAnsi="Perpetua"/>
        </w:rPr>
        <w:t>crescentes à escala</w:t>
      </w:r>
      <w:r w:rsidR="006F6EAA">
        <w:rPr>
          <w:rFonts w:ascii="Perpetua" w:hAnsi="Perpetua"/>
        </w:rPr>
        <w:t>, embora não tenham cons</w:t>
      </w:r>
      <w:r w:rsidR="00340DFD">
        <w:rPr>
          <w:rFonts w:ascii="Perpetua" w:hAnsi="Perpetua"/>
        </w:rPr>
        <w:t>eguid</w:t>
      </w:r>
      <w:r w:rsidR="006F6EAA">
        <w:rPr>
          <w:rFonts w:ascii="Perpetua" w:hAnsi="Perpetua"/>
        </w:rPr>
        <w:t xml:space="preserve">o demonstrar empiricamente as suas previsões. Kittelsen </w:t>
      </w:r>
      <w:r w:rsidR="003A79EC">
        <w:rPr>
          <w:rFonts w:ascii="Perpetua" w:hAnsi="Perpetua"/>
        </w:rPr>
        <w:t>e</w:t>
      </w:r>
      <w:r w:rsidR="006F6EAA">
        <w:rPr>
          <w:rFonts w:ascii="Perpetua" w:hAnsi="Perpetua"/>
        </w:rPr>
        <w:t xml:space="preserve"> Forsund (1992) concluem que a hipótese mais plausível é a </w:t>
      </w:r>
      <w:r w:rsidR="00340DFD">
        <w:rPr>
          <w:rFonts w:ascii="Perpetua" w:hAnsi="Perpetua"/>
        </w:rPr>
        <w:t xml:space="preserve">da </w:t>
      </w:r>
      <w:r w:rsidR="006F6EAA">
        <w:rPr>
          <w:rFonts w:ascii="Perpetua" w:hAnsi="Perpetua"/>
        </w:rPr>
        <w:t xml:space="preserve">presença de </w:t>
      </w:r>
      <w:r w:rsidR="006C588A">
        <w:rPr>
          <w:rFonts w:ascii="Perpetua" w:hAnsi="Perpetua"/>
        </w:rPr>
        <w:t xml:space="preserve">rendimentos </w:t>
      </w:r>
      <w:r w:rsidR="006F6EAA">
        <w:rPr>
          <w:rFonts w:ascii="Perpetua" w:hAnsi="Perpetua"/>
        </w:rPr>
        <w:t>constantes à escala na produção de serviços judiciais. Uma vez que as dimensões dos tribunais e o tipo de tribunais utilizados nos testes empíricos dos artigos</w:t>
      </w:r>
      <w:r w:rsidR="009A4F4F">
        <w:rPr>
          <w:rFonts w:ascii="Perpetua" w:hAnsi="Perpetua"/>
        </w:rPr>
        <w:t xml:space="preserve"> revistos </w:t>
      </w:r>
      <w:r w:rsidR="006F6EAA">
        <w:rPr>
          <w:rFonts w:ascii="Perpetua" w:hAnsi="Perpetua"/>
        </w:rPr>
        <w:t xml:space="preserve">são bastante diversos, é natural que não haja consistência no que respeita ao </w:t>
      </w:r>
      <w:r w:rsidR="00927CDD">
        <w:rPr>
          <w:rFonts w:ascii="Perpetua" w:hAnsi="Perpetua"/>
        </w:rPr>
        <w:t>perfil das economias de escala observadas.</w:t>
      </w:r>
    </w:p>
    <w:p w:rsidR="00CE59EA" w:rsidRDefault="00CE59EA" w:rsidP="0080386E">
      <w:pPr>
        <w:spacing w:line="360" w:lineRule="auto"/>
        <w:jc w:val="both"/>
        <w:rPr>
          <w:rFonts w:ascii="Perpetua" w:hAnsi="Perpetua"/>
        </w:rPr>
      </w:pPr>
    </w:p>
    <w:p w:rsidR="005B61B3" w:rsidRDefault="006F6EAA" w:rsidP="0080386E">
      <w:pPr>
        <w:spacing w:line="360" w:lineRule="auto"/>
        <w:jc w:val="both"/>
        <w:rPr>
          <w:rFonts w:ascii="Perpetua" w:hAnsi="Perpetua"/>
        </w:rPr>
      </w:pPr>
      <w:r>
        <w:rPr>
          <w:rFonts w:ascii="Perpetua" w:hAnsi="Perpetua"/>
        </w:rPr>
        <w:t xml:space="preserve">No caso do sistema judicial português </w:t>
      </w:r>
      <w:r w:rsidR="00CE59EA">
        <w:rPr>
          <w:rFonts w:ascii="Perpetua" w:hAnsi="Perpetua"/>
        </w:rPr>
        <w:t>observ</w:t>
      </w:r>
      <w:r>
        <w:rPr>
          <w:rFonts w:ascii="Perpetua" w:hAnsi="Perpetua"/>
        </w:rPr>
        <w:t>a-se, à semelhança do sistema judicial norueguês</w:t>
      </w:r>
      <w:r w:rsidR="00CE59EA">
        <w:rPr>
          <w:rFonts w:ascii="Perpetua" w:hAnsi="Perpetua"/>
        </w:rPr>
        <w:t>, um</w:t>
      </w:r>
      <w:r>
        <w:rPr>
          <w:rFonts w:ascii="Perpetua" w:hAnsi="Perpetua"/>
        </w:rPr>
        <w:t xml:space="preserve"> número elevado de tribunais de dimensão mínima </w:t>
      </w:r>
      <w:r w:rsidR="00927CDD">
        <w:rPr>
          <w:rFonts w:ascii="Perpetua" w:hAnsi="Perpetua"/>
        </w:rPr>
        <w:t xml:space="preserve">que se localizam em zonas do interior, menos densamente povoadas e onde a procura de serviços judiciais tende ser mais baixa relativamente ao resto do País </w:t>
      </w:r>
      <w:r>
        <w:rPr>
          <w:rFonts w:ascii="Perpetua" w:hAnsi="Perpetua"/>
        </w:rPr>
        <w:t>(ver secção</w:t>
      </w:r>
      <w:r w:rsidR="00CE59EA">
        <w:rPr>
          <w:rFonts w:ascii="Perpetua" w:hAnsi="Perpetua"/>
        </w:rPr>
        <w:t xml:space="preserve"> 5.2</w:t>
      </w:r>
      <w:r w:rsidR="007F1308">
        <w:rPr>
          <w:rFonts w:ascii="Perpetua" w:hAnsi="Perpetua"/>
        </w:rPr>
        <w:t>.</w:t>
      </w:r>
      <w:r w:rsidR="0041216C">
        <w:rPr>
          <w:rFonts w:ascii="Perpetua" w:hAnsi="Perpetua"/>
        </w:rPr>
        <w:t xml:space="preserve"> pp. 89-90</w:t>
      </w:r>
      <w:r w:rsidR="00CE59EA">
        <w:rPr>
          <w:rFonts w:ascii="Perpetua" w:hAnsi="Perpetua"/>
        </w:rPr>
        <w:t>)</w:t>
      </w:r>
      <w:r w:rsidR="00927CDD">
        <w:rPr>
          <w:rFonts w:ascii="Perpetua" w:hAnsi="Perpetua"/>
        </w:rPr>
        <w:t>. Nesse sentido</w:t>
      </w:r>
      <w:r w:rsidR="00286168">
        <w:rPr>
          <w:rFonts w:ascii="Perpetua" w:hAnsi="Perpetua"/>
        </w:rPr>
        <w:t>,</w:t>
      </w:r>
      <w:r w:rsidR="00927CDD">
        <w:rPr>
          <w:rFonts w:ascii="Perpetua" w:hAnsi="Perpetua"/>
        </w:rPr>
        <w:t xml:space="preserve"> é expectável que, em média, </w:t>
      </w:r>
      <w:r w:rsidR="009A4F4F">
        <w:rPr>
          <w:rFonts w:ascii="Perpetua" w:hAnsi="Perpetua"/>
        </w:rPr>
        <w:t>estes tribunais</w:t>
      </w:r>
      <w:r w:rsidR="00927CDD">
        <w:rPr>
          <w:rFonts w:ascii="Perpetua" w:hAnsi="Perpetua"/>
        </w:rPr>
        <w:t xml:space="preserve"> </w:t>
      </w:r>
      <w:r w:rsidR="00CE59EA">
        <w:rPr>
          <w:rFonts w:ascii="Perpetua" w:hAnsi="Perpetua"/>
        </w:rPr>
        <w:t>t</w:t>
      </w:r>
      <w:r w:rsidR="00927CDD">
        <w:rPr>
          <w:rFonts w:ascii="Perpetua" w:hAnsi="Perpetua"/>
        </w:rPr>
        <w:t>enham uma probabilidade mais elevad</w:t>
      </w:r>
      <w:r w:rsidR="00CE59EA">
        <w:rPr>
          <w:rFonts w:ascii="Perpetua" w:hAnsi="Perpetua"/>
        </w:rPr>
        <w:t xml:space="preserve">a </w:t>
      </w:r>
      <w:r w:rsidR="00927CDD">
        <w:rPr>
          <w:rFonts w:ascii="Perpetua" w:hAnsi="Perpetua"/>
        </w:rPr>
        <w:t xml:space="preserve">de </w:t>
      </w:r>
      <w:r w:rsidR="00CE59EA">
        <w:rPr>
          <w:rFonts w:ascii="Perpetua" w:hAnsi="Perpetua"/>
        </w:rPr>
        <w:t>ser</w:t>
      </w:r>
      <w:r w:rsidR="00927CDD">
        <w:rPr>
          <w:rFonts w:ascii="Perpetua" w:hAnsi="Perpetua"/>
        </w:rPr>
        <w:t>em</w:t>
      </w:r>
      <w:r w:rsidR="00CE59EA">
        <w:rPr>
          <w:rFonts w:ascii="Perpetua" w:hAnsi="Perpetua"/>
        </w:rPr>
        <w:t xml:space="preserve"> penalizados na sua produtividade judicial média</w:t>
      </w:r>
      <w:r w:rsidR="00927CDD">
        <w:rPr>
          <w:rFonts w:ascii="Perpetua" w:hAnsi="Perpetua"/>
        </w:rPr>
        <w:t xml:space="preserve"> por enfrentarem uma restrição máxima de processos findos, decorrente de um nível de procura mais reduzido. A verificação desta hipótese</w:t>
      </w:r>
      <w:r w:rsidR="00B14066">
        <w:rPr>
          <w:rFonts w:ascii="Perpetua" w:hAnsi="Perpetua"/>
        </w:rPr>
        <w:t xml:space="preserve"> empírica </w:t>
      </w:r>
      <w:r w:rsidR="009A4F4F">
        <w:rPr>
          <w:rFonts w:ascii="Perpetua" w:hAnsi="Perpetua"/>
        </w:rPr>
        <w:t xml:space="preserve">será </w:t>
      </w:r>
      <w:r w:rsidR="00927CDD">
        <w:rPr>
          <w:rFonts w:ascii="Perpetua" w:hAnsi="Perpetua"/>
        </w:rPr>
        <w:t>estudad</w:t>
      </w:r>
      <w:r w:rsidR="00B14066">
        <w:rPr>
          <w:rFonts w:ascii="Perpetua" w:hAnsi="Perpetua"/>
        </w:rPr>
        <w:t>a</w:t>
      </w:r>
      <w:r w:rsidR="00927CDD">
        <w:rPr>
          <w:rFonts w:ascii="Perpetua" w:hAnsi="Perpetua"/>
        </w:rPr>
        <w:t xml:space="preserve"> em maior detalhe </w:t>
      </w:r>
      <w:r w:rsidR="009A4F4F">
        <w:rPr>
          <w:rFonts w:ascii="Perpetua" w:hAnsi="Perpetua"/>
        </w:rPr>
        <w:t>no capítulo 5</w:t>
      </w:r>
      <w:r w:rsidR="00286168">
        <w:rPr>
          <w:rFonts w:ascii="Perpetua" w:hAnsi="Perpetua"/>
        </w:rPr>
        <w:t>;</w:t>
      </w:r>
      <w:r w:rsidR="00B14066">
        <w:rPr>
          <w:rFonts w:ascii="Perpetua" w:hAnsi="Perpetua"/>
        </w:rPr>
        <w:t xml:space="preserve"> no entanto, importa sublinhar que a sua verificação pode introduzir alguns problemas na distinção entre verdadeiras </w:t>
      </w:r>
      <w:r w:rsidR="00B14066" w:rsidRPr="006C588A">
        <w:rPr>
          <w:rFonts w:ascii="Perpetua" w:hAnsi="Perpetua"/>
        </w:rPr>
        <w:t>economias de escala</w:t>
      </w:r>
      <w:r w:rsidR="00B14066">
        <w:rPr>
          <w:rFonts w:ascii="Perpetua" w:hAnsi="Perpetua"/>
        </w:rPr>
        <w:t xml:space="preserve"> – que pressupõem que os tribunais analisados estão a operar sem </w:t>
      </w:r>
      <w:r w:rsidR="002C11FE">
        <w:rPr>
          <w:rFonts w:ascii="Perpetua" w:hAnsi="Perpetua"/>
        </w:rPr>
        <w:t>desperdícios (</w:t>
      </w:r>
      <w:r w:rsidR="00B14066" w:rsidRPr="00B14066">
        <w:rPr>
          <w:rFonts w:ascii="Perpetua" w:hAnsi="Perpetua"/>
          <w:i/>
        </w:rPr>
        <w:t>slacks</w:t>
      </w:r>
      <w:r w:rsidR="002C11FE" w:rsidRPr="002C11FE">
        <w:rPr>
          <w:rFonts w:ascii="Perpetua" w:hAnsi="Perpetua"/>
        </w:rPr>
        <w:t>)</w:t>
      </w:r>
      <w:r w:rsidR="00B14066">
        <w:rPr>
          <w:rFonts w:ascii="Perpetua" w:hAnsi="Perpetua"/>
        </w:rPr>
        <w:t xml:space="preserve"> de factores produtivos – e </w:t>
      </w:r>
      <w:r w:rsidR="006C588A">
        <w:rPr>
          <w:rFonts w:ascii="Perpetua" w:hAnsi="Perpetua"/>
        </w:rPr>
        <w:t>«</w:t>
      </w:r>
      <w:r w:rsidR="00B14066" w:rsidRPr="006C588A">
        <w:rPr>
          <w:rFonts w:ascii="Perpetua" w:hAnsi="Perpetua"/>
        </w:rPr>
        <w:t>economias de escala</w:t>
      </w:r>
      <w:r w:rsidR="006C588A">
        <w:rPr>
          <w:rFonts w:ascii="Perpetua" w:hAnsi="Perpetua"/>
        </w:rPr>
        <w:t>»</w:t>
      </w:r>
      <w:r w:rsidR="00B14066">
        <w:rPr>
          <w:rFonts w:ascii="Perpetua" w:hAnsi="Perpetua"/>
        </w:rPr>
        <w:t xml:space="preserve"> resultantes de uma correlação </w:t>
      </w:r>
      <w:r w:rsidR="0041216C">
        <w:rPr>
          <w:rFonts w:ascii="Perpetua" w:hAnsi="Perpetua"/>
        </w:rPr>
        <w:t xml:space="preserve">positiva </w:t>
      </w:r>
      <w:r w:rsidR="00B14066">
        <w:rPr>
          <w:rFonts w:ascii="Perpetua" w:hAnsi="Perpetua"/>
        </w:rPr>
        <w:t>elevada entre dimensão do tribunal</w:t>
      </w:r>
      <w:r w:rsidR="0041216C">
        <w:rPr>
          <w:rFonts w:ascii="Perpetua" w:hAnsi="Perpetua"/>
        </w:rPr>
        <w:t>, medida em termos do</w:t>
      </w:r>
      <w:r w:rsidR="00B14066">
        <w:rPr>
          <w:rFonts w:ascii="Perpetua" w:hAnsi="Perpetua"/>
        </w:rPr>
        <w:t xml:space="preserve"> número de recursos humanos</w:t>
      </w:r>
      <w:r w:rsidR="0041216C">
        <w:rPr>
          <w:rFonts w:ascii="Perpetua" w:hAnsi="Perpetua"/>
        </w:rPr>
        <w:t>,</w:t>
      </w:r>
      <w:r w:rsidR="00B14066">
        <w:rPr>
          <w:rFonts w:ascii="Perpetua" w:hAnsi="Perpetua"/>
        </w:rPr>
        <w:t xml:space="preserve"> e </w:t>
      </w:r>
      <w:r w:rsidR="00FF0130">
        <w:rPr>
          <w:rFonts w:ascii="Perpetua" w:hAnsi="Perpetua"/>
        </w:rPr>
        <w:t xml:space="preserve">a </w:t>
      </w:r>
      <w:r w:rsidR="00B14066">
        <w:rPr>
          <w:rFonts w:ascii="Perpetua" w:hAnsi="Perpetua"/>
        </w:rPr>
        <w:t>carga judicial</w:t>
      </w:r>
      <w:r w:rsidR="0041216C">
        <w:rPr>
          <w:rFonts w:ascii="Perpetua" w:hAnsi="Perpetua"/>
        </w:rPr>
        <w:t xml:space="preserve"> média</w:t>
      </w:r>
      <w:r w:rsidR="00B14066">
        <w:rPr>
          <w:rFonts w:ascii="Perpetua" w:hAnsi="Perpetua"/>
        </w:rPr>
        <w:t xml:space="preserve">. </w:t>
      </w:r>
    </w:p>
    <w:p w:rsidR="00FF0130" w:rsidRDefault="00FF0130" w:rsidP="0080386E">
      <w:pPr>
        <w:spacing w:line="360" w:lineRule="auto"/>
        <w:jc w:val="both"/>
        <w:rPr>
          <w:rFonts w:ascii="Perpetua" w:hAnsi="Perpetua"/>
        </w:rPr>
      </w:pPr>
    </w:p>
    <w:p w:rsidR="0080386E" w:rsidRDefault="005B61B3" w:rsidP="0080386E">
      <w:pPr>
        <w:spacing w:line="360" w:lineRule="auto"/>
        <w:jc w:val="both"/>
        <w:rPr>
          <w:rFonts w:ascii="Perpetua" w:hAnsi="Perpetua"/>
        </w:rPr>
      </w:pPr>
      <w:r>
        <w:rPr>
          <w:rFonts w:ascii="Perpetua" w:hAnsi="Perpetua"/>
        </w:rPr>
        <w:t xml:space="preserve">No sistema judicial português </w:t>
      </w:r>
      <w:r w:rsidR="0080386E">
        <w:rPr>
          <w:rFonts w:ascii="Perpetua" w:hAnsi="Perpetua"/>
        </w:rPr>
        <w:t>espera</w:t>
      </w:r>
      <w:r w:rsidR="00FF0130">
        <w:rPr>
          <w:rFonts w:ascii="Perpetua" w:hAnsi="Perpetua"/>
        </w:rPr>
        <w:t>-se</w:t>
      </w:r>
      <w:r w:rsidR="0080386E">
        <w:rPr>
          <w:rFonts w:ascii="Perpetua" w:hAnsi="Perpetua"/>
        </w:rPr>
        <w:t xml:space="preserve"> que se verifique algum grau de deseconomias de escala</w:t>
      </w:r>
      <w:r w:rsidR="00286168">
        <w:rPr>
          <w:rFonts w:ascii="Perpetua" w:hAnsi="Perpetua"/>
        </w:rPr>
        <w:t>,</w:t>
      </w:r>
      <w:r w:rsidR="0080386E">
        <w:rPr>
          <w:rFonts w:ascii="Perpetua" w:hAnsi="Perpetua"/>
        </w:rPr>
        <w:t xml:space="preserve"> essencialmente por duas razões: i) nos tribunais de maior dimensão</w:t>
      </w:r>
      <w:r w:rsidR="00286168">
        <w:rPr>
          <w:rFonts w:ascii="Perpetua" w:hAnsi="Perpetua"/>
        </w:rPr>
        <w:t>,</w:t>
      </w:r>
      <w:r w:rsidR="0080386E">
        <w:rPr>
          <w:rFonts w:ascii="Perpetua" w:hAnsi="Perpetua"/>
        </w:rPr>
        <w:t xml:space="preserve"> os mecanismos de monitorização do trabalho dos trabalhadores judiciais tenderão a ser menos eficazes, permitindo um nível mais elevado de </w:t>
      </w:r>
      <w:r w:rsidR="0080386E" w:rsidRPr="00CE755C">
        <w:rPr>
          <w:rFonts w:ascii="Perpetua" w:hAnsi="Perpetua"/>
          <w:i/>
        </w:rPr>
        <w:t>shirking</w:t>
      </w:r>
      <w:r w:rsidR="00FF0130">
        <w:rPr>
          <w:rStyle w:val="FootnoteReference"/>
          <w:rFonts w:ascii="Perpetua" w:hAnsi="Perpetua"/>
          <w:i/>
        </w:rPr>
        <w:footnoteReference w:id="88"/>
      </w:r>
      <w:r w:rsidR="0080386E">
        <w:rPr>
          <w:rFonts w:ascii="Perpetua" w:hAnsi="Perpetua"/>
        </w:rPr>
        <w:t>;</w:t>
      </w:r>
      <w:r>
        <w:rPr>
          <w:rFonts w:ascii="Perpetua" w:hAnsi="Perpetua"/>
        </w:rPr>
        <w:t xml:space="preserve"> e</w:t>
      </w:r>
      <w:r w:rsidR="0080386E">
        <w:rPr>
          <w:rFonts w:ascii="Perpetua" w:hAnsi="Perpetua"/>
        </w:rPr>
        <w:t xml:space="preserve"> ii) o funcionamento descentralizado e com elevada autonomia das diferentes secções que compõem o tribunal (secção dos magistrados do M.P., juízos e secretaria judicial) tenderá a criar problemas de coordenação acrescidos à medida que a dimensão das secções for</w:t>
      </w:r>
      <w:r w:rsidR="004C4E17">
        <w:rPr>
          <w:rFonts w:ascii="Perpetua" w:hAnsi="Perpetua"/>
        </w:rPr>
        <w:t>em crescendo. Em suma, espera-se</w:t>
      </w:r>
      <w:r w:rsidR="0080386E">
        <w:rPr>
          <w:rFonts w:ascii="Perpetua" w:hAnsi="Perpetua"/>
        </w:rPr>
        <w:t xml:space="preserve"> que os tribunais com um </w:t>
      </w:r>
      <w:r w:rsidR="00A2767C">
        <w:rPr>
          <w:rFonts w:ascii="Perpetua" w:hAnsi="Perpetua"/>
        </w:rPr>
        <w:t>número</w:t>
      </w:r>
      <w:r w:rsidR="0080386E">
        <w:rPr>
          <w:rFonts w:ascii="Perpetua" w:hAnsi="Perpetua"/>
        </w:rPr>
        <w:t xml:space="preserve"> mais elevado de magistrados judiciais</w:t>
      </w:r>
      <w:r w:rsidR="009F6799">
        <w:rPr>
          <w:rFonts w:ascii="Perpetua" w:hAnsi="Perpetua"/>
        </w:rPr>
        <w:t xml:space="preserve"> – ou uma medida alternativa dos recursos humanos utilizados pelo tribunal –</w:t>
      </w:r>
      <w:r w:rsidR="0080386E">
        <w:rPr>
          <w:rFonts w:ascii="Perpetua" w:hAnsi="Perpetua"/>
        </w:rPr>
        <w:t xml:space="preserve"> sejam, em média, menos eficientes que os tribunais de dimensão </w:t>
      </w:r>
      <w:r w:rsidR="009F6799">
        <w:rPr>
          <w:rFonts w:ascii="Perpetua" w:hAnsi="Perpetua"/>
        </w:rPr>
        <w:t>mais reduzida</w:t>
      </w:r>
      <w:r w:rsidR="0080386E">
        <w:rPr>
          <w:rFonts w:ascii="Perpetua" w:hAnsi="Perpetua"/>
        </w:rPr>
        <w:t xml:space="preserve">. </w:t>
      </w:r>
    </w:p>
    <w:p w:rsidR="0080386E" w:rsidRDefault="0080386E" w:rsidP="0080386E">
      <w:pPr>
        <w:spacing w:line="360" w:lineRule="auto"/>
        <w:jc w:val="both"/>
        <w:rPr>
          <w:rFonts w:ascii="Perpetua" w:hAnsi="Perpetua"/>
          <w:u w:val="single"/>
        </w:rPr>
      </w:pPr>
    </w:p>
    <w:p w:rsidR="00944B98" w:rsidRDefault="00A03DF2" w:rsidP="0080386E">
      <w:pPr>
        <w:spacing w:line="360" w:lineRule="auto"/>
        <w:jc w:val="both"/>
        <w:rPr>
          <w:rFonts w:ascii="Perpetua" w:hAnsi="Perpetua"/>
        </w:rPr>
      </w:pPr>
      <w:r>
        <w:rPr>
          <w:rFonts w:ascii="Perpetua" w:hAnsi="Perpetua"/>
          <w:u w:val="single"/>
        </w:rPr>
        <w:t>Dese</w:t>
      </w:r>
      <w:r w:rsidR="009F6799" w:rsidRPr="000366F1">
        <w:rPr>
          <w:rFonts w:ascii="Perpetua" w:hAnsi="Perpetua"/>
          <w:u w:val="single"/>
        </w:rPr>
        <w:t xml:space="preserve">conomias de </w:t>
      </w:r>
      <w:r w:rsidR="009F6799">
        <w:rPr>
          <w:rFonts w:ascii="Perpetua" w:hAnsi="Perpetua"/>
          <w:u w:val="single"/>
        </w:rPr>
        <w:t xml:space="preserve">gama </w:t>
      </w:r>
      <w:r w:rsidR="009F6799" w:rsidRPr="000366F1">
        <w:rPr>
          <w:rFonts w:ascii="Perpetua" w:hAnsi="Perpetua"/>
          <w:u w:val="single"/>
        </w:rPr>
        <w:t>na produção de serviços judiciais</w:t>
      </w:r>
      <w:r w:rsidR="009F6799">
        <w:rPr>
          <w:rFonts w:ascii="Perpetua" w:hAnsi="Perpetua"/>
          <w:u w:val="single"/>
        </w:rPr>
        <w:t>:</w:t>
      </w:r>
      <w:r w:rsidR="009F6799">
        <w:rPr>
          <w:rFonts w:ascii="Perpetua" w:hAnsi="Perpetua"/>
        </w:rPr>
        <w:t xml:space="preserve"> </w:t>
      </w:r>
      <w:r w:rsidR="0080386E">
        <w:rPr>
          <w:rFonts w:ascii="Perpetua" w:hAnsi="Perpetua"/>
        </w:rPr>
        <w:t>N</w:t>
      </w:r>
      <w:r w:rsidR="009F6799">
        <w:rPr>
          <w:rFonts w:ascii="Perpetua" w:hAnsi="Perpetua"/>
        </w:rPr>
        <w:t>o que respeita ao perfil de economias de gama da produção de serviços</w:t>
      </w:r>
      <w:r w:rsidR="002C11FE">
        <w:rPr>
          <w:rFonts w:ascii="Perpetua" w:hAnsi="Perpetua"/>
        </w:rPr>
        <w:t xml:space="preserve"> dos</w:t>
      </w:r>
      <w:r w:rsidR="009F6799">
        <w:rPr>
          <w:rFonts w:ascii="Perpetua" w:hAnsi="Perpetua"/>
        </w:rPr>
        <w:t xml:space="preserve"> tribunais, a literatura revista inclui apenas um artigo que avalia essa propriedade tecnológica. Kittelsen </w:t>
      </w:r>
      <w:r w:rsidR="003A79EC">
        <w:rPr>
          <w:rFonts w:ascii="Perpetua" w:hAnsi="Perpetua"/>
        </w:rPr>
        <w:t>e</w:t>
      </w:r>
      <w:r w:rsidR="009F6799">
        <w:rPr>
          <w:rFonts w:ascii="Perpetua" w:hAnsi="Perpetua"/>
        </w:rPr>
        <w:t xml:space="preserve"> Forsund (1992) identificam algum grau de economias de gama, embora reconheçam que a presença de um elevado grau de heterogeneidade do </w:t>
      </w:r>
      <w:r w:rsidR="009F6799" w:rsidRPr="009F6799">
        <w:rPr>
          <w:rFonts w:ascii="Perpetua" w:hAnsi="Perpetua"/>
          <w:i/>
        </w:rPr>
        <w:t>case mix</w:t>
      </w:r>
      <w:r w:rsidR="009F6799">
        <w:rPr>
          <w:rFonts w:ascii="Perpetua" w:hAnsi="Perpetua"/>
        </w:rPr>
        <w:t xml:space="preserve"> dos tribunais analisados (hipótese não observada no artigo) po</w:t>
      </w:r>
      <w:r w:rsidR="00286168">
        <w:rPr>
          <w:rFonts w:ascii="Perpetua" w:hAnsi="Perpetua"/>
        </w:rPr>
        <w:t>de</w:t>
      </w:r>
      <w:r w:rsidR="009F6799">
        <w:rPr>
          <w:rFonts w:ascii="Perpetua" w:hAnsi="Perpetua"/>
        </w:rPr>
        <w:t xml:space="preserve"> invalidar esta conclusão. </w:t>
      </w:r>
    </w:p>
    <w:p w:rsidR="00944B98" w:rsidRDefault="00944B98" w:rsidP="0080386E">
      <w:pPr>
        <w:spacing w:line="360" w:lineRule="auto"/>
        <w:jc w:val="both"/>
        <w:rPr>
          <w:rFonts w:ascii="Perpetua" w:hAnsi="Perpetua"/>
        </w:rPr>
      </w:pPr>
    </w:p>
    <w:p w:rsidR="0080386E" w:rsidRDefault="009F6799" w:rsidP="0080386E">
      <w:pPr>
        <w:spacing w:line="360" w:lineRule="auto"/>
        <w:jc w:val="both"/>
        <w:rPr>
          <w:rFonts w:ascii="Perpetua" w:hAnsi="Perpetua"/>
        </w:rPr>
      </w:pPr>
      <w:r>
        <w:rPr>
          <w:rFonts w:ascii="Perpetua" w:hAnsi="Perpetua"/>
        </w:rPr>
        <w:t>Na</w:t>
      </w:r>
      <w:r w:rsidR="0080386E">
        <w:rPr>
          <w:rFonts w:ascii="Perpetua" w:hAnsi="Perpetua"/>
        </w:rPr>
        <w:t xml:space="preserve">s discussões públicas sobre a eficiência do sistema judicial </w:t>
      </w:r>
      <w:r>
        <w:rPr>
          <w:rFonts w:ascii="Perpetua" w:hAnsi="Perpetua"/>
        </w:rPr>
        <w:t xml:space="preserve">português </w:t>
      </w:r>
      <w:r w:rsidR="0080386E">
        <w:rPr>
          <w:rFonts w:ascii="Perpetua" w:hAnsi="Perpetua"/>
        </w:rPr>
        <w:t xml:space="preserve">e, em particular, dos tribunais, </w:t>
      </w:r>
      <w:r>
        <w:rPr>
          <w:rFonts w:ascii="Perpetua" w:hAnsi="Perpetua"/>
        </w:rPr>
        <w:t>a hipótese da presença de deseconomias de gama está frequentemente subjacente à defesa d</w:t>
      </w:r>
      <w:r w:rsidR="0080386E">
        <w:rPr>
          <w:rFonts w:ascii="Perpetua" w:hAnsi="Perpetua"/>
        </w:rPr>
        <w:t xml:space="preserve">a especialização dos tribunais </w:t>
      </w:r>
      <w:r>
        <w:rPr>
          <w:rFonts w:ascii="Perpetua" w:hAnsi="Perpetua"/>
        </w:rPr>
        <w:t xml:space="preserve">enquanto </w:t>
      </w:r>
      <w:r w:rsidR="0080386E">
        <w:rPr>
          <w:rFonts w:ascii="Perpetua" w:hAnsi="Perpetua"/>
        </w:rPr>
        <w:t>solução para aumentar a eficiência dos tribunais</w:t>
      </w:r>
      <w:r w:rsidR="009173F1">
        <w:rPr>
          <w:rStyle w:val="FootnoteReference"/>
          <w:rFonts w:ascii="Perpetua" w:hAnsi="Perpetua"/>
        </w:rPr>
        <w:footnoteReference w:id="89"/>
      </w:r>
      <w:r w:rsidR="0080386E">
        <w:rPr>
          <w:rFonts w:ascii="Perpetua" w:hAnsi="Perpetua"/>
        </w:rPr>
        <w:t xml:space="preserve">. O raciocínio económico subjacente é </w:t>
      </w:r>
      <w:r w:rsidR="00286168">
        <w:rPr>
          <w:rFonts w:ascii="Perpetua" w:hAnsi="Perpetua"/>
        </w:rPr>
        <w:t xml:space="preserve">o de </w:t>
      </w:r>
      <w:r w:rsidR="0080386E">
        <w:rPr>
          <w:rFonts w:ascii="Perpetua" w:hAnsi="Perpetua"/>
        </w:rPr>
        <w:t xml:space="preserve">que, na resolução judicial de litígios, como em vários outros processos produtivos, </w:t>
      </w:r>
      <w:r w:rsidR="00286168">
        <w:rPr>
          <w:rFonts w:ascii="Perpetua" w:hAnsi="Perpetua"/>
        </w:rPr>
        <w:t xml:space="preserve">se </w:t>
      </w:r>
      <w:r w:rsidR="0080386E">
        <w:rPr>
          <w:rFonts w:ascii="Perpetua" w:hAnsi="Perpetua"/>
        </w:rPr>
        <w:t>obtêm ganhos de eficiência produtiva com o aumento da experiência e da repetição de tarefas</w:t>
      </w:r>
      <w:r w:rsidR="0012598B">
        <w:rPr>
          <w:rFonts w:ascii="Perpetua" w:hAnsi="Perpetua"/>
        </w:rPr>
        <w:t xml:space="preserve"> específicas</w:t>
      </w:r>
      <w:r w:rsidR="0080386E">
        <w:rPr>
          <w:rFonts w:ascii="Perpetua" w:hAnsi="Perpetua"/>
        </w:rPr>
        <w:t xml:space="preserve">. </w:t>
      </w:r>
      <w:r>
        <w:rPr>
          <w:rFonts w:ascii="Perpetua" w:hAnsi="Perpetua"/>
        </w:rPr>
        <w:t xml:space="preserve">Em termos empíricos, a verificação da </w:t>
      </w:r>
      <w:r w:rsidR="0080386E">
        <w:rPr>
          <w:rFonts w:ascii="Perpetua" w:hAnsi="Perpetua"/>
        </w:rPr>
        <w:t xml:space="preserve">hipótese </w:t>
      </w:r>
      <w:r>
        <w:rPr>
          <w:rFonts w:ascii="Perpetua" w:hAnsi="Perpetua"/>
        </w:rPr>
        <w:t xml:space="preserve">da existência de deseconomias de gama </w:t>
      </w:r>
      <w:r w:rsidR="0080386E">
        <w:rPr>
          <w:rFonts w:ascii="Perpetua" w:hAnsi="Perpetua"/>
        </w:rPr>
        <w:t xml:space="preserve">no </w:t>
      </w:r>
      <w:r>
        <w:rPr>
          <w:rFonts w:ascii="Perpetua" w:hAnsi="Perpetua"/>
        </w:rPr>
        <w:t xml:space="preserve">produção de serviços judiciais no sistema judicial português implica que os tribunais que provêem um </w:t>
      </w:r>
      <w:r w:rsidRPr="00F161FB">
        <w:rPr>
          <w:rFonts w:ascii="Perpetua" w:hAnsi="Perpetua"/>
          <w:i/>
        </w:rPr>
        <w:t>case mix</w:t>
      </w:r>
      <w:r>
        <w:rPr>
          <w:rFonts w:ascii="Perpetua" w:hAnsi="Perpetua"/>
        </w:rPr>
        <w:t xml:space="preserve"> de serviços judiciais mais homogéneo sejam, em média, mais eficientes que os tribunais que provejam um </w:t>
      </w:r>
      <w:r w:rsidRPr="009F6799">
        <w:rPr>
          <w:rFonts w:ascii="Perpetua" w:hAnsi="Perpetua"/>
          <w:i/>
        </w:rPr>
        <w:t>mix</w:t>
      </w:r>
      <w:r>
        <w:rPr>
          <w:rFonts w:ascii="Perpetua" w:hAnsi="Perpetua"/>
        </w:rPr>
        <w:t xml:space="preserve"> de serviços judiciais mais heterogéneo. </w:t>
      </w:r>
      <w:r w:rsidR="008F0B4B">
        <w:rPr>
          <w:rFonts w:ascii="Perpetua" w:hAnsi="Perpetua"/>
        </w:rPr>
        <w:t>Para esse efeito ut</w:t>
      </w:r>
      <w:r w:rsidR="0080386E">
        <w:rPr>
          <w:rFonts w:ascii="Perpetua" w:hAnsi="Perpetua"/>
        </w:rPr>
        <w:t>ilizam</w:t>
      </w:r>
      <w:r w:rsidR="008F0B4B">
        <w:rPr>
          <w:rFonts w:ascii="Perpetua" w:hAnsi="Perpetua"/>
        </w:rPr>
        <w:t xml:space="preserve">-se diferentes </w:t>
      </w:r>
      <w:r w:rsidR="0080386E">
        <w:rPr>
          <w:rFonts w:ascii="Perpetua" w:hAnsi="Perpetua"/>
        </w:rPr>
        <w:t xml:space="preserve">variáveis para medir </w:t>
      </w:r>
      <w:r w:rsidR="008F0B4B">
        <w:rPr>
          <w:rFonts w:ascii="Perpetua" w:hAnsi="Perpetua"/>
        </w:rPr>
        <w:t xml:space="preserve">o grau de homogeneidade do </w:t>
      </w:r>
      <w:r w:rsidR="008F0B4B" w:rsidRPr="008F0B4B">
        <w:rPr>
          <w:rFonts w:ascii="Perpetua" w:hAnsi="Perpetua"/>
          <w:i/>
        </w:rPr>
        <w:t>case mix</w:t>
      </w:r>
      <w:r w:rsidR="008F0B4B" w:rsidRPr="008F0B4B">
        <w:rPr>
          <w:rFonts w:ascii="Perpetua" w:hAnsi="Perpetua"/>
        </w:rPr>
        <w:t>,</w:t>
      </w:r>
      <w:r w:rsidR="008F0B4B">
        <w:rPr>
          <w:rFonts w:ascii="Perpetua" w:hAnsi="Perpetua"/>
        </w:rPr>
        <w:t xml:space="preserve"> </w:t>
      </w:r>
      <w:r w:rsidR="0080386E">
        <w:rPr>
          <w:rFonts w:ascii="Perpetua" w:hAnsi="Perpetua"/>
        </w:rPr>
        <w:t>como o tipo de competência do tribunal (</w:t>
      </w:r>
      <w:r w:rsidR="007F01BB">
        <w:rPr>
          <w:rFonts w:ascii="Perpetua" w:hAnsi="Perpetua"/>
        </w:rPr>
        <w:t xml:space="preserve">variável </w:t>
      </w:r>
      <w:r w:rsidR="007F01BB" w:rsidRPr="007F01BB">
        <w:rPr>
          <w:rFonts w:ascii="Perpetua" w:hAnsi="Perpetua"/>
          <w:i/>
        </w:rPr>
        <w:t>dummy</w:t>
      </w:r>
      <w:r w:rsidR="007F01BB">
        <w:rPr>
          <w:rFonts w:ascii="Perpetua" w:hAnsi="Perpetua"/>
        </w:rPr>
        <w:t xml:space="preserve"> que identifica os </w:t>
      </w:r>
      <w:r w:rsidR="0080386E">
        <w:rPr>
          <w:rFonts w:ascii="Perpetua" w:hAnsi="Perpetua"/>
        </w:rPr>
        <w:t xml:space="preserve">tribunais </w:t>
      </w:r>
      <w:r w:rsidR="007F01BB">
        <w:rPr>
          <w:rFonts w:ascii="Perpetua" w:hAnsi="Perpetua"/>
        </w:rPr>
        <w:t xml:space="preserve">que têm </w:t>
      </w:r>
      <w:r w:rsidR="0080386E">
        <w:rPr>
          <w:rFonts w:ascii="Perpetua" w:hAnsi="Perpetua"/>
        </w:rPr>
        <w:t>competência especializada)</w:t>
      </w:r>
      <w:r w:rsidR="008F0B4B">
        <w:rPr>
          <w:rFonts w:ascii="Perpetua" w:hAnsi="Perpetua"/>
        </w:rPr>
        <w:t xml:space="preserve"> e o</w:t>
      </w:r>
      <w:r w:rsidR="0080386E">
        <w:rPr>
          <w:rFonts w:ascii="Perpetua" w:hAnsi="Perpetua"/>
        </w:rPr>
        <w:t xml:space="preserve"> grau de dispersão do </w:t>
      </w:r>
      <w:r w:rsidR="0080386E" w:rsidRPr="0085526A">
        <w:rPr>
          <w:rFonts w:ascii="Perpetua" w:hAnsi="Perpetua"/>
          <w:i/>
        </w:rPr>
        <w:t>case</w:t>
      </w:r>
      <w:r w:rsidR="008F0B4B">
        <w:rPr>
          <w:rFonts w:ascii="Perpetua" w:hAnsi="Perpetua"/>
          <w:i/>
        </w:rPr>
        <w:t xml:space="preserve"> </w:t>
      </w:r>
      <w:r w:rsidR="0080386E" w:rsidRPr="0085526A">
        <w:rPr>
          <w:rFonts w:ascii="Perpetua" w:hAnsi="Perpetua"/>
          <w:i/>
        </w:rPr>
        <w:t>mix</w:t>
      </w:r>
      <w:r w:rsidR="0080386E">
        <w:rPr>
          <w:rFonts w:ascii="Perpetua" w:hAnsi="Perpetua"/>
        </w:rPr>
        <w:t xml:space="preserve"> observado p</w:t>
      </w:r>
      <w:r w:rsidR="008F0B4B">
        <w:rPr>
          <w:rFonts w:ascii="Perpetua" w:hAnsi="Perpetua"/>
        </w:rPr>
        <w:t>elos vários critérios de agregação de processos findos (</w:t>
      </w:r>
      <w:r w:rsidR="0080386E">
        <w:rPr>
          <w:rFonts w:ascii="Perpetua" w:hAnsi="Perpetua"/>
        </w:rPr>
        <w:t>área processual</w:t>
      </w:r>
      <w:r w:rsidR="008932FB">
        <w:rPr>
          <w:rFonts w:ascii="Perpetua" w:hAnsi="Perpetua"/>
        </w:rPr>
        <w:t>,</w:t>
      </w:r>
      <w:r w:rsidR="008F0B4B" w:rsidRPr="008F0B4B">
        <w:rPr>
          <w:rFonts w:ascii="Perpetua" w:hAnsi="Perpetua"/>
        </w:rPr>
        <w:t xml:space="preserve"> </w:t>
      </w:r>
      <w:r w:rsidR="008F0B4B">
        <w:rPr>
          <w:rFonts w:ascii="Perpetua" w:hAnsi="Perpetua"/>
        </w:rPr>
        <w:t>etc.</w:t>
      </w:r>
      <w:r w:rsidR="0080386E">
        <w:rPr>
          <w:rFonts w:ascii="Perpetua" w:hAnsi="Perpetua"/>
        </w:rPr>
        <w:t>)</w:t>
      </w:r>
      <w:r w:rsidR="008F0B4B">
        <w:rPr>
          <w:rFonts w:ascii="Perpetua" w:hAnsi="Perpetua"/>
        </w:rPr>
        <w:t>.</w:t>
      </w:r>
      <w:r w:rsidR="0080386E">
        <w:rPr>
          <w:rFonts w:ascii="Perpetua" w:hAnsi="Perpetua"/>
        </w:rPr>
        <w:t xml:space="preserve">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sidRPr="00331C59">
        <w:rPr>
          <w:rFonts w:ascii="Perpetua" w:hAnsi="Perpetua"/>
          <w:u w:val="single"/>
        </w:rPr>
        <w:t>Importância dos factores de contexto</w:t>
      </w:r>
      <w:r>
        <w:rPr>
          <w:rFonts w:ascii="Perpetua" w:hAnsi="Perpetua"/>
          <w:u w:val="single"/>
        </w:rPr>
        <w:t>:</w:t>
      </w:r>
      <w:r>
        <w:rPr>
          <w:rFonts w:ascii="Perpetua" w:hAnsi="Perpetua"/>
        </w:rPr>
        <w:t xml:space="preserve"> Um dos aspectos mais particulares da produção de serviços judiciais é o </w:t>
      </w:r>
      <w:r w:rsidR="00A03DF2">
        <w:rPr>
          <w:rFonts w:ascii="Perpetua" w:hAnsi="Perpetua"/>
        </w:rPr>
        <w:t xml:space="preserve">seu </w:t>
      </w:r>
      <w:r>
        <w:rPr>
          <w:rFonts w:ascii="Perpetua" w:hAnsi="Perpetua"/>
        </w:rPr>
        <w:t xml:space="preserve">elevado grau de dependência </w:t>
      </w:r>
      <w:r w:rsidR="00A03DF2">
        <w:rPr>
          <w:rFonts w:ascii="Perpetua" w:hAnsi="Perpetua"/>
        </w:rPr>
        <w:t>face a</w:t>
      </w:r>
      <w:r>
        <w:rPr>
          <w:rFonts w:ascii="Perpetua" w:hAnsi="Perpetua"/>
        </w:rPr>
        <w:t xml:space="preserve"> factores externos às unidades produtivas de serviços judiciais. Gillespie (1976: 246) define factores de contexto como variáveis que têm um efeito positivo ou negativo sobre a eficiência produtiva dos tribunais e que estão fora do controlo daqueles que gerem os tribunais. Um primeiro conjunto de factores externos que pretendemos considerar e que pode afectar a eficiência produtiva da resolução de serviços judiciais respeita aos actores exteriores aos tribunais que participam directamente na resolução de serviços judiciais. As</w:t>
      </w:r>
      <w:r w:rsidR="008932FB">
        <w:rPr>
          <w:rFonts w:ascii="Perpetua" w:hAnsi="Perpetua"/>
        </w:rPr>
        <w:t xml:space="preserve"> partes em litígio (os autores/exequentes/queixosos, os réus/executados/</w:t>
      </w:r>
      <w:r>
        <w:rPr>
          <w:rFonts w:ascii="Perpetua" w:hAnsi="Perpetua"/>
        </w:rPr>
        <w:t xml:space="preserve">arguidos), os advogados, os solicitadores, os peritos, e certos serviços da administração pública, como os serviços de registos e notariado, </w:t>
      </w:r>
      <w:r w:rsidRPr="00C300EA">
        <w:rPr>
          <w:rFonts w:ascii="Perpetua" w:hAnsi="Perpetua"/>
          <w:i/>
        </w:rPr>
        <w:t>colaboram</w:t>
      </w:r>
      <w:r>
        <w:rPr>
          <w:rFonts w:ascii="Perpetua" w:hAnsi="Perpetua"/>
        </w:rPr>
        <w:t xml:space="preserve"> directamente na resolução judicial, sendo expectável que a diferentes padrões de quantidade, qualidade e de relacionamento entre estes actores correspondam diferentes padrões de eficiência da resolução processos judiciais.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Pr>
          <w:rFonts w:ascii="Perpetua" w:hAnsi="Perpetua"/>
        </w:rPr>
        <w:t xml:space="preserve">Nesse âmbito, uma hipótese plausível é </w:t>
      </w:r>
      <w:r w:rsidR="00286168">
        <w:rPr>
          <w:rFonts w:ascii="Perpetua" w:hAnsi="Perpetua"/>
        </w:rPr>
        <w:t xml:space="preserve">a de </w:t>
      </w:r>
      <w:r>
        <w:rPr>
          <w:rFonts w:ascii="Perpetua" w:hAnsi="Perpetua"/>
        </w:rPr>
        <w:t>que um maior grau de formalidade</w:t>
      </w:r>
      <w:r w:rsidR="002C11FE">
        <w:rPr>
          <w:rFonts w:ascii="Perpetua" w:hAnsi="Perpetua"/>
        </w:rPr>
        <w:t xml:space="preserve"> (</w:t>
      </w:r>
      <w:r w:rsidR="002C11FE" w:rsidRPr="004E5D3A">
        <w:rPr>
          <w:rFonts w:ascii="Perpetua" w:hAnsi="Perpetua"/>
          <w:i/>
        </w:rPr>
        <w:t>i.e.</w:t>
      </w:r>
      <w:r w:rsidR="002C11FE">
        <w:rPr>
          <w:rFonts w:ascii="Perpetua" w:hAnsi="Perpetua"/>
        </w:rPr>
        <w:t>, relações de anonimato que decorrem por via de regras e procedimentos formais)</w:t>
      </w:r>
      <w:r>
        <w:rPr>
          <w:rFonts w:ascii="Perpetua" w:hAnsi="Perpetua"/>
        </w:rPr>
        <w:t xml:space="preserve"> das relações entre os diferentes operadores judiciais que participam na resolução dos processos j</w:t>
      </w:r>
      <w:r w:rsidR="00944B98">
        <w:rPr>
          <w:rFonts w:ascii="Perpetua" w:hAnsi="Perpetua"/>
        </w:rPr>
        <w:t>udiciais tenha</w:t>
      </w:r>
      <w:r>
        <w:rPr>
          <w:rFonts w:ascii="Perpetua" w:hAnsi="Perpetua"/>
        </w:rPr>
        <w:t xml:space="preserve"> um efeito negativo na eficiência da resolução processual. Também nesta hipótese há um paralelo entre os fenómenos macro e microeconómicos da explosão da litigância. Um das causas frequentemente apontadas para explicar o crescimento exponencial da litigância nas sociedades modernas é o grau de formalidade das relações entre os agentes económicos e cidadãos, que </w:t>
      </w:r>
      <w:r w:rsidR="00286168">
        <w:rPr>
          <w:rFonts w:ascii="Perpetua" w:hAnsi="Perpetua"/>
        </w:rPr>
        <w:t xml:space="preserve">contribui para </w:t>
      </w:r>
      <w:r>
        <w:rPr>
          <w:rFonts w:ascii="Perpetua" w:hAnsi="Perpetua"/>
        </w:rPr>
        <w:t>que a resolução de conflitos ocorra por via judicial. O grau de formalidade das relações entre os diversos operadores que participam directamente na produção de serviços judiciais não é observável</w:t>
      </w:r>
      <w:r w:rsidR="00286168">
        <w:rPr>
          <w:rFonts w:ascii="Perpetua" w:hAnsi="Perpetua"/>
        </w:rPr>
        <w:t>;</w:t>
      </w:r>
      <w:r>
        <w:rPr>
          <w:rFonts w:ascii="Perpetua" w:hAnsi="Perpetua"/>
        </w:rPr>
        <w:t xml:space="preserve"> no entanto, é possível utilizar variáveis que me</w:t>
      </w:r>
      <w:r w:rsidR="00286168">
        <w:rPr>
          <w:rFonts w:ascii="Perpetua" w:hAnsi="Perpetua"/>
        </w:rPr>
        <w:t>dem</w:t>
      </w:r>
      <w:r>
        <w:rPr>
          <w:rFonts w:ascii="Perpetua" w:hAnsi="Perpetua"/>
        </w:rPr>
        <w:t xml:space="preserve"> de forma </w:t>
      </w:r>
      <w:r w:rsidR="00702091">
        <w:rPr>
          <w:rFonts w:ascii="Perpetua" w:hAnsi="Perpetua"/>
        </w:rPr>
        <w:t xml:space="preserve">indirecta </w:t>
      </w:r>
      <w:r>
        <w:rPr>
          <w:rFonts w:ascii="Perpetua" w:hAnsi="Perpetua"/>
        </w:rPr>
        <w:t>esse fenómeno. Na estimação do modelo econométrico da produção de serviços judiciais utilizam</w:t>
      </w:r>
      <w:r w:rsidR="00702091">
        <w:rPr>
          <w:rFonts w:ascii="Perpetua" w:hAnsi="Perpetua"/>
        </w:rPr>
        <w:t>-</w:t>
      </w:r>
      <w:r>
        <w:rPr>
          <w:rFonts w:ascii="Perpetua" w:hAnsi="Perpetua"/>
        </w:rPr>
        <w:t>s</w:t>
      </w:r>
      <w:r w:rsidR="00702091">
        <w:rPr>
          <w:rFonts w:ascii="Perpetua" w:hAnsi="Perpetua"/>
        </w:rPr>
        <w:t>e</w:t>
      </w:r>
      <w:r>
        <w:rPr>
          <w:rFonts w:ascii="Perpetua" w:hAnsi="Perpetua"/>
        </w:rPr>
        <w:t xml:space="preserve"> variáveis relativas à dimensão da oferta de serviços </w:t>
      </w:r>
      <w:r w:rsidR="00286168">
        <w:rPr>
          <w:rFonts w:ascii="Perpetua" w:hAnsi="Perpetua"/>
        </w:rPr>
        <w:t xml:space="preserve">de </w:t>
      </w:r>
      <w:r w:rsidR="00D000FD">
        <w:rPr>
          <w:rFonts w:ascii="Perpetua" w:hAnsi="Perpetua"/>
        </w:rPr>
        <w:t>consultoria</w:t>
      </w:r>
      <w:r w:rsidR="00286168">
        <w:rPr>
          <w:rFonts w:ascii="Perpetua" w:hAnsi="Perpetua"/>
        </w:rPr>
        <w:t xml:space="preserve"> jurídica</w:t>
      </w:r>
      <w:r w:rsidR="00702091">
        <w:rPr>
          <w:rFonts w:ascii="Perpetua" w:hAnsi="Perpetua"/>
        </w:rPr>
        <w:t xml:space="preserve"> e</w:t>
      </w:r>
      <w:r>
        <w:rPr>
          <w:rFonts w:ascii="Perpetua" w:hAnsi="Perpetua"/>
        </w:rPr>
        <w:t xml:space="preserve"> à dimensão da oferta de serviços de </w:t>
      </w:r>
      <w:r w:rsidR="00286168">
        <w:rPr>
          <w:rFonts w:ascii="Perpetua" w:hAnsi="Perpetua"/>
        </w:rPr>
        <w:t>procuradoria jurídica</w:t>
      </w:r>
      <w:r>
        <w:rPr>
          <w:rFonts w:ascii="Perpetua" w:hAnsi="Perpetua"/>
        </w:rPr>
        <w:t xml:space="preserve">. As variáveis relativas à dimensão da oferta </w:t>
      </w:r>
      <w:r w:rsidR="00286168">
        <w:rPr>
          <w:rFonts w:ascii="Perpetua" w:hAnsi="Perpetua"/>
        </w:rPr>
        <w:t xml:space="preserve">de </w:t>
      </w:r>
      <w:r w:rsidR="00D000FD">
        <w:rPr>
          <w:rFonts w:ascii="Perpetua" w:hAnsi="Perpetua"/>
        </w:rPr>
        <w:t>consultoria</w:t>
      </w:r>
      <w:r w:rsidR="00286168">
        <w:rPr>
          <w:rFonts w:ascii="Perpetua" w:hAnsi="Perpetua"/>
        </w:rPr>
        <w:t xml:space="preserve"> </w:t>
      </w:r>
      <w:r>
        <w:rPr>
          <w:rFonts w:ascii="Perpetua" w:hAnsi="Perpetua"/>
        </w:rPr>
        <w:t xml:space="preserve">jurídica e de </w:t>
      </w:r>
      <w:r w:rsidR="00286168">
        <w:rPr>
          <w:rFonts w:ascii="Perpetua" w:hAnsi="Perpetua"/>
        </w:rPr>
        <w:t>procuradoria jurídica</w:t>
      </w:r>
      <w:r>
        <w:rPr>
          <w:rFonts w:ascii="Perpetua" w:hAnsi="Perpetua"/>
        </w:rPr>
        <w:t xml:space="preserve"> </w:t>
      </w:r>
      <w:r w:rsidR="00FF0130">
        <w:rPr>
          <w:rFonts w:ascii="Perpetua" w:hAnsi="Perpetua"/>
        </w:rPr>
        <w:t>pretende</w:t>
      </w:r>
      <w:r w:rsidR="00286168">
        <w:rPr>
          <w:rFonts w:ascii="Perpetua" w:hAnsi="Perpetua"/>
        </w:rPr>
        <w:t>m</w:t>
      </w:r>
      <w:r w:rsidR="00FF0130">
        <w:rPr>
          <w:rFonts w:ascii="Perpetua" w:hAnsi="Perpetua"/>
        </w:rPr>
        <w:t xml:space="preserve"> </w:t>
      </w:r>
      <w:r w:rsidR="004C4E17">
        <w:rPr>
          <w:rFonts w:ascii="Perpetua" w:hAnsi="Perpetua"/>
        </w:rPr>
        <w:t xml:space="preserve">medir </w:t>
      </w:r>
      <w:r w:rsidR="00FF0130">
        <w:rPr>
          <w:rFonts w:ascii="Perpetua" w:hAnsi="Perpetua"/>
        </w:rPr>
        <w:t xml:space="preserve">indirectamente </w:t>
      </w:r>
      <w:r>
        <w:rPr>
          <w:rFonts w:ascii="Perpetua" w:hAnsi="Perpetua"/>
        </w:rPr>
        <w:t xml:space="preserve">o grau de formalidade das relações entre os trabalhadores judiciais e advogados e solicitadores. </w:t>
      </w:r>
    </w:p>
    <w:p w:rsidR="0080386E" w:rsidRDefault="0080386E" w:rsidP="0080386E">
      <w:pPr>
        <w:spacing w:line="360" w:lineRule="auto"/>
        <w:jc w:val="both"/>
        <w:rPr>
          <w:rFonts w:ascii="Perpetua" w:hAnsi="Perpetua"/>
        </w:rPr>
      </w:pPr>
    </w:p>
    <w:p w:rsidR="0080386E" w:rsidRDefault="0080386E" w:rsidP="0080386E">
      <w:pPr>
        <w:spacing w:line="360" w:lineRule="auto"/>
        <w:jc w:val="both"/>
        <w:rPr>
          <w:rFonts w:ascii="Perpetua" w:hAnsi="Perpetua"/>
        </w:rPr>
      </w:pPr>
      <w:r w:rsidRPr="00332484">
        <w:rPr>
          <w:rFonts w:ascii="Perpetua" w:hAnsi="Perpetua"/>
          <w:u w:val="single"/>
        </w:rPr>
        <w:t>Densidade populacional</w:t>
      </w:r>
      <w:r>
        <w:rPr>
          <w:rFonts w:ascii="Perpetua" w:hAnsi="Perpetua"/>
        </w:rPr>
        <w:t xml:space="preserve">: A densidade populacional pode ser vista como uma variável </w:t>
      </w:r>
      <w:r w:rsidR="00702091">
        <w:rPr>
          <w:rFonts w:ascii="Perpetua" w:hAnsi="Perpetua"/>
        </w:rPr>
        <w:t xml:space="preserve">indirecta </w:t>
      </w:r>
      <w:r>
        <w:rPr>
          <w:rFonts w:ascii="Perpetua" w:hAnsi="Perpetua"/>
        </w:rPr>
        <w:t xml:space="preserve">da eficiência </w:t>
      </w:r>
      <w:r w:rsidR="00FF0130">
        <w:rPr>
          <w:rFonts w:ascii="Perpetua" w:hAnsi="Perpetua"/>
        </w:rPr>
        <w:t>(</w:t>
      </w:r>
      <w:r w:rsidR="00FF0130" w:rsidRPr="00FF0130">
        <w:rPr>
          <w:rFonts w:ascii="Perpetua" w:hAnsi="Perpetua"/>
          <w:i/>
        </w:rPr>
        <w:t>i.e.</w:t>
      </w:r>
      <w:r w:rsidR="00941AEA">
        <w:rPr>
          <w:rFonts w:ascii="Perpetua" w:hAnsi="Perpetua"/>
        </w:rPr>
        <w:t xml:space="preserve">, </w:t>
      </w:r>
      <w:r w:rsidR="00FF0130">
        <w:rPr>
          <w:rFonts w:ascii="Perpetua" w:hAnsi="Perpetua"/>
        </w:rPr>
        <w:t xml:space="preserve">inclui a dimensão de custo e de eficácia) </w:t>
      </w:r>
      <w:r>
        <w:rPr>
          <w:rFonts w:ascii="Perpetua" w:hAnsi="Perpetua"/>
        </w:rPr>
        <w:t xml:space="preserve">da comunicação entre as partes envolvidas directamente na resolução de serviços judiciais. A </w:t>
      </w:r>
      <w:r w:rsidR="00702091">
        <w:rPr>
          <w:rFonts w:ascii="Perpetua" w:hAnsi="Perpetua"/>
        </w:rPr>
        <w:t xml:space="preserve">previsão da direcção do efeito </w:t>
      </w:r>
      <w:r>
        <w:rPr>
          <w:rFonts w:ascii="Perpetua" w:hAnsi="Perpetua"/>
        </w:rPr>
        <w:t xml:space="preserve">é que </w:t>
      </w:r>
      <w:r w:rsidR="00702091">
        <w:rPr>
          <w:rFonts w:ascii="Perpetua" w:hAnsi="Perpetua"/>
        </w:rPr>
        <w:t>uma</w:t>
      </w:r>
      <w:r>
        <w:rPr>
          <w:rFonts w:ascii="Perpetua" w:hAnsi="Perpetua"/>
        </w:rPr>
        <w:t xml:space="preserve"> maior densidade populacional concorra para um aumento da eficiência produtiva dos tribunais, visto que em comarcas com populações mais densas há maior facilidade e celeridade das comunicações entre as diferentes partes envolvidas na resolução do processo judicial.</w:t>
      </w:r>
    </w:p>
    <w:p w:rsidR="0080386E" w:rsidRDefault="0080386E" w:rsidP="0080386E">
      <w:pPr>
        <w:spacing w:line="360" w:lineRule="auto"/>
        <w:jc w:val="both"/>
        <w:rPr>
          <w:rFonts w:ascii="Perpetua" w:hAnsi="Perpetua"/>
        </w:rPr>
      </w:pPr>
    </w:p>
    <w:p w:rsidR="0080386E" w:rsidRPr="00B050CE" w:rsidRDefault="00702091" w:rsidP="0080386E">
      <w:pPr>
        <w:spacing w:line="360" w:lineRule="auto"/>
        <w:jc w:val="both"/>
        <w:rPr>
          <w:rFonts w:ascii="Perpetua" w:hAnsi="Perpetua"/>
        </w:rPr>
      </w:pPr>
      <w:r>
        <w:rPr>
          <w:rFonts w:ascii="Perpetua" w:hAnsi="Perpetua"/>
          <w:u w:val="single"/>
        </w:rPr>
        <w:t>A</w:t>
      </w:r>
      <w:r w:rsidR="0080386E" w:rsidRPr="004D2EBD">
        <w:rPr>
          <w:rFonts w:ascii="Perpetua" w:hAnsi="Perpetua"/>
          <w:u w:val="single"/>
        </w:rPr>
        <w:t>mbiente económico</w:t>
      </w:r>
      <w:r w:rsidR="0080386E" w:rsidRPr="00332484">
        <w:rPr>
          <w:rFonts w:ascii="Perpetua" w:hAnsi="Perpetua"/>
        </w:rPr>
        <w:t xml:space="preserve">: </w:t>
      </w:r>
      <w:r w:rsidR="0080386E">
        <w:rPr>
          <w:rFonts w:ascii="Perpetua" w:hAnsi="Perpetua"/>
        </w:rPr>
        <w:t xml:space="preserve">Há razões económicas fortes que nos levam a prever que a produtividade judicial média dos tribunais seja positivamente influenciada pelo nível de crescimento económico do local onde o tribunal se encontra inserido. </w:t>
      </w:r>
      <w:r>
        <w:rPr>
          <w:rFonts w:ascii="Perpetua" w:hAnsi="Perpetua"/>
        </w:rPr>
        <w:t xml:space="preserve">A </w:t>
      </w:r>
      <w:r w:rsidR="0080386E">
        <w:rPr>
          <w:rFonts w:ascii="Perpetua" w:hAnsi="Perpetua"/>
        </w:rPr>
        <w:t xml:space="preserve">observação empírica do processo produtivo de serviços judiciais </w:t>
      </w:r>
      <w:r>
        <w:rPr>
          <w:rFonts w:ascii="Perpetua" w:hAnsi="Perpetua"/>
        </w:rPr>
        <w:t xml:space="preserve">sugere que se trata de </w:t>
      </w:r>
      <w:r w:rsidR="0080386E">
        <w:rPr>
          <w:rFonts w:ascii="Perpetua" w:hAnsi="Perpetua"/>
        </w:rPr>
        <w:t>uma tecnologia que não usa apenas direito substancial e processual, factos, funcionários e magistrados para produzir serviços judiciais, mas também depende de actores exteriores ao tribunal, designadamente da qualidade e disponibilidade de uma rede de serviços infra-estruturais, tecnológicos e de comunicação que permitam a comunicação eficaz entre as partes envolvidas no processo e a execução célere das diligência no âmbito da resolução de processos. É o caso dos inúmeros serviços que promovem uma maior disponibilidade (oferta e preço acessível), qualidade e celeridade da execução de diligências solicitadas pelos tribunais ou pelas partes em litígio.</w:t>
      </w:r>
      <w:r w:rsidR="0080386E" w:rsidRPr="006328B8">
        <w:rPr>
          <w:rFonts w:ascii="Perpetua" w:hAnsi="Perpetua"/>
        </w:rPr>
        <w:t xml:space="preserve"> </w:t>
      </w:r>
      <w:r w:rsidR="0080386E">
        <w:rPr>
          <w:rFonts w:ascii="Perpetua" w:hAnsi="Perpetua"/>
        </w:rPr>
        <w:t xml:space="preserve">De modo a testar </w:t>
      </w:r>
      <w:r>
        <w:rPr>
          <w:rFonts w:ascii="Perpetua" w:hAnsi="Perpetua"/>
        </w:rPr>
        <w:t xml:space="preserve">empiricamente </w:t>
      </w:r>
      <w:r w:rsidR="0080386E">
        <w:rPr>
          <w:rFonts w:ascii="Perpetua" w:hAnsi="Perpetua"/>
        </w:rPr>
        <w:t xml:space="preserve">o efeito da </w:t>
      </w:r>
      <w:r w:rsidR="0080386E" w:rsidRPr="00702091">
        <w:rPr>
          <w:rFonts w:ascii="Perpetua" w:hAnsi="Perpetua"/>
          <w:i/>
        </w:rPr>
        <w:t>qualidade</w:t>
      </w:r>
      <w:r w:rsidR="0080386E">
        <w:rPr>
          <w:rFonts w:ascii="Perpetua" w:hAnsi="Perpetua"/>
        </w:rPr>
        <w:t xml:space="preserve"> dos serviços económicos auxiliares </w:t>
      </w:r>
      <w:r w:rsidR="00286168">
        <w:rPr>
          <w:rFonts w:ascii="Perpetua" w:hAnsi="Perpetua"/>
        </w:rPr>
        <w:t>da</w:t>
      </w:r>
      <w:r w:rsidR="0080386E">
        <w:rPr>
          <w:rFonts w:ascii="Perpetua" w:hAnsi="Perpetua"/>
        </w:rPr>
        <w:t xml:space="preserve"> produção de serviços judiciais</w:t>
      </w:r>
      <w:r>
        <w:rPr>
          <w:rFonts w:ascii="Perpetua" w:hAnsi="Perpetua"/>
        </w:rPr>
        <w:t>,</w:t>
      </w:r>
      <w:r w:rsidR="0080386E">
        <w:rPr>
          <w:rFonts w:ascii="Perpetua" w:hAnsi="Perpetua"/>
        </w:rPr>
        <w:t xml:space="preserve"> u</w:t>
      </w:r>
      <w:r w:rsidR="0080386E" w:rsidRPr="009E25EF">
        <w:rPr>
          <w:rFonts w:ascii="Perpetua" w:hAnsi="Perpetua"/>
        </w:rPr>
        <w:t>tiliz</w:t>
      </w:r>
      <w:r>
        <w:rPr>
          <w:rFonts w:ascii="Perpetua" w:hAnsi="Perpetua"/>
        </w:rPr>
        <w:t xml:space="preserve">a-se </w:t>
      </w:r>
      <w:r w:rsidR="0080386E">
        <w:rPr>
          <w:rFonts w:ascii="Perpetua" w:hAnsi="Perpetua"/>
        </w:rPr>
        <w:t>o Índice de Poder de Compra da Comarca (IPC</w:t>
      </w:r>
      <w:r w:rsidR="00294D02">
        <w:rPr>
          <w:rFonts w:ascii="Perpetua" w:hAnsi="Perpetua"/>
        </w:rPr>
        <w:t>C</w:t>
      </w:r>
      <w:r w:rsidR="0080386E">
        <w:rPr>
          <w:rFonts w:ascii="Perpetua" w:hAnsi="Perpetua"/>
        </w:rPr>
        <w:t>) e o Produto Interno Bruto dos locais</w:t>
      </w:r>
      <w:r w:rsidR="00294D02">
        <w:rPr>
          <w:rFonts w:ascii="Perpetua" w:hAnsi="Perpetua"/>
        </w:rPr>
        <w:t xml:space="preserve"> –</w:t>
      </w:r>
      <w:r w:rsidR="0080386E">
        <w:rPr>
          <w:rFonts w:ascii="Perpetua" w:hAnsi="Perpetua"/>
        </w:rPr>
        <w:t xml:space="preserve"> </w:t>
      </w:r>
      <w:r>
        <w:rPr>
          <w:rFonts w:ascii="Perpetua" w:hAnsi="Perpetua"/>
        </w:rPr>
        <w:t>comarca e NUT III</w:t>
      </w:r>
      <w:r w:rsidR="00294D02">
        <w:rPr>
          <w:rFonts w:ascii="Perpetua" w:hAnsi="Perpetua"/>
        </w:rPr>
        <w:t>, respectivamente –</w:t>
      </w:r>
      <w:r>
        <w:rPr>
          <w:rFonts w:ascii="Perpetua" w:hAnsi="Perpetua"/>
        </w:rPr>
        <w:t xml:space="preserve"> </w:t>
      </w:r>
      <w:r w:rsidR="0080386E">
        <w:rPr>
          <w:rFonts w:ascii="Perpetua" w:hAnsi="Perpetua"/>
        </w:rPr>
        <w:t>onde o tribunal está instalado.</w:t>
      </w:r>
      <w:r w:rsidR="0080386E" w:rsidRPr="00B050CE">
        <w:rPr>
          <w:rFonts w:ascii="Perpetua" w:hAnsi="Perpetua"/>
        </w:rPr>
        <w:t xml:space="preserve"> </w:t>
      </w:r>
    </w:p>
    <w:p w:rsidR="0080386E" w:rsidRDefault="0080386E" w:rsidP="0080386E">
      <w:pPr>
        <w:spacing w:line="360" w:lineRule="auto"/>
        <w:jc w:val="both"/>
      </w:pPr>
    </w:p>
    <w:p w:rsidR="0080386E" w:rsidRDefault="0080386E" w:rsidP="0080386E">
      <w:pPr>
        <w:spacing w:line="360" w:lineRule="auto"/>
        <w:jc w:val="both"/>
        <w:rPr>
          <w:rFonts w:ascii="Perpetua" w:hAnsi="Perpetua"/>
        </w:rPr>
      </w:pPr>
      <w:r>
        <w:rPr>
          <w:rFonts w:ascii="Perpetua" w:hAnsi="Perpetua"/>
          <w:u w:val="single"/>
        </w:rPr>
        <w:t>Produtividades e coeficientes de utilização de funcionários judiciais e magistrados do M.</w:t>
      </w:r>
      <w:proofErr w:type="gramStart"/>
      <w:r>
        <w:rPr>
          <w:rFonts w:ascii="Perpetua" w:hAnsi="Perpetua"/>
          <w:u w:val="single"/>
        </w:rPr>
        <w:t>P</w:t>
      </w:r>
      <w:r w:rsidRPr="000276FC">
        <w:rPr>
          <w:rFonts w:ascii="Perpetua" w:hAnsi="Perpetua"/>
        </w:rPr>
        <w:t>.</w:t>
      </w:r>
      <w:proofErr w:type="gramEnd"/>
      <w:r w:rsidRPr="000276FC">
        <w:rPr>
          <w:rFonts w:ascii="Perpetua" w:hAnsi="Perpetua"/>
        </w:rPr>
        <w:t xml:space="preserve">: </w:t>
      </w:r>
      <w:r w:rsidR="000276FC">
        <w:rPr>
          <w:rFonts w:ascii="Perpetua" w:hAnsi="Perpetua"/>
        </w:rPr>
        <w:t xml:space="preserve">No capítulo 2 referiu-se a hipótese empírica da existência de </w:t>
      </w:r>
      <w:r>
        <w:rPr>
          <w:rFonts w:ascii="Perpetua" w:hAnsi="Perpetua"/>
        </w:rPr>
        <w:t>coeficientes de funcionários e magistrados do M.P</w:t>
      </w:r>
      <w:r w:rsidR="00286168">
        <w:rPr>
          <w:rFonts w:ascii="Perpetua" w:hAnsi="Perpetua"/>
        </w:rPr>
        <w:t>.</w:t>
      </w:r>
      <w:r>
        <w:rPr>
          <w:rFonts w:ascii="Perpetua" w:hAnsi="Perpetua"/>
        </w:rPr>
        <w:t xml:space="preserve"> iguais para todos os tribunais considerados.</w:t>
      </w:r>
      <w:r w:rsidR="00286168" w:rsidRPr="00286168">
        <w:rPr>
          <w:rFonts w:ascii="Perpetua" w:hAnsi="Perpetua"/>
        </w:rPr>
        <w:t xml:space="preserve"> </w:t>
      </w:r>
      <w:r w:rsidR="00286168">
        <w:rPr>
          <w:rFonts w:ascii="Perpetua" w:hAnsi="Perpetua"/>
        </w:rPr>
        <w:t>Caso se verifique que há heterogeneidade nos tribunais considerados quanto aos coeficientes de magistrados do M.P. e funcionários judiciais por magistrado judicial, interessa avaliar o efeito médio dessas diferenças na eficiência média dos tribunais</w:t>
      </w:r>
      <w:r w:rsidR="00286168">
        <w:rPr>
          <w:rStyle w:val="FootnoteReference"/>
          <w:rFonts w:ascii="Perpetua" w:hAnsi="Perpetua"/>
        </w:rPr>
        <w:footnoteReference w:id="90"/>
      </w:r>
      <w:r w:rsidR="00286168">
        <w:rPr>
          <w:rFonts w:ascii="Perpetua" w:hAnsi="Perpetua"/>
        </w:rPr>
        <w:t>.</w:t>
      </w:r>
      <w:r w:rsidR="000276FC">
        <w:rPr>
          <w:rFonts w:ascii="Perpetua" w:hAnsi="Perpetua"/>
        </w:rPr>
        <w:t xml:space="preserve"> </w:t>
      </w:r>
      <w:r>
        <w:rPr>
          <w:rFonts w:ascii="Perpetua" w:hAnsi="Perpetua"/>
        </w:rPr>
        <w:t>D</w:t>
      </w:r>
      <w:r w:rsidRPr="00DE2D3B">
        <w:rPr>
          <w:rFonts w:ascii="Perpetua" w:hAnsi="Perpetua"/>
        </w:rPr>
        <w:t xml:space="preserve">ois estudos baseados em recolha de informação primária </w:t>
      </w:r>
      <w:r>
        <w:rPr>
          <w:rFonts w:ascii="Perpetua" w:hAnsi="Perpetua"/>
        </w:rPr>
        <w:t xml:space="preserve">sobre </w:t>
      </w:r>
      <w:r w:rsidRPr="00DE2D3B">
        <w:rPr>
          <w:rFonts w:ascii="Perpetua" w:hAnsi="Perpetua"/>
        </w:rPr>
        <w:t xml:space="preserve">o sistema judicial português, revistos em Garoupa, Amaral </w:t>
      </w:r>
      <w:r w:rsidR="003A79EC">
        <w:rPr>
          <w:rFonts w:ascii="Perpetua" w:hAnsi="Perpetua"/>
        </w:rPr>
        <w:t>e</w:t>
      </w:r>
      <w:r w:rsidRPr="00DE2D3B">
        <w:rPr>
          <w:rFonts w:ascii="Perpetua" w:hAnsi="Perpetua"/>
        </w:rPr>
        <w:t xml:space="preserve"> Vilaça (2007:23,32-33), concluem que os funcionários judiciais contribuem de forma decisiva para a produtividade judicial</w:t>
      </w:r>
      <w:r w:rsidR="00294D02">
        <w:rPr>
          <w:rFonts w:ascii="Perpetua" w:hAnsi="Perpetua"/>
        </w:rPr>
        <w:t>. Assim, prevê-se</w:t>
      </w:r>
      <w:r w:rsidR="00F26FAB">
        <w:rPr>
          <w:rFonts w:ascii="Perpetua" w:hAnsi="Perpetua"/>
        </w:rPr>
        <w:t xml:space="preserve"> que </w:t>
      </w:r>
      <w:r>
        <w:rPr>
          <w:rFonts w:ascii="Perpetua" w:hAnsi="Perpetua"/>
        </w:rPr>
        <w:t>os tribunais com um rácio mais elevado de funcionários por magistrado judicial tenham</w:t>
      </w:r>
      <w:r w:rsidR="00294D02">
        <w:rPr>
          <w:rFonts w:ascii="Perpetua" w:hAnsi="Perpetua"/>
        </w:rPr>
        <w:t>, em média,</w:t>
      </w:r>
      <w:r>
        <w:rPr>
          <w:rFonts w:ascii="Perpetua" w:hAnsi="Perpetua"/>
        </w:rPr>
        <w:t xml:space="preserve"> uma </w:t>
      </w:r>
      <w:r w:rsidR="00294D02">
        <w:rPr>
          <w:rFonts w:ascii="Perpetua" w:hAnsi="Perpetua"/>
        </w:rPr>
        <w:t>produtividade</w:t>
      </w:r>
      <w:r w:rsidR="00124B2F">
        <w:rPr>
          <w:rFonts w:ascii="Perpetua" w:hAnsi="Perpetua"/>
        </w:rPr>
        <w:t xml:space="preserve"> judicial média </w:t>
      </w:r>
      <w:r>
        <w:rPr>
          <w:rFonts w:ascii="Perpetua" w:hAnsi="Perpetua"/>
        </w:rPr>
        <w:t xml:space="preserve">mais elevada.  </w:t>
      </w:r>
    </w:p>
    <w:p w:rsidR="00A52DF1" w:rsidRDefault="00A52DF1" w:rsidP="0080386E">
      <w:pPr>
        <w:spacing w:line="360" w:lineRule="auto"/>
        <w:jc w:val="both"/>
        <w:rPr>
          <w:rFonts w:ascii="Perpetua" w:hAnsi="Perpetua"/>
        </w:rPr>
      </w:pPr>
    </w:p>
    <w:p w:rsidR="00F72F49" w:rsidRDefault="00A52DF1" w:rsidP="00A52DF1">
      <w:pPr>
        <w:pStyle w:val="Heading2"/>
      </w:pPr>
      <w:r>
        <w:t xml:space="preserve"> </w:t>
      </w:r>
      <w:bookmarkStart w:id="95" w:name="_Toc206652074"/>
      <w:bookmarkStart w:id="96" w:name="_Toc220484475"/>
      <w:r>
        <w:t>4.3. Opções metodoló</w:t>
      </w:r>
      <w:r w:rsidR="00F72F49">
        <w:t>gi</w:t>
      </w:r>
      <w:r>
        <w:t>c</w:t>
      </w:r>
      <w:r w:rsidR="00F72F49">
        <w:t>a</w:t>
      </w:r>
      <w:r>
        <w:t>s</w:t>
      </w:r>
      <w:r w:rsidR="00F72F49">
        <w:t xml:space="preserve"> e dados estatísticos</w:t>
      </w:r>
      <w:bookmarkEnd w:id="95"/>
      <w:bookmarkEnd w:id="96"/>
    </w:p>
    <w:p w:rsidR="00F72F49" w:rsidRDefault="00F72F49" w:rsidP="00F72F49">
      <w:pPr>
        <w:spacing w:line="360" w:lineRule="auto"/>
        <w:jc w:val="both"/>
        <w:rPr>
          <w:rFonts w:ascii="Perpetua" w:hAnsi="Perpetua"/>
        </w:rPr>
      </w:pPr>
    </w:p>
    <w:p w:rsidR="00F72F49" w:rsidRDefault="00A52DF1" w:rsidP="00A52DF1">
      <w:pPr>
        <w:pStyle w:val="Heading3"/>
      </w:pPr>
      <w:bookmarkStart w:id="97" w:name="_Toc206652075"/>
      <w:bookmarkStart w:id="98" w:name="_Toc220484476"/>
      <w:r>
        <w:t>4</w:t>
      </w:r>
      <w:r w:rsidR="00F72F49">
        <w:t>.</w:t>
      </w:r>
      <w:r>
        <w:t>3.</w:t>
      </w:r>
      <w:r w:rsidR="001F0455">
        <w:t>1</w:t>
      </w:r>
      <w:r>
        <w:t>.</w:t>
      </w:r>
      <w:r w:rsidR="00F72F49" w:rsidRPr="004B6010">
        <w:t xml:space="preserve"> </w:t>
      </w:r>
      <w:r w:rsidR="00F72F49">
        <w:t>D</w:t>
      </w:r>
      <w:r w:rsidR="00F72F49" w:rsidRPr="004B6010">
        <w:t>ados</w:t>
      </w:r>
      <w:bookmarkEnd w:id="97"/>
      <w:bookmarkEnd w:id="98"/>
    </w:p>
    <w:p w:rsidR="00F72F49" w:rsidRDefault="00F72F49" w:rsidP="001F0455"/>
    <w:p w:rsidR="00F72F49" w:rsidRPr="001F0455" w:rsidRDefault="00F72F49" w:rsidP="001F0455">
      <w:pPr>
        <w:spacing w:line="360" w:lineRule="auto"/>
        <w:jc w:val="both"/>
        <w:rPr>
          <w:rFonts w:ascii="Perpetua" w:hAnsi="Perpetua"/>
        </w:rPr>
      </w:pPr>
      <w:r>
        <w:rPr>
          <w:rFonts w:ascii="Perpetua" w:hAnsi="Perpetua"/>
        </w:rPr>
        <w:t xml:space="preserve">A estrutura dos dados que utilizamos na análise da eficiência técnica dos tribunais de 1.ª instância são dados seccionais, ou seja, permitem testar hipóteses a partir dos diferenciais de eficiência </w:t>
      </w:r>
      <w:r w:rsidR="00124B2F">
        <w:rPr>
          <w:rFonts w:ascii="Perpetua" w:hAnsi="Perpetua"/>
        </w:rPr>
        <w:t xml:space="preserve">produtiva </w:t>
      </w:r>
      <w:r>
        <w:rPr>
          <w:rFonts w:ascii="Perpetua" w:hAnsi="Perpetua"/>
        </w:rPr>
        <w:t>observados entre as unidades produtivas num determinado período temporal. A escolha desta estrutura de dados resulta, em primeiro lugar, do tipo de hipóteses teóricas que</w:t>
      </w:r>
      <w:r w:rsidR="00944B98">
        <w:rPr>
          <w:rFonts w:ascii="Perpetua" w:hAnsi="Perpetua"/>
        </w:rPr>
        <w:t xml:space="preserve"> se pretendem</w:t>
      </w:r>
      <w:r>
        <w:rPr>
          <w:rFonts w:ascii="Perpetua" w:hAnsi="Perpetua"/>
        </w:rPr>
        <w:t xml:space="preserve"> testar. Em segundo lugar, as limitações informativas existentes são mais perniciosas para a modelação da eficiência técnica dos tribunais (variável explicada) e dos factores explicativos dos diferenciais encontrados (variáveis explicativas) com dados em série cronológica. Em </w:t>
      </w:r>
      <w:r w:rsidR="007374A3">
        <w:rPr>
          <w:rFonts w:ascii="Perpetua" w:hAnsi="Perpetua"/>
        </w:rPr>
        <w:t>terceiro</w:t>
      </w:r>
      <w:r>
        <w:rPr>
          <w:rFonts w:ascii="Perpetua" w:hAnsi="Perpetua"/>
        </w:rPr>
        <w:t xml:space="preserve"> lugar, os dados em sucessão cronológica requerem mais conhecimento sobre o funcionamento da oferta judicial e maior disponibilidade de dados estatísticos (sobretudo, regressores) que os dados seccionais, o que se afigura como uma desvantagem no estado actual de (incipiente) conhecimento científico sobre a produção de serviços judiciais – a reduzida dimensão da literatura revista dá ampla prova disso – e </w:t>
      </w:r>
      <w:r w:rsidR="00F45260">
        <w:rPr>
          <w:rFonts w:ascii="Perpetua" w:hAnsi="Perpetua"/>
        </w:rPr>
        <w:t xml:space="preserve">de </w:t>
      </w:r>
      <w:r>
        <w:rPr>
          <w:rFonts w:ascii="Perpetua" w:hAnsi="Perpetua"/>
        </w:rPr>
        <w:t>baixa disponibilidade de dados estatísticos. As mesmas razões, falta de dados estatísticos e reduzido conhecimento científico sobre a produção de serviços judiciais, justifica</w:t>
      </w:r>
      <w:r w:rsidR="00124B2F">
        <w:rPr>
          <w:rFonts w:ascii="Perpetua" w:hAnsi="Perpetua"/>
        </w:rPr>
        <w:t>m que não tenham sido utilizados conjuntos de tribunais</w:t>
      </w:r>
      <w:r w:rsidRPr="006B56CA">
        <w:rPr>
          <w:rFonts w:ascii="Perpetua" w:hAnsi="Perpetua"/>
        </w:rPr>
        <w:t xml:space="preserve"> </w:t>
      </w:r>
      <w:r>
        <w:rPr>
          <w:rFonts w:ascii="Perpetua" w:hAnsi="Perpetua"/>
        </w:rPr>
        <w:t xml:space="preserve">com uma estrutura de dados adequada para a aplicação de métodos avançados de </w:t>
      </w:r>
      <w:r w:rsidR="007374A3">
        <w:rPr>
          <w:rFonts w:ascii="Perpetua" w:hAnsi="Perpetua"/>
        </w:rPr>
        <w:t>regressão econométrica, como reg</w:t>
      </w:r>
      <w:r>
        <w:rPr>
          <w:rFonts w:ascii="Perpetua" w:hAnsi="Perpetua"/>
        </w:rPr>
        <w:t xml:space="preserve">ressões com dados em painel e dados emparelhados. O período dos dados reporta-se ao ano de 2001, período privilegiado para a realização de uma análise em dados seccionais, visto que se trata do ano da realização dos censos da população. </w:t>
      </w:r>
    </w:p>
    <w:p w:rsidR="00F72F49" w:rsidRPr="00EF0DC6"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Da análise estatística descritiva efectuada no capítulo </w:t>
      </w:r>
      <w:r w:rsidR="00640DD9">
        <w:rPr>
          <w:rFonts w:ascii="Perpetua" w:hAnsi="Perpetua"/>
        </w:rPr>
        <w:t>2</w:t>
      </w:r>
      <w:r>
        <w:rPr>
          <w:rFonts w:ascii="Perpetua" w:hAnsi="Perpetua"/>
        </w:rPr>
        <w:t xml:space="preserve"> ficou patente a diferente evolução</w:t>
      </w:r>
      <w:r w:rsidR="000867F1">
        <w:rPr>
          <w:rFonts w:ascii="Perpetua" w:hAnsi="Perpetua"/>
        </w:rPr>
        <w:t>,</w:t>
      </w:r>
      <w:r>
        <w:rPr>
          <w:rFonts w:ascii="Perpetua" w:hAnsi="Perpetua"/>
        </w:rPr>
        <w:t xml:space="preserve"> ao longo do período 1991-2006</w:t>
      </w:r>
      <w:r w:rsidR="000867F1">
        <w:rPr>
          <w:rFonts w:ascii="Perpetua" w:hAnsi="Perpetua"/>
        </w:rPr>
        <w:t>,</w:t>
      </w:r>
      <w:r>
        <w:rPr>
          <w:rFonts w:ascii="Perpetua" w:hAnsi="Perpetua"/>
        </w:rPr>
        <w:t xml:space="preserve"> </w:t>
      </w:r>
      <w:r w:rsidR="000867F1">
        <w:rPr>
          <w:rFonts w:ascii="Perpetua" w:hAnsi="Perpetua"/>
        </w:rPr>
        <w:t>d</w:t>
      </w:r>
      <w:r>
        <w:rPr>
          <w:rFonts w:ascii="Perpetua" w:hAnsi="Perpetua"/>
        </w:rPr>
        <w:t xml:space="preserve">os tribunais de 1.ª instância e </w:t>
      </w:r>
      <w:r w:rsidR="000867F1">
        <w:rPr>
          <w:rFonts w:ascii="Perpetua" w:hAnsi="Perpetua"/>
        </w:rPr>
        <w:t>d</w:t>
      </w:r>
      <w:r>
        <w:rPr>
          <w:rFonts w:ascii="Perpetua" w:hAnsi="Perpetua"/>
        </w:rPr>
        <w:t xml:space="preserve">os tribunais superiores. O crescente desajustamento da oferta de 1.ª instância à procura judicial de 1.ª instância, concomitante com um decréscimo acentuado de uma medida </w:t>
      </w:r>
      <w:r w:rsidRPr="00640DD9">
        <w:rPr>
          <w:rFonts w:ascii="Perpetua" w:hAnsi="Perpetua"/>
        </w:rPr>
        <w:t>bruta</w:t>
      </w:r>
      <w:r>
        <w:rPr>
          <w:rFonts w:ascii="Perpetua" w:hAnsi="Perpetua"/>
        </w:rPr>
        <w:t xml:space="preserve"> de produtividade judicial</w:t>
      </w:r>
      <w:r w:rsidR="00124B2F">
        <w:rPr>
          <w:rFonts w:ascii="Perpetua" w:hAnsi="Perpetua"/>
        </w:rPr>
        <w:t xml:space="preserve"> dessa instância do sistema judicial português</w:t>
      </w:r>
      <w:r>
        <w:rPr>
          <w:rFonts w:ascii="Perpetua" w:hAnsi="Perpetua"/>
        </w:rPr>
        <w:t xml:space="preserve">, justifica que </w:t>
      </w:r>
      <w:r w:rsidR="00124B2F">
        <w:rPr>
          <w:rFonts w:ascii="Perpetua" w:hAnsi="Perpetua"/>
        </w:rPr>
        <w:t>este trabalho se concentre na análise da</w:t>
      </w:r>
      <w:r w:rsidR="00124B2F" w:rsidRPr="00124B2F">
        <w:rPr>
          <w:rFonts w:ascii="Perpetua" w:hAnsi="Perpetua"/>
        </w:rPr>
        <w:t xml:space="preserve"> </w:t>
      </w:r>
      <w:r w:rsidR="00124B2F">
        <w:rPr>
          <w:rFonts w:ascii="Perpetua" w:hAnsi="Perpetua"/>
        </w:rPr>
        <w:t xml:space="preserve">eficiência produtiva </w:t>
      </w:r>
      <w:r>
        <w:rPr>
          <w:rFonts w:ascii="Perpetua" w:hAnsi="Perpetua"/>
        </w:rPr>
        <w:t>dos tribunais de 1.ª instância. O primeiro passo metodológico consiste na definição da unidade produtiva analisada. Os tribunais surgem como a definição empírica mais imediata da unidade produtiva de 1.ª instância</w:t>
      </w:r>
      <w:r>
        <w:rPr>
          <w:rStyle w:val="FootnoteReference"/>
          <w:rFonts w:ascii="Perpetua" w:hAnsi="Perpetua"/>
        </w:rPr>
        <w:footnoteReference w:id="91"/>
      </w:r>
      <w:r w:rsidR="000867F1">
        <w:rPr>
          <w:rFonts w:ascii="Perpetua" w:hAnsi="Perpetua"/>
        </w:rPr>
        <w:t>;</w:t>
      </w:r>
      <w:r>
        <w:rPr>
          <w:rFonts w:ascii="Perpetua" w:hAnsi="Perpetua"/>
        </w:rPr>
        <w:t xml:space="preserve"> no entanto, importa qualificar a definição da unidade produtiva «tribunal», de modo a assegurar que as unidades produtivas seleccionadas são comparáveis entre si. A definição de unidade produtiva </w:t>
      </w:r>
      <w:r w:rsidR="000867F1">
        <w:rPr>
          <w:rFonts w:ascii="Perpetua" w:hAnsi="Perpetua"/>
        </w:rPr>
        <w:t>adoptada neste traba</w:t>
      </w:r>
      <w:r w:rsidR="007333B3">
        <w:rPr>
          <w:rFonts w:ascii="Perpetua" w:hAnsi="Perpetua"/>
        </w:rPr>
        <w:t>lho é a seguinte</w:t>
      </w:r>
      <w:r>
        <w:rPr>
          <w:rFonts w:ascii="Perpetua" w:hAnsi="Perpetua"/>
        </w:rPr>
        <w:t>:</w:t>
      </w:r>
    </w:p>
    <w:p w:rsidR="00F72F49" w:rsidRDefault="00F72F49" w:rsidP="00F72F49">
      <w:pPr>
        <w:spacing w:line="360" w:lineRule="auto"/>
        <w:jc w:val="both"/>
        <w:rPr>
          <w:rFonts w:ascii="Perpetua" w:hAnsi="Perpetua"/>
        </w:rPr>
      </w:pPr>
      <w:r>
        <w:rPr>
          <w:rFonts w:ascii="Perpetua" w:hAnsi="Perpetua"/>
        </w:rPr>
        <w:t xml:space="preserve"> </w:t>
      </w:r>
    </w:p>
    <w:p w:rsidR="00F72F49" w:rsidRPr="00FF235C" w:rsidRDefault="00F72F49" w:rsidP="00F72F49">
      <w:pPr>
        <w:spacing w:line="360" w:lineRule="auto"/>
        <w:jc w:val="both"/>
        <w:rPr>
          <w:rFonts w:ascii="Perpetua" w:hAnsi="Perpetua"/>
          <w:i/>
        </w:rPr>
      </w:pPr>
      <w:r w:rsidRPr="00FF235C">
        <w:rPr>
          <w:rFonts w:ascii="Perpetua" w:hAnsi="Perpetua"/>
          <w:i/>
        </w:rPr>
        <w:t>O tribunal é uma entidade</w:t>
      </w:r>
      <w:r>
        <w:rPr>
          <w:rFonts w:ascii="Perpetua" w:hAnsi="Perpetua"/>
          <w:i/>
        </w:rPr>
        <w:t xml:space="preserve"> </w:t>
      </w:r>
      <w:r w:rsidRPr="00FF235C">
        <w:rPr>
          <w:rFonts w:ascii="Perpetua" w:hAnsi="Perpetua"/>
          <w:i/>
        </w:rPr>
        <w:t xml:space="preserve">com algum grau de autonomia </w:t>
      </w:r>
      <w:r>
        <w:rPr>
          <w:rFonts w:ascii="Perpetua" w:hAnsi="Perpetua"/>
          <w:i/>
        </w:rPr>
        <w:t xml:space="preserve">na gestão </w:t>
      </w:r>
      <w:r w:rsidRPr="00FF235C">
        <w:rPr>
          <w:rFonts w:ascii="Perpetua" w:hAnsi="Perpetua"/>
          <w:i/>
        </w:rPr>
        <w:t>do processo produtivo e que</w:t>
      </w:r>
      <w:r>
        <w:rPr>
          <w:rFonts w:ascii="Perpetua" w:hAnsi="Perpetua"/>
          <w:i/>
        </w:rPr>
        <w:t xml:space="preserve">, em instalações próprias, </w:t>
      </w:r>
      <w:r w:rsidRPr="00FF235C">
        <w:rPr>
          <w:rFonts w:ascii="Perpetua" w:hAnsi="Perpetua"/>
          <w:i/>
        </w:rPr>
        <w:t xml:space="preserve">usa recursos humanos, materiais e tecnológicos próprios para prestar serviços judiciais </w:t>
      </w:r>
      <w:r>
        <w:rPr>
          <w:rFonts w:ascii="Perpetua" w:hAnsi="Perpetua"/>
          <w:i/>
        </w:rPr>
        <w:t>com algum grau de homogeneidade e que são</w:t>
      </w:r>
      <w:r w:rsidRPr="00FF235C">
        <w:rPr>
          <w:rFonts w:ascii="Perpetua" w:hAnsi="Perpetua"/>
          <w:i/>
        </w:rPr>
        <w:t xml:space="preserve"> procurados numa área geográfica que é exclusiva</w:t>
      </w:r>
      <w:r w:rsidR="000867F1">
        <w:rPr>
          <w:rFonts w:ascii="Perpetua" w:hAnsi="Perpetua"/>
          <w:i/>
        </w:rPr>
        <w:t xml:space="preserve"> d</w:t>
      </w:r>
      <w:r>
        <w:rPr>
          <w:rFonts w:ascii="Perpetua" w:hAnsi="Perpetua"/>
          <w:i/>
        </w:rPr>
        <w:t>o tribunal.</w:t>
      </w:r>
      <w:r w:rsidRPr="00FF235C">
        <w:rPr>
          <w:rFonts w:ascii="Perpetua" w:hAnsi="Perpetua"/>
          <w:i/>
        </w:rPr>
        <w:t xml:space="preserve">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Esta definição exclui de imed</w:t>
      </w:r>
      <w:r w:rsidR="000867F1">
        <w:rPr>
          <w:rFonts w:ascii="Perpetua" w:hAnsi="Perpetua"/>
        </w:rPr>
        <w:t>iato os tribunais de 2.ª instância e o Supremo Tribunal de Justiça</w:t>
      </w:r>
      <w:r>
        <w:rPr>
          <w:rFonts w:ascii="Perpetua" w:hAnsi="Perpetua"/>
        </w:rPr>
        <w:t>, visto que o</w:t>
      </w:r>
      <w:r w:rsidR="00640DD9">
        <w:rPr>
          <w:rFonts w:ascii="Perpetua" w:hAnsi="Perpetua"/>
        </w:rPr>
        <w:t>s</w:t>
      </w:r>
      <w:r>
        <w:rPr>
          <w:rFonts w:ascii="Perpetua" w:hAnsi="Perpetua"/>
        </w:rPr>
        <w:t xml:space="preserve"> serviços prestados pelos tribunais superiores são materialmente diferentes do</w:t>
      </w:r>
      <w:r w:rsidR="00640DD9">
        <w:rPr>
          <w:rFonts w:ascii="Perpetua" w:hAnsi="Perpetua"/>
        </w:rPr>
        <w:t>s</w:t>
      </w:r>
      <w:r>
        <w:rPr>
          <w:rFonts w:ascii="Perpetua" w:hAnsi="Perpetua"/>
        </w:rPr>
        <w:t xml:space="preserve"> prestados pelos tribunais de 1.ª instância</w:t>
      </w:r>
      <w:r w:rsidR="007333B3">
        <w:rPr>
          <w:rFonts w:ascii="Perpetua" w:hAnsi="Perpetua"/>
        </w:rPr>
        <w:t>, o que desrespeita a condição da existência de algum grau de homogeneidade dos serviços judiciais prestados. O</w:t>
      </w:r>
      <w:r>
        <w:rPr>
          <w:rFonts w:ascii="Perpetua" w:hAnsi="Perpetua"/>
        </w:rPr>
        <w:t>s serviços prestados p</w:t>
      </w:r>
      <w:r w:rsidR="007333B3">
        <w:rPr>
          <w:rFonts w:ascii="Perpetua" w:hAnsi="Perpetua"/>
        </w:rPr>
        <w:t xml:space="preserve">elos tribunais de 1.ª instância </w:t>
      </w:r>
      <w:r>
        <w:rPr>
          <w:rFonts w:ascii="Perpetua" w:hAnsi="Perpetua"/>
        </w:rPr>
        <w:t xml:space="preserve">consistem na apreciação de factos e no juízo dos mesmos através da aplicação da lei, enquanto </w:t>
      </w:r>
      <w:r w:rsidR="007333B3">
        <w:rPr>
          <w:rFonts w:ascii="Perpetua" w:hAnsi="Perpetua"/>
        </w:rPr>
        <w:t xml:space="preserve">os tribunais superiores </w:t>
      </w:r>
      <w:r>
        <w:rPr>
          <w:rFonts w:ascii="Perpetua" w:hAnsi="Perpetua"/>
        </w:rPr>
        <w:t xml:space="preserve">prestam serviços de análise da conformidade da decisão judicial da 1.ª instância com a lei. </w:t>
      </w:r>
    </w:p>
    <w:p w:rsidR="00E41693" w:rsidRDefault="00E41693" w:rsidP="00F72F49">
      <w:pPr>
        <w:spacing w:line="360" w:lineRule="auto"/>
        <w:jc w:val="both"/>
        <w:rPr>
          <w:rFonts w:ascii="Perpetua" w:hAnsi="Perpetua"/>
        </w:rPr>
      </w:pPr>
    </w:p>
    <w:p w:rsidR="00F72F49" w:rsidRDefault="00640DD9" w:rsidP="00F72F49">
      <w:pPr>
        <w:spacing w:line="360" w:lineRule="auto"/>
        <w:jc w:val="both"/>
        <w:rPr>
          <w:rFonts w:ascii="Perpetua" w:hAnsi="Perpetua"/>
        </w:rPr>
      </w:pPr>
      <w:r>
        <w:rPr>
          <w:rFonts w:ascii="Perpetua" w:hAnsi="Perpetua"/>
        </w:rPr>
        <w:t xml:space="preserve">Em </w:t>
      </w:r>
      <w:r w:rsidR="00F72F49">
        <w:rPr>
          <w:rFonts w:ascii="Perpetua" w:hAnsi="Perpetua"/>
        </w:rPr>
        <w:t>2001 o sistema judicial era composto por 332 tribunais de 1.ª instância, sendo estes classificáveis pela intersecção dos conjuntos de tribunais definidos em função das competências territorial e material. Os conjuntos identifica</w:t>
      </w:r>
      <w:r w:rsidR="007333B3">
        <w:rPr>
          <w:rFonts w:ascii="Perpetua" w:hAnsi="Perpetua"/>
        </w:rPr>
        <w:t xml:space="preserve">dos </w:t>
      </w:r>
      <w:r w:rsidR="00F72F49">
        <w:rPr>
          <w:rFonts w:ascii="Perpetua" w:hAnsi="Perpetua"/>
        </w:rPr>
        <w:t xml:space="preserve">são </w:t>
      </w:r>
      <w:r w:rsidR="000867F1">
        <w:rPr>
          <w:rFonts w:ascii="Perpetua" w:hAnsi="Perpetua"/>
        </w:rPr>
        <w:t xml:space="preserve">os </w:t>
      </w:r>
      <w:r w:rsidR="00F72F49">
        <w:rPr>
          <w:rFonts w:ascii="Perpetua" w:hAnsi="Perpetua"/>
        </w:rPr>
        <w:t>seguintes:</w:t>
      </w:r>
    </w:p>
    <w:p w:rsidR="00F72F49" w:rsidRDefault="00F72F49" w:rsidP="00F72F49">
      <w:pPr>
        <w:spacing w:line="360" w:lineRule="auto"/>
        <w:jc w:val="both"/>
        <w:rPr>
          <w:rFonts w:ascii="Perpetua" w:hAnsi="Perpetua"/>
        </w:rPr>
      </w:pPr>
    </w:p>
    <w:p w:rsidR="00F72F49" w:rsidRDefault="00F72F49" w:rsidP="00F72F49">
      <w:pPr>
        <w:jc w:val="both"/>
        <w:rPr>
          <w:rFonts w:ascii="Perpetua" w:hAnsi="Perpetua"/>
        </w:rPr>
      </w:pPr>
      <w:r>
        <w:rPr>
          <w:rFonts w:ascii="Perpetua" w:hAnsi="Perpetua"/>
        </w:rPr>
        <w:t xml:space="preserve">- 221 </w:t>
      </w:r>
      <w:proofErr w:type="gramStart"/>
      <w:r>
        <w:rPr>
          <w:rFonts w:ascii="Perpetua" w:hAnsi="Perpetua"/>
        </w:rPr>
        <w:t>tribunais</w:t>
      </w:r>
      <w:proofErr w:type="gramEnd"/>
      <w:r>
        <w:rPr>
          <w:rFonts w:ascii="Perpetua" w:hAnsi="Perpetua"/>
        </w:rPr>
        <w:t xml:space="preserve"> de competência genérica, dos quais 24 com juízos de competência especializada cível e criminal;</w:t>
      </w:r>
    </w:p>
    <w:p w:rsidR="00F72F49" w:rsidRDefault="00F72F49" w:rsidP="00F72F49">
      <w:pPr>
        <w:jc w:val="both"/>
        <w:rPr>
          <w:rFonts w:ascii="Perpetua" w:hAnsi="Perpetua"/>
        </w:rPr>
      </w:pPr>
    </w:p>
    <w:p w:rsidR="00F72F49" w:rsidRDefault="00F72F49" w:rsidP="00F72F49">
      <w:pPr>
        <w:jc w:val="both"/>
        <w:rPr>
          <w:rFonts w:ascii="Perpetua" w:hAnsi="Perpetua"/>
        </w:rPr>
      </w:pPr>
      <w:r>
        <w:rPr>
          <w:rFonts w:ascii="Perpetua" w:hAnsi="Perpetua"/>
        </w:rPr>
        <w:t xml:space="preserve">- 37 </w:t>
      </w:r>
      <w:proofErr w:type="gramStart"/>
      <w:r>
        <w:rPr>
          <w:rFonts w:ascii="Perpetua" w:hAnsi="Perpetua"/>
        </w:rPr>
        <w:t>tribunais</w:t>
      </w:r>
      <w:proofErr w:type="gramEnd"/>
      <w:r>
        <w:rPr>
          <w:rFonts w:ascii="Perpetua" w:hAnsi="Perpetua"/>
        </w:rPr>
        <w:t xml:space="preserve"> </w:t>
      </w:r>
      <w:r w:rsidR="00640DD9">
        <w:rPr>
          <w:rFonts w:ascii="Perpetua" w:hAnsi="Perpetua"/>
        </w:rPr>
        <w:t xml:space="preserve">de </w:t>
      </w:r>
      <w:r>
        <w:rPr>
          <w:rFonts w:ascii="Perpetua" w:hAnsi="Perpetua"/>
        </w:rPr>
        <w:t>competência específica, dos quais</w:t>
      </w:r>
    </w:p>
    <w:p w:rsidR="00F72F49" w:rsidRDefault="00F72F49" w:rsidP="00F72F49">
      <w:pPr>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- 2 </w:t>
      </w:r>
      <w:proofErr w:type="gramStart"/>
      <w:r>
        <w:rPr>
          <w:rFonts w:ascii="Perpetua" w:hAnsi="Perpetua"/>
        </w:rPr>
        <w:t>varas</w:t>
      </w:r>
      <w:proofErr w:type="gramEnd"/>
      <w:r>
        <w:rPr>
          <w:rFonts w:ascii="Perpetua" w:hAnsi="Perpetua"/>
        </w:rPr>
        <w:t xml:space="preserve"> cíveis (Lisboa e Porto);</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- 2 </w:t>
      </w:r>
      <w:proofErr w:type="gramStart"/>
      <w:r>
        <w:rPr>
          <w:rFonts w:ascii="Perpetua" w:hAnsi="Perpetua"/>
        </w:rPr>
        <w:t>varas</w:t>
      </w:r>
      <w:proofErr w:type="gramEnd"/>
      <w:r>
        <w:rPr>
          <w:rFonts w:ascii="Perpetua" w:hAnsi="Perpetua"/>
        </w:rPr>
        <w:t xml:space="preserve"> criminais (Lisboa e Porto);</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- 8 </w:t>
      </w:r>
      <w:proofErr w:type="gramStart"/>
      <w:r>
        <w:rPr>
          <w:rFonts w:ascii="Perpetua" w:hAnsi="Perpetua"/>
        </w:rPr>
        <w:t>varas</w:t>
      </w:r>
      <w:proofErr w:type="gramEnd"/>
      <w:r>
        <w:rPr>
          <w:rFonts w:ascii="Perpetua" w:hAnsi="Perpetua"/>
        </w:rPr>
        <w:t xml:space="preserve"> mistas (</w:t>
      </w:r>
      <w:r w:rsidRPr="0082395A">
        <w:rPr>
          <w:rFonts w:ascii="Perpetua" w:hAnsi="Perpetua"/>
        </w:rPr>
        <w:t>Braga</w:t>
      </w:r>
      <w:r>
        <w:rPr>
          <w:rFonts w:ascii="Perpetua" w:hAnsi="Perpetua"/>
        </w:rPr>
        <w:t xml:space="preserve">, </w:t>
      </w:r>
      <w:r w:rsidRPr="0082395A">
        <w:rPr>
          <w:rFonts w:ascii="Perpetua" w:hAnsi="Perpetua"/>
        </w:rPr>
        <w:t>Funchal</w:t>
      </w:r>
      <w:r>
        <w:rPr>
          <w:rFonts w:ascii="Perpetua" w:hAnsi="Perpetua"/>
        </w:rPr>
        <w:t xml:space="preserve">, </w:t>
      </w:r>
      <w:r w:rsidRPr="0082395A">
        <w:rPr>
          <w:rFonts w:ascii="Perpetua" w:hAnsi="Perpetua"/>
        </w:rPr>
        <w:t>Coimbra</w:t>
      </w:r>
      <w:r>
        <w:rPr>
          <w:rFonts w:ascii="Perpetua" w:hAnsi="Perpetua"/>
        </w:rPr>
        <w:t xml:space="preserve">, </w:t>
      </w:r>
      <w:r w:rsidRPr="0082395A">
        <w:rPr>
          <w:rFonts w:ascii="Perpetua" w:hAnsi="Perpetua"/>
        </w:rPr>
        <w:t>Guimarães</w:t>
      </w:r>
      <w:r>
        <w:rPr>
          <w:rFonts w:ascii="Perpetua" w:hAnsi="Perpetua"/>
        </w:rPr>
        <w:t xml:space="preserve">, </w:t>
      </w:r>
      <w:r w:rsidRPr="0082395A">
        <w:rPr>
          <w:rFonts w:ascii="Perpetua" w:hAnsi="Perpetua"/>
        </w:rPr>
        <w:t>Loures</w:t>
      </w:r>
      <w:r>
        <w:rPr>
          <w:rFonts w:ascii="Perpetua" w:hAnsi="Perpetua"/>
        </w:rPr>
        <w:t xml:space="preserve">, </w:t>
      </w:r>
      <w:r w:rsidRPr="0082395A">
        <w:rPr>
          <w:rFonts w:ascii="Perpetua" w:hAnsi="Perpetua"/>
        </w:rPr>
        <w:t>Setúbal</w:t>
      </w:r>
      <w:r>
        <w:rPr>
          <w:rFonts w:ascii="Perpetua" w:hAnsi="Perpetua"/>
        </w:rPr>
        <w:t xml:space="preserve">, </w:t>
      </w:r>
      <w:r w:rsidRPr="0082395A">
        <w:rPr>
          <w:rFonts w:ascii="Perpetua" w:hAnsi="Perpetua"/>
        </w:rPr>
        <w:t>Sintra</w:t>
      </w:r>
      <w:r>
        <w:rPr>
          <w:rFonts w:ascii="Perpetua" w:hAnsi="Perpetua"/>
        </w:rPr>
        <w:t xml:space="preserve"> e Vila </w:t>
      </w:r>
    </w:p>
    <w:p w:rsidR="00F72F49" w:rsidRDefault="00F72F49" w:rsidP="00F72F49">
      <w:pPr>
        <w:ind w:left="708"/>
        <w:jc w:val="both"/>
        <w:rPr>
          <w:rFonts w:ascii="Perpetua" w:hAnsi="Perpetua"/>
        </w:rPr>
      </w:pPr>
      <w:r>
        <w:rPr>
          <w:rFonts w:ascii="Perpetua" w:hAnsi="Perpetua"/>
        </w:rPr>
        <w:t>Nova de Gaia);</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- 10 </w:t>
      </w:r>
      <w:proofErr w:type="gramStart"/>
      <w:r>
        <w:rPr>
          <w:rFonts w:ascii="Perpetua" w:hAnsi="Perpetua"/>
        </w:rPr>
        <w:t>juízos</w:t>
      </w:r>
      <w:proofErr w:type="gramEnd"/>
      <w:r>
        <w:rPr>
          <w:rFonts w:ascii="Perpetua" w:hAnsi="Perpetua"/>
        </w:rPr>
        <w:t xml:space="preserve"> cíveis e 10 juízos criminais (Braga, Coimbra, Funchal, Guimarães, Loures, Lisboa, Porto, Vila Nova de Gaia, Setúbal e Sintra);</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- 2 </w:t>
      </w:r>
      <w:proofErr w:type="gramStart"/>
      <w:r>
        <w:rPr>
          <w:rFonts w:ascii="Perpetua" w:hAnsi="Perpetua"/>
        </w:rPr>
        <w:t>juízos</w:t>
      </w:r>
      <w:proofErr w:type="gramEnd"/>
      <w:r>
        <w:rPr>
          <w:rFonts w:ascii="Perpetua" w:hAnsi="Perpetua"/>
        </w:rPr>
        <w:t xml:space="preserve"> de pequena instância cível (Lisboa e Porto); e</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xml:space="preserve">- 3 </w:t>
      </w:r>
      <w:proofErr w:type="gramStart"/>
      <w:r>
        <w:rPr>
          <w:rFonts w:ascii="Perpetua" w:hAnsi="Perpetua"/>
        </w:rPr>
        <w:t>juízos</w:t>
      </w:r>
      <w:proofErr w:type="gramEnd"/>
      <w:r>
        <w:rPr>
          <w:rFonts w:ascii="Perpetua" w:hAnsi="Perpetua"/>
        </w:rPr>
        <w:t xml:space="preserve"> de pequena instância criminal (Lisboa, Loures e Porto).</w:t>
      </w:r>
    </w:p>
    <w:p w:rsidR="00F72F49" w:rsidRDefault="00F72F49" w:rsidP="00F72F49">
      <w:pPr>
        <w:jc w:val="both"/>
        <w:rPr>
          <w:rFonts w:ascii="Perpetua" w:hAnsi="Perpetua"/>
        </w:rPr>
      </w:pPr>
    </w:p>
    <w:p w:rsidR="00CA75DF" w:rsidRDefault="00CA75DF" w:rsidP="00F72F49">
      <w:pPr>
        <w:jc w:val="both"/>
        <w:rPr>
          <w:rFonts w:ascii="Perpetua" w:hAnsi="Perpetua"/>
        </w:rPr>
      </w:pPr>
    </w:p>
    <w:p w:rsidR="00F72F49" w:rsidRDefault="00F72F49" w:rsidP="00F72F49">
      <w:pPr>
        <w:jc w:val="both"/>
        <w:rPr>
          <w:rFonts w:ascii="Perpetua" w:hAnsi="Perpetua"/>
        </w:rPr>
      </w:pPr>
      <w:r>
        <w:rPr>
          <w:rFonts w:ascii="Perpetua" w:hAnsi="Perpetua"/>
        </w:rPr>
        <w:t xml:space="preserve">- 74 </w:t>
      </w:r>
      <w:proofErr w:type="gramStart"/>
      <w:r>
        <w:rPr>
          <w:rFonts w:ascii="Perpetua" w:hAnsi="Perpetua"/>
        </w:rPr>
        <w:t>tribunais</w:t>
      </w:r>
      <w:proofErr w:type="gramEnd"/>
      <w:r>
        <w:rPr>
          <w:rFonts w:ascii="Perpetua" w:hAnsi="Perpetua"/>
        </w:rPr>
        <w:t xml:space="preserve"> de competência especializada, dos quais: </w:t>
      </w:r>
    </w:p>
    <w:p w:rsidR="00F72F49" w:rsidRDefault="00F72F49" w:rsidP="00F72F49">
      <w:pPr>
        <w:jc w:val="both"/>
        <w:rPr>
          <w:rFonts w:ascii="Perpetua" w:hAnsi="Perpetua"/>
        </w:rPr>
      </w:pPr>
    </w:p>
    <w:p w:rsidR="00F72F49" w:rsidRDefault="00F72F49" w:rsidP="00F72F49">
      <w:pPr>
        <w:ind w:left="708"/>
        <w:jc w:val="both"/>
        <w:rPr>
          <w:rFonts w:ascii="Perpetua" w:hAnsi="Perpetua"/>
        </w:rPr>
      </w:pPr>
      <w:r>
        <w:rPr>
          <w:rFonts w:ascii="Perpetua" w:hAnsi="Perpetua"/>
        </w:rPr>
        <w:t>- 18 Tribunais de Família e Menores (</w:t>
      </w:r>
      <w:r w:rsidRPr="00037AA4">
        <w:rPr>
          <w:rFonts w:ascii="Perpetua" w:hAnsi="Perpetua"/>
        </w:rPr>
        <w:t>Aveiro</w:t>
      </w:r>
      <w:r>
        <w:rPr>
          <w:rFonts w:ascii="Perpetua" w:hAnsi="Perpetua"/>
        </w:rPr>
        <w:t xml:space="preserve">, </w:t>
      </w:r>
      <w:r w:rsidRPr="00037AA4">
        <w:rPr>
          <w:rFonts w:ascii="Perpetua" w:hAnsi="Perpetua"/>
        </w:rPr>
        <w:t>Barreiro</w:t>
      </w:r>
      <w:r>
        <w:rPr>
          <w:rFonts w:ascii="Perpetua" w:hAnsi="Perpetua"/>
        </w:rPr>
        <w:t xml:space="preserve">, </w:t>
      </w:r>
      <w:r w:rsidRPr="00037AA4">
        <w:rPr>
          <w:rFonts w:ascii="Perpetua" w:hAnsi="Perpetua"/>
        </w:rPr>
        <w:t>Braga</w:t>
      </w:r>
      <w:r>
        <w:rPr>
          <w:rFonts w:ascii="Perpetua" w:hAnsi="Perpetua"/>
        </w:rPr>
        <w:t xml:space="preserve">, </w:t>
      </w:r>
      <w:r w:rsidRPr="00037AA4">
        <w:rPr>
          <w:rFonts w:ascii="Perpetua" w:hAnsi="Perpetua"/>
        </w:rPr>
        <w:t>Cascais</w:t>
      </w:r>
      <w:r>
        <w:rPr>
          <w:rFonts w:ascii="Perpetua" w:hAnsi="Perpetua"/>
        </w:rPr>
        <w:t xml:space="preserve">, </w:t>
      </w:r>
      <w:r w:rsidRPr="00037AA4">
        <w:rPr>
          <w:rFonts w:ascii="Perpetua" w:hAnsi="Perpetua"/>
        </w:rPr>
        <w:t>Coimbra</w:t>
      </w:r>
      <w:r>
        <w:rPr>
          <w:rFonts w:ascii="Perpetua" w:hAnsi="Perpetua"/>
        </w:rPr>
        <w:t xml:space="preserve">, </w:t>
      </w:r>
      <w:r w:rsidRPr="00037AA4">
        <w:rPr>
          <w:rFonts w:ascii="Perpetua" w:hAnsi="Perpetua"/>
        </w:rPr>
        <w:t>Faro</w:t>
      </w:r>
      <w:r>
        <w:rPr>
          <w:rFonts w:ascii="Perpetua" w:hAnsi="Perpetua"/>
        </w:rPr>
        <w:t xml:space="preserve">, </w:t>
      </w:r>
      <w:r w:rsidRPr="00037AA4">
        <w:rPr>
          <w:rFonts w:ascii="Perpetua" w:hAnsi="Perpetua"/>
        </w:rPr>
        <w:t>Funchal</w:t>
      </w:r>
      <w:r>
        <w:rPr>
          <w:rFonts w:ascii="Perpetua" w:hAnsi="Perpetua"/>
        </w:rPr>
        <w:t xml:space="preserve">, </w:t>
      </w:r>
      <w:r w:rsidRPr="00037AA4">
        <w:rPr>
          <w:rFonts w:ascii="Perpetua" w:hAnsi="Perpetua"/>
        </w:rPr>
        <w:t>Lisboa</w:t>
      </w:r>
      <w:r>
        <w:rPr>
          <w:rFonts w:ascii="Perpetua" w:hAnsi="Perpetua"/>
        </w:rPr>
        <w:t xml:space="preserve">, </w:t>
      </w:r>
      <w:r w:rsidRPr="00037AA4">
        <w:rPr>
          <w:rFonts w:ascii="Perpetua" w:hAnsi="Perpetua"/>
        </w:rPr>
        <w:t>Loures</w:t>
      </w:r>
      <w:r>
        <w:rPr>
          <w:rFonts w:ascii="Perpetua" w:hAnsi="Perpetua"/>
        </w:rPr>
        <w:t xml:space="preserve">, </w:t>
      </w:r>
      <w:r w:rsidRPr="00037AA4">
        <w:rPr>
          <w:rFonts w:ascii="Perpetua" w:hAnsi="Perpetua"/>
        </w:rPr>
        <w:t>Matosinhos</w:t>
      </w:r>
      <w:r>
        <w:rPr>
          <w:rFonts w:ascii="Perpetua" w:hAnsi="Perpetua"/>
        </w:rPr>
        <w:t xml:space="preserve">, </w:t>
      </w:r>
      <w:r w:rsidRPr="00037AA4">
        <w:rPr>
          <w:rFonts w:ascii="Perpetua" w:hAnsi="Perpetua"/>
        </w:rPr>
        <w:t>Ponta Delgada</w:t>
      </w:r>
      <w:r>
        <w:rPr>
          <w:rFonts w:ascii="Perpetua" w:hAnsi="Perpetua"/>
        </w:rPr>
        <w:t xml:space="preserve">, </w:t>
      </w:r>
      <w:r w:rsidRPr="00037AA4">
        <w:rPr>
          <w:rFonts w:ascii="Perpetua" w:hAnsi="Perpetua"/>
        </w:rPr>
        <w:t>Portimão</w:t>
      </w:r>
      <w:r>
        <w:rPr>
          <w:rFonts w:ascii="Perpetua" w:hAnsi="Perpetua"/>
        </w:rPr>
        <w:t xml:space="preserve">, </w:t>
      </w:r>
      <w:r w:rsidRPr="00037AA4">
        <w:rPr>
          <w:rFonts w:ascii="Perpetua" w:hAnsi="Perpetua"/>
        </w:rPr>
        <w:t>Porto</w:t>
      </w:r>
      <w:r>
        <w:rPr>
          <w:rFonts w:ascii="Perpetua" w:hAnsi="Perpetua"/>
        </w:rPr>
        <w:t xml:space="preserve">, </w:t>
      </w:r>
      <w:r w:rsidRPr="00037AA4">
        <w:rPr>
          <w:rFonts w:ascii="Perpetua" w:hAnsi="Perpetua"/>
        </w:rPr>
        <w:t>Seixal</w:t>
      </w:r>
      <w:r>
        <w:rPr>
          <w:rFonts w:ascii="Perpetua" w:hAnsi="Perpetua"/>
        </w:rPr>
        <w:t xml:space="preserve">, </w:t>
      </w:r>
      <w:r w:rsidRPr="00037AA4">
        <w:rPr>
          <w:rFonts w:ascii="Perpetua" w:hAnsi="Perpetua"/>
        </w:rPr>
        <w:t>Setúbal</w:t>
      </w:r>
      <w:r>
        <w:rPr>
          <w:rFonts w:ascii="Perpetua" w:hAnsi="Perpetua"/>
        </w:rPr>
        <w:t xml:space="preserve">, </w:t>
      </w:r>
      <w:r w:rsidRPr="00037AA4">
        <w:rPr>
          <w:rFonts w:ascii="Perpetua" w:hAnsi="Perpetua"/>
        </w:rPr>
        <w:t>Sintra</w:t>
      </w:r>
      <w:r>
        <w:rPr>
          <w:rFonts w:ascii="Perpetua" w:hAnsi="Perpetua"/>
        </w:rPr>
        <w:t xml:space="preserve">, </w:t>
      </w:r>
      <w:r w:rsidRPr="00037AA4">
        <w:rPr>
          <w:rFonts w:ascii="Perpetua" w:hAnsi="Perpetua"/>
        </w:rPr>
        <w:t>Vila Franca de Xira</w:t>
      </w:r>
      <w:r>
        <w:rPr>
          <w:rFonts w:ascii="Perpetua" w:hAnsi="Perpetua"/>
        </w:rPr>
        <w:t xml:space="preserve"> e </w:t>
      </w:r>
      <w:r w:rsidRPr="00037AA4">
        <w:rPr>
          <w:rFonts w:ascii="Perpetua" w:hAnsi="Perpetua"/>
        </w:rPr>
        <w:t>Vila Nova de Gaia</w:t>
      </w:r>
      <w:r>
        <w:rPr>
          <w:rFonts w:ascii="Perpetua" w:hAnsi="Perpetua"/>
        </w:rPr>
        <w:t>);</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- 47 Tribunais de Trabalho;</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- 2 Tribunais de Comércio (Lisboa e Vila Nova de Gaia);</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- 1 Tribunal Marítimo (Lisboa);</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- 2 Tribunais de Instrução Criminal (Lisboa e Porto); e</w:t>
      </w:r>
    </w:p>
    <w:p w:rsidR="00F72F49" w:rsidRDefault="00F72F49" w:rsidP="00F72F49">
      <w:pPr>
        <w:ind w:left="708"/>
        <w:jc w:val="both"/>
        <w:rPr>
          <w:rFonts w:ascii="Perpetua" w:hAnsi="Perpetua"/>
        </w:rPr>
      </w:pPr>
    </w:p>
    <w:p w:rsidR="00F72F49" w:rsidRDefault="00F72F49" w:rsidP="00F72F49">
      <w:pPr>
        <w:ind w:left="708"/>
        <w:jc w:val="both"/>
        <w:rPr>
          <w:rFonts w:ascii="Perpetua" w:hAnsi="Perpetua"/>
        </w:rPr>
      </w:pPr>
      <w:r>
        <w:rPr>
          <w:rFonts w:ascii="Perpetua" w:hAnsi="Perpetua"/>
        </w:rPr>
        <w:t>- 4 Tribunais de Execução de Penas (Coimbra, Évora, Lisboa e Porto).</w:t>
      </w:r>
    </w:p>
    <w:p w:rsidR="00F72F49" w:rsidRDefault="00F72F49" w:rsidP="00F72F49">
      <w:pPr>
        <w:spacing w:line="360" w:lineRule="auto"/>
        <w:jc w:val="both"/>
        <w:rPr>
          <w:rFonts w:ascii="Perpetua" w:hAnsi="Perpetua"/>
        </w:rPr>
      </w:pPr>
    </w:p>
    <w:p w:rsidR="007333B3" w:rsidRDefault="007333B3" w:rsidP="00F72F49">
      <w:pPr>
        <w:spacing w:line="360" w:lineRule="auto"/>
        <w:jc w:val="both"/>
        <w:rPr>
          <w:rFonts w:ascii="Perpetua" w:hAnsi="Perpetua"/>
        </w:rPr>
      </w:pPr>
    </w:p>
    <w:p w:rsidR="00F72F49" w:rsidRDefault="007333B3" w:rsidP="00F72F49">
      <w:pPr>
        <w:spacing w:line="360" w:lineRule="auto"/>
        <w:jc w:val="both"/>
        <w:rPr>
          <w:rFonts w:ascii="Perpetua" w:hAnsi="Perpetua"/>
        </w:rPr>
      </w:pPr>
      <w:r>
        <w:rPr>
          <w:rFonts w:ascii="Perpetua" w:hAnsi="Perpetua"/>
        </w:rPr>
        <w:t>De acordo com a teoria da produção</w:t>
      </w:r>
      <w:r w:rsidR="00F72F49">
        <w:rPr>
          <w:rFonts w:ascii="Perpetua" w:hAnsi="Perpetua"/>
        </w:rPr>
        <w:t>, utiliza</w:t>
      </w:r>
      <w:r>
        <w:rPr>
          <w:rFonts w:ascii="Perpetua" w:hAnsi="Perpetua"/>
        </w:rPr>
        <w:t xml:space="preserve">r-se-iam </w:t>
      </w:r>
      <w:r w:rsidR="00F72F49">
        <w:rPr>
          <w:rFonts w:ascii="Perpetua" w:hAnsi="Perpetua"/>
        </w:rPr>
        <w:t xml:space="preserve">todos os tribunais de 1.ª instância sobre os quais há dados estatísticos para avaliar e testar hipóteses sobre os factores explicativos da eficiência </w:t>
      </w:r>
      <w:r>
        <w:rPr>
          <w:rFonts w:ascii="Perpetua" w:hAnsi="Perpetua"/>
        </w:rPr>
        <w:t xml:space="preserve">produtiva </w:t>
      </w:r>
      <w:r w:rsidR="00F72F49">
        <w:rPr>
          <w:rFonts w:ascii="Perpetua" w:hAnsi="Perpetua"/>
        </w:rPr>
        <w:t>dos tribunais de 1.ª instância. No entanto, razões de natureza teórica, e sobretudo de natureza empírica e prática, obrigam à exclusão de um conjunto de tribunais. Em primeiro lugar, a definição de unidade produtiva obriga à exclusão dos tribunais de competência específica, visto que apenas para metade destes é possível obter os dados desagregados da quantidade d</w:t>
      </w:r>
      <w:r>
        <w:rPr>
          <w:rFonts w:ascii="Perpetua" w:hAnsi="Perpetua"/>
        </w:rPr>
        <w:t>o</w:t>
      </w:r>
      <w:r w:rsidR="00F72F49">
        <w:rPr>
          <w:rFonts w:ascii="Perpetua" w:hAnsi="Perpetua"/>
        </w:rPr>
        <w:t xml:space="preserve">s tipos de recursos humanos empregues em cada ano e, para os tribunais para os quais há dados, não está claro que </w:t>
      </w:r>
      <w:r w:rsidR="00640DD9">
        <w:rPr>
          <w:rFonts w:ascii="Perpetua" w:hAnsi="Perpetua"/>
        </w:rPr>
        <w:t xml:space="preserve">a </w:t>
      </w:r>
      <w:r w:rsidR="00F72F49">
        <w:rPr>
          <w:rFonts w:ascii="Perpetua" w:hAnsi="Perpetua"/>
        </w:rPr>
        <w:t xml:space="preserve">afectação dos recursos humanos a trabalhar na comarca </w:t>
      </w:r>
      <w:r>
        <w:rPr>
          <w:rFonts w:ascii="Perpetua" w:hAnsi="Perpetua"/>
        </w:rPr>
        <w:t>aos tribunais de competência genérica e específica esteja</w:t>
      </w:r>
      <w:r w:rsidR="00F72F49">
        <w:rPr>
          <w:rFonts w:ascii="Perpetua" w:hAnsi="Perpetua"/>
        </w:rPr>
        <w:t xml:space="preserve"> correcta. Uma solução alternativa, que implicaria considerar a totalidade dos tribunais de competência específica na amostra através da definição de unidade produtiva ao nível da comarca, apesar de ser estatisticamente exequível, não deixa de ser uma representação desadequada da produção de serviços judiciais.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Em segundo lugar, coloca-se a questão da heterogene</w:t>
      </w:r>
      <w:r w:rsidR="00640DD9">
        <w:rPr>
          <w:rFonts w:ascii="Perpetua" w:hAnsi="Perpetua"/>
        </w:rPr>
        <w:t xml:space="preserve">idade dos serviços prestados. Na secção 3.3. </w:t>
      </w:r>
      <w:r>
        <w:rPr>
          <w:rFonts w:ascii="Perpetua" w:hAnsi="Perpetua"/>
        </w:rPr>
        <w:t>apresent</w:t>
      </w:r>
      <w:r w:rsidR="007333B3">
        <w:rPr>
          <w:rFonts w:ascii="Perpetua" w:hAnsi="Perpetua"/>
        </w:rPr>
        <w:t xml:space="preserve">ou-se </w:t>
      </w:r>
      <w:r>
        <w:rPr>
          <w:rFonts w:ascii="Perpetua" w:hAnsi="Perpetua"/>
        </w:rPr>
        <w:t>e discuti</w:t>
      </w:r>
      <w:r w:rsidR="007333B3">
        <w:rPr>
          <w:rFonts w:ascii="Perpetua" w:hAnsi="Perpetua"/>
        </w:rPr>
        <w:t xml:space="preserve">u-se </w:t>
      </w:r>
      <w:r>
        <w:rPr>
          <w:rFonts w:ascii="Perpetua" w:hAnsi="Perpetua"/>
        </w:rPr>
        <w:t xml:space="preserve">a questão da heterogeneidade dos serviços judiciais quanto às intensidades relativas de trabalho judicial, sublinhando a ausência de um vector de ponderadores das intensidades relativas dos processos judiciais tramitados nos tribunais judiciais de 1.ª instância portugueses que fosse consensual e metodologicamente robusto. A </w:t>
      </w:r>
      <w:r w:rsidR="007333B3">
        <w:rPr>
          <w:rFonts w:ascii="Perpetua" w:hAnsi="Perpetua"/>
        </w:rPr>
        <w:t xml:space="preserve">escolha de </w:t>
      </w:r>
      <w:r>
        <w:rPr>
          <w:rFonts w:ascii="Perpetua" w:hAnsi="Perpetua"/>
        </w:rPr>
        <w:t>um vector de ponderadores</w:t>
      </w:r>
      <w:r w:rsidR="007333B3">
        <w:rPr>
          <w:rFonts w:ascii="Perpetua" w:hAnsi="Perpetua"/>
        </w:rPr>
        <w:t>, segundo a formulação do problema</w:t>
      </w:r>
      <w:r>
        <w:rPr>
          <w:rFonts w:ascii="Perpetua" w:hAnsi="Perpetua"/>
        </w:rPr>
        <w:t xml:space="preserve"> </w:t>
      </w:r>
      <w:r w:rsidR="007333B3">
        <w:rPr>
          <w:rFonts w:ascii="Perpetua" w:hAnsi="Perpetua"/>
        </w:rPr>
        <w:t xml:space="preserve">proposta na secção 3.3., </w:t>
      </w:r>
      <w:r>
        <w:rPr>
          <w:rFonts w:ascii="Perpetua" w:hAnsi="Perpetua"/>
        </w:rPr>
        <w:t xml:space="preserve">é um exercício complexo e que não </w:t>
      </w:r>
      <w:r w:rsidR="007333B3">
        <w:rPr>
          <w:rFonts w:ascii="Perpetua" w:hAnsi="Perpetua"/>
        </w:rPr>
        <w:t>se pretende</w:t>
      </w:r>
      <w:r>
        <w:rPr>
          <w:rFonts w:ascii="Perpetua" w:hAnsi="Perpetua"/>
        </w:rPr>
        <w:t xml:space="preserve"> levar a cabo neste trabalho</w:t>
      </w:r>
      <w:r w:rsidR="007333B3">
        <w:rPr>
          <w:rFonts w:ascii="Perpetua" w:hAnsi="Perpetua"/>
        </w:rPr>
        <w:t xml:space="preserve"> –</w:t>
      </w:r>
      <w:r>
        <w:rPr>
          <w:rFonts w:ascii="Perpetua" w:hAnsi="Perpetua"/>
        </w:rPr>
        <w:t xml:space="preserve"> embora algumas das análises</w:t>
      </w:r>
      <w:r w:rsidR="000867F1">
        <w:rPr>
          <w:rFonts w:ascii="Perpetua" w:hAnsi="Perpetua"/>
        </w:rPr>
        <w:t xml:space="preserve"> a</w:t>
      </w:r>
      <w:r>
        <w:rPr>
          <w:rFonts w:ascii="Perpetua" w:hAnsi="Perpetua"/>
        </w:rPr>
        <w:t xml:space="preserve"> </w:t>
      </w:r>
      <w:r w:rsidR="000867F1">
        <w:rPr>
          <w:rFonts w:ascii="Perpetua" w:hAnsi="Perpetua"/>
        </w:rPr>
        <w:t>efectuar</w:t>
      </w:r>
      <w:r>
        <w:rPr>
          <w:rFonts w:ascii="Perpetua" w:hAnsi="Perpetua"/>
        </w:rPr>
        <w:t xml:space="preserve"> possam contribuir para a investigação futura dessa questão. </w:t>
      </w:r>
      <w:r w:rsidR="007333B3">
        <w:rPr>
          <w:rFonts w:ascii="Perpetua" w:hAnsi="Perpetua"/>
        </w:rPr>
        <w:t>Todavia</w:t>
      </w:r>
      <w:r>
        <w:rPr>
          <w:rFonts w:ascii="Perpetua" w:hAnsi="Perpetua"/>
        </w:rPr>
        <w:t xml:space="preserve">, </w:t>
      </w:r>
      <w:r w:rsidR="000867F1">
        <w:rPr>
          <w:rFonts w:ascii="Perpetua" w:hAnsi="Perpetua"/>
        </w:rPr>
        <w:t>os fortes indícios d</w:t>
      </w:r>
      <w:r>
        <w:rPr>
          <w:rFonts w:ascii="Perpetua" w:hAnsi="Perpetua"/>
        </w:rPr>
        <w:t>a</w:t>
      </w:r>
      <w:r w:rsidR="000867F1">
        <w:rPr>
          <w:rFonts w:ascii="Perpetua" w:hAnsi="Perpetua"/>
        </w:rPr>
        <w:t xml:space="preserve"> existência </w:t>
      </w:r>
      <w:r>
        <w:rPr>
          <w:rFonts w:ascii="Perpetua" w:hAnsi="Perpetua"/>
        </w:rPr>
        <w:t>d</w:t>
      </w:r>
      <w:r w:rsidR="000867F1">
        <w:rPr>
          <w:rFonts w:ascii="Perpetua" w:hAnsi="Perpetua"/>
        </w:rPr>
        <w:t>ess</w:t>
      </w:r>
      <w:r>
        <w:rPr>
          <w:rFonts w:ascii="Perpetua" w:hAnsi="Perpetua"/>
        </w:rPr>
        <w:t>a heterogeneidade não pode</w:t>
      </w:r>
      <w:r w:rsidR="000867F1">
        <w:rPr>
          <w:rFonts w:ascii="Perpetua" w:hAnsi="Perpetua"/>
        </w:rPr>
        <w:t>m deixar de ser tidos</w:t>
      </w:r>
      <w:r>
        <w:rPr>
          <w:rFonts w:ascii="Perpetua" w:hAnsi="Perpetua"/>
        </w:rPr>
        <w:t xml:space="preserve"> em conta no </w:t>
      </w:r>
      <w:r w:rsidR="007333B3">
        <w:rPr>
          <w:rFonts w:ascii="Perpetua" w:hAnsi="Perpetua"/>
        </w:rPr>
        <w:t xml:space="preserve">presente </w:t>
      </w:r>
      <w:r>
        <w:rPr>
          <w:rFonts w:ascii="Perpetua" w:hAnsi="Perpetua"/>
        </w:rPr>
        <w:t xml:space="preserve">trabalho. Uma primeira forma de eliminar alguma dessa heterogeneidade passa pela selecção de tribunais que prestem </w:t>
      </w:r>
      <w:r w:rsidR="007333B3">
        <w:rPr>
          <w:rFonts w:ascii="Perpetua" w:hAnsi="Perpetua"/>
        </w:rPr>
        <w:t xml:space="preserve">um </w:t>
      </w:r>
      <w:r w:rsidRPr="00D257F7">
        <w:rPr>
          <w:rFonts w:ascii="Perpetua" w:hAnsi="Perpetua"/>
          <w:i/>
        </w:rPr>
        <w:t>case mix</w:t>
      </w:r>
      <w:r>
        <w:rPr>
          <w:rFonts w:ascii="Perpetua" w:hAnsi="Perpetua"/>
        </w:rPr>
        <w:t xml:space="preserve"> de serviços judiciais</w:t>
      </w:r>
      <w:r w:rsidR="007333B3">
        <w:rPr>
          <w:rFonts w:ascii="Perpetua" w:hAnsi="Perpetua"/>
        </w:rPr>
        <w:t xml:space="preserve"> semelhante</w:t>
      </w:r>
      <w:r>
        <w:rPr>
          <w:rFonts w:ascii="Perpetua" w:hAnsi="Perpetua"/>
        </w:rPr>
        <w:t>. Os tribunais de competência especializada prestam serviços judiciais especializados em função da matéria processual nas áreas territoriais de competência de alguns dos tribunais de competência genérica</w:t>
      </w:r>
      <w:r w:rsidR="0099691F">
        <w:rPr>
          <w:rFonts w:ascii="Perpetua" w:hAnsi="Perpetua"/>
        </w:rPr>
        <w:t>; prestam</w:t>
      </w:r>
      <w:r>
        <w:rPr>
          <w:rFonts w:ascii="Perpetua" w:hAnsi="Perpetua"/>
        </w:rPr>
        <w:t>, portanto, serviços que diferem de forma especial dos prestados pelos tribunais de competência genérica. Acresce que os tribunais de comarca de competência genérica tramitam procedimentos de injunção e i</w:t>
      </w:r>
      <w:r w:rsidR="000867F1">
        <w:rPr>
          <w:rFonts w:ascii="Perpetua" w:hAnsi="Perpetua"/>
        </w:rPr>
        <w:t>nquéritos no âmbito do processo-</w:t>
      </w:r>
      <w:r>
        <w:rPr>
          <w:rFonts w:ascii="Perpetua" w:hAnsi="Perpetua"/>
        </w:rPr>
        <w:t>crime, o que não acontece em simultâneo nos restantes tribunais de 1.ª instância. Embora estes não sejam serviços judiciais, no sentido em que não requerem trabalho do magistrado judicial, a sua tramitação implica uma alteração da organização do processo produtivo de serviços judiciais, processo</w:t>
      </w:r>
      <w:r w:rsidR="0099691F">
        <w:rPr>
          <w:rFonts w:ascii="Perpetua" w:hAnsi="Perpetua"/>
        </w:rPr>
        <w:t>,</w:t>
      </w:r>
      <w:r>
        <w:rPr>
          <w:rFonts w:ascii="Perpetua" w:hAnsi="Perpetua"/>
        </w:rPr>
        <w:t xml:space="preserve"> esse</w:t>
      </w:r>
      <w:r w:rsidR="0099691F">
        <w:rPr>
          <w:rFonts w:ascii="Perpetua" w:hAnsi="Perpetua"/>
        </w:rPr>
        <w:t>,</w:t>
      </w:r>
      <w:r>
        <w:rPr>
          <w:rFonts w:ascii="Perpetua" w:hAnsi="Perpetua"/>
        </w:rPr>
        <w:t xml:space="preserve"> que envolve magistrados judiciais, magistrados do M</w:t>
      </w:r>
      <w:r w:rsidR="00B81B1B">
        <w:rPr>
          <w:rFonts w:ascii="Perpetua" w:hAnsi="Perpetua"/>
        </w:rPr>
        <w:t>. P.</w:t>
      </w:r>
      <w:r>
        <w:rPr>
          <w:rFonts w:ascii="Perpetua" w:hAnsi="Perpetua"/>
        </w:rPr>
        <w:t xml:space="preserve"> e funcionários judiciais e, consequentemente, se reflecte na medida de produtividade judicial.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Devido aos requisitos estatísticos quanto à dimensão mínima d</w:t>
      </w:r>
      <w:r w:rsidR="00B81B1B">
        <w:rPr>
          <w:rFonts w:ascii="Perpetua" w:hAnsi="Perpetua"/>
        </w:rPr>
        <w:t>a amostra consider</w:t>
      </w:r>
      <w:r w:rsidR="0099691F">
        <w:rPr>
          <w:rFonts w:ascii="Perpetua" w:hAnsi="Perpetua"/>
        </w:rPr>
        <w:t>ou-se</w:t>
      </w:r>
      <w:r w:rsidR="00B81B1B">
        <w:rPr>
          <w:rFonts w:ascii="Perpetua" w:hAnsi="Perpetua"/>
        </w:rPr>
        <w:t xml:space="preserve"> apenas dois grupos de</w:t>
      </w:r>
      <w:r>
        <w:rPr>
          <w:rFonts w:ascii="Perpetua" w:hAnsi="Perpetua"/>
        </w:rPr>
        <w:t xml:space="preserve"> tribunais: os tribunais de trabalho (47 observações) e os tribunais de comarca de competência genérica (221). De entre </w:t>
      </w:r>
      <w:r w:rsidR="00B81B1B">
        <w:rPr>
          <w:rFonts w:ascii="Perpetua" w:hAnsi="Perpetua"/>
        </w:rPr>
        <w:t>os dois grupos</w:t>
      </w:r>
      <w:r w:rsidR="0099691F">
        <w:rPr>
          <w:rFonts w:ascii="Perpetua" w:hAnsi="Perpetua"/>
        </w:rPr>
        <w:t>,</w:t>
      </w:r>
      <w:r w:rsidR="00B81B1B">
        <w:rPr>
          <w:rFonts w:ascii="Perpetua" w:hAnsi="Perpetua"/>
        </w:rPr>
        <w:t xml:space="preserve"> </w:t>
      </w:r>
      <w:r w:rsidR="007333B3">
        <w:rPr>
          <w:rFonts w:ascii="Perpetua" w:hAnsi="Perpetua"/>
        </w:rPr>
        <w:t xml:space="preserve">seleccionou-se </w:t>
      </w:r>
      <w:r>
        <w:rPr>
          <w:rFonts w:ascii="Perpetua" w:hAnsi="Perpetua"/>
        </w:rPr>
        <w:t>o</w:t>
      </w:r>
      <w:r w:rsidR="007333B3">
        <w:rPr>
          <w:rFonts w:ascii="Perpetua" w:hAnsi="Perpetua"/>
        </w:rPr>
        <w:t xml:space="preserve"> do</w:t>
      </w:r>
      <w:r>
        <w:rPr>
          <w:rFonts w:ascii="Perpetua" w:hAnsi="Perpetua"/>
        </w:rPr>
        <w:t>s tribunais de competência genérica, visto estes terem uma maior importância relativa no movimento judicial, em particular na área cível e penal, e nos recursos humanos empregues na 1.ª instância do sistema judicial português. A importância da am</w:t>
      </w:r>
      <w:r w:rsidR="007333B3">
        <w:rPr>
          <w:rFonts w:ascii="Perpetua" w:hAnsi="Perpetua"/>
        </w:rPr>
        <w:t>ostra seleccionada está</w:t>
      </w:r>
      <w:r w:rsidR="00AF3F93">
        <w:rPr>
          <w:rFonts w:ascii="Perpetua" w:hAnsi="Perpetua"/>
        </w:rPr>
        <w:t xml:space="preserve"> patente </w:t>
      </w:r>
      <w:r w:rsidR="0099691F">
        <w:rPr>
          <w:rFonts w:ascii="Perpetua" w:hAnsi="Perpetua"/>
        </w:rPr>
        <w:t xml:space="preserve">no </w:t>
      </w:r>
      <w:r w:rsidR="00AF3F93">
        <w:rPr>
          <w:rFonts w:ascii="Perpetua" w:hAnsi="Perpetua"/>
        </w:rPr>
        <w:t xml:space="preserve">quadro </w:t>
      </w:r>
      <w:r>
        <w:rPr>
          <w:rFonts w:ascii="Perpetua" w:hAnsi="Perpetua"/>
        </w:rPr>
        <w:t>abaixo.</w:t>
      </w:r>
    </w:p>
    <w:p w:rsidR="00F72F49" w:rsidRDefault="00F72F49" w:rsidP="00F72F49">
      <w:pPr>
        <w:spacing w:line="360" w:lineRule="auto"/>
        <w:jc w:val="both"/>
        <w:rPr>
          <w:rFonts w:ascii="Perpetua" w:hAnsi="Perpetua"/>
        </w:rPr>
      </w:pPr>
    </w:p>
    <w:p w:rsidR="00F72F49" w:rsidRDefault="003903D0" w:rsidP="00AF3F93">
      <w:pPr>
        <w:pStyle w:val="Caption"/>
        <w:jc w:val="center"/>
        <w:rPr>
          <w:rFonts w:ascii="Perpetua" w:hAnsi="Perpetua" w:cs="Arial"/>
          <w:color w:val="000000"/>
        </w:rPr>
      </w:pPr>
      <w:bookmarkStart w:id="99" w:name="_Toc215081939"/>
      <w:r>
        <w:rPr>
          <w:rFonts w:ascii="Perpetua" w:hAnsi="Perpetua"/>
        </w:rPr>
        <w:t>Quadro</w:t>
      </w:r>
      <w:r w:rsidR="00AF3F93" w:rsidRPr="00AF3F93">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00AF3F93" w:rsidRPr="00AF3F93">
        <w:rPr>
          <w:rFonts w:ascii="Perpetua" w:hAnsi="Perpetua"/>
        </w:rPr>
        <w:t xml:space="preserve"> </w:t>
      </w:r>
      <w:r w:rsidR="00F72F49" w:rsidRPr="00AF3F93">
        <w:rPr>
          <w:rFonts w:ascii="Perpetua" w:hAnsi="Perpetua" w:cs="Arial"/>
          <w:color w:val="000000"/>
        </w:rPr>
        <w:t>- Peso relativo da amostra de tribunais de competência genérica</w:t>
      </w:r>
      <w:r w:rsidR="00F72F49" w:rsidRPr="00AF3F93">
        <w:rPr>
          <w:rStyle w:val="FootnoteReference"/>
          <w:rFonts w:ascii="Perpetua" w:hAnsi="Perpetua" w:cs="Arial"/>
          <w:color w:val="000000"/>
        </w:rPr>
        <w:footnoteReference w:id="92"/>
      </w:r>
      <w:r w:rsidR="00F72F49" w:rsidRPr="00AF3F93">
        <w:rPr>
          <w:rFonts w:ascii="Perpetua" w:hAnsi="Perpetua" w:cs="Arial"/>
          <w:color w:val="000000"/>
        </w:rPr>
        <w:t xml:space="preserve"> no movimento e recursos dos tribunais judiciais de 1.ª instância portugueses</w:t>
      </w:r>
      <w:bookmarkEnd w:id="99"/>
    </w:p>
    <w:p w:rsidR="00AF3F93" w:rsidRPr="00AF3F93" w:rsidRDefault="00AF3F93" w:rsidP="00AF3F93"/>
    <w:tbl>
      <w:tblPr>
        <w:tblW w:w="7160" w:type="dxa"/>
        <w:jc w:val="center"/>
        <w:tblInd w:w="55" w:type="dxa"/>
        <w:tblCellMar>
          <w:left w:w="70" w:type="dxa"/>
          <w:right w:w="70" w:type="dxa"/>
        </w:tblCellMar>
        <w:tblLook w:val="04A0"/>
      </w:tblPr>
      <w:tblGrid>
        <w:gridCol w:w="2305"/>
        <w:gridCol w:w="1495"/>
        <w:gridCol w:w="1680"/>
        <w:gridCol w:w="1680"/>
      </w:tblGrid>
      <w:tr w:rsidR="00374F60" w:rsidRPr="00374F60" w:rsidTr="007735F2">
        <w:trPr>
          <w:trHeight w:val="390"/>
          <w:jc w:val="center"/>
        </w:trPr>
        <w:tc>
          <w:tcPr>
            <w:tcW w:w="2305" w:type="dxa"/>
            <w:tcBorders>
              <w:top w:val="nil"/>
              <w:left w:val="nil"/>
              <w:bottom w:val="single" w:sz="4" w:space="0" w:color="auto"/>
              <w:right w:val="single" w:sz="4" w:space="0" w:color="auto"/>
            </w:tcBorders>
            <w:shd w:val="clear" w:color="000000" w:fill="FFFFFF"/>
            <w:noWrap/>
            <w:vAlign w:val="bottom"/>
          </w:tcPr>
          <w:p w:rsidR="00374F60" w:rsidRPr="00374F60" w:rsidRDefault="00374F60" w:rsidP="00374F60">
            <w:pPr>
              <w:rPr>
                <w:rFonts w:ascii="Perpetua" w:hAnsi="Perpetua"/>
                <w:color w:val="000000"/>
                <w:sz w:val="20"/>
                <w:szCs w:val="20"/>
              </w:rPr>
            </w:pPr>
            <w:r w:rsidRPr="00374F60">
              <w:rPr>
                <w:rFonts w:ascii="Perpetua" w:hAnsi="Perpetua"/>
                <w:color w:val="000000"/>
                <w:sz w:val="20"/>
                <w:szCs w:val="20"/>
              </w:rPr>
              <w:t> </w:t>
            </w:r>
          </w:p>
        </w:tc>
        <w:tc>
          <w:tcPr>
            <w:tcW w:w="149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b/>
                <w:bCs/>
                <w:color w:val="000000"/>
                <w:sz w:val="20"/>
                <w:szCs w:val="20"/>
              </w:rPr>
            </w:pPr>
            <w:r w:rsidRPr="00374F60">
              <w:rPr>
                <w:rFonts w:ascii="Perpetua" w:hAnsi="Perpetua"/>
                <w:b/>
                <w:bCs/>
                <w:color w:val="000000"/>
                <w:sz w:val="20"/>
                <w:szCs w:val="20"/>
              </w:rPr>
              <w:t>2001</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b/>
                <w:bCs/>
                <w:color w:val="000000"/>
                <w:sz w:val="20"/>
                <w:szCs w:val="20"/>
              </w:rPr>
            </w:pPr>
            <w:r w:rsidRPr="00374F60">
              <w:rPr>
                <w:rFonts w:ascii="Perpetua" w:hAnsi="Perpetua"/>
                <w:b/>
                <w:bCs/>
                <w:color w:val="000000"/>
                <w:sz w:val="20"/>
                <w:szCs w:val="20"/>
              </w:rPr>
              <w:t>2002</w:t>
            </w:r>
          </w:p>
        </w:tc>
        <w:tc>
          <w:tcPr>
            <w:tcW w:w="1680" w:type="dxa"/>
            <w:tcBorders>
              <w:top w:val="nil"/>
              <w:left w:val="nil"/>
              <w:bottom w:val="single" w:sz="4" w:space="0" w:color="auto"/>
              <w:right w:val="nil"/>
            </w:tcBorders>
            <w:shd w:val="clear" w:color="000000" w:fill="FFFFFF"/>
            <w:noWrap/>
            <w:vAlign w:val="center"/>
          </w:tcPr>
          <w:p w:rsidR="00374F60" w:rsidRPr="00374F60" w:rsidRDefault="00374F60" w:rsidP="00374F60">
            <w:pPr>
              <w:jc w:val="center"/>
              <w:rPr>
                <w:rFonts w:ascii="Perpetua" w:hAnsi="Perpetua"/>
                <w:b/>
                <w:bCs/>
                <w:color w:val="000000"/>
                <w:sz w:val="20"/>
                <w:szCs w:val="20"/>
              </w:rPr>
            </w:pPr>
            <w:r w:rsidRPr="00374F60">
              <w:rPr>
                <w:rFonts w:ascii="Perpetua" w:hAnsi="Perpetua"/>
                <w:b/>
                <w:bCs/>
                <w:color w:val="000000"/>
                <w:sz w:val="20"/>
                <w:szCs w:val="20"/>
              </w:rPr>
              <w:t>2003</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entrados</w:t>
            </w:r>
          </w:p>
        </w:tc>
        <w:tc>
          <w:tcPr>
            <w:tcW w:w="1495" w:type="dxa"/>
            <w:tcBorders>
              <w:top w:val="single" w:sz="4" w:space="0" w:color="auto"/>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41,57%</w:t>
            </w:r>
          </w:p>
        </w:tc>
        <w:tc>
          <w:tcPr>
            <w:tcW w:w="1680" w:type="dxa"/>
            <w:tcBorders>
              <w:top w:val="single" w:sz="4" w:space="0" w:color="auto"/>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41,94%</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41,73%</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findos</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42,34%</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42,36%</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40,51%</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findos (Cível)</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47,32%</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47,71%</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43,58%</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findos (Penal)</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52,27%</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50,64%</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54,62%</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findos (Laboral)</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0,59%</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0,66%</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0,50%</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Processos findos (Tutelar)</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32,05%</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35,15%</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35,81%</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Injunções findas</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23,95%</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19,50%</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18,83%</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Inquéritos findos</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87,34%</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78,31%</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70,99%</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Magistrados judiciais</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56,77%</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55,91%</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54,01%</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Magistrados M. P.</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65,08%</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62,91%</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63,46%</w:t>
            </w:r>
          </w:p>
        </w:tc>
      </w:tr>
      <w:tr w:rsidR="00374F60" w:rsidRPr="00374F60" w:rsidTr="007735F2">
        <w:trPr>
          <w:trHeight w:val="330"/>
          <w:jc w:val="center"/>
        </w:trPr>
        <w:tc>
          <w:tcPr>
            <w:tcW w:w="2305"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Funcionários judiciais</w:t>
            </w:r>
          </w:p>
        </w:tc>
        <w:tc>
          <w:tcPr>
            <w:tcW w:w="1495" w:type="dxa"/>
            <w:tcBorders>
              <w:top w:val="nil"/>
              <w:left w:val="single" w:sz="4" w:space="0" w:color="auto"/>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53,50%</w:t>
            </w:r>
          </w:p>
        </w:tc>
        <w:tc>
          <w:tcPr>
            <w:tcW w:w="1680" w:type="dxa"/>
            <w:tcBorders>
              <w:top w:val="nil"/>
              <w:left w:val="nil"/>
              <w:bottom w:val="single" w:sz="4" w:space="0" w:color="auto"/>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54,65%</w:t>
            </w:r>
          </w:p>
        </w:tc>
        <w:tc>
          <w:tcPr>
            <w:tcW w:w="1680" w:type="dxa"/>
            <w:tcBorders>
              <w:top w:val="nil"/>
              <w:left w:val="single" w:sz="4" w:space="0" w:color="auto"/>
              <w:bottom w:val="single" w:sz="4" w:space="0" w:color="auto"/>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55,15%</w:t>
            </w:r>
          </w:p>
        </w:tc>
      </w:tr>
      <w:tr w:rsidR="00374F60" w:rsidRPr="00374F60" w:rsidTr="007735F2">
        <w:trPr>
          <w:trHeight w:val="345"/>
          <w:jc w:val="center"/>
        </w:trPr>
        <w:tc>
          <w:tcPr>
            <w:tcW w:w="2305" w:type="dxa"/>
            <w:tcBorders>
              <w:top w:val="nil"/>
              <w:left w:val="nil"/>
              <w:bottom w:val="nil"/>
              <w:right w:val="single" w:sz="4" w:space="0" w:color="auto"/>
            </w:tcBorders>
            <w:shd w:val="clear" w:color="000000" w:fill="FFFFFF"/>
            <w:noWrap/>
            <w:vAlign w:val="center"/>
          </w:tcPr>
          <w:p w:rsidR="00374F60" w:rsidRPr="00374F60" w:rsidRDefault="00374F60" w:rsidP="00374F60">
            <w:pPr>
              <w:ind w:firstLineChars="100" w:firstLine="200"/>
              <w:rPr>
                <w:rFonts w:ascii="Perpetua" w:hAnsi="Perpetua"/>
                <w:color w:val="000000"/>
                <w:sz w:val="20"/>
                <w:szCs w:val="20"/>
              </w:rPr>
            </w:pPr>
            <w:r w:rsidRPr="00374F60">
              <w:rPr>
                <w:rFonts w:ascii="Perpetua" w:hAnsi="Perpetua"/>
                <w:color w:val="000000"/>
                <w:sz w:val="20"/>
                <w:szCs w:val="20"/>
              </w:rPr>
              <w:t>Trabalhadores judiciais</w:t>
            </w:r>
          </w:p>
        </w:tc>
        <w:tc>
          <w:tcPr>
            <w:tcW w:w="1495" w:type="dxa"/>
            <w:tcBorders>
              <w:top w:val="single" w:sz="4" w:space="0" w:color="auto"/>
              <w:left w:val="nil"/>
              <w:bottom w:val="nil"/>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54,95%</w:t>
            </w:r>
          </w:p>
        </w:tc>
        <w:tc>
          <w:tcPr>
            <w:tcW w:w="1680" w:type="dxa"/>
            <w:tcBorders>
              <w:top w:val="single" w:sz="4" w:space="0" w:color="auto"/>
              <w:left w:val="nil"/>
              <w:bottom w:val="nil"/>
              <w:right w:val="single" w:sz="4" w:space="0" w:color="auto"/>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55,46%</w:t>
            </w:r>
          </w:p>
        </w:tc>
        <w:tc>
          <w:tcPr>
            <w:tcW w:w="1680" w:type="dxa"/>
            <w:tcBorders>
              <w:top w:val="nil"/>
              <w:left w:val="nil"/>
              <w:bottom w:val="nil"/>
              <w:right w:val="nil"/>
            </w:tcBorders>
            <w:shd w:val="clear" w:color="000000" w:fill="FFFFFF"/>
            <w:noWrap/>
            <w:vAlign w:val="center"/>
          </w:tcPr>
          <w:p w:rsidR="00374F60" w:rsidRPr="00374F60" w:rsidRDefault="00374F60" w:rsidP="00374F60">
            <w:pPr>
              <w:jc w:val="center"/>
              <w:rPr>
                <w:rFonts w:ascii="Perpetua" w:hAnsi="Perpetua"/>
                <w:color w:val="000000"/>
                <w:sz w:val="20"/>
                <w:szCs w:val="20"/>
              </w:rPr>
            </w:pPr>
            <w:r w:rsidRPr="00374F60">
              <w:rPr>
                <w:rFonts w:ascii="Perpetua" w:hAnsi="Perpetua"/>
                <w:color w:val="000000"/>
                <w:sz w:val="20"/>
                <w:szCs w:val="20"/>
              </w:rPr>
              <w:t>55,57%</w:t>
            </w:r>
          </w:p>
        </w:tc>
      </w:tr>
    </w:tbl>
    <w:p w:rsidR="00F45260" w:rsidRDefault="00F45260" w:rsidP="00F45260">
      <w:pPr>
        <w:spacing w:line="360" w:lineRule="auto"/>
        <w:jc w:val="center"/>
        <w:rPr>
          <w:rFonts w:ascii="Perpetua" w:hAnsi="Perpetua"/>
          <w:sz w:val="18"/>
          <w:szCs w:val="18"/>
        </w:rPr>
      </w:pPr>
    </w:p>
    <w:p w:rsidR="001F0455" w:rsidRPr="00F45260" w:rsidRDefault="00F45260" w:rsidP="00F45260">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99691F" w:rsidRDefault="0099691F" w:rsidP="00A52DF1">
      <w:pPr>
        <w:pStyle w:val="Heading3"/>
      </w:pPr>
      <w:bookmarkStart w:id="100" w:name="_Toc206652076"/>
    </w:p>
    <w:p w:rsidR="00F72F49" w:rsidRDefault="00A52DF1" w:rsidP="00A52DF1">
      <w:pPr>
        <w:pStyle w:val="Heading3"/>
      </w:pPr>
      <w:bookmarkStart w:id="101" w:name="_Toc220484477"/>
      <w:r>
        <w:t>4</w:t>
      </w:r>
      <w:r w:rsidR="00F72F49">
        <w:t>.3</w:t>
      </w:r>
      <w:r>
        <w:t>.</w:t>
      </w:r>
      <w:r w:rsidR="001F0455">
        <w:t>2.</w:t>
      </w:r>
      <w:r w:rsidR="00F72F49">
        <w:t xml:space="preserve"> </w:t>
      </w:r>
      <w:r w:rsidR="00F72F49" w:rsidRPr="0095190A">
        <w:t xml:space="preserve">A </w:t>
      </w:r>
      <w:r w:rsidR="00F72F49">
        <w:t>modelação econométrica da</w:t>
      </w:r>
      <w:r w:rsidR="00F72F49" w:rsidRPr="0095190A">
        <w:t xml:space="preserve"> produção d</w:t>
      </w:r>
      <w:r w:rsidR="00F72F49">
        <w:t>e serviços judiciais n</w:t>
      </w:r>
      <w:r w:rsidR="00F72F49" w:rsidRPr="0095190A">
        <w:t>os tribunais</w:t>
      </w:r>
      <w:bookmarkEnd w:id="100"/>
      <w:bookmarkEnd w:id="101"/>
    </w:p>
    <w:p w:rsidR="00F72F49" w:rsidRDefault="00F72F49" w:rsidP="00D97AFB">
      <w:pPr>
        <w:spacing w:line="360" w:lineRule="auto"/>
      </w:pPr>
    </w:p>
    <w:p w:rsidR="00F72F49" w:rsidRDefault="00F72F49" w:rsidP="00F72F49">
      <w:pPr>
        <w:spacing w:line="360" w:lineRule="auto"/>
        <w:jc w:val="both"/>
        <w:rPr>
          <w:rFonts w:ascii="Perpetua" w:hAnsi="Perpetua"/>
        </w:rPr>
      </w:pPr>
      <w:r>
        <w:rPr>
          <w:rFonts w:ascii="Perpetua" w:hAnsi="Perpetua"/>
        </w:rPr>
        <w:t xml:space="preserve">O </w:t>
      </w:r>
      <w:r w:rsidR="00003E5F">
        <w:rPr>
          <w:rFonts w:ascii="Perpetua" w:hAnsi="Perpetua"/>
        </w:rPr>
        <w:t xml:space="preserve">presente </w:t>
      </w:r>
      <w:r>
        <w:rPr>
          <w:rFonts w:ascii="Perpetua" w:hAnsi="Perpetua"/>
        </w:rPr>
        <w:t xml:space="preserve">trabalho inscreve-se predominantemente na abordagem clássica da função de produção e faz uso das técnicas clássicas de regressão para </w:t>
      </w:r>
      <w:r w:rsidR="00E41693">
        <w:rPr>
          <w:rFonts w:ascii="Perpetua" w:hAnsi="Perpetua"/>
        </w:rPr>
        <w:t xml:space="preserve">avaliar </w:t>
      </w:r>
      <w:r>
        <w:rPr>
          <w:rFonts w:ascii="Perpetua" w:hAnsi="Perpetua"/>
        </w:rPr>
        <w:t xml:space="preserve">as propriedades tecnológicas e contextuais médias da produção de serviços judiciais e para testar as restantes hipóteses teóricas sobre a função de produção média de serviços judiciais pelos tribunais judiciais. As escolhas da abordagem e da técnica resultam, fundamentalmente, das hipóteses teóricas que </w:t>
      </w:r>
      <w:r w:rsidR="00003E5F">
        <w:rPr>
          <w:rFonts w:ascii="Perpetua" w:hAnsi="Perpetua"/>
        </w:rPr>
        <w:t xml:space="preserve">se </w:t>
      </w:r>
      <w:r>
        <w:rPr>
          <w:rFonts w:ascii="Perpetua" w:hAnsi="Perpetua"/>
        </w:rPr>
        <w:t>pretende</w:t>
      </w:r>
      <w:r w:rsidR="00003E5F">
        <w:rPr>
          <w:rFonts w:ascii="Perpetua" w:hAnsi="Perpetua"/>
        </w:rPr>
        <w:t>m</w:t>
      </w:r>
      <w:r>
        <w:rPr>
          <w:rFonts w:ascii="Perpetua" w:hAnsi="Perpetua"/>
        </w:rPr>
        <w:t xml:space="preserve"> testar</w:t>
      </w:r>
      <w:r w:rsidR="00003E5F">
        <w:rPr>
          <w:rFonts w:ascii="Perpetua" w:hAnsi="Perpetua"/>
        </w:rPr>
        <w:t xml:space="preserve"> e explorar. </w:t>
      </w:r>
      <w:r>
        <w:rPr>
          <w:rFonts w:ascii="Perpetua" w:hAnsi="Perpetua"/>
        </w:rPr>
        <w:t xml:space="preserve">As técnicas clássicas de regressão </w:t>
      </w:r>
      <w:r w:rsidR="00852CC4">
        <w:rPr>
          <w:rFonts w:ascii="Perpetua" w:hAnsi="Perpetua"/>
        </w:rPr>
        <w:t xml:space="preserve">permitem </w:t>
      </w:r>
      <w:r>
        <w:rPr>
          <w:rFonts w:ascii="Perpetua" w:hAnsi="Perpetua"/>
        </w:rPr>
        <w:t xml:space="preserve">testar as hipóteses </w:t>
      </w:r>
      <w:r w:rsidR="00003E5F">
        <w:rPr>
          <w:rFonts w:ascii="Perpetua" w:hAnsi="Perpetua"/>
        </w:rPr>
        <w:t>teóricas formuladas e explorar as relações causais potenciais descritas na secção 4.3. relativas à eficiência produtiva dos tribunais</w:t>
      </w:r>
      <w:r>
        <w:rPr>
          <w:rFonts w:ascii="Perpetua" w:hAnsi="Perpetua"/>
        </w:rPr>
        <w:t xml:space="preserve">. </w:t>
      </w:r>
      <w:r w:rsidR="00003E5F">
        <w:rPr>
          <w:rFonts w:ascii="Perpetua" w:hAnsi="Perpetua"/>
        </w:rPr>
        <w:t>Por outro lado, a produção de serviços judiciais pelos tribunais judiciais de 1.ª instância pode ser adequadamente modelada como uma relação entre a utilização de um factor produtivo para produzir um único serviço judicial heterogéneo, o que reduz a vantagem relativa da util</w:t>
      </w:r>
      <w:r w:rsidR="00852CC4">
        <w:rPr>
          <w:rFonts w:ascii="Perpetua" w:hAnsi="Perpetua"/>
        </w:rPr>
        <w:t>ização dos métodos de fronteira – calcular um</w:t>
      </w:r>
      <w:r w:rsidR="00D97AFB">
        <w:rPr>
          <w:rFonts w:ascii="Perpetua" w:hAnsi="Perpetua"/>
        </w:rPr>
        <w:t>a</w:t>
      </w:r>
      <w:r w:rsidR="00852CC4">
        <w:rPr>
          <w:rFonts w:ascii="Perpetua" w:hAnsi="Perpetua"/>
        </w:rPr>
        <w:t xml:space="preserve"> medida </w:t>
      </w:r>
      <w:r w:rsidR="00D97AFB">
        <w:rPr>
          <w:rFonts w:ascii="Perpetua" w:hAnsi="Perpetua"/>
        </w:rPr>
        <w:t>completa da</w:t>
      </w:r>
      <w:r w:rsidR="00852CC4">
        <w:rPr>
          <w:rFonts w:ascii="Perpetua" w:hAnsi="Perpetua"/>
        </w:rPr>
        <w:t xml:space="preserve"> eficiência produtiva </w:t>
      </w:r>
      <w:r w:rsidR="00D97AFB">
        <w:rPr>
          <w:rFonts w:ascii="Perpetua" w:hAnsi="Perpetua"/>
        </w:rPr>
        <w:t>na presença de tecnologias de</w:t>
      </w:r>
      <w:r w:rsidR="00852CC4">
        <w:rPr>
          <w:rFonts w:ascii="Perpetua" w:hAnsi="Perpetua"/>
        </w:rPr>
        <w:t xml:space="preserve"> produção multifactores e multisserviços.</w:t>
      </w:r>
      <w:r>
        <w:rPr>
          <w:rFonts w:ascii="Perpetua" w:hAnsi="Perpetua"/>
        </w:rPr>
        <w:t xml:space="preserve">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produção de serviços judiciais dos tribunais de comarca de competência genérica consiste na combinação de magistrados judiciais e do M. P., funcionários judiciais e recursos materiais, informáticos e financeiros para </w:t>
      </w:r>
      <w:r w:rsidR="00D97AFB">
        <w:rPr>
          <w:rFonts w:ascii="Perpetua" w:hAnsi="Perpetua"/>
        </w:rPr>
        <w:t>prestar</w:t>
      </w:r>
      <w:r>
        <w:rPr>
          <w:rFonts w:ascii="Perpetua" w:hAnsi="Perpetua"/>
        </w:rPr>
        <w:t xml:space="preserve"> serviços judiciais de resolução de litígios</w:t>
      </w:r>
      <w:r w:rsidR="00E41693">
        <w:rPr>
          <w:rStyle w:val="FootnoteReference"/>
          <w:rFonts w:ascii="Perpetua" w:hAnsi="Perpetua"/>
        </w:rPr>
        <w:footnoteReference w:id="93"/>
      </w:r>
      <w:r>
        <w:rPr>
          <w:rFonts w:ascii="Perpetua" w:hAnsi="Perpetua"/>
        </w:rPr>
        <w:t>. A resolução de um processo judicial, seja pela vontade das partes, seja por emissão de uma decisão judicial, compreende várias actividades intermédias, tais como a recepção e registo administrativo dos processos, o exercício de diligências e notificações junto das partes em litígio e outras partes implicadas, a defesa e inquirição de testemunhas, a condução de inquéritos, o arquivamento de documentação, a apreciação de factos à luz da lei</w:t>
      </w:r>
      <w:r w:rsidR="008932FB">
        <w:rPr>
          <w:rFonts w:ascii="Perpetua" w:hAnsi="Perpetua"/>
        </w:rPr>
        <w:t>,</w:t>
      </w:r>
      <w:r>
        <w:rPr>
          <w:rFonts w:ascii="Perpetua" w:hAnsi="Perpetua"/>
        </w:rPr>
        <w:t xml:space="preserve"> etc. Os litígios que procuram uma resolução por via judicial junto de um tribunal de competência genérica correspondem à procura judicial revelada numa área territorial delimitada, a comarca, na qual o tribunal é competente. Por fim, a resolução de processos judiciais depende do efeito de factores externos ao controlo do próprio tribunal, como </w:t>
      </w:r>
      <w:r w:rsidR="00E41693">
        <w:rPr>
          <w:rFonts w:ascii="Perpetua" w:hAnsi="Perpetua"/>
        </w:rPr>
        <w:t>o contexto</w:t>
      </w:r>
      <w:r>
        <w:rPr>
          <w:rFonts w:ascii="Perpetua" w:hAnsi="Perpetua"/>
        </w:rPr>
        <w:t xml:space="preserve"> socioeconómic</w:t>
      </w:r>
      <w:r w:rsidR="00E41693">
        <w:rPr>
          <w:rFonts w:ascii="Perpetua" w:hAnsi="Perpetua"/>
        </w:rPr>
        <w:t>o</w:t>
      </w:r>
      <w:r>
        <w:rPr>
          <w:rFonts w:ascii="Perpetua" w:hAnsi="Perpetua"/>
        </w:rPr>
        <w:t xml:space="preserve"> onde o tribunal está instalado, as características </w:t>
      </w:r>
      <w:r w:rsidR="00E41693">
        <w:rPr>
          <w:rFonts w:ascii="Perpetua" w:hAnsi="Perpetua"/>
        </w:rPr>
        <w:t>(</w:t>
      </w:r>
      <w:r w:rsidR="004E5D3A" w:rsidRPr="004E5D3A">
        <w:rPr>
          <w:rFonts w:ascii="Perpetua" w:hAnsi="Perpetua"/>
          <w:i/>
        </w:rPr>
        <w:t>v.g.</w:t>
      </w:r>
      <w:r w:rsidR="00816EED">
        <w:rPr>
          <w:rFonts w:ascii="Perpetua" w:hAnsi="Perpetua"/>
        </w:rPr>
        <w:t xml:space="preserve">, </w:t>
      </w:r>
      <w:r w:rsidRPr="00E41693">
        <w:rPr>
          <w:rFonts w:ascii="Perpetua" w:hAnsi="Perpetua"/>
        </w:rPr>
        <w:t>qualidade</w:t>
      </w:r>
      <w:r w:rsidR="00E41693">
        <w:rPr>
          <w:rFonts w:ascii="Perpetua" w:hAnsi="Perpetua"/>
        </w:rPr>
        <w:t xml:space="preserve">) </w:t>
      </w:r>
      <w:r>
        <w:rPr>
          <w:rFonts w:ascii="Perpetua" w:hAnsi="Perpetua"/>
        </w:rPr>
        <w:t>da litigância que aflui ao tribunal</w:t>
      </w:r>
      <w:r w:rsidR="008932FB">
        <w:rPr>
          <w:rFonts w:ascii="Perpetua" w:hAnsi="Perpetua"/>
        </w:rPr>
        <w:t>,</w:t>
      </w:r>
      <w:r>
        <w:rPr>
          <w:rFonts w:ascii="Perpetua" w:hAnsi="Perpetua"/>
        </w:rPr>
        <w:t xml:space="preserve"> etc.  </w:t>
      </w:r>
    </w:p>
    <w:p w:rsidR="00F72F49" w:rsidRDefault="00F72F49" w:rsidP="00F72F49">
      <w:pPr>
        <w:spacing w:line="360" w:lineRule="auto"/>
        <w:jc w:val="both"/>
        <w:rPr>
          <w:rFonts w:ascii="Perpetua" w:hAnsi="Perpetua"/>
        </w:rPr>
      </w:pPr>
    </w:p>
    <w:p w:rsidR="00F45260" w:rsidRDefault="00F72F49" w:rsidP="00F72F49">
      <w:pPr>
        <w:spacing w:line="360" w:lineRule="auto"/>
        <w:jc w:val="both"/>
        <w:rPr>
          <w:rFonts w:ascii="Perpetua" w:hAnsi="Perpetua"/>
        </w:rPr>
      </w:pPr>
      <w:r>
        <w:rPr>
          <w:rFonts w:ascii="Perpetua" w:hAnsi="Perpetua" w:cs="Arial"/>
        </w:rPr>
        <w:t xml:space="preserve">A função de produção de serviços judiciais concreta que </w:t>
      </w:r>
      <w:r w:rsidR="00D97AFB">
        <w:rPr>
          <w:rFonts w:ascii="Perpetua" w:hAnsi="Perpetua" w:cs="Arial"/>
        </w:rPr>
        <w:t xml:space="preserve">se irá </w:t>
      </w:r>
      <w:r>
        <w:rPr>
          <w:rFonts w:ascii="Perpetua" w:hAnsi="Perpetua" w:cs="Arial"/>
        </w:rPr>
        <w:t>estimar</w:t>
      </w:r>
      <w:r w:rsidR="00D97AFB">
        <w:rPr>
          <w:rFonts w:ascii="Perpetua" w:hAnsi="Perpetua" w:cs="Arial"/>
        </w:rPr>
        <w:t xml:space="preserve"> neste trabalho</w:t>
      </w:r>
      <w:r>
        <w:rPr>
          <w:rFonts w:ascii="Perpetua" w:hAnsi="Perpetua" w:cs="Arial"/>
        </w:rPr>
        <w:t xml:space="preserve"> resulta do enquadramento analítico da produção de serviços judiciais pelos tribunais de competência genérica. </w:t>
      </w:r>
      <w:r w:rsidR="00D97AFB">
        <w:rPr>
          <w:rFonts w:ascii="Perpetua" w:hAnsi="Perpetua" w:cs="Arial"/>
        </w:rPr>
        <w:t>A premissa deste trabalho é que, n</w:t>
      </w:r>
      <w:r w:rsidRPr="007B0BD0">
        <w:rPr>
          <w:rFonts w:ascii="Perpetua" w:hAnsi="Perpetua"/>
        </w:rPr>
        <w:t>o sistema judicial português, os tribunais judiciais de 1.ª instância têm como objectivo comportamental prestar o máximo de serviços judiciais procurados na área territorial da s</w:t>
      </w:r>
      <w:r>
        <w:rPr>
          <w:rFonts w:ascii="Perpetua" w:hAnsi="Perpetua"/>
        </w:rPr>
        <w:t xml:space="preserve">ua competência, sujeitos a uma </w:t>
      </w:r>
      <w:r w:rsidRPr="007B0BD0">
        <w:rPr>
          <w:rFonts w:ascii="Perpetua" w:hAnsi="Perpetua"/>
        </w:rPr>
        <w:t xml:space="preserve">dotação </w:t>
      </w:r>
      <w:r>
        <w:rPr>
          <w:rFonts w:ascii="Perpetua" w:hAnsi="Perpetua"/>
        </w:rPr>
        <w:t xml:space="preserve">anual </w:t>
      </w:r>
      <w:r w:rsidRPr="007B0BD0">
        <w:rPr>
          <w:rFonts w:ascii="Perpetua" w:hAnsi="Perpetua"/>
        </w:rPr>
        <w:t>de recursos humanos</w:t>
      </w:r>
      <w:r>
        <w:rPr>
          <w:rFonts w:ascii="Perpetua" w:hAnsi="Perpetua"/>
        </w:rPr>
        <w:t>,</w:t>
      </w:r>
      <w:r w:rsidRPr="007B0BD0">
        <w:rPr>
          <w:rFonts w:ascii="Perpetua" w:hAnsi="Perpetua"/>
        </w:rPr>
        <w:t xml:space="preserve"> financeiros e</w:t>
      </w:r>
      <w:r>
        <w:rPr>
          <w:rFonts w:ascii="Perpetua" w:hAnsi="Perpetua"/>
        </w:rPr>
        <w:t xml:space="preserve"> materiais e aos procedimentos </w:t>
      </w:r>
      <w:r w:rsidRPr="007B0BD0">
        <w:rPr>
          <w:rFonts w:ascii="Perpetua" w:hAnsi="Perpetua"/>
        </w:rPr>
        <w:t>pr</w:t>
      </w:r>
      <w:r>
        <w:rPr>
          <w:rFonts w:ascii="Perpetua" w:hAnsi="Perpetua"/>
        </w:rPr>
        <w:t>ofissionais, deontológicos</w:t>
      </w:r>
      <w:r w:rsidRPr="00DD7BF3">
        <w:rPr>
          <w:rFonts w:ascii="Perpetua" w:hAnsi="Perpetua"/>
        </w:rPr>
        <w:t xml:space="preserve"> </w:t>
      </w:r>
      <w:r w:rsidR="00E41693">
        <w:rPr>
          <w:rFonts w:ascii="Perpetua" w:hAnsi="Perpetua"/>
        </w:rPr>
        <w:t xml:space="preserve">– </w:t>
      </w:r>
      <w:r w:rsidRPr="007B0BD0">
        <w:rPr>
          <w:rFonts w:ascii="Perpetua" w:hAnsi="Perpetua"/>
        </w:rPr>
        <w:t>definidos na lei</w:t>
      </w:r>
      <w:r>
        <w:rPr>
          <w:rFonts w:ascii="Perpetua" w:hAnsi="Perpetua"/>
        </w:rPr>
        <w:t xml:space="preserve">, </w:t>
      </w:r>
      <w:r w:rsidRPr="007B0BD0">
        <w:rPr>
          <w:rFonts w:ascii="Perpetua" w:hAnsi="Perpetua"/>
        </w:rPr>
        <w:t>pelas ordens profissionais dos diferentes trabalhadores judiciais e pelos</w:t>
      </w:r>
      <w:r>
        <w:rPr>
          <w:rFonts w:ascii="Perpetua" w:hAnsi="Perpetua"/>
        </w:rPr>
        <w:t xml:space="preserve"> seus</w:t>
      </w:r>
      <w:r w:rsidRPr="007B0BD0">
        <w:rPr>
          <w:rFonts w:ascii="Perpetua" w:hAnsi="Perpetua"/>
        </w:rPr>
        <w:t xml:space="preserve"> órgãos </w:t>
      </w:r>
      <w:r w:rsidR="00816EED">
        <w:rPr>
          <w:rFonts w:ascii="Perpetua" w:hAnsi="Perpetua"/>
        </w:rPr>
        <w:t>superiores (Conselho Superior da</w:t>
      </w:r>
      <w:r w:rsidRPr="007B0BD0">
        <w:rPr>
          <w:rFonts w:ascii="Perpetua" w:hAnsi="Perpetua"/>
        </w:rPr>
        <w:t xml:space="preserve"> Magistratura, Conselho Superior do Ministério Público, Conselho dos </w:t>
      </w:r>
      <w:r w:rsidR="0099691F">
        <w:rPr>
          <w:rFonts w:ascii="Perpetua" w:hAnsi="Perpetua"/>
        </w:rPr>
        <w:t>Oficiais de Justiça, Ministério</w:t>
      </w:r>
      <w:r w:rsidRPr="007B0BD0">
        <w:rPr>
          <w:rFonts w:ascii="Perpetua" w:hAnsi="Perpetua"/>
        </w:rPr>
        <w:t xml:space="preserve"> da Justiça</w:t>
      </w:r>
      <w:r w:rsidR="008932FB">
        <w:rPr>
          <w:rFonts w:ascii="Perpetua" w:hAnsi="Perpetua"/>
        </w:rPr>
        <w:t>,</w:t>
      </w:r>
      <w:r w:rsidRPr="007B0BD0">
        <w:rPr>
          <w:rFonts w:ascii="Perpetua" w:hAnsi="Perpetua"/>
        </w:rPr>
        <w:t xml:space="preserve"> etc.)</w:t>
      </w:r>
      <w:r>
        <w:rPr>
          <w:rFonts w:ascii="Perpetua" w:hAnsi="Perpetua"/>
        </w:rPr>
        <w:t xml:space="preserve"> </w:t>
      </w:r>
      <w:r w:rsidR="00E41693">
        <w:rPr>
          <w:rFonts w:ascii="Perpetua" w:hAnsi="Perpetua"/>
        </w:rPr>
        <w:t>–</w:t>
      </w:r>
      <w:r>
        <w:rPr>
          <w:rFonts w:ascii="Perpetua" w:hAnsi="Perpetua"/>
        </w:rPr>
        <w:t>, que estabelecem a qualidade da decisão judicial</w:t>
      </w:r>
      <w:r w:rsidRPr="007B0BD0">
        <w:rPr>
          <w:rFonts w:ascii="Perpetua" w:hAnsi="Perpetua"/>
        </w:rPr>
        <w:t xml:space="preserve">. Em termos de disponibilidade de dados, as </w:t>
      </w:r>
      <w:r>
        <w:rPr>
          <w:rFonts w:ascii="Perpetua" w:hAnsi="Perpetua"/>
        </w:rPr>
        <w:t>E</w:t>
      </w:r>
      <w:r w:rsidRPr="007B0BD0">
        <w:rPr>
          <w:rFonts w:ascii="Perpetua" w:hAnsi="Perpetua"/>
        </w:rPr>
        <w:t xml:space="preserve">statísticas da Justiça </w:t>
      </w:r>
      <w:r>
        <w:rPr>
          <w:rFonts w:ascii="Perpetua" w:hAnsi="Perpetua"/>
        </w:rPr>
        <w:t>con</w:t>
      </w:r>
      <w:r w:rsidRPr="007B0BD0">
        <w:rPr>
          <w:rFonts w:ascii="Perpetua" w:hAnsi="Perpetua"/>
        </w:rPr>
        <w:t>têm dados sobre as quantidades de serviços pres</w:t>
      </w:r>
      <w:r>
        <w:rPr>
          <w:rFonts w:ascii="Perpetua" w:hAnsi="Perpetua"/>
        </w:rPr>
        <w:t xml:space="preserve">tados, procurados e pendentes, </w:t>
      </w:r>
      <w:r w:rsidRPr="007B0BD0">
        <w:rPr>
          <w:rFonts w:ascii="Perpetua" w:hAnsi="Perpetua"/>
        </w:rPr>
        <w:t xml:space="preserve">de </w:t>
      </w:r>
      <w:r w:rsidR="00D97AFB">
        <w:rPr>
          <w:rFonts w:ascii="Perpetua" w:hAnsi="Perpetua"/>
        </w:rPr>
        <w:t xml:space="preserve">recursos humanos </w:t>
      </w:r>
      <w:r w:rsidRPr="007B0BD0">
        <w:rPr>
          <w:rFonts w:ascii="Perpetua" w:hAnsi="Perpetua"/>
        </w:rPr>
        <w:t>utilizados pelas unidades produtivas por período temporal</w:t>
      </w:r>
      <w:r>
        <w:rPr>
          <w:rFonts w:ascii="Perpetua" w:hAnsi="Perpetua"/>
        </w:rPr>
        <w:t xml:space="preserve"> e de serviços intermédios produzidos – ou seja, </w:t>
      </w:r>
      <w:r w:rsidRPr="007B0BD0">
        <w:rPr>
          <w:rFonts w:ascii="Perpetua" w:hAnsi="Perpetua"/>
        </w:rPr>
        <w:t xml:space="preserve">os preços e a qualidade dos serviços e dos factores produtivos não são observáveis. </w:t>
      </w:r>
    </w:p>
    <w:p w:rsidR="00A0257B" w:rsidRDefault="00A0257B"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forma geral da função de produção de serviços judiciais pode ser descrita </w:t>
      </w:r>
      <w:r w:rsidR="00F45260">
        <w:rPr>
          <w:rFonts w:ascii="Perpetua" w:hAnsi="Perpetua"/>
        </w:rPr>
        <w:t>pel</w:t>
      </w:r>
      <w:r>
        <w:rPr>
          <w:rFonts w:ascii="Perpetua" w:hAnsi="Perpetua"/>
        </w:rPr>
        <w:t>a expressão algébrica (1).</w:t>
      </w:r>
    </w:p>
    <w:p w:rsidR="00F72F49" w:rsidRDefault="00F72F49" w:rsidP="00F72F49">
      <w:pPr>
        <w:ind w:left="1065"/>
        <w:jc w:val="both"/>
        <w:rPr>
          <w:rFonts w:ascii="Perpetua" w:hAnsi="Perpetua"/>
        </w:rPr>
      </w:pPr>
    </w:p>
    <w:p w:rsidR="00F72F49" w:rsidRDefault="00F72F49" w:rsidP="00F72F49">
      <w:pPr>
        <w:numPr>
          <w:ilvl w:val="0"/>
          <w:numId w:val="3"/>
        </w:numPr>
        <w:jc w:val="both"/>
        <w:rPr>
          <w:rFonts w:ascii="Perpetua" w:hAnsi="Perpetua"/>
        </w:rPr>
      </w:pPr>
      <w:r>
        <w:rPr>
          <w:rFonts w:ascii="Perpetua" w:hAnsi="Perpetua"/>
        </w:rPr>
        <w:tab/>
        <w:t xml:space="preserve"> </w:t>
      </w:r>
      <w:bookmarkStart w:id="102" w:name="_Ref203762396"/>
      <w:bookmarkEnd w:id="102"/>
      <w:r w:rsidRPr="00DB2E8E">
        <w:rPr>
          <w:rFonts w:ascii="Perpetua" w:hAnsi="Perpetua"/>
          <w:position w:val="-10"/>
        </w:rPr>
        <w:object w:dxaOrig="1540" w:dyaOrig="320">
          <v:shape id="_x0000_i1041" type="#_x0000_t75" style="width:77pt;height:15pt" o:ole="">
            <v:imagedata r:id="rId47" o:title=""/>
          </v:shape>
          <o:OLEObject Type="Embed" ProgID="Equation.3" ShapeID="_x0000_i1041" DrawAspect="Content" ObjectID="_1294230258" r:id="rId48"/>
        </w:object>
      </w:r>
    </w:p>
    <w:p w:rsidR="00F72F49" w:rsidRDefault="00F72F49" w:rsidP="00F72F49">
      <w:pPr>
        <w:jc w:val="both"/>
        <w:rPr>
          <w:rFonts w:ascii="Perpetua" w:hAnsi="Perpetua"/>
        </w:rPr>
      </w:pPr>
    </w:p>
    <w:p w:rsidR="00F72F49" w:rsidRDefault="00F72F49" w:rsidP="00F72F49">
      <w:pPr>
        <w:jc w:val="both"/>
        <w:rPr>
          <w:rFonts w:ascii="Perpetua" w:hAnsi="Perpetua"/>
        </w:rPr>
      </w:pPr>
      <w:r>
        <w:rPr>
          <w:rFonts w:ascii="Perpetua" w:hAnsi="Perpetua"/>
        </w:rPr>
        <w:t xml:space="preserve"> </w:t>
      </w:r>
      <w:proofErr w:type="gramStart"/>
      <w:r>
        <w:rPr>
          <w:rFonts w:ascii="Perpetua" w:hAnsi="Perpetua"/>
        </w:rPr>
        <w:t>em</w:t>
      </w:r>
      <w:proofErr w:type="gramEnd"/>
      <w:r>
        <w:rPr>
          <w:rFonts w:ascii="Perpetua" w:hAnsi="Perpetua"/>
        </w:rPr>
        <w:t xml:space="preserve"> que: </w:t>
      </w:r>
    </w:p>
    <w:p w:rsidR="00F72F49" w:rsidRDefault="00F72F49" w:rsidP="00F72F49">
      <w:pPr>
        <w:jc w:val="both"/>
        <w:rPr>
          <w:rFonts w:ascii="Perpetua" w:hAnsi="Perpetua"/>
        </w:rPr>
      </w:pPr>
    </w:p>
    <w:p w:rsidR="00F72F49" w:rsidRDefault="00F72F49" w:rsidP="00B27B9D">
      <w:pPr>
        <w:spacing w:line="360" w:lineRule="auto"/>
        <w:jc w:val="both"/>
        <w:rPr>
          <w:rFonts w:ascii="Perpetua" w:hAnsi="Perpetua"/>
        </w:rPr>
      </w:pPr>
      <w:r w:rsidRPr="00155725">
        <w:rPr>
          <w:rFonts w:ascii="Perpetua" w:hAnsi="Perpetua"/>
          <w:position w:val="-12"/>
        </w:rPr>
        <w:object w:dxaOrig="1400" w:dyaOrig="360">
          <v:shape id="_x0000_i1042" type="#_x0000_t75" style="width:70pt;height:18pt" o:ole="">
            <v:imagedata r:id="rId49" o:title=""/>
          </v:shape>
          <o:OLEObject Type="Embed" ProgID="Equation.3" ShapeID="_x0000_i1042" DrawAspect="Content" ObjectID="_1294230259" r:id="rId50"/>
        </w:object>
      </w:r>
      <w:r>
        <w:rPr>
          <w:rFonts w:ascii="Perpetua" w:hAnsi="Perpetua"/>
        </w:rPr>
        <w:t xml:space="preserve"> </w:t>
      </w:r>
      <w:proofErr w:type="gramStart"/>
      <w:r>
        <w:rPr>
          <w:rFonts w:ascii="Perpetua" w:hAnsi="Perpetua"/>
        </w:rPr>
        <w:t>corresponde</w:t>
      </w:r>
      <w:proofErr w:type="gramEnd"/>
      <w:r>
        <w:rPr>
          <w:rFonts w:ascii="Perpetua" w:hAnsi="Perpetua"/>
        </w:rPr>
        <w:t xml:space="preserve"> ao vector das quantidades das várias categorias de serviços judiciais produzidos;</w:t>
      </w:r>
    </w:p>
    <w:p w:rsidR="00F72F49" w:rsidRDefault="00F72F49" w:rsidP="00B27B9D">
      <w:pPr>
        <w:jc w:val="both"/>
        <w:rPr>
          <w:rFonts w:ascii="Perpetua" w:hAnsi="Perpetua"/>
        </w:rPr>
      </w:pPr>
    </w:p>
    <w:p w:rsidR="00F72F49" w:rsidRDefault="00F72F49" w:rsidP="00B27B9D">
      <w:pPr>
        <w:spacing w:line="360" w:lineRule="auto"/>
        <w:jc w:val="both"/>
        <w:rPr>
          <w:rFonts w:ascii="Perpetua" w:hAnsi="Perpetua"/>
        </w:rPr>
      </w:pPr>
      <w:r w:rsidRPr="00DB2E8E">
        <w:rPr>
          <w:rFonts w:ascii="Perpetua" w:hAnsi="Perpetua"/>
          <w:position w:val="-14"/>
        </w:rPr>
        <w:object w:dxaOrig="1520" w:dyaOrig="380">
          <v:shape id="_x0000_i1043" type="#_x0000_t75" style="width:77pt;height:19pt" o:ole="">
            <v:imagedata r:id="rId51" o:title=""/>
          </v:shape>
          <o:OLEObject Type="Embed" ProgID="Equation.3" ShapeID="_x0000_i1043" DrawAspect="Content" ObjectID="_1294230260" r:id="rId52"/>
        </w:object>
      </w:r>
      <w:proofErr w:type="gramStart"/>
      <w:r>
        <w:rPr>
          <w:rFonts w:ascii="Perpetua" w:hAnsi="Perpetua"/>
        </w:rPr>
        <w:t>corresponde</w:t>
      </w:r>
      <w:proofErr w:type="gramEnd"/>
      <w:r>
        <w:rPr>
          <w:rFonts w:ascii="Perpetua" w:hAnsi="Perpetua"/>
        </w:rPr>
        <w:t xml:space="preserve"> ao vector das quantidades de factores produtivos utilizados;</w:t>
      </w:r>
    </w:p>
    <w:p w:rsidR="00F72F49" w:rsidRDefault="00F72F49" w:rsidP="00B27B9D">
      <w:pPr>
        <w:jc w:val="both"/>
        <w:rPr>
          <w:rFonts w:ascii="Perpetua" w:hAnsi="Perpetua"/>
        </w:rPr>
      </w:pPr>
    </w:p>
    <w:p w:rsidR="00F72F49" w:rsidRDefault="00F72F49" w:rsidP="000E5B21">
      <w:pPr>
        <w:spacing w:line="360" w:lineRule="auto"/>
        <w:jc w:val="both"/>
        <w:rPr>
          <w:rFonts w:ascii="Perpetua" w:hAnsi="Perpetua"/>
        </w:rPr>
      </w:pPr>
      <w:r w:rsidRPr="00DB2E8E">
        <w:rPr>
          <w:rFonts w:ascii="Perpetua" w:hAnsi="Perpetua"/>
          <w:position w:val="-12"/>
        </w:rPr>
        <w:object w:dxaOrig="1500" w:dyaOrig="360">
          <v:shape id="_x0000_i1044" type="#_x0000_t75" style="width:75pt;height:18pt" o:ole="">
            <v:imagedata r:id="rId53" o:title=""/>
          </v:shape>
          <o:OLEObject Type="Embed" ProgID="Equation.3" ShapeID="_x0000_i1044" DrawAspect="Content" ObjectID="_1294230261" r:id="rId54"/>
        </w:object>
      </w:r>
      <w:proofErr w:type="gramStart"/>
      <w:r>
        <w:rPr>
          <w:rFonts w:ascii="Perpetua" w:hAnsi="Perpetua"/>
        </w:rPr>
        <w:t>corresponde</w:t>
      </w:r>
      <w:proofErr w:type="gramEnd"/>
      <w:r>
        <w:rPr>
          <w:rFonts w:ascii="Perpetua" w:hAnsi="Perpetua"/>
        </w:rPr>
        <w:t xml:space="preserve"> ao vector das quantidade de serviços intermédios prestados pelos restantes factor</w:t>
      </w:r>
      <w:r w:rsidR="0099691F">
        <w:rPr>
          <w:rFonts w:ascii="Perpetua" w:hAnsi="Perpetua"/>
        </w:rPr>
        <w:t>es produtivos; e</w:t>
      </w:r>
    </w:p>
    <w:p w:rsidR="00F72F49" w:rsidRDefault="00F72F49" w:rsidP="000E5B21">
      <w:pPr>
        <w:spacing w:line="360" w:lineRule="auto"/>
        <w:jc w:val="both"/>
        <w:rPr>
          <w:rFonts w:ascii="Perpetua" w:hAnsi="Perpetua" w:cs="Arial"/>
          <w:b/>
          <w:sz w:val="20"/>
          <w:szCs w:val="20"/>
        </w:rPr>
      </w:pPr>
      <w:r w:rsidRPr="005F2CF9">
        <w:rPr>
          <w:rFonts w:ascii="Perpetua" w:hAnsi="Perpetua"/>
          <w:position w:val="-12"/>
        </w:rPr>
        <w:object w:dxaOrig="1380" w:dyaOrig="360">
          <v:shape id="_x0000_i1045" type="#_x0000_t75" style="width:69pt;height:18pt" o:ole="">
            <v:imagedata r:id="rId55" o:title=""/>
          </v:shape>
          <o:OLEObject Type="Embed" ProgID="Equation.3" ShapeID="_x0000_i1045" DrawAspect="Content" ObjectID="_1294230262" r:id="rId56"/>
        </w:object>
      </w:r>
      <w:proofErr w:type="gramStart"/>
      <w:r>
        <w:rPr>
          <w:rFonts w:ascii="Perpetua" w:hAnsi="Perpetua"/>
        </w:rPr>
        <w:t>corresponde</w:t>
      </w:r>
      <w:proofErr w:type="gramEnd"/>
      <w:r>
        <w:rPr>
          <w:rFonts w:ascii="Perpetua" w:hAnsi="Perpetua"/>
        </w:rPr>
        <w:t xml:space="preserve"> ao vector dos factores de contexto que, sendo exteriores ao processo produtivo de serviços judiciais pelos tribunais, influenciam a relação de transformação de factores produtivos e serviços intermédios em serviços judiciais finais.  </w:t>
      </w:r>
    </w:p>
    <w:p w:rsidR="00F72F49" w:rsidRDefault="00F72F49" w:rsidP="00F72F49">
      <w:pPr>
        <w:spacing w:line="360" w:lineRule="auto"/>
        <w:jc w:val="both"/>
        <w:rPr>
          <w:rFonts w:ascii="Perpetua" w:hAnsi="Perpetua" w:cs="Arial"/>
        </w:rPr>
      </w:pPr>
    </w:p>
    <w:p w:rsidR="00F72F49" w:rsidRDefault="00D97AFB" w:rsidP="00F72F49">
      <w:pPr>
        <w:spacing w:line="360" w:lineRule="auto"/>
        <w:jc w:val="both"/>
        <w:rPr>
          <w:rFonts w:ascii="Perpetua" w:hAnsi="Perpetua" w:cs="Arial"/>
        </w:rPr>
      </w:pPr>
      <w:r>
        <w:rPr>
          <w:rFonts w:ascii="Perpetua" w:hAnsi="Perpetua" w:cs="Arial"/>
        </w:rPr>
        <w:t>Uma segunda premissa deste trabalho é que, no</w:t>
      </w:r>
      <w:r w:rsidR="00F72F49">
        <w:rPr>
          <w:rFonts w:ascii="Perpetua" w:hAnsi="Perpetua" w:cs="Arial"/>
        </w:rPr>
        <w:t xml:space="preserve"> sistema judicial português, os tribunais produzem um </w:t>
      </w:r>
      <w:r w:rsidR="00F72F49" w:rsidRPr="00575669">
        <w:rPr>
          <w:rFonts w:ascii="Perpetua" w:hAnsi="Perpetua" w:cs="Arial"/>
          <w:i/>
        </w:rPr>
        <w:t>mix</w:t>
      </w:r>
      <w:r w:rsidR="00F72F49">
        <w:rPr>
          <w:rFonts w:ascii="Perpetua" w:hAnsi="Perpetua" w:cs="Arial"/>
        </w:rPr>
        <w:t xml:space="preserve"> de serviços judiciais usando coeficientes fixos de magistrados judiciais e dos restantes factores produtivos</w:t>
      </w:r>
      <w:r w:rsidR="00A0257B">
        <w:rPr>
          <w:rStyle w:val="FootnoteReference"/>
          <w:rFonts w:ascii="Perpetua" w:hAnsi="Perpetua" w:cs="Arial"/>
        </w:rPr>
        <w:footnoteReference w:id="94"/>
      </w:r>
      <w:r w:rsidR="00F72F49">
        <w:rPr>
          <w:rFonts w:ascii="Perpetua" w:hAnsi="Perpetua"/>
        </w:rPr>
        <w:t>. Por outras palavras, os tribunais de competência genérica são agregados de combinações fixas de magistrados judiciais, magistrados do M. P. e funcionários judiciais. Quanto aos restantes factores produtivos, como equipamento informático e bens consumíveis, assum</w:t>
      </w:r>
      <w:r>
        <w:rPr>
          <w:rFonts w:ascii="Perpetua" w:hAnsi="Perpetua"/>
        </w:rPr>
        <w:t xml:space="preserve">e-se </w:t>
      </w:r>
      <w:r w:rsidR="00F72F49">
        <w:rPr>
          <w:rFonts w:ascii="Perpetua" w:hAnsi="Perpetua"/>
        </w:rPr>
        <w:t xml:space="preserve">que também estes são combinados com o </w:t>
      </w:r>
      <w:r w:rsidR="00A2767C">
        <w:rPr>
          <w:rFonts w:ascii="Perpetua" w:hAnsi="Perpetua"/>
        </w:rPr>
        <w:t>número</w:t>
      </w:r>
      <w:r w:rsidR="00F72F49">
        <w:rPr>
          <w:rFonts w:ascii="Perpetua" w:hAnsi="Perpetua"/>
        </w:rPr>
        <w:t xml:space="preserve"> de magistrados do tribunal em coeficientes fixos, embora não </w:t>
      </w:r>
      <w:r>
        <w:rPr>
          <w:rFonts w:ascii="Perpetua" w:hAnsi="Perpetua"/>
        </w:rPr>
        <w:t xml:space="preserve">seja possível </w:t>
      </w:r>
      <w:r w:rsidR="00F72F49">
        <w:rPr>
          <w:rFonts w:ascii="Perpetua" w:hAnsi="Perpetua"/>
        </w:rPr>
        <w:t xml:space="preserve">confirmar </w:t>
      </w:r>
      <w:r>
        <w:rPr>
          <w:rFonts w:ascii="Perpetua" w:hAnsi="Perpetua"/>
        </w:rPr>
        <w:t xml:space="preserve">empiricamente </w:t>
      </w:r>
      <w:r w:rsidR="00F72F49">
        <w:rPr>
          <w:rFonts w:ascii="Perpetua" w:hAnsi="Perpetua"/>
        </w:rPr>
        <w:t xml:space="preserve">esta hipótese, visto que não </w:t>
      </w:r>
      <w:r>
        <w:rPr>
          <w:rFonts w:ascii="Perpetua" w:hAnsi="Perpetua"/>
        </w:rPr>
        <w:t xml:space="preserve">existem </w:t>
      </w:r>
      <w:r w:rsidR="00F72F49">
        <w:rPr>
          <w:rFonts w:ascii="Perpetua" w:hAnsi="Perpetua"/>
        </w:rPr>
        <w:t>dados estatísticos</w:t>
      </w:r>
      <w:r>
        <w:rPr>
          <w:rFonts w:ascii="Perpetua" w:hAnsi="Perpetua"/>
        </w:rPr>
        <w:t xml:space="preserve"> relativos a esses factores produtivos</w:t>
      </w:r>
      <w:r w:rsidR="00F72F49">
        <w:rPr>
          <w:rFonts w:ascii="Perpetua" w:hAnsi="Perpetua"/>
        </w:rPr>
        <w:t xml:space="preserve">. Uma função de produção semelhante foi proposta por Gillespie (1976:245) com base no mesmo argumento empírico </w:t>
      </w:r>
      <w:r w:rsidR="0099691F">
        <w:rPr>
          <w:rFonts w:ascii="Perpetua" w:hAnsi="Perpetua"/>
        </w:rPr>
        <w:t xml:space="preserve">– </w:t>
      </w:r>
      <w:r w:rsidR="00F72F49">
        <w:rPr>
          <w:rFonts w:ascii="Perpetua" w:hAnsi="Perpetua"/>
        </w:rPr>
        <w:t xml:space="preserve">no sistema judicial norte-americano, a afectação de recursos humanos por tribunal é feita com base em coeficientes fixos face ao </w:t>
      </w:r>
      <w:r w:rsidR="00A2767C">
        <w:rPr>
          <w:rFonts w:ascii="Perpetua" w:hAnsi="Perpetua"/>
        </w:rPr>
        <w:t>número</w:t>
      </w:r>
      <w:r w:rsidR="00F72F49">
        <w:rPr>
          <w:rFonts w:ascii="Perpetua" w:hAnsi="Perpetua"/>
        </w:rPr>
        <w:t xml:space="preserve"> de magistrados judiciais. </w:t>
      </w:r>
      <w:r w:rsidR="00F72F49">
        <w:rPr>
          <w:rFonts w:ascii="Perpetua" w:hAnsi="Perpetua" w:cs="Arial"/>
        </w:rPr>
        <w:t xml:space="preserve">Esta característica do processo produtivo permite que, na modelação da produção de serviços judiciais nos tribunais de competência genérica, a produtividade judicial (rácio do total de processos judiciais findos pelo </w:t>
      </w:r>
      <w:r w:rsidR="00A2767C">
        <w:rPr>
          <w:rFonts w:ascii="Perpetua" w:hAnsi="Perpetua" w:cs="Arial"/>
        </w:rPr>
        <w:t>número</w:t>
      </w:r>
      <w:r w:rsidR="00F72F49">
        <w:rPr>
          <w:rFonts w:ascii="Perpetua" w:hAnsi="Perpetua" w:cs="Arial"/>
        </w:rPr>
        <w:t xml:space="preserve"> de magistrados judiciais) seja uma boa medida aproximativa da produtividade dos tribunais </w:t>
      </w:r>
      <w:r>
        <w:rPr>
          <w:rFonts w:ascii="Perpetua" w:hAnsi="Perpetua" w:cs="Arial"/>
        </w:rPr>
        <w:t>–</w:t>
      </w:r>
      <w:r w:rsidR="00F72F49">
        <w:rPr>
          <w:rFonts w:ascii="Perpetua" w:hAnsi="Perpetua" w:cs="Arial"/>
        </w:rPr>
        <w:t xml:space="preserve"> desde que a heterogeneidade dos serviços produzidos seja apropriadamente tida em conta. Por agora, vamos assumir que essa condição se verifica, deixando para </w:t>
      </w:r>
      <w:r w:rsidR="002E3DC5">
        <w:rPr>
          <w:rFonts w:ascii="Perpetua" w:hAnsi="Perpetua" w:cs="Arial"/>
        </w:rPr>
        <w:t xml:space="preserve">o ponto </w:t>
      </w:r>
      <w:r w:rsidR="00F72F49">
        <w:rPr>
          <w:rFonts w:ascii="Perpetua" w:hAnsi="Perpetua" w:cs="Arial"/>
        </w:rPr>
        <w:t>seguinte a sua justificação</w:t>
      </w:r>
      <w:r w:rsidR="002E3DC5">
        <w:rPr>
          <w:rStyle w:val="FootnoteReference"/>
          <w:rFonts w:ascii="Perpetua" w:hAnsi="Perpetua" w:cs="Arial"/>
        </w:rPr>
        <w:footnoteReference w:id="95"/>
      </w:r>
      <w:r w:rsidR="00F72F49">
        <w:rPr>
          <w:rFonts w:ascii="Perpetua" w:hAnsi="Perpetua" w:cs="Arial"/>
        </w:rPr>
        <w:t>.</w:t>
      </w:r>
    </w:p>
    <w:p w:rsidR="00F72F49" w:rsidRDefault="00F72F49" w:rsidP="00F72F49">
      <w:pPr>
        <w:spacing w:line="360" w:lineRule="auto"/>
        <w:jc w:val="both"/>
        <w:rPr>
          <w:rFonts w:ascii="Perpetua" w:hAnsi="Perpetua" w:cs="Arial"/>
        </w:rPr>
      </w:pPr>
    </w:p>
    <w:p w:rsidR="00F72F49" w:rsidRDefault="00F72F49" w:rsidP="00F72F49">
      <w:pPr>
        <w:spacing w:line="360" w:lineRule="auto"/>
        <w:jc w:val="both"/>
        <w:rPr>
          <w:rFonts w:ascii="Perpetua" w:hAnsi="Perpetua" w:cs="Arial"/>
        </w:rPr>
      </w:pPr>
      <w:r>
        <w:rPr>
          <w:rFonts w:ascii="Perpetua" w:hAnsi="Perpetua" w:cs="Arial"/>
        </w:rPr>
        <w:t xml:space="preserve">No caso particular de uma função </w:t>
      </w:r>
      <w:r w:rsidR="002E3DC5">
        <w:rPr>
          <w:rFonts w:ascii="Perpetua" w:hAnsi="Perpetua" w:cs="Arial"/>
        </w:rPr>
        <w:t xml:space="preserve">de </w:t>
      </w:r>
      <w:r>
        <w:rPr>
          <w:rFonts w:ascii="Perpetua" w:hAnsi="Perpetua" w:cs="Arial"/>
        </w:rPr>
        <w:t>produção técnica</w:t>
      </w:r>
      <w:r w:rsidR="00D97AFB">
        <w:rPr>
          <w:rFonts w:ascii="Perpetua" w:hAnsi="Perpetua" w:cs="Arial"/>
        </w:rPr>
        <w:t xml:space="preserve"> (</w:t>
      </w:r>
      <w:r w:rsidR="004E5D3A" w:rsidRPr="004E5D3A">
        <w:rPr>
          <w:rFonts w:ascii="Perpetua" w:hAnsi="Perpetua" w:cs="Arial"/>
          <w:i/>
        </w:rPr>
        <w:t>i.e.</w:t>
      </w:r>
      <w:r w:rsidR="00941AEA">
        <w:rPr>
          <w:rFonts w:ascii="Perpetua" w:hAnsi="Perpetua" w:cs="Arial"/>
        </w:rPr>
        <w:t xml:space="preserve">, </w:t>
      </w:r>
      <w:r>
        <w:rPr>
          <w:rFonts w:ascii="Perpetua" w:hAnsi="Perpetua" w:cs="Arial"/>
        </w:rPr>
        <w:t>avaliada em unidades físicas de bens finais</w:t>
      </w:r>
      <w:r w:rsidR="00D97AFB">
        <w:rPr>
          <w:rStyle w:val="FootnoteReference"/>
          <w:rFonts w:ascii="Perpetua" w:hAnsi="Perpetua" w:cs="Arial"/>
        </w:rPr>
        <w:footnoteReference w:id="96"/>
      </w:r>
      <w:r w:rsidR="00D97AFB">
        <w:rPr>
          <w:rFonts w:ascii="Perpetua" w:hAnsi="Perpetua" w:cs="Arial"/>
        </w:rPr>
        <w:t xml:space="preserve"> e factores produtivos)</w:t>
      </w:r>
      <w:r>
        <w:rPr>
          <w:rFonts w:ascii="Perpetua" w:hAnsi="Perpetua" w:cs="Arial"/>
        </w:rPr>
        <w:t xml:space="preserve"> que tivesse</w:t>
      </w:r>
      <w:r w:rsidR="00FF0FB7">
        <w:rPr>
          <w:rFonts w:ascii="Perpetua" w:hAnsi="Perpetua" w:cs="Arial"/>
        </w:rPr>
        <w:t xml:space="preserve"> a quantidade </w:t>
      </w:r>
      <w:r w:rsidR="0099691F">
        <w:rPr>
          <w:rFonts w:ascii="Perpetua" w:hAnsi="Perpetua" w:cs="Arial"/>
        </w:rPr>
        <w:t>de serviços judiciais como única</w:t>
      </w:r>
      <w:r w:rsidR="00FF0FB7">
        <w:rPr>
          <w:rFonts w:ascii="Perpetua" w:hAnsi="Perpetua" w:cs="Arial"/>
        </w:rPr>
        <w:t xml:space="preserve"> variável de </w:t>
      </w:r>
      <w:r w:rsidR="00FF0FB7" w:rsidRPr="00FF0FB7">
        <w:rPr>
          <w:rFonts w:ascii="Perpetua" w:hAnsi="Perpetua" w:cs="Arial"/>
          <w:i/>
        </w:rPr>
        <w:t>outputs</w:t>
      </w:r>
      <w:r w:rsidR="0099691F">
        <w:rPr>
          <w:rFonts w:ascii="Perpetua" w:hAnsi="Perpetua" w:cs="Arial"/>
        </w:rPr>
        <w:t xml:space="preserve"> e</w:t>
      </w:r>
      <w:r w:rsidR="00FF0FB7">
        <w:rPr>
          <w:rFonts w:ascii="Perpetua" w:hAnsi="Perpetua" w:cs="Arial"/>
        </w:rPr>
        <w:t xml:space="preserve"> </w:t>
      </w:r>
      <w:r>
        <w:rPr>
          <w:rFonts w:ascii="Perpetua" w:hAnsi="Perpetua" w:cs="Arial"/>
        </w:rPr>
        <w:t xml:space="preserve">o </w:t>
      </w:r>
      <w:r w:rsidR="00A2767C">
        <w:rPr>
          <w:rFonts w:ascii="Perpetua" w:hAnsi="Perpetua" w:cs="Arial"/>
        </w:rPr>
        <w:t>número</w:t>
      </w:r>
      <w:r>
        <w:rPr>
          <w:rFonts w:ascii="Perpetua" w:hAnsi="Perpetua" w:cs="Arial"/>
        </w:rPr>
        <w:t xml:space="preserve"> de magistrados como único factor produtivo </w:t>
      </w:r>
      <w:r w:rsidR="00FF0FB7">
        <w:rPr>
          <w:rFonts w:ascii="Perpetua" w:hAnsi="Perpetua" w:cs="Arial"/>
        </w:rPr>
        <w:t>(</w:t>
      </w:r>
      <w:r w:rsidR="00FF0FB7" w:rsidRPr="00FF0FB7">
        <w:rPr>
          <w:rFonts w:ascii="Perpetua" w:hAnsi="Perpetua" w:cs="Arial"/>
          <w:i/>
        </w:rPr>
        <w:t>input</w:t>
      </w:r>
      <w:r w:rsidR="00FF0FB7">
        <w:rPr>
          <w:rFonts w:ascii="Perpetua" w:hAnsi="Perpetua" w:cs="Arial"/>
        </w:rPr>
        <w:t>)</w:t>
      </w:r>
      <w:r w:rsidR="0099691F">
        <w:rPr>
          <w:rFonts w:ascii="Perpetua" w:hAnsi="Perpetua" w:cs="Arial"/>
        </w:rPr>
        <w:t>,</w:t>
      </w:r>
      <w:r w:rsidR="00FF0FB7">
        <w:rPr>
          <w:rFonts w:ascii="Perpetua" w:hAnsi="Perpetua" w:cs="Arial"/>
        </w:rPr>
        <w:t xml:space="preserve"> </w:t>
      </w:r>
      <w:r>
        <w:rPr>
          <w:rFonts w:ascii="Perpetua" w:hAnsi="Perpetua" w:cs="Arial"/>
        </w:rPr>
        <w:t>e estivesse parametrizada nos vectores de serviços intermédios e factores de contexto</w:t>
      </w:r>
      <w:r w:rsidR="00FF0FB7">
        <w:rPr>
          <w:rFonts w:ascii="Perpetua" w:hAnsi="Perpetua" w:cs="Arial"/>
        </w:rPr>
        <w:t xml:space="preserve">, </w:t>
      </w:r>
      <w:r w:rsidR="004E5D3A" w:rsidRPr="004E5D3A">
        <w:rPr>
          <w:rFonts w:ascii="Perpetua" w:hAnsi="Perpetua" w:cs="Arial"/>
          <w:i/>
        </w:rPr>
        <w:t>i.e.</w:t>
      </w:r>
      <w:r w:rsidR="00941AEA">
        <w:rPr>
          <w:rFonts w:ascii="Perpetua" w:hAnsi="Perpetua" w:cs="Arial"/>
        </w:rPr>
        <w:t xml:space="preserve">, </w:t>
      </w:r>
      <w:r>
        <w:rPr>
          <w:rFonts w:ascii="Perpetua" w:hAnsi="Perpetua" w:cs="Arial"/>
        </w:rPr>
        <w:t xml:space="preserve">que tomasse valores particulares para os vectores </w:t>
      </w:r>
      <w:r w:rsidRPr="0015032D">
        <w:rPr>
          <w:rFonts w:ascii="Perpetua" w:hAnsi="Perpetua"/>
          <w:position w:val="-12"/>
        </w:rPr>
        <w:object w:dxaOrig="1500" w:dyaOrig="360">
          <v:shape id="_x0000_i1046" type="#_x0000_t75" style="width:75pt;height:18pt" o:ole="">
            <v:imagedata r:id="rId57" o:title=""/>
          </v:shape>
          <o:OLEObject Type="Embed" ProgID="Equation.3" ShapeID="_x0000_i1046" DrawAspect="Content" ObjectID="_1294230263" r:id="rId58"/>
        </w:object>
      </w:r>
      <w:r>
        <w:rPr>
          <w:rFonts w:ascii="Perpetua" w:hAnsi="Perpetua" w:cs="Arial"/>
        </w:rPr>
        <w:t xml:space="preserve"> e </w:t>
      </w:r>
      <w:r w:rsidRPr="005F2CF9">
        <w:rPr>
          <w:rFonts w:ascii="Perpetua" w:hAnsi="Perpetua"/>
          <w:position w:val="-12"/>
        </w:rPr>
        <w:object w:dxaOrig="1380" w:dyaOrig="360">
          <v:shape id="_x0000_i1047" type="#_x0000_t75" style="width:69pt;height:18pt" o:ole="">
            <v:imagedata r:id="rId59" o:title=""/>
          </v:shape>
          <o:OLEObject Type="Embed" ProgID="Equation.3" ShapeID="_x0000_i1047" DrawAspect="Content" ObjectID="_1294230264" r:id="rId60"/>
        </w:object>
      </w:r>
      <w:r>
        <w:rPr>
          <w:rFonts w:ascii="Perpetua" w:hAnsi="Perpetua" w:cs="Arial"/>
        </w:rPr>
        <w:t>, a sua representação gráfica pode se</w:t>
      </w:r>
      <w:r w:rsidR="002E3DC5">
        <w:rPr>
          <w:rFonts w:ascii="Perpetua" w:hAnsi="Perpetua" w:cs="Arial"/>
        </w:rPr>
        <w:t>r descrita pela curva f (.) na fi</w:t>
      </w:r>
      <w:r>
        <w:rPr>
          <w:rFonts w:ascii="Perpetua" w:hAnsi="Perpetua" w:cs="Arial"/>
        </w:rPr>
        <w:t xml:space="preserve">gura </w:t>
      </w:r>
      <w:r w:rsidR="002E3DC5">
        <w:rPr>
          <w:rFonts w:ascii="Perpetua" w:hAnsi="Perpetua" w:cs="Arial"/>
        </w:rPr>
        <w:t>abaixo</w:t>
      </w:r>
      <w:r w:rsidR="00FF0FB7">
        <w:rPr>
          <w:rStyle w:val="FootnoteReference"/>
          <w:rFonts w:ascii="Perpetua" w:hAnsi="Perpetua" w:cs="Arial"/>
        </w:rPr>
        <w:footnoteReference w:id="97"/>
      </w:r>
      <w:r w:rsidR="002E3DC5">
        <w:rPr>
          <w:rFonts w:ascii="Perpetua" w:hAnsi="Perpetua" w:cs="Arial"/>
        </w:rPr>
        <w:t>.</w:t>
      </w:r>
    </w:p>
    <w:p w:rsidR="00F72F49" w:rsidRDefault="00F72F49" w:rsidP="00F72F49">
      <w:pPr>
        <w:spacing w:line="360" w:lineRule="auto"/>
        <w:jc w:val="both"/>
        <w:rPr>
          <w:rFonts w:ascii="Perpetua" w:hAnsi="Perpetua" w:cs="Arial"/>
        </w:rPr>
      </w:pPr>
    </w:p>
    <w:p w:rsidR="00F72F49" w:rsidRPr="00374F60" w:rsidRDefault="00374F60" w:rsidP="00374F60">
      <w:pPr>
        <w:pStyle w:val="Caption"/>
        <w:rPr>
          <w:rFonts w:ascii="Perpetua" w:hAnsi="Perpetua"/>
          <w:color w:val="000000"/>
        </w:rPr>
      </w:pPr>
      <w:bookmarkStart w:id="103" w:name="_Toc215081912"/>
      <w:r w:rsidRPr="00374F60">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Pr="00374F60">
        <w:rPr>
          <w:rFonts w:ascii="Perpetua" w:hAnsi="Perpetua"/>
        </w:rPr>
        <w:t xml:space="preserve"> </w:t>
      </w:r>
      <w:r w:rsidR="0099691F">
        <w:rPr>
          <w:rFonts w:ascii="Perpetua" w:hAnsi="Perpetua"/>
        </w:rPr>
        <w:t>–</w:t>
      </w:r>
      <w:r w:rsidRPr="00374F60">
        <w:rPr>
          <w:rFonts w:ascii="Perpetua" w:hAnsi="Perpetua"/>
        </w:rPr>
        <w:t xml:space="preserve"> </w:t>
      </w:r>
      <w:r w:rsidR="00F72F49" w:rsidRPr="00374F60">
        <w:rPr>
          <w:rFonts w:ascii="Perpetua" w:hAnsi="Perpetua"/>
          <w:color w:val="000000"/>
        </w:rPr>
        <w:t>Função de produção de serviços judiciais com um factor produtivo (n.º de magistrados)</w:t>
      </w:r>
      <w:bookmarkEnd w:id="103"/>
    </w:p>
    <w:p w:rsidR="00374F60" w:rsidRDefault="00374F60" w:rsidP="00374F60"/>
    <w:p w:rsidR="00F72F49" w:rsidRDefault="00C82BCA" w:rsidP="00F72F49">
      <w:pPr>
        <w:spacing w:line="360" w:lineRule="auto"/>
        <w:jc w:val="center"/>
        <w:rPr>
          <w:rFonts w:ascii="Perpetua" w:hAnsi="Perpetua" w:cs="Arial"/>
        </w:rPr>
      </w:pPr>
      <w:r>
        <w:rPr>
          <w:noProof/>
        </w:rPr>
        <w:drawing>
          <wp:inline distT="0" distB="0" distL="0" distR="0">
            <wp:extent cx="3067050" cy="3019425"/>
            <wp:effectExtent l="19050" t="0" r="0" b="0"/>
            <wp:docPr id="3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1"/>
                    <a:srcRect/>
                    <a:stretch>
                      <a:fillRect/>
                    </a:stretch>
                  </pic:blipFill>
                  <pic:spPr bwMode="auto">
                    <a:xfrm>
                      <a:off x="0" y="0"/>
                      <a:ext cx="3067050" cy="3019425"/>
                    </a:xfrm>
                    <a:prstGeom prst="rect">
                      <a:avLst/>
                    </a:prstGeom>
                    <a:noFill/>
                    <a:ln w="9525">
                      <a:noFill/>
                      <a:miter lim="800000"/>
                      <a:headEnd/>
                      <a:tailEnd/>
                    </a:ln>
                  </pic:spPr>
                </pic:pic>
              </a:graphicData>
            </a:graphic>
          </wp:inline>
        </w:drawing>
      </w:r>
    </w:p>
    <w:p w:rsidR="00F72F49" w:rsidRDefault="00F72F49" w:rsidP="00F72F49">
      <w:pPr>
        <w:spacing w:line="360" w:lineRule="auto"/>
        <w:jc w:val="both"/>
        <w:rPr>
          <w:rFonts w:ascii="Perpetua" w:hAnsi="Perpetua" w:cs="Arial"/>
        </w:rPr>
      </w:pPr>
    </w:p>
    <w:p w:rsidR="00F72F49" w:rsidRDefault="00F72F49" w:rsidP="00F72F49">
      <w:pPr>
        <w:spacing w:line="360" w:lineRule="auto"/>
        <w:jc w:val="both"/>
        <w:rPr>
          <w:rFonts w:ascii="Perpetua" w:hAnsi="Perpetua" w:cs="Arial"/>
        </w:rPr>
      </w:pPr>
      <w:r>
        <w:rPr>
          <w:rFonts w:ascii="Perpetua" w:hAnsi="Perpetua"/>
        </w:rPr>
        <w:t>Neste contexto, a produtividade física do único factor produtivo (os magistrados</w:t>
      </w:r>
      <w:r w:rsidR="00364021">
        <w:rPr>
          <w:rFonts w:ascii="Perpetua" w:hAnsi="Perpetua"/>
        </w:rPr>
        <w:t xml:space="preserve"> judiciais</w:t>
      </w:r>
      <w:r>
        <w:rPr>
          <w:rFonts w:ascii="Perpetua" w:hAnsi="Perpetua"/>
        </w:rPr>
        <w:t xml:space="preserve">), o </w:t>
      </w:r>
      <w:r w:rsidRPr="008D335F">
        <w:rPr>
          <w:rFonts w:ascii="Perpetua" w:hAnsi="Perpetua"/>
        </w:rPr>
        <w:t>rácio da quantidade do bem produzido pela quantidade do factor produtivo</w:t>
      </w:r>
      <w:r>
        <w:rPr>
          <w:rFonts w:ascii="Perpetua" w:hAnsi="Perpetua"/>
        </w:rPr>
        <w:t xml:space="preserve">, é uma medida completa da </w:t>
      </w:r>
      <w:r w:rsidRPr="008D335F">
        <w:rPr>
          <w:rFonts w:ascii="Perpetua" w:hAnsi="Perpetua"/>
        </w:rPr>
        <w:t xml:space="preserve">eficiência </w:t>
      </w:r>
      <w:r>
        <w:rPr>
          <w:rFonts w:ascii="Perpetua" w:hAnsi="Perpetua"/>
        </w:rPr>
        <w:t>produtiva do tribunal</w:t>
      </w:r>
      <w:r w:rsidRPr="008D335F">
        <w:rPr>
          <w:rFonts w:ascii="Perpetua" w:hAnsi="Perpetua"/>
        </w:rPr>
        <w:t xml:space="preserve">. </w:t>
      </w:r>
      <w:r>
        <w:rPr>
          <w:rFonts w:ascii="Perpetua" w:hAnsi="Perpetua"/>
        </w:rPr>
        <w:t>Formalmente, n</w:t>
      </w:r>
      <w:r>
        <w:rPr>
          <w:rFonts w:ascii="Perpetua" w:hAnsi="Perpetua" w:cs="Arial"/>
        </w:rPr>
        <w:t xml:space="preserve">o caso particular da função de produção </w:t>
      </w:r>
      <w:r w:rsidR="002E3DC5">
        <w:rPr>
          <w:rFonts w:ascii="Perpetua" w:hAnsi="Perpetua" w:cs="Arial"/>
        </w:rPr>
        <w:t>f (.</w:t>
      </w:r>
      <w:r>
        <w:rPr>
          <w:rFonts w:ascii="Perpetua" w:hAnsi="Perpetua" w:cs="Arial"/>
        </w:rPr>
        <w:t xml:space="preserve">) parametrizada para os valores dos vectores </w:t>
      </w:r>
      <w:r w:rsidRPr="00DB2E8E">
        <w:rPr>
          <w:rFonts w:ascii="Perpetua" w:hAnsi="Perpetua"/>
          <w:position w:val="-4"/>
        </w:rPr>
        <w:object w:dxaOrig="220" w:dyaOrig="260">
          <v:shape id="_x0000_i1048" type="#_x0000_t75" style="width:11pt;height:13pt" o:ole="">
            <v:imagedata r:id="rId62" o:title=""/>
          </v:shape>
          <o:OLEObject Type="Embed" ProgID="Equation.3" ShapeID="_x0000_i1048" DrawAspect="Content" ObjectID="_1294230265" r:id="rId63"/>
        </w:object>
      </w:r>
      <w:r>
        <w:rPr>
          <w:rFonts w:ascii="Perpetua" w:hAnsi="Perpetua"/>
          <w:position w:val="-12"/>
        </w:rPr>
        <w:t xml:space="preserve"> </w:t>
      </w:r>
      <w:r>
        <w:rPr>
          <w:rFonts w:ascii="Perpetua" w:hAnsi="Perpetua" w:cs="Arial"/>
        </w:rPr>
        <w:t xml:space="preserve">e </w:t>
      </w:r>
      <w:r w:rsidRPr="00DB2E8E">
        <w:rPr>
          <w:rFonts w:ascii="Perpetua" w:hAnsi="Perpetua"/>
          <w:position w:val="-4"/>
        </w:rPr>
        <w:object w:dxaOrig="240" w:dyaOrig="260">
          <v:shape id="_x0000_i1049" type="#_x0000_t75" style="width:12pt;height:13pt" o:ole="">
            <v:imagedata r:id="rId64" o:title=""/>
          </v:shape>
          <o:OLEObject Type="Embed" ProgID="Equation.3" ShapeID="_x0000_i1049" DrawAspect="Content" ObjectID="_1294230266" r:id="rId65"/>
        </w:object>
      </w:r>
      <w:r w:rsidR="002E3DC5">
        <w:rPr>
          <w:rFonts w:ascii="Perpetua" w:hAnsi="Perpetua"/>
          <w:position w:val="-4"/>
        </w:rPr>
        <w:t xml:space="preserve">, </w:t>
      </w:r>
      <w:r>
        <w:rPr>
          <w:rFonts w:ascii="Perpetua" w:hAnsi="Perpetua" w:cs="Arial"/>
        </w:rPr>
        <w:t xml:space="preserve">a produtividade total de factores (PTF), cuja fórmula geral é descrita </w:t>
      </w:r>
      <w:proofErr w:type="gramStart"/>
      <w:r>
        <w:rPr>
          <w:rFonts w:ascii="Perpetua" w:hAnsi="Perpetua" w:cs="Arial"/>
        </w:rPr>
        <w:t>por</w:t>
      </w:r>
      <w:proofErr w:type="gramEnd"/>
      <w:r>
        <w:rPr>
          <w:rFonts w:ascii="Perpetua" w:hAnsi="Perpetua" w:cs="Arial"/>
        </w:rPr>
        <w:t xml:space="preserve"> (2)</w:t>
      </w:r>
    </w:p>
    <w:p w:rsidR="00F72F49" w:rsidRDefault="00F72F49" w:rsidP="00F72F49">
      <w:pPr>
        <w:spacing w:line="360" w:lineRule="auto"/>
        <w:jc w:val="both"/>
        <w:rPr>
          <w:rFonts w:ascii="Perpetua" w:hAnsi="Perpetua" w:cs="Arial"/>
        </w:rPr>
      </w:pPr>
    </w:p>
    <w:p w:rsidR="00F72F49" w:rsidRPr="00155725" w:rsidRDefault="00F72F49" w:rsidP="00F72F49">
      <w:pPr>
        <w:numPr>
          <w:ilvl w:val="0"/>
          <w:numId w:val="3"/>
        </w:numPr>
        <w:spacing w:line="360" w:lineRule="auto"/>
        <w:jc w:val="both"/>
        <w:rPr>
          <w:rFonts w:ascii="Perpetua" w:hAnsi="Perpetua" w:cs="Arial"/>
        </w:rPr>
      </w:pPr>
      <w:r>
        <w:rPr>
          <w:rFonts w:ascii="Perpetua" w:hAnsi="Perpetua" w:cs="Arial"/>
        </w:rPr>
        <w:t xml:space="preserve">       </w:t>
      </w:r>
      <w:r w:rsidRPr="009F6185">
        <w:rPr>
          <w:rFonts w:ascii="Perpetua" w:hAnsi="Perpetua" w:cs="Arial"/>
          <w:position w:val="-24"/>
        </w:rPr>
        <w:object w:dxaOrig="1040" w:dyaOrig="620">
          <v:shape id="_x0000_i1050" type="#_x0000_t75" style="width:51pt;height:31pt" o:ole="">
            <v:imagedata r:id="rId66" o:title=""/>
          </v:shape>
          <o:OLEObject Type="Embed" ProgID="Equation.3" ShapeID="_x0000_i1050" DrawAspect="Content" ObjectID="_1294230267" r:id="rId67"/>
        </w:object>
      </w:r>
    </w:p>
    <w:p w:rsidR="00F72F49" w:rsidRDefault="00F72F49" w:rsidP="00F72F49">
      <w:pPr>
        <w:spacing w:line="360" w:lineRule="auto"/>
        <w:jc w:val="both"/>
        <w:rPr>
          <w:rFonts w:ascii="Perpetua" w:hAnsi="Perpetua" w:cs="Arial"/>
        </w:rPr>
      </w:pPr>
    </w:p>
    <w:p w:rsidR="00F72F49" w:rsidRDefault="00F72F49" w:rsidP="00F72F49">
      <w:pPr>
        <w:spacing w:line="360" w:lineRule="auto"/>
        <w:jc w:val="both"/>
        <w:rPr>
          <w:rFonts w:ascii="Perpetua" w:hAnsi="Perpetua" w:cs="Arial"/>
        </w:rPr>
      </w:pPr>
      <w:proofErr w:type="gramStart"/>
      <w:r>
        <w:rPr>
          <w:rFonts w:ascii="Perpetua" w:hAnsi="Perpetua" w:cs="Arial"/>
        </w:rPr>
        <w:t>iguala</w:t>
      </w:r>
      <w:proofErr w:type="gramEnd"/>
      <w:r>
        <w:rPr>
          <w:rFonts w:ascii="Perpetua" w:hAnsi="Perpetua" w:cs="Arial"/>
        </w:rPr>
        <w:t xml:space="preserve"> a produtividade judicial (PJ), cuja fórmula geral é descrita por (3) e em que </w:t>
      </w:r>
      <w:r w:rsidRPr="00A678A4">
        <w:rPr>
          <w:rFonts w:ascii="Perpetua" w:hAnsi="Perpetua" w:cs="Arial"/>
          <w:position w:val="-10"/>
        </w:rPr>
        <w:object w:dxaOrig="240" w:dyaOrig="340">
          <v:shape id="_x0000_i1051" type="#_x0000_t75" style="width:12pt;height:18pt" o:ole="">
            <v:imagedata r:id="rId68" o:title=""/>
          </v:shape>
          <o:OLEObject Type="Embed" ProgID="Equation.3" ShapeID="_x0000_i1051" DrawAspect="Content" ObjectID="_1294230268" r:id="rId69"/>
        </w:object>
      </w:r>
      <w:r>
        <w:rPr>
          <w:rFonts w:ascii="Perpetua" w:hAnsi="Perpetua" w:cs="Arial"/>
        </w:rPr>
        <w:t xml:space="preserve"> corresponde à quantidade de magistrados judiciais. </w:t>
      </w:r>
    </w:p>
    <w:p w:rsidR="00F72F49" w:rsidRDefault="00F72F49" w:rsidP="00F72F49">
      <w:pPr>
        <w:spacing w:line="360" w:lineRule="auto"/>
        <w:jc w:val="both"/>
        <w:rPr>
          <w:rFonts w:ascii="Perpetua" w:hAnsi="Perpetua" w:cs="Arial"/>
        </w:rPr>
      </w:pPr>
    </w:p>
    <w:p w:rsidR="00F72F49" w:rsidRDefault="00F72F49" w:rsidP="00F72F49">
      <w:pPr>
        <w:numPr>
          <w:ilvl w:val="0"/>
          <w:numId w:val="3"/>
        </w:numPr>
        <w:spacing w:line="360" w:lineRule="auto"/>
        <w:jc w:val="both"/>
        <w:rPr>
          <w:rFonts w:ascii="Perpetua" w:hAnsi="Perpetua" w:cs="Arial"/>
        </w:rPr>
      </w:pPr>
      <w:r>
        <w:rPr>
          <w:rFonts w:ascii="Perpetua" w:hAnsi="Perpetua" w:cs="Arial"/>
        </w:rPr>
        <w:tab/>
      </w:r>
      <w:r w:rsidRPr="00A678A4">
        <w:rPr>
          <w:rFonts w:ascii="Perpetua" w:hAnsi="Perpetua" w:cs="Arial"/>
          <w:position w:val="-30"/>
        </w:rPr>
        <w:object w:dxaOrig="859" w:dyaOrig="680">
          <v:shape id="_x0000_i1052" type="#_x0000_t75" style="width:42pt;height:35pt" o:ole="">
            <v:imagedata r:id="rId70" o:title=""/>
          </v:shape>
          <o:OLEObject Type="Embed" ProgID="Equation.3" ShapeID="_x0000_i1052" DrawAspect="Content" ObjectID="_1294230269" r:id="rId71"/>
        </w:object>
      </w:r>
    </w:p>
    <w:p w:rsidR="002E3DC5" w:rsidRDefault="002E3DC5" w:rsidP="00374F60">
      <w:pPr>
        <w:spacing w:line="360" w:lineRule="auto"/>
        <w:jc w:val="both"/>
        <w:rPr>
          <w:rFonts w:ascii="Perpetua" w:hAnsi="Perpetua" w:cs="Arial"/>
        </w:rPr>
      </w:pPr>
    </w:p>
    <w:p w:rsidR="00F72F49" w:rsidRDefault="00F72F49" w:rsidP="00374F60">
      <w:pPr>
        <w:spacing w:line="360" w:lineRule="auto"/>
        <w:jc w:val="both"/>
        <w:rPr>
          <w:rFonts w:ascii="Perpetua" w:hAnsi="Perpetua"/>
          <w:b/>
        </w:rPr>
      </w:pPr>
      <w:r>
        <w:rPr>
          <w:rFonts w:ascii="Perpetua" w:hAnsi="Perpetua" w:cs="Arial"/>
        </w:rPr>
        <w:t xml:space="preserve">A hipótese </w:t>
      </w:r>
      <w:r w:rsidR="002E3DC5">
        <w:rPr>
          <w:rFonts w:ascii="Perpetua" w:hAnsi="Perpetua" w:cs="Arial"/>
        </w:rPr>
        <w:t xml:space="preserve">empírica </w:t>
      </w:r>
      <w:r>
        <w:rPr>
          <w:rFonts w:ascii="Perpetua" w:hAnsi="Perpetua" w:cs="Arial"/>
        </w:rPr>
        <w:t>d</w:t>
      </w:r>
      <w:r w:rsidR="002E3DC5">
        <w:rPr>
          <w:rFonts w:ascii="Perpetua" w:hAnsi="Perpetua" w:cs="Arial"/>
        </w:rPr>
        <w:t>a produção de serviços judiciais através da existência de</w:t>
      </w:r>
      <w:r>
        <w:rPr>
          <w:rFonts w:ascii="Perpetua" w:hAnsi="Perpetua" w:cs="Arial"/>
        </w:rPr>
        <w:t xml:space="preserve"> coeficientes fixos </w:t>
      </w:r>
      <w:r w:rsidR="002E3DC5">
        <w:rPr>
          <w:rFonts w:ascii="Perpetua" w:hAnsi="Perpetua" w:cs="Arial"/>
        </w:rPr>
        <w:t xml:space="preserve">de magistrados judiciais e dos restantes factores produtivos </w:t>
      </w:r>
      <w:r>
        <w:rPr>
          <w:rFonts w:ascii="Perpetua" w:hAnsi="Perpetua" w:cs="Arial"/>
        </w:rPr>
        <w:t xml:space="preserve">implica que não </w:t>
      </w:r>
      <w:r w:rsidR="00371A0E">
        <w:rPr>
          <w:rFonts w:ascii="Perpetua" w:hAnsi="Perpetua" w:cs="Arial"/>
        </w:rPr>
        <w:t>é possível e</w:t>
      </w:r>
      <w:r w:rsidR="00B27B9D">
        <w:rPr>
          <w:rFonts w:ascii="Perpetua" w:hAnsi="Perpetua" w:cs="Arial"/>
        </w:rPr>
        <w:t>fectuar</w:t>
      </w:r>
      <w:r w:rsidR="00371A0E">
        <w:rPr>
          <w:rFonts w:ascii="Perpetua" w:hAnsi="Perpetua" w:cs="Arial"/>
        </w:rPr>
        <w:t xml:space="preserve"> </w:t>
      </w:r>
      <w:r>
        <w:rPr>
          <w:rFonts w:ascii="Perpetua" w:hAnsi="Perpetua" w:cs="Arial"/>
        </w:rPr>
        <w:t xml:space="preserve">um </w:t>
      </w:r>
      <w:r w:rsidRPr="003D14D7">
        <w:rPr>
          <w:rFonts w:ascii="Perpetua" w:hAnsi="Perpetua" w:cs="Arial"/>
          <w:i/>
        </w:rPr>
        <w:t>trade-off</w:t>
      </w:r>
      <w:r>
        <w:rPr>
          <w:rFonts w:ascii="Perpetua" w:hAnsi="Perpetua" w:cs="Arial"/>
        </w:rPr>
        <w:t xml:space="preserve"> entre os factores produtivos magistrados e os restantes factores produtivos, como funcionários judiciais e magistrados do M.P., na produção </w:t>
      </w:r>
      <w:r w:rsidR="002E3DC5">
        <w:rPr>
          <w:rFonts w:ascii="Perpetua" w:hAnsi="Perpetua" w:cs="Arial"/>
        </w:rPr>
        <w:t>d</w:t>
      </w:r>
      <w:r>
        <w:rPr>
          <w:rFonts w:ascii="Perpetua" w:hAnsi="Perpetua" w:cs="Arial"/>
        </w:rPr>
        <w:t xml:space="preserve">e serviços judiciais. Dito por outras palavras, não </w:t>
      </w:r>
      <w:r w:rsidR="00371A0E">
        <w:rPr>
          <w:rFonts w:ascii="Perpetua" w:hAnsi="Perpetua" w:cs="Arial"/>
        </w:rPr>
        <w:t>pode haver</w:t>
      </w:r>
      <w:r>
        <w:rPr>
          <w:rFonts w:ascii="Perpetua" w:hAnsi="Perpetua" w:cs="Arial"/>
        </w:rPr>
        <w:t xml:space="preserve"> qualquer grau de substituição entre os factores produtivos; trata-se, portanto, de factores produtivos complementares. </w:t>
      </w:r>
    </w:p>
    <w:p w:rsidR="00470EB1" w:rsidRDefault="00470EB1" w:rsidP="00F72F49">
      <w:pPr>
        <w:spacing w:line="360" w:lineRule="auto"/>
        <w:jc w:val="both"/>
        <w:rPr>
          <w:rFonts w:ascii="Perpetua" w:hAnsi="Perpetua"/>
          <w:b/>
        </w:rPr>
      </w:pPr>
    </w:p>
    <w:p w:rsidR="00F72F49" w:rsidRPr="00EF0DC6" w:rsidRDefault="00A52DF1" w:rsidP="00470EB1">
      <w:pPr>
        <w:pStyle w:val="Heading4"/>
      </w:pPr>
      <w:bookmarkStart w:id="104" w:name="_Toc206652077"/>
      <w:bookmarkStart w:id="105" w:name="_Toc220484478"/>
      <w:r>
        <w:t>4.3.</w:t>
      </w:r>
      <w:r w:rsidR="00470EB1">
        <w:t>2.1.</w:t>
      </w:r>
      <w:r>
        <w:t xml:space="preserve"> </w:t>
      </w:r>
      <w:r w:rsidR="00F72F49" w:rsidRPr="00EF0DC6">
        <w:t>A variável explicada</w:t>
      </w:r>
      <w:bookmarkEnd w:id="104"/>
      <w:bookmarkEnd w:id="105"/>
      <w:r w:rsidR="00F72F49" w:rsidRPr="00EF0DC6">
        <w:t xml:space="preserve">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medida da eficiência </w:t>
      </w:r>
      <w:r w:rsidR="00364021">
        <w:rPr>
          <w:rFonts w:ascii="Perpetua" w:hAnsi="Perpetua"/>
        </w:rPr>
        <w:t xml:space="preserve">produtiva </w:t>
      </w:r>
      <w:r>
        <w:rPr>
          <w:rFonts w:ascii="Perpetua" w:hAnsi="Perpetua"/>
        </w:rPr>
        <w:t xml:space="preserve">dos tribunais judiciais </w:t>
      </w:r>
      <w:r w:rsidR="00364021">
        <w:rPr>
          <w:rFonts w:ascii="Perpetua" w:hAnsi="Perpetua"/>
        </w:rPr>
        <w:t xml:space="preserve">utilizada neste trabalho </w:t>
      </w:r>
      <w:r>
        <w:rPr>
          <w:rFonts w:ascii="Perpetua" w:hAnsi="Perpetua"/>
        </w:rPr>
        <w:t>é a produtividade judicial média dos tribunais na sua forma mais bruta</w:t>
      </w:r>
      <w:r w:rsidR="00364021">
        <w:rPr>
          <w:rFonts w:ascii="Perpetua" w:hAnsi="Perpetua"/>
        </w:rPr>
        <w:t xml:space="preserve"> (</w:t>
      </w:r>
      <w:r w:rsidR="004E5D3A" w:rsidRPr="004E5D3A">
        <w:rPr>
          <w:rFonts w:ascii="Perpetua" w:hAnsi="Perpetua"/>
          <w:i/>
        </w:rPr>
        <w:t>i.e.</w:t>
      </w:r>
      <w:r w:rsidR="00941AEA">
        <w:rPr>
          <w:rFonts w:ascii="Perpetua" w:hAnsi="Perpetua"/>
        </w:rPr>
        <w:t xml:space="preserve">, </w:t>
      </w:r>
      <w:r>
        <w:rPr>
          <w:rFonts w:ascii="Perpetua" w:hAnsi="Perpetua"/>
        </w:rPr>
        <w:t xml:space="preserve">o rácio do </w:t>
      </w:r>
      <w:r w:rsidR="00A2767C">
        <w:rPr>
          <w:rFonts w:ascii="Perpetua" w:hAnsi="Perpetua"/>
        </w:rPr>
        <w:t>número</w:t>
      </w:r>
      <w:r>
        <w:rPr>
          <w:rFonts w:ascii="Perpetua" w:hAnsi="Perpetua"/>
        </w:rPr>
        <w:t xml:space="preserve"> de processos judiciais findos por magistrado judicial afecto ao tribunal</w:t>
      </w:r>
      <w:r w:rsidR="00364021">
        <w:rPr>
          <w:rFonts w:ascii="Perpetua" w:hAnsi="Perpetua"/>
        </w:rPr>
        <w:t>)</w:t>
      </w:r>
      <w:r>
        <w:rPr>
          <w:rFonts w:ascii="Perpetua" w:hAnsi="Perpetua"/>
        </w:rPr>
        <w:t xml:space="preserve">. A justificação para </w:t>
      </w:r>
      <w:r w:rsidR="00364021">
        <w:rPr>
          <w:rFonts w:ascii="Perpetua" w:hAnsi="Perpetua"/>
        </w:rPr>
        <w:t xml:space="preserve">a </w:t>
      </w:r>
      <w:r>
        <w:rPr>
          <w:rFonts w:ascii="Perpetua" w:hAnsi="Perpetua"/>
        </w:rPr>
        <w:t>utiliza</w:t>
      </w:r>
      <w:r w:rsidR="00364021">
        <w:rPr>
          <w:rFonts w:ascii="Perpetua" w:hAnsi="Perpetua"/>
        </w:rPr>
        <w:t>ção d</w:t>
      </w:r>
      <w:r>
        <w:rPr>
          <w:rFonts w:ascii="Perpetua" w:hAnsi="Perpetua"/>
        </w:rPr>
        <w:t xml:space="preserve">a medida bruta de produtividade judicial </w:t>
      </w:r>
      <w:r w:rsidR="002E3DC5">
        <w:rPr>
          <w:rFonts w:ascii="Perpetua" w:hAnsi="Perpetua"/>
        </w:rPr>
        <w:t xml:space="preserve">– </w:t>
      </w:r>
      <w:r>
        <w:rPr>
          <w:rFonts w:ascii="Perpetua" w:hAnsi="Perpetua"/>
        </w:rPr>
        <w:t>e que, caso exista heterogeneidade nos processos judiciais quanto à</w:t>
      </w:r>
      <w:r w:rsidR="0099691F">
        <w:rPr>
          <w:rFonts w:ascii="Perpetua" w:hAnsi="Perpetua"/>
        </w:rPr>
        <w:t>s</w:t>
      </w:r>
      <w:r>
        <w:rPr>
          <w:rFonts w:ascii="Perpetua" w:hAnsi="Perpetua"/>
        </w:rPr>
        <w:t xml:space="preserve"> intensidades relativas de trabalho, não reflecte a verdadeira produtividade judicial média dos tribunais, pois atribui o mesmo custo, em termos de trabalho judicial necessário, a processos com intensidades relativas de trabalho potencialmente diversas </w:t>
      </w:r>
      <w:r w:rsidR="002E3DC5">
        <w:rPr>
          <w:rFonts w:ascii="Perpetua" w:hAnsi="Perpetua"/>
        </w:rPr>
        <w:t>–</w:t>
      </w:r>
      <w:r>
        <w:rPr>
          <w:rFonts w:ascii="Perpetua" w:hAnsi="Perpetua"/>
        </w:rPr>
        <w:t xml:space="preserve"> é </w:t>
      </w:r>
      <w:r w:rsidR="00364021">
        <w:rPr>
          <w:rFonts w:ascii="Perpetua" w:hAnsi="Perpetua"/>
        </w:rPr>
        <w:t>o facto de não existir</w:t>
      </w:r>
      <w:r>
        <w:rPr>
          <w:rFonts w:ascii="Perpetua" w:hAnsi="Perpetua"/>
        </w:rPr>
        <w:t xml:space="preserve"> um vector de ponderadores consensualmente aceite entre os operadores e investigadores do sistema judicial cuja metodologia seja amplamente aceite e que abranja todas as áreas processuais</w:t>
      </w:r>
      <w:r>
        <w:rPr>
          <w:rStyle w:val="FootnoteReference"/>
          <w:rFonts w:ascii="Perpetua" w:hAnsi="Perpetua"/>
        </w:rPr>
        <w:footnoteReference w:id="98"/>
      </w:r>
      <w:r>
        <w:rPr>
          <w:rFonts w:ascii="Perpetua" w:hAnsi="Perpetua"/>
        </w:rPr>
        <w:t xml:space="preserve">.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A diferenciação dos serviços de resolução judicial de litígios com base na sua complexidade (</w:t>
      </w:r>
      <w:r w:rsidRPr="00190433">
        <w:rPr>
          <w:rFonts w:ascii="Perpetua" w:hAnsi="Perpetua"/>
          <w:i/>
        </w:rPr>
        <w:t>case</w:t>
      </w:r>
      <w:r>
        <w:rPr>
          <w:rFonts w:ascii="Perpetua" w:hAnsi="Perpetua"/>
          <w:i/>
        </w:rPr>
        <w:t xml:space="preserve"> </w:t>
      </w:r>
      <w:r w:rsidRPr="00190433">
        <w:rPr>
          <w:rFonts w:ascii="Perpetua" w:hAnsi="Perpetua"/>
          <w:i/>
        </w:rPr>
        <w:t>weights</w:t>
      </w:r>
      <w:r>
        <w:rPr>
          <w:rFonts w:ascii="Perpetua" w:hAnsi="Perpetua"/>
        </w:rPr>
        <w:t xml:space="preserve">), cuja tradução para conceitos da teoria económica da produção é </w:t>
      </w:r>
      <w:r w:rsidRPr="00A412F9">
        <w:rPr>
          <w:rFonts w:ascii="Perpetua" w:hAnsi="Perpetua"/>
          <w:i/>
        </w:rPr>
        <w:t xml:space="preserve">a heterogeneidade das intensidades </w:t>
      </w:r>
      <w:r w:rsidR="00A31F18">
        <w:rPr>
          <w:rFonts w:ascii="Perpetua" w:hAnsi="Perpetua"/>
          <w:i/>
        </w:rPr>
        <w:t xml:space="preserve">relativas </w:t>
      </w:r>
      <w:r w:rsidRPr="00A412F9">
        <w:rPr>
          <w:rFonts w:ascii="Perpetua" w:hAnsi="Perpetua"/>
          <w:i/>
        </w:rPr>
        <w:t>de trabalho dos serviços judiciais</w:t>
      </w:r>
      <w:r>
        <w:rPr>
          <w:rFonts w:ascii="Perpetua" w:hAnsi="Perpetua"/>
        </w:rPr>
        <w:t>, tem sido objecto de algum esforço de investigação em Portugal</w:t>
      </w:r>
      <w:r>
        <w:rPr>
          <w:rStyle w:val="FootnoteReference"/>
          <w:rFonts w:ascii="Perpetua" w:hAnsi="Perpetua"/>
        </w:rPr>
        <w:footnoteReference w:id="99"/>
      </w:r>
      <w:r>
        <w:rPr>
          <w:rFonts w:ascii="Perpetua" w:hAnsi="Perpetua"/>
        </w:rPr>
        <w:t>, pese embora os fracos resultados alcançados. Tal deve-se em parte ao facto d</w:t>
      </w:r>
      <w:r w:rsidR="0099691F">
        <w:rPr>
          <w:rFonts w:ascii="Perpetua" w:hAnsi="Perpetua"/>
        </w:rPr>
        <w:t xml:space="preserve">e </w:t>
      </w:r>
      <w:r>
        <w:rPr>
          <w:rFonts w:ascii="Perpetua" w:hAnsi="Perpetua"/>
        </w:rPr>
        <w:t>o esforço de investigação empreendido até ao momento não ter sido liderado pelos operadores do sistema judicial</w:t>
      </w:r>
      <w:r>
        <w:rPr>
          <w:rStyle w:val="FootnoteReference"/>
          <w:rFonts w:ascii="Perpetua" w:hAnsi="Perpetua"/>
        </w:rPr>
        <w:footnoteReference w:id="100"/>
      </w:r>
      <w:r>
        <w:rPr>
          <w:rFonts w:ascii="Perpetua" w:hAnsi="Perpetua"/>
        </w:rPr>
        <w:t>. O principal escopo deste programa de investigação tem sido uma gestão mais eficiente e transparente do trabalho nos tribunais ou, como referem os autores de OPJ (2005:307), «</w:t>
      </w:r>
      <w:r w:rsidRPr="002D0829">
        <w:rPr>
          <w:rFonts w:ascii="Perpetua" w:hAnsi="Perpetua"/>
          <w:i/>
        </w:rPr>
        <w:t>construir indicadores de distribuição processual, de avaliação e de projecção do volume de trabalho dos juízes com vista a uma mais eficiente e transparente distribuição de processos e de recursos humanos pelos tribunais do sistema judicial português</w:t>
      </w:r>
      <w:r>
        <w:rPr>
          <w:rFonts w:ascii="Perpetua" w:hAnsi="Perpetua"/>
        </w:rPr>
        <w:t xml:space="preserve">». Para os efeitos deste trabalho, a importância do vector de ponderadores é bastante óbvia. Se, na verdade, há heterogeneidade não observada nas intensidades relativas de trabalho dos serviços judiciais, a ausência de um vector de ponderadores dessas intensidades relativas dos processos judiciais não permite medir adequadamente a produtividade judicial média dos tribunais.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A utilização de um vector de ponderadores para avaliar a produtividade judicial média de um tribunal difere do seu uso para efeitos de contingentação de processos aos magistrados e funcionários judiciais. N</w:t>
      </w:r>
      <w:r w:rsidR="00A143C5">
        <w:rPr>
          <w:rFonts w:ascii="Perpetua" w:hAnsi="Perpetua"/>
        </w:rPr>
        <w:t>este trabalho</w:t>
      </w:r>
      <w:r w:rsidR="0099691F">
        <w:rPr>
          <w:rFonts w:ascii="Perpetua" w:hAnsi="Perpetua"/>
        </w:rPr>
        <w:t>,</w:t>
      </w:r>
      <w:r w:rsidR="00A143C5">
        <w:rPr>
          <w:rFonts w:ascii="Perpetua" w:hAnsi="Perpetua"/>
        </w:rPr>
        <w:t xml:space="preserve"> </w:t>
      </w:r>
      <w:r>
        <w:rPr>
          <w:rFonts w:ascii="Perpetua" w:hAnsi="Perpetua"/>
        </w:rPr>
        <w:t xml:space="preserve">o objectivo da utilização dos ponderadores é produzir a máxima diferenciação </w:t>
      </w:r>
      <w:r w:rsidR="00EA48FA">
        <w:rPr>
          <w:rFonts w:ascii="Perpetua" w:hAnsi="Perpetua"/>
        </w:rPr>
        <w:t xml:space="preserve">(medida, por exemplo, pela variância ou outra medida de dispersão) </w:t>
      </w:r>
      <w:r>
        <w:rPr>
          <w:rFonts w:ascii="Perpetua" w:hAnsi="Perpetua"/>
        </w:rPr>
        <w:t xml:space="preserve">entre os processos judiciais. Ora, em OPJ (2005) não está claro que o vector proposto produza a máxima diferenciação </w:t>
      </w:r>
      <w:r w:rsidR="00A143C5">
        <w:rPr>
          <w:rFonts w:ascii="Perpetua" w:hAnsi="Perpetua"/>
        </w:rPr>
        <w:t>–</w:t>
      </w:r>
      <w:r>
        <w:rPr>
          <w:rFonts w:ascii="Perpetua" w:hAnsi="Perpetua"/>
        </w:rPr>
        <w:t xml:space="preserve"> no exercício avaliativo mais do que o rigor cardinal do valor do ponderador para cada categoria de processo, interessa a distância cardinal entre os valores dos ponderadores de cada categoria </w:t>
      </w:r>
      <w:r w:rsidR="00A143C5">
        <w:rPr>
          <w:rFonts w:ascii="Perpetua" w:hAnsi="Perpetua"/>
        </w:rPr>
        <w:t>–</w:t>
      </w:r>
      <w:r>
        <w:rPr>
          <w:rFonts w:ascii="Perpetua" w:hAnsi="Perpetua"/>
        </w:rPr>
        <w:t xml:space="preserve"> face às frequências relativas do critério utilizado, a natureza do litígio. N</w:t>
      </w:r>
      <w:r w:rsidR="00364021">
        <w:rPr>
          <w:rFonts w:ascii="Perpetua" w:hAnsi="Perpetua"/>
        </w:rPr>
        <w:t>o</w:t>
      </w:r>
      <w:r>
        <w:rPr>
          <w:rFonts w:ascii="Perpetua" w:hAnsi="Perpetua"/>
        </w:rPr>
        <w:t xml:space="preserve"> </w:t>
      </w:r>
      <w:r w:rsidR="00A143C5">
        <w:rPr>
          <w:rFonts w:ascii="Perpetua" w:hAnsi="Perpetua"/>
        </w:rPr>
        <w:t xml:space="preserve">Quadro </w:t>
      </w:r>
      <w:r>
        <w:rPr>
          <w:rFonts w:ascii="Perpetua" w:hAnsi="Perpetua"/>
        </w:rPr>
        <w:t>4</w:t>
      </w:r>
      <w:r w:rsidR="00A143C5">
        <w:rPr>
          <w:rFonts w:ascii="Perpetua" w:hAnsi="Perpetua"/>
        </w:rPr>
        <w:t>.2</w:t>
      </w:r>
      <w:r>
        <w:rPr>
          <w:rFonts w:ascii="Perpetua" w:hAnsi="Perpetua"/>
        </w:rPr>
        <w:t xml:space="preserve"> é possível constatar que, arredonda</w:t>
      </w:r>
      <w:r w:rsidR="00364021">
        <w:rPr>
          <w:rFonts w:ascii="Perpetua" w:hAnsi="Perpetua"/>
        </w:rPr>
        <w:t xml:space="preserve">ndo </w:t>
      </w:r>
      <w:r>
        <w:rPr>
          <w:rFonts w:ascii="Perpetua" w:hAnsi="Perpetua"/>
        </w:rPr>
        <w:t xml:space="preserve">o tempo esperado do juiz para a unidade </w:t>
      </w:r>
      <w:r w:rsidR="0099691F">
        <w:rPr>
          <w:rFonts w:ascii="Perpetua" w:hAnsi="Perpetua"/>
        </w:rPr>
        <w:t>«</w:t>
      </w:r>
      <w:r>
        <w:rPr>
          <w:rFonts w:ascii="Perpetua" w:hAnsi="Perpetua"/>
        </w:rPr>
        <w:t>hora</w:t>
      </w:r>
      <w:r w:rsidR="0099691F">
        <w:rPr>
          <w:rFonts w:ascii="Perpetua" w:hAnsi="Perpetua"/>
        </w:rPr>
        <w:t>»</w:t>
      </w:r>
      <w:r>
        <w:rPr>
          <w:rFonts w:ascii="Perpetua" w:hAnsi="Perpetua"/>
        </w:rPr>
        <w:t>, certas categorias têm uma distância nula entre si. Pode dar-se o caso de serem estas as categorias estatisticamente mais frequentes; nesse caso, a diferenciação produzida seria muito baixa e, portanto, o ganho informativo de ponderar os processos findos com base neste vector de ponderado</w:t>
      </w:r>
      <w:r w:rsidR="00EA48FA">
        <w:rPr>
          <w:rFonts w:ascii="Perpetua" w:hAnsi="Perpetua"/>
        </w:rPr>
        <w:t>re</w:t>
      </w:r>
      <w:r>
        <w:rPr>
          <w:rFonts w:ascii="Perpetua" w:hAnsi="Perpetua"/>
        </w:rPr>
        <w:t xml:space="preserve">s </w:t>
      </w:r>
      <w:r w:rsidR="00EA48FA">
        <w:rPr>
          <w:rFonts w:ascii="Perpetua" w:hAnsi="Perpetua"/>
        </w:rPr>
        <w:t xml:space="preserve">seria </w:t>
      </w:r>
      <w:r>
        <w:rPr>
          <w:rFonts w:ascii="Perpetua" w:hAnsi="Perpetua"/>
        </w:rPr>
        <w:t xml:space="preserve">muito baixo. Em suma, o vector de </w:t>
      </w:r>
      <w:proofErr w:type="gramStart"/>
      <w:r>
        <w:rPr>
          <w:rFonts w:ascii="Perpetua" w:hAnsi="Perpetua"/>
        </w:rPr>
        <w:t xml:space="preserve">ponderadores </w:t>
      </w:r>
      <w:r w:rsidR="00EA48FA">
        <w:rPr>
          <w:rFonts w:ascii="Perpetua" w:hAnsi="Perpetua"/>
        </w:rPr>
        <w:t>proposto</w:t>
      </w:r>
      <w:proofErr w:type="gramEnd"/>
      <w:r w:rsidR="00EA48FA">
        <w:rPr>
          <w:rFonts w:ascii="Perpetua" w:hAnsi="Perpetua"/>
        </w:rPr>
        <w:t xml:space="preserve"> em </w:t>
      </w:r>
      <w:r>
        <w:rPr>
          <w:rFonts w:ascii="Perpetua" w:hAnsi="Perpetua"/>
        </w:rPr>
        <w:t>OPJ (2005) não garante um maior ganho informativo no que respeita ao tratamento da questão da heterogeneidade das intensidades de trabalho</w:t>
      </w:r>
      <w:r>
        <w:rPr>
          <w:rStyle w:val="FootnoteReference"/>
          <w:rFonts w:ascii="Perpetua" w:hAnsi="Perpetua"/>
        </w:rPr>
        <w:footnoteReference w:id="101"/>
      </w:r>
      <w:r>
        <w:rPr>
          <w:rFonts w:ascii="Perpetua" w:hAnsi="Perpetua"/>
        </w:rPr>
        <w:t xml:space="preserve">.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Contudo, pondo de lado a</w:t>
      </w:r>
      <w:r w:rsidR="0099691F">
        <w:rPr>
          <w:rFonts w:ascii="Perpetua" w:hAnsi="Perpetua"/>
        </w:rPr>
        <w:t>s questões</w:t>
      </w:r>
      <w:r>
        <w:rPr>
          <w:rFonts w:ascii="Perpetua" w:hAnsi="Perpetua"/>
        </w:rPr>
        <w:t xml:space="preserve"> de só abranger </w:t>
      </w:r>
      <w:r w:rsidR="0099691F">
        <w:rPr>
          <w:rFonts w:ascii="Perpetua" w:hAnsi="Perpetua"/>
        </w:rPr>
        <w:t xml:space="preserve">a </w:t>
      </w:r>
      <w:r>
        <w:rPr>
          <w:rFonts w:ascii="Perpetua" w:hAnsi="Perpetua"/>
        </w:rPr>
        <w:t xml:space="preserve">área cível e da metodologia seguida não ter sido correctamente especificada, a principal razão </w:t>
      </w:r>
      <w:r w:rsidR="0096787E">
        <w:rPr>
          <w:rFonts w:ascii="Perpetua" w:hAnsi="Perpetua"/>
        </w:rPr>
        <w:t xml:space="preserve">para </w:t>
      </w:r>
      <w:r>
        <w:rPr>
          <w:rFonts w:ascii="Perpetua" w:hAnsi="Perpetua"/>
        </w:rPr>
        <w:t xml:space="preserve">não utilizar </w:t>
      </w:r>
      <w:r w:rsidR="0096787E">
        <w:rPr>
          <w:rFonts w:ascii="Perpetua" w:hAnsi="Perpetua"/>
        </w:rPr>
        <w:t xml:space="preserve">aqui </w:t>
      </w:r>
      <w:r>
        <w:rPr>
          <w:rFonts w:ascii="Perpetua" w:hAnsi="Perpetua"/>
        </w:rPr>
        <w:t xml:space="preserve">o vector de </w:t>
      </w:r>
      <w:proofErr w:type="gramStart"/>
      <w:r>
        <w:rPr>
          <w:rFonts w:ascii="Perpetua" w:hAnsi="Perpetua"/>
        </w:rPr>
        <w:t>ponderadores proposto</w:t>
      </w:r>
      <w:proofErr w:type="gramEnd"/>
      <w:r>
        <w:rPr>
          <w:rFonts w:ascii="Perpetua" w:hAnsi="Perpetua"/>
        </w:rPr>
        <w:t xml:space="preserve"> em OPJ (2005) prendeu-se com a não conformidade das categorias de agregação de processos presentes na base de dados </w:t>
      </w:r>
      <w:r w:rsidR="00364021">
        <w:rPr>
          <w:rFonts w:ascii="Perpetua" w:hAnsi="Perpetua"/>
        </w:rPr>
        <w:t>utilizada neste trabalho</w:t>
      </w:r>
      <w:r w:rsidR="00EA48FA">
        <w:rPr>
          <w:rStyle w:val="FootnoteReference"/>
          <w:rFonts w:ascii="Perpetua" w:hAnsi="Perpetua"/>
        </w:rPr>
        <w:footnoteReference w:id="102"/>
      </w:r>
      <w:r>
        <w:rPr>
          <w:rFonts w:ascii="Perpetua" w:hAnsi="Perpetua"/>
        </w:rPr>
        <w:t xml:space="preserve">. A agregação das categorias do vector proposto em OPJ (2005), com base na natureza do litígio, para as categorias da base de dados </w:t>
      </w:r>
      <w:r w:rsidR="0096787E">
        <w:rPr>
          <w:rFonts w:ascii="Perpetua" w:hAnsi="Perpetua"/>
        </w:rPr>
        <w:t xml:space="preserve">utilizada no presente trabalho </w:t>
      </w:r>
      <w:r w:rsidR="00A143C5">
        <w:rPr>
          <w:rFonts w:ascii="Perpetua" w:hAnsi="Perpetua"/>
        </w:rPr>
        <w:t>–</w:t>
      </w:r>
      <w:r>
        <w:rPr>
          <w:rFonts w:ascii="Perpetua" w:hAnsi="Perpetua"/>
        </w:rPr>
        <w:t xml:space="preserve"> área processual, tipo de espécie processual</w:t>
      </w:r>
      <w:r w:rsidR="00EA48FA">
        <w:rPr>
          <w:rFonts w:ascii="Perpetua" w:hAnsi="Perpetua"/>
        </w:rPr>
        <w:t>, forma processual e termo do processo</w:t>
      </w:r>
      <w:r>
        <w:rPr>
          <w:rFonts w:ascii="Perpetua" w:hAnsi="Perpetua"/>
        </w:rPr>
        <w:t xml:space="preserve"> – é um exercício impossível, pois não </w:t>
      </w:r>
      <w:r w:rsidR="0096787E">
        <w:rPr>
          <w:rFonts w:ascii="Perpetua" w:hAnsi="Perpetua"/>
        </w:rPr>
        <w:t>são conhecidas</w:t>
      </w:r>
      <w:r>
        <w:rPr>
          <w:rFonts w:ascii="Perpetua" w:hAnsi="Perpetua"/>
        </w:rPr>
        <w:t xml:space="preserve"> as distribuições de frequências das categorias do critério proposto </w:t>
      </w:r>
      <w:r w:rsidR="00A143C5">
        <w:rPr>
          <w:rFonts w:ascii="Perpetua" w:hAnsi="Perpetua"/>
        </w:rPr>
        <w:t xml:space="preserve">em </w:t>
      </w:r>
      <w:r>
        <w:rPr>
          <w:rFonts w:ascii="Perpetua" w:hAnsi="Perpetua"/>
        </w:rPr>
        <w:t xml:space="preserve">OPJ </w:t>
      </w:r>
      <w:r w:rsidR="00A143C5">
        <w:rPr>
          <w:rFonts w:ascii="Perpetua" w:hAnsi="Perpetua"/>
        </w:rPr>
        <w:t xml:space="preserve">(2005) </w:t>
      </w:r>
      <w:r>
        <w:rPr>
          <w:rFonts w:ascii="Perpetua" w:hAnsi="Perpetua"/>
        </w:rPr>
        <w:t>pelas categorias presentes na base de dados</w:t>
      </w:r>
      <w:r w:rsidR="0096787E">
        <w:rPr>
          <w:rFonts w:ascii="Perpetua" w:hAnsi="Perpetua"/>
        </w:rPr>
        <w:t xml:space="preserve"> deste trabalho</w:t>
      </w:r>
      <w:r>
        <w:rPr>
          <w:rFonts w:ascii="Perpetua" w:hAnsi="Perpetua"/>
        </w:rPr>
        <w:t>.</w:t>
      </w:r>
    </w:p>
    <w:p w:rsidR="00236E0E" w:rsidRDefault="00236E0E"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F72F49" w:rsidRPr="00374F60" w:rsidRDefault="003903D0" w:rsidP="00374F60">
      <w:pPr>
        <w:pStyle w:val="Caption"/>
        <w:jc w:val="center"/>
        <w:rPr>
          <w:rFonts w:ascii="Perpetua" w:hAnsi="Perpetua"/>
          <w:color w:val="000000"/>
        </w:rPr>
      </w:pPr>
      <w:bookmarkStart w:id="106" w:name="_Toc215081940"/>
      <w:r>
        <w:rPr>
          <w:rFonts w:ascii="Perpetua" w:hAnsi="Perpetua"/>
        </w:rPr>
        <w:t>Quadro</w:t>
      </w:r>
      <w:r w:rsidR="00374F60" w:rsidRPr="00374F60">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00F72F49" w:rsidRPr="00374F60">
        <w:rPr>
          <w:rFonts w:ascii="Perpetua" w:hAnsi="Perpetua"/>
          <w:color w:val="000000"/>
        </w:rPr>
        <w:t xml:space="preserve"> – Vector das intensidades relativas de trabalho judicial dos processos cíveis</w:t>
      </w:r>
      <w:bookmarkEnd w:id="106"/>
    </w:p>
    <w:p w:rsidR="00374F60" w:rsidRPr="00374F60" w:rsidRDefault="00374F60" w:rsidP="00374F60">
      <w:pPr>
        <w:jc w:val="center"/>
        <w:rPr>
          <w:rFonts w:ascii="Perpetua" w:hAnsi="Perpetua"/>
        </w:rPr>
      </w:pPr>
    </w:p>
    <w:tbl>
      <w:tblPr>
        <w:tblW w:w="8056" w:type="dxa"/>
        <w:jc w:val="center"/>
        <w:tblInd w:w="55" w:type="dxa"/>
        <w:tblCellMar>
          <w:left w:w="70" w:type="dxa"/>
          <w:right w:w="70" w:type="dxa"/>
        </w:tblCellMar>
        <w:tblLook w:val="04A0"/>
      </w:tblPr>
      <w:tblGrid>
        <w:gridCol w:w="4725"/>
        <w:gridCol w:w="1147"/>
        <w:gridCol w:w="876"/>
        <w:gridCol w:w="1334"/>
      </w:tblGrid>
      <w:tr w:rsidR="00374F60" w:rsidRPr="00AF3F93" w:rsidTr="00DC4BBA">
        <w:trPr>
          <w:trHeight w:val="405"/>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rPr>
                <w:rFonts w:ascii="Perpetua" w:hAnsi="Perpetua" w:cs="Arial"/>
                <w:sz w:val="20"/>
                <w:szCs w:val="20"/>
              </w:rPr>
            </w:pPr>
            <w:r w:rsidRPr="00AF3F93">
              <w:rPr>
                <w:rFonts w:ascii="Perpetua" w:hAnsi="Perpetua" w:cs="Arial"/>
                <w:sz w:val="20"/>
                <w:szCs w:val="20"/>
              </w:rPr>
              <w:t> </w:t>
            </w:r>
          </w:p>
        </w:tc>
        <w:tc>
          <w:tcPr>
            <w:tcW w:w="3331" w:type="dxa"/>
            <w:gridSpan w:val="3"/>
            <w:tcBorders>
              <w:top w:val="nil"/>
              <w:left w:val="nil"/>
              <w:bottom w:val="single" w:sz="4" w:space="0" w:color="auto"/>
            </w:tcBorders>
            <w:shd w:val="clear" w:color="000000" w:fill="FFFFFF"/>
            <w:noWrap/>
            <w:vAlign w:val="center"/>
          </w:tcPr>
          <w:p w:rsidR="00374F60" w:rsidRPr="00AF3F93" w:rsidRDefault="00374F60" w:rsidP="00374F60">
            <w:pPr>
              <w:jc w:val="center"/>
              <w:rPr>
                <w:rFonts w:ascii="Perpetua" w:hAnsi="Perpetua" w:cs="Arial"/>
                <w:b/>
                <w:bCs/>
                <w:sz w:val="20"/>
                <w:szCs w:val="20"/>
              </w:rPr>
            </w:pPr>
            <w:r w:rsidRPr="00AF3F93">
              <w:rPr>
                <w:rFonts w:ascii="Perpetua" w:hAnsi="Perpetua" w:cs="Arial"/>
                <w:b/>
                <w:bCs/>
                <w:sz w:val="20"/>
                <w:szCs w:val="20"/>
              </w:rPr>
              <w:t>Tempo esperado do juiz</w:t>
            </w:r>
          </w:p>
        </w:tc>
      </w:tr>
      <w:tr w:rsidR="00374F60" w:rsidRPr="00AF3F93" w:rsidTr="00DC4BBA">
        <w:trPr>
          <w:trHeight w:val="39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C82BCA">
            <w:pPr>
              <w:ind w:firstLineChars="100" w:firstLine="201"/>
              <w:rPr>
                <w:rFonts w:ascii="Perpetua" w:hAnsi="Perpetua" w:cs="Arial"/>
                <w:b/>
                <w:bCs/>
                <w:sz w:val="20"/>
                <w:szCs w:val="20"/>
              </w:rPr>
            </w:pPr>
            <w:r w:rsidRPr="00AF3F93">
              <w:rPr>
                <w:rFonts w:ascii="Perpetua" w:hAnsi="Perpetua" w:cs="Arial"/>
                <w:b/>
                <w:bCs/>
                <w:sz w:val="20"/>
                <w:szCs w:val="20"/>
              </w:rPr>
              <w:t xml:space="preserve">Objecto de acção agregado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proofErr w:type="gramStart"/>
            <w:r w:rsidRPr="00AF3F93">
              <w:rPr>
                <w:rFonts w:ascii="Perpetua" w:hAnsi="Perpetua" w:cs="Arial"/>
                <w:sz w:val="20"/>
                <w:szCs w:val="20"/>
              </w:rPr>
              <w:t>em</w:t>
            </w:r>
            <w:proofErr w:type="gramEnd"/>
            <w:r w:rsidRPr="00AF3F93">
              <w:rPr>
                <w:rFonts w:ascii="Perpetua" w:hAnsi="Perpetua" w:cs="Arial"/>
                <w:sz w:val="20"/>
                <w:szCs w:val="20"/>
              </w:rPr>
              <w:t xml:space="preserve"> minutos </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proofErr w:type="gramStart"/>
            <w:r w:rsidRPr="00AF3F93">
              <w:rPr>
                <w:rFonts w:ascii="Perpetua" w:hAnsi="Perpetua" w:cs="Arial"/>
                <w:sz w:val="20"/>
                <w:szCs w:val="20"/>
              </w:rPr>
              <w:t>em</w:t>
            </w:r>
            <w:proofErr w:type="gramEnd"/>
            <w:r w:rsidRPr="00AF3F93">
              <w:rPr>
                <w:rFonts w:ascii="Perpetua" w:hAnsi="Perpetua" w:cs="Arial"/>
                <w:sz w:val="20"/>
                <w:szCs w:val="20"/>
              </w:rPr>
              <w:t xml:space="preserve"> horas</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proofErr w:type="gramStart"/>
            <w:r w:rsidRPr="00AF3F93">
              <w:rPr>
                <w:rFonts w:ascii="Perpetua" w:hAnsi="Perpetua" w:cs="Arial"/>
                <w:sz w:val="20"/>
                <w:szCs w:val="20"/>
              </w:rPr>
              <w:t>valor</w:t>
            </w:r>
            <w:proofErr w:type="gramEnd"/>
            <w:r w:rsidRPr="00AF3F93">
              <w:rPr>
                <w:rFonts w:ascii="Perpetua" w:hAnsi="Perpetua" w:cs="Arial"/>
                <w:sz w:val="20"/>
                <w:szCs w:val="20"/>
              </w:rPr>
              <w:t xml:space="preserve"> arredondado</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Recuperação de empresas e falências</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1.062,87</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17h43min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18</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Inventários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446,33</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7h 26min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7</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Outros actos, contratos e obrigações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393,64</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6h 34min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7</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Direito de propriedade e direitos reais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361,92</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6h 02min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6</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Embargos de executado</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331,98</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5h 32min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6</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Divórcios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308,46</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 xml:space="preserve"> 5h 8min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6</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Outras acções sobre estado das pessoas, famílias e sucessões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305,06</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5h 05min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5</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Registos e notariado</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237,81</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3h 58min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4</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Procedimentos cautelares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217,22</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3h 37min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4</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Acções tutelares cíveis</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215,02</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 xml:space="preserve"> 3h 35min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4</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Contratos de arrendamento</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212,13</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3h 32min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4</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Outras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157,47</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2h 37min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3</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Dívidas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130,28</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2h 10min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w:t>
            </w:r>
          </w:p>
        </w:tc>
      </w:tr>
      <w:tr w:rsidR="00374F60" w:rsidRPr="00AF3F93" w:rsidTr="00DC4BBA">
        <w:trPr>
          <w:trHeight w:val="360"/>
          <w:jc w:val="center"/>
        </w:trPr>
        <w:tc>
          <w:tcPr>
            <w:tcW w:w="4725"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Acções executivas </w:t>
            </w:r>
          </w:p>
        </w:tc>
        <w:tc>
          <w:tcPr>
            <w:tcW w:w="1147"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120,27</w:t>
            </w:r>
          </w:p>
        </w:tc>
        <w:tc>
          <w:tcPr>
            <w:tcW w:w="850" w:type="dxa"/>
            <w:tcBorders>
              <w:top w:val="nil"/>
              <w:left w:val="nil"/>
              <w:bottom w:val="single" w:sz="4" w:space="0" w:color="auto"/>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2h 00min</w:t>
            </w:r>
          </w:p>
        </w:tc>
        <w:tc>
          <w:tcPr>
            <w:tcW w:w="1334" w:type="dxa"/>
            <w:tcBorders>
              <w:top w:val="nil"/>
              <w:left w:val="nil"/>
              <w:bottom w:val="single" w:sz="4" w:space="0" w:color="auto"/>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w:t>
            </w:r>
          </w:p>
        </w:tc>
      </w:tr>
      <w:tr w:rsidR="00374F60" w:rsidRPr="00AF3F93" w:rsidTr="00DC4BBA">
        <w:trPr>
          <w:trHeight w:val="405"/>
          <w:jc w:val="center"/>
        </w:trPr>
        <w:tc>
          <w:tcPr>
            <w:tcW w:w="4725" w:type="dxa"/>
            <w:tcBorders>
              <w:top w:val="nil"/>
              <w:left w:val="nil"/>
              <w:bottom w:val="nil"/>
              <w:right w:val="single" w:sz="4" w:space="0" w:color="auto"/>
            </w:tcBorders>
            <w:shd w:val="clear" w:color="000000" w:fill="FFFFFF"/>
            <w:noWrap/>
            <w:vAlign w:val="center"/>
          </w:tcPr>
          <w:p w:rsidR="00374F60" w:rsidRPr="00AF3F93" w:rsidRDefault="00374F60" w:rsidP="00374F60">
            <w:pPr>
              <w:ind w:firstLineChars="100" w:firstLine="200"/>
              <w:rPr>
                <w:rFonts w:ascii="Perpetua" w:hAnsi="Perpetua" w:cs="Arial"/>
                <w:sz w:val="20"/>
                <w:szCs w:val="20"/>
              </w:rPr>
            </w:pPr>
            <w:r w:rsidRPr="00AF3F93">
              <w:rPr>
                <w:rFonts w:ascii="Perpetua" w:hAnsi="Perpetua" w:cs="Arial"/>
                <w:sz w:val="20"/>
                <w:szCs w:val="20"/>
              </w:rPr>
              <w:t xml:space="preserve">Reclamação de créditos </w:t>
            </w:r>
          </w:p>
        </w:tc>
        <w:tc>
          <w:tcPr>
            <w:tcW w:w="1147" w:type="dxa"/>
            <w:tcBorders>
              <w:top w:val="nil"/>
              <w:left w:val="nil"/>
              <w:bottom w:val="nil"/>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105,01</w:t>
            </w:r>
          </w:p>
        </w:tc>
        <w:tc>
          <w:tcPr>
            <w:tcW w:w="850" w:type="dxa"/>
            <w:tcBorders>
              <w:top w:val="nil"/>
              <w:left w:val="nil"/>
              <w:bottom w:val="nil"/>
              <w:right w:val="single" w:sz="4" w:space="0" w:color="auto"/>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1h 45min</w:t>
            </w:r>
          </w:p>
        </w:tc>
        <w:tc>
          <w:tcPr>
            <w:tcW w:w="1334" w:type="dxa"/>
            <w:tcBorders>
              <w:top w:val="nil"/>
              <w:left w:val="nil"/>
              <w:bottom w:val="nil"/>
              <w:right w:val="nil"/>
            </w:tcBorders>
            <w:shd w:val="clear" w:color="000000" w:fill="FFFFFF"/>
            <w:noWrap/>
            <w:vAlign w:val="center"/>
          </w:tcPr>
          <w:p w:rsidR="00374F60" w:rsidRPr="00AF3F93" w:rsidRDefault="00374F60" w:rsidP="00374F60">
            <w:pPr>
              <w:jc w:val="center"/>
              <w:rPr>
                <w:rFonts w:ascii="Perpetua" w:hAnsi="Perpetua" w:cs="Arial"/>
                <w:sz w:val="20"/>
                <w:szCs w:val="20"/>
              </w:rPr>
            </w:pPr>
            <w:r w:rsidRPr="00AF3F93">
              <w:rPr>
                <w:rFonts w:ascii="Perpetua" w:hAnsi="Perpetua" w:cs="Arial"/>
                <w:sz w:val="20"/>
                <w:szCs w:val="20"/>
              </w:rPr>
              <w:t>2</w:t>
            </w:r>
          </w:p>
        </w:tc>
      </w:tr>
    </w:tbl>
    <w:p w:rsidR="00374F60" w:rsidRDefault="00374F60" w:rsidP="00374F60">
      <w:pPr>
        <w:spacing w:line="360" w:lineRule="auto"/>
        <w:jc w:val="center"/>
        <w:rPr>
          <w:rFonts w:ascii="Perpetua" w:hAnsi="Perpetua"/>
          <w:sz w:val="18"/>
          <w:szCs w:val="18"/>
        </w:rPr>
      </w:pPr>
    </w:p>
    <w:p w:rsidR="00F72F49" w:rsidRPr="00374F60" w:rsidRDefault="00374F60" w:rsidP="00374F60">
      <w:pPr>
        <w:spacing w:line="360" w:lineRule="auto"/>
        <w:jc w:val="center"/>
        <w:rPr>
          <w:rFonts w:ascii="Perpetua" w:hAnsi="Perpetua"/>
          <w:sz w:val="18"/>
          <w:szCs w:val="18"/>
        </w:rPr>
      </w:pPr>
      <w:r w:rsidRPr="00374F60">
        <w:rPr>
          <w:rFonts w:ascii="Perpetua" w:hAnsi="Perpetua"/>
          <w:sz w:val="18"/>
          <w:szCs w:val="18"/>
        </w:rPr>
        <w:t>Fonte: OPJ (2005)</w:t>
      </w:r>
      <w:r w:rsidR="00F45260">
        <w:rPr>
          <w:rFonts w:ascii="Perpetua" w:hAnsi="Perpetua"/>
          <w:sz w:val="18"/>
          <w:szCs w:val="18"/>
        </w:rPr>
        <w:t>.</w:t>
      </w:r>
    </w:p>
    <w:p w:rsidR="003607F6" w:rsidRDefault="003607F6"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Assim, apesar de não avaliar correctamente a produtividade judicial média dos tribunais, a utilização da produtividade judicial bruta permite, se combinada com a utilização de variáveis </w:t>
      </w:r>
      <w:r w:rsidR="00DC4BBA">
        <w:rPr>
          <w:rFonts w:ascii="Perpetua" w:hAnsi="Perpetua"/>
        </w:rPr>
        <w:t xml:space="preserve">que controlem a heterogeneidade do </w:t>
      </w:r>
      <w:r w:rsidR="00DC4BBA" w:rsidRPr="00364021">
        <w:rPr>
          <w:rFonts w:ascii="Perpetua" w:hAnsi="Perpetua"/>
          <w:i/>
        </w:rPr>
        <w:t>case mix</w:t>
      </w:r>
      <w:r w:rsidR="00DC4BBA">
        <w:rPr>
          <w:rFonts w:ascii="Perpetua" w:hAnsi="Perpetua"/>
        </w:rPr>
        <w:t xml:space="preserve"> </w:t>
      </w:r>
      <w:r>
        <w:rPr>
          <w:rFonts w:ascii="Perpetua" w:hAnsi="Perpetua"/>
        </w:rPr>
        <w:t xml:space="preserve">dos tribunais, testar </w:t>
      </w:r>
      <w:r w:rsidR="00DC4BBA">
        <w:rPr>
          <w:rFonts w:ascii="Perpetua" w:hAnsi="Perpetua"/>
        </w:rPr>
        <w:t xml:space="preserve">as </w:t>
      </w:r>
      <w:r>
        <w:rPr>
          <w:rFonts w:ascii="Perpetua" w:hAnsi="Perpetua"/>
        </w:rPr>
        <w:t xml:space="preserve">hipóteses </w:t>
      </w:r>
      <w:r w:rsidR="00DC4BBA">
        <w:rPr>
          <w:rFonts w:ascii="Perpetua" w:hAnsi="Perpetua"/>
        </w:rPr>
        <w:t xml:space="preserve">teóricas formuladas na secção </w:t>
      </w:r>
      <w:r w:rsidR="00C179EF">
        <w:rPr>
          <w:rFonts w:ascii="Perpetua" w:hAnsi="Perpetua"/>
        </w:rPr>
        <w:t>4.2</w:t>
      </w:r>
      <w:r w:rsidR="00112BCD">
        <w:rPr>
          <w:rFonts w:ascii="Perpetua" w:hAnsi="Perpetua"/>
        </w:rPr>
        <w:t>.</w:t>
      </w:r>
      <w:r w:rsidR="00C179EF">
        <w:rPr>
          <w:rFonts w:ascii="Perpetua" w:hAnsi="Perpetua"/>
        </w:rPr>
        <w:t xml:space="preserve"> e ainda obter alguma informação </w:t>
      </w:r>
      <w:r>
        <w:rPr>
          <w:rFonts w:ascii="Perpetua" w:hAnsi="Perpetua"/>
        </w:rPr>
        <w:t xml:space="preserve">sobre </w:t>
      </w:r>
      <w:r w:rsidR="00C179EF">
        <w:rPr>
          <w:rFonts w:ascii="Perpetua" w:hAnsi="Perpetua"/>
        </w:rPr>
        <w:t>as c</w:t>
      </w:r>
      <w:r>
        <w:rPr>
          <w:rFonts w:ascii="Perpetua" w:hAnsi="Perpetua"/>
        </w:rPr>
        <w:t xml:space="preserve">ategorias de determinado critério de agregação </w:t>
      </w:r>
      <w:r w:rsidR="00112BCD">
        <w:rPr>
          <w:rFonts w:ascii="Perpetua" w:hAnsi="Perpetua"/>
        </w:rPr>
        <w:t xml:space="preserve">que </w:t>
      </w:r>
      <w:r>
        <w:rPr>
          <w:rFonts w:ascii="Perpetua" w:hAnsi="Perpetua"/>
        </w:rPr>
        <w:t xml:space="preserve">têm um efeito negativo ou positivo na produtividade judicial média. Ou seja, que categorias têm uma intensidade média de trabalho judicial significativamente acima ou abaixo da intensidade de trabalho judicial média. </w:t>
      </w:r>
      <w:r w:rsidR="00C179EF">
        <w:rPr>
          <w:rFonts w:ascii="Perpetua" w:hAnsi="Perpetua"/>
        </w:rPr>
        <w:t>Na secção 5.2</w:t>
      </w:r>
      <w:r w:rsidR="007F1308">
        <w:rPr>
          <w:rFonts w:ascii="Perpetua" w:hAnsi="Perpetua"/>
        </w:rPr>
        <w:t>.</w:t>
      </w:r>
      <w:r w:rsidR="00C179EF">
        <w:rPr>
          <w:rFonts w:ascii="Perpetua" w:hAnsi="Perpetua"/>
        </w:rPr>
        <w:t xml:space="preserve"> apresentam-se os resultados da utilização de análises de estatística multivariada que permitem controlar parcialmente o efeito da heterogeneidade do </w:t>
      </w:r>
      <w:r w:rsidR="00C179EF" w:rsidRPr="00C179EF">
        <w:rPr>
          <w:rFonts w:ascii="Perpetua" w:hAnsi="Perpetua"/>
          <w:i/>
        </w:rPr>
        <w:t>case mix</w:t>
      </w:r>
      <w:r w:rsidR="00C179EF">
        <w:rPr>
          <w:rFonts w:ascii="Perpetua" w:hAnsi="Perpetua"/>
        </w:rPr>
        <w:t xml:space="preserve">. O Anexo – Dados estatísticos descreve em pormenor os critérios de agregação de processos findos utilizados nas análises de estatística multivariada. </w:t>
      </w:r>
    </w:p>
    <w:p w:rsidR="00A143C5" w:rsidRDefault="00A143C5" w:rsidP="00F72F49">
      <w:pPr>
        <w:spacing w:line="360" w:lineRule="auto"/>
        <w:jc w:val="both"/>
        <w:rPr>
          <w:rFonts w:ascii="Perpetua" w:hAnsi="Perpetua"/>
        </w:rPr>
      </w:pPr>
    </w:p>
    <w:p w:rsidR="003607F6" w:rsidRDefault="003607F6" w:rsidP="00F72F49">
      <w:pPr>
        <w:spacing w:line="360" w:lineRule="auto"/>
        <w:jc w:val="both"/>
        <w:rPr>
          <w:rFonts w:ascii="Perpetua" w:hAnsi="Perpetua"/>
        </w:rPr>
      </w:pPr>
    </w:p>
    <w:p w:rsidR="00F72F49" w:rsidRPr="00EF0DC6" w:rsidRDefault="00470EB1" w:rsidP="00470EB1">
      <w:pPr>
        <w:pStyle w:val="Heading4"/>
      </w:pPr>
      <w:bookmarkStart w:id="107" w:name="_Toc206652078"/>
      <w:bookmarkStart w:id="108" w:name="_Toc220484479"/>
      <w:r>
        <w:t xml:space="preserve">4.3.2.3. </w:t>
      </w:r>
      <w:r w:rsidR="00F72F49" w:rsidRPr="00EF0DC6">
        <w:t>As variáveis explicativas</w:t>
      </w:r>
      <w:bookmarkEnd w:id="107"/>
      <w:bookmarkEnd w:id="108"/>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As variáveis explicativas </w:t>
      </w:r>
      <w:r w:rsidR="00BF6760">
        <w:rPr>
          <w:rFonts w:ascii="Perpetua" w:hAnsi="Perpetua"/>
        </w:rPr>
        <w:t xml:space="preserve">utilizadas nas análises de regressão com </w:t>
      </w:r>
      <w:r w:rsidR="00371A0E">
        <w:rPr>
          <w:rFonts w:ascii="Perpetua" w:hAnsi="Perpetua"/>
        </w:rPr>
        <w:t xml:space="preserve">o </w:t>
      </w:r>
      <w:r w:rsidR="00BF6760">
        <w:rPr>
          <w:rFonts w:ascii="Perpetua" w:hAnsi="Perpetua"/>
        </w:rPr>
        <w:t>objectivo de explicar os diferenciais de</w:t>
      </w:r>
      <w:r>
        <w:rPr>
          <w:rFonts w:ascii="Perpetua" w:hAnsi="Perpetua"/>
        </w:rPr>
        <w:t xml:space="preserve"> produtividade judicial média dos tribunais resultam</w:t>
      </w:r>
      <w:r w:rsidR="00BF6760">
        <w:rPr>
          <w:rFonts w:ascii="Perpetua" w:hAnsi="Perpetua"/>
        </w:rPr>
        <w:t>,</w:t>
      </w:r>
      <w:r>
        <w:rPr>
          <w:rFonts w:ascii="Perpetua" w:hAnsi="Perpetua"/>
        </w:rPr>
        <w:t xml:space="preserve"> essencialmente</w:t>
      </w:r>
      <w:r w:rsidR="00BF6760">
        <w:rPr>
          <w:rFonts w:ascii="Perpetua" w:hAnsi="Perpetua"/>
        </w:rPr>
        <w:t>,</w:t>
      </w:r>
      <w:r>
        <w:rPr>
          <w:rFonts w:ascii="Perpetua" w:hAnsi="Perpetua"/>
        </w:rPr>
        <w:t xml:space="preserve"> dos dados estatísticos disponíveis para testar </w:t>
      </w:r>
      <w:r w:rsidR="00C179EF">
        <w:rPr>
          <w:rFonts w:ascii="Perpetua" w:hAnsi="Perpetua"/>
        </w:rPr>
        <w:t xml:space="preserve">as hipóteses teóricas formuladas na secção 4.2. e </w:t>
      </w:r>
      <w:r w:rsidR="00BF6760">
        <w:rPr>
          <w:rFonts w:ascii="Perpetua" w:hAnsi="Perpetua"/>
        </w:rPr>
        <w:t>para medir factores cujo efeito</w:t>
      </w:r>
      <w:r w:rsidR="00BF6760" w:rsidRPr="00BF6760">
        <w:rPr>
          <w:rFonts w:ascii="Perpetua" w:hAnsi="Perpetua"/>
        </w:rPr>
        <w:t xml:space="preserve"> </w:t>
      </w:r>
      <w:r w:rsidR="00BF6760">
        <w:rPr>
          <w:rFonts w:ascii="Perpetua" w:hAnsi="Perpetua"/>
        </w:rPr>
        <w:t>na produtividade judicial média, não sendo previsto por nenhuma teoria particular, se pretende explorar</w:t>
      </w:r>
      <w:r w:rsidR="00C179EF">
        <w:rPr>
          <w:rFonts w:ascii="Perpetua" w:hAnsi="Perpetua"/>
        </w:rPr>
        <w:t xml:space="preserve">. </w:t>
      </w:r>
      <w:r>
        <w:rPr>
          <w:rFonts w:ascii="Perpetua" w:hAnsi="Perpetua"/>
        </w:rPr>
        <w:t>De seguida listam</w:t>
      </w:r>
      <w:r w:rsidR="00C179EF">
        <w:rPr>
          <w:rFonts w:ascii="Perpetua" w:hAnsi="Perpetua"/>
        </w:rPr>
        <w:t xml:space="preserve">-se </w:t>
      </w:r>
      <w:r>
        <w:rPr>
          <w:rFonts w:ascii="Perpetua" w:hAnsi="Perpetua"/>
        </w:rPr>
        <w:t xml:space="preserve">as variáveis utilizadas </w:t>
      </w:r>
      <w:r w:rsidR="00C33D5F">
        <w:rPr>
          <w:rFonts w:ascii="Perpetua" w:hAnsi="Perpetua"/>
        </w:rPr>
        <w:t xml:space="preserve">para medir cada um dos factores referidos, </w:t>
      </w:r>
      <w:r>
        <w:rPr>
          <w:rFonts w:ascii="Perpetua" w:hAnsi="Perpetua"/>
        </w:rPr>
        <w:t>indicando, se necessário, as opções metodológicas subjacentes. Salvo indicação em contrário, todas as variáveis reportam-se ao ano de 2001.</w:t>
      </w:r>
    </w:p>
    <w:p w:rsidR="00F72F49" w:rsidRDefault="00F72F49" w:rsidP="00F72F49">
      <w:pPr>
        <w:spacing w:line="360" w:lineRule="auto"/>
        <w:jc w:val="both"/>
        <w:rPr>
          <w:rFonts w:ascii="Perpetua" w:hAnsi="Perpetua"/>
        </w:rPr>
      </w:pPr>
    </w:p>
    <w:p w:rsidR="00F72F49" w:rsidRPr="00E30C95" w:rsidRDefault="00F72F49" w:rsidP="00F72F49">
      <w:pPr>
        <w:spacing w:line="360" w:lineRule="auto"/>
        <w:jc w:val="both"/>
        <w:rPr>
          <w:rFonts w:ascii="Perpetua" w:hAnsi="Perpetua"/>
        </w:rPr>
      </w:pPr>
      <w:r>
        <w:rPr>
          <w:rFonts w:ascii="Perpetua" w:hAnsi="Perpetua"/>
        </w:rPr>
        <w:t>- Factores internos ao funcionamento do tribunal</w:t>
      </w:r>
      <w:r w:rsidRPr="00E30C95">
        <w:rPr>
          <w:rFonts w:ascii="Perpetua" w:hAnsi="Perpetua"/>
        </w:rPr>
        <w:t xml:space="preserve"> (por tribunal): </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i/>
          <w:u w:val="single"/>
        </w:rPr>
        <w:t>Produtividade</w:t>
      </w:r>
      <w:r w:rsidRPr="00C33D5F">
        <w:rPr>
          <w:rFonts w:ascii="Perpetua" w:hAnsi="Perpetua"/>
          <w:u w:val="single"/>
        </w:rPr>
        <w:t xml:space="preserve"> </w:t>
      </w:r>
      <w:r w:rsidR="009D7A17">
        <w:rPr>
          <w:rFonts w:ascii="Perpetua" w:hAnsi="Perpetua"/>
          <w:u w:val="single"/>
        </w:rPr>
        <w:t xml:space="preserve">média </w:t>
      </w:r>
      <w:r w:rsidRPr="00C33D5F">
        <w:rPr>
          <w:rFonts w:ascii="Perpetua" w:hAnsi="Perpetua"/>
          <w:u w:val="single"/>
        </w:rPr>
        <w:t>dos magistrados do M.P.</w:t>
      </w:r>
      <w:r w:rsidR="00C33D5F" w:rsidRPr="00C33D5F">
        <w:rPr>
          <w:rStyle w:val="FootnoteReference"/>
          <w:rFonts w:ascii="Perpetua" w:hAnsi="Perpetua"/>
        </w:rPr>
        <w:t xml:space="preserve"> </w:t>
      </w:r>
      <w:r w:rsidR="00C33D5F">
        <w:rPr>
          <w:rStyle w:val="FootnoteReference"/>
          <w:rFonts w:ascii="Perpetua" w:hAnsi="Perpetua"/>
        </w:rPr>
        <w:footnoteReference w:id="103"/>
      </w:r>
      <w:r w:rsidRPr="00C33D5F">
        <w:rPr>
          <w:rFonts w:ascii="Perpetua" w:hAnsi="Perpetua"/>
        </w:rPr>
        <w:t xml:space="preserve"> (prod_mmp_01) – </w:t>
      </w:r>
      <w:r w:rsidR="00A2767C" w:rsidRPr="00C33D5F">
        <w:rPr>
          <w:rFonts w:ascii="Perpetua" w:hAnsi="Perpetua"/>
        </w:rPr>
        <w:t>número</w:t>
      </w:r>
      <w:r w:rsidRPr="00C33D5F">
        <w:rPr>
          <w:rFonts w:ascii="Perpetua" w:hAnsi="Perpetua"/>
        </w:rPr>
        <w:t xml:space="preserve"> médio de processos de inquérito findos por magistrado do M.</w:t>
      </w:r>
      <w:proofErr w:type="gramStart"/>
      <w:r w:rsidRPr="00C33D5F">
        <w:rPr>
          <w:rFonts w:ascii="Perpetua" w:hAnsi="Perpetua"/>
        </w:rPr>
        <w:t>P</w:t>
      </w:r>
      <w:r w:rsidR="004C4E17">
        <w:rPr>
          <w:rFonts w:ascii="Perpetua" w:hAnsi="Perpetua"/>
        </w:rPr>
        <w:t>.</w:t>
      </w:r>
      <w:r w:rsidRPr="00C33D5F">
        <w:rPr>
          <w:rFonts w:ascii="Perpetua" w:hAnsi="Perpetua"/>
        </w:rPr>
        <w:t>;</w:t>
      </w:r>
      <w:proofErr w:type="gramEnd"/>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i/>
          <w:u w:val="single"/>
        </w:rPr>
        <w:t>Produtividade</w:t>
      </w:r>
      <w:r w:rsidR="009D7A17">
        <w:rPr>
          <w:rFonts w:ascii="Perpetua" w:hAnsi="Perpetua"/>
          <w:i/>
          <w:u w:val="single"/>
        </w:rPr>
        <w:t xml:space="preserve"> </w:t>
      </w:r>
      <w:r w:rsidR="009D7A17">
        <w:rPr>
          <w:rFonts w:ascii="Perpetua" w:hAnsi="Perpetua"/>
          <w:u w:val="single"/>
        </w:rPr>
        <w:t>média d</w:t>
      </w:r>
      <w:r w:rsidRPr="00C33D5F">
        <w:rPr>
          <w:rFonts w:ascii="Perpetua" w:hAnsi="Perpetua"/>
          <w:u w:val="single"/>
        </w:rPr>
        <w:t>os funcionários judiciais</w:t>
      </w:r>
      <w:r w:rsidRPr="00C33D5F">
        <w:rPr>
          <w:rFonts w:ascii="Perpetua" w:hAnsi="Perpetua"/>
        </w:rPr>
        <w:t xml:space="preserve"> (prod_fj_01) – </w:t>
      </w:r>
      <w:r w:rsidR="00A2767C" w:rsidRPr="00C33D5F">
        <w:rPr>
          <w:rFonts w:ascii="Perpetua" w:hAnsi="Perpetua"/>
        </w:rPr>
        <w:t>número</w:t>
      </w:r>
      <w:r w:rsidRPr="00C33D5F">
        <w:rPr>
          <w:rFonts w:ascii="Perpetua" w:hAnsi="Perpetua"/>
        </w:rPr>
        <w:t xml:space="preserve"> médio de procedimentos de injunção findos por funcionário judicial;</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u w:val="single"/>
        </w:rPr>
        <w:t xml:space="preserve">Magistrados </w:t>
      </w:r>
      <w:r w:rsidRPr="00C33D5F">
        <w:rPr>
          <w:rFonts w:ascii="Perpetua" w:hAnsi="Perpetua"/>
        </w:rPr>
        <w:t xml:space="preserve">(mj_01) – </w:t>
      </w:r>
      <w:r w:rsidR="00A2767C" w:rsidRPr="00C33D5F">
        <w:rPr>
          <w:rFonts w:ascii="Perpetua" w:hAnsi="Perpetua"/>
        </w:rPr>
        <w:t>número</w:t>
      </w:r>
      <w:r w:rsidRPr="00C33D5F">
        <w:rPr>
          <w:rFonts w:ascii="Perpetua" w:hAnsi="Perpetua"/>
        </w:rPr>
        <w:t xml:space="preserve"> de magistrados judiciais afectos a cada tribunal durante o ano de 2001;</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u w:val="single"/>
        </w:rPr>
        <w:t>Funcionários</w:t>
      </w:r>
      <w:r w:rsidRPr="00C33D5F">
        <w:rPr>
          <w:rFonts w:ascii="Perpetua" w:hAnsi="Perpetua"/>
        </w:rPr>
        <w:t xml:space="preserve"> (fj_mj_01) </w:t>
      </w:r>
      <w:r w:rsidR="00927E88" w:rsidRPr="006D5717">
        <w:rPr>
          <w:rFonts w:ascii="Perpetua" w:hAnsi="Perpetua"/>
        </w:rPr>
        <w:t>–</w:t>
      </w:r>
      <w:r w:rsidRPr="00C33D5F">
        <w:rPr>
          <w:rFonts w:ascii="Perpetua" w:hAnsi="Perpetua"/>
        </w:rPr>
        <w:t xml:space="preserve"> </w:t>
      </w:r>
      <w:r w:rsidR="00A2767C" w:rsidRPr="00C33D5F">
        <w:rPr>
          <w:rFonts w:ascii="Perpetua" w:hAnsi="Perpetua"/>
        </w:rPr>
        <w:t>número</w:t>
      </w:r>
      <w:r w:rsidRPr="00C33D5F">
        <w:rPr>
          <w:rFonts w:ascii="Perpetua" w:hAnsi="Perpetua"/>
        </w:rPr>
        <w:t xml:space="preserve"> de funcionários judiciais por magistrado judicial afectos ao tribunal. </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u w:val="single"/>
        </w:rPr>
        <w:t>Trabalhadores judiciais</w:t>
      </w:r>
      <w:r w:rsidRPr="00C33D5F">
        <w:rPr>
          <w:rFonts w:ascii="Perpetua" w:hAnsi="Perpetua"/>
        </w:rPr>
        <w:t xml:space="preserve"> (tj_01) – soma do </w:t>
      </w:r>
      <w:r w:rsidR="00A2767C" w:rsidRPr="00C33D5F">
        <w:rPr>
          <w:rFonts w:ascii="Perpetua" w:hAnsi="Perpetua"/>
        </w:rPr>
        <w:t>número</w:t>
      </w:r>
      <w:r w:rsidRPr="00C33D5F">
        <w:rPr>
          <w:rFonts w:ascii="Perpetua" w:hAnsi="Perpetua"/>
        </w:rPr>
        <w:t xml:space="preserve"> de funcionários judiciais, magistrados judiciais, magistrados do M.P e outros trabalhadores judiciais afectos ao trib</w:t>
      </w:r>
      <w:r w:rsidR="00ED7380">
        <w:rPr>
          <w:rFonts w:ascii="Perpetua" w:hAnsi="Perpetua"/>
        </w:rPr>
        <w:t>unal em 2001;</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u w:val="single"/>
        </w:rPr>
        <w:t>Magistrados do M.P.</w:t>
      </w:r>
      <w:r w:rsidRPr="00C33D5F">
        <w:rPr>
          <w:rFonts w:ascii="Perpetua" w:hAnsi="Perpetua"/>
        </w:rPr>
        <w:t xml:space="preserve"> (fj_mmp_01)</w:t>
      </w:r>
      <w:r w:rsidR="00ED7380">
        <w:rPr>
          <w:rFonts w:ascii="Perpetua" w:hAnsi="Perpetua"/>
        </w:rPr>
        <w:t xml:space="preserve"> </w:t>
      </w:r>
      <w:r w:rsidRPr="00C33D5F">
        <w:rPr>
          <w:rFonts w:ascii="Perpetua" w:hAnsi="Perpetua"/>
        </w:rPr>
        <w:t xml:space="preserve">– </w:t>
      </w:r>
      <w:r w:rsidR="00A2767C" w:rsidRPr="00C33D5F">
        <w:rPr>
          <w:rFonts w:ascii="Perpetua" w:hAnsi="Perpetua"/>
        </w:rPr>
        <w:t>número</w:t>
      </w:r>
      <w:r w:rsidRPr="00C33D5F">
        <w:rPr>
          <w:rFonts w:ascii="Perpetua" w:hAnsi="Perpetua"/>
        </w:rPr>
        <w:t xml:space="preserve"> de magistrados do M.P. por magistrado judicial afectos ao tribunal.</w:t>
      </w:r>
    </w:p>
    <w:p w:rsidR="00F72F49" w:rsidRDefault="00F72F49" w:rsidP="00C33D5F">
      <w:pPr>
        <w:spacing w:line="360" w:lineRule="auto"/>
        <w:jc w:val="both"/>
        <w:rPr>
          <w:rFonts w:ascii="Perpetua" w:hAnsi="Perpetua"/>
        </w:rPr>
      </w:pPr>
    </w:p>
    <w:p w:rsidR="00F72F49" w:rsidRPr="00C33D5F" w:rsidRDefault="00F72F49" w:rsidP="00C33D5F">
      <w:pPr>
        <w:pStyle w:val="ListParagraph"/>
        <w:numPr>
          <w:ilvl w:val="0"/>
          <w:numId w:val="7"/>
        </w:numPr>
        <w:spacing w:line="360" w:lineRule="auto"/>
        <w:jc w:val="both"/>
        <w:rPr>
          <w:rFonts w:ascii="Perpetua" w:hAnsi="Perpetua"/>
        </w:rPr>
      </w:pPr>
      <w:r w:rsidRPr="00C33D5F">
        <w:rPr>
          <w:rFonts w:ascii="Perpetua" w:hAnsi="Perpetua"/>
          <w:u w:val="single"/>
        </w:rPr>
        <w:t>Carga judicial</w:t>
      </w:r>
      <w:r w:rsidR="00371A0E">
        <w:rPr>
          <w:rFonts w:ascii="Perpetua" w:hAnsi="Perpetua"/>
          <w:u w:val="single"/>
        </w:rPr>
        <w:t xml:space="preserve"> média</w:t>
      </w:r>
      <w:r w:rsidRPr="00C33D5F">
        <w:rPr>
          <w:rFonts w:ascii="Perpetua" w:hAnsi="Perpetua"/>
        </w:rPr>
        <w:t xml:space="preserve"> (carga_mj_01) – soma do </w:t>
      </w:r>
      <w:r w:rsidR="00A2767C" w:rsidRPr="00C33D5F">
        <w:rPr>
          <w:rFonts w:ascii="Perpetua" w:hAnsi="Perpetua"/>
        </w:rPr>
        <w:t>número</w:t>
      </w:r>
      <w:r w:rsidRPr="00C33D5F">
        <w:rPr>
          <w:rFonts w:ascii="Perpetua" w:hAnsi="Perpetua"/>
        </w:rPr>
        <w:t xml:space="preserve"> de processos entrados em 2001 com o </w:t>
      </w:r>
      <w:r w:rsidR="00A2767C" w:rsidRPr="00C33D5F">
        <w:rPr>
          <w:rFonts w:ascii="Perpetua" w:hAnsi="Perpetua"/>
        </w:rPr>
        <w:t>número</w:t>
      </w:r>
      <w:r w:rsidRPr="00C33D5F">
        <w:rPr>
          <w:rFonts w:ascii="Perpetua" w:hAnsi="Perpetua"/>
        </w:rPr>
        <w:t xml:space="preserve"> de processos pendentes no final de 2000 sobre o </w:t>
      </w:r>
      <w:r w:rsidR="00A2767C" w:rsidRPr="00C33D5F">
        <w:rPr>
          <w:rFonts w:ascii="Perpetua" w:hAnsi="Perpetua"/>
        </w:rPr>
        <w:t>número</w:t>
      </w:r>
      <w:r w:rsidRPr="00C33D5F">
        <w:rPr>
          <w:rFonts w:ascii="Perpetua" w:hAnsi="Perpetua"/>
        </w:rPr>
        <w:t xml:space="preserve"> de magistrados judiciais afectos ao tribunal</w:t>
      </w:r>
      <w:r w:rsidR="003607F6">
        <w:rPr>
          <w:rFonts w:ascii="Perpetua" w:hAnsi="Perpetua"/>
        </w:rPr>
        <w:t xml:space="preserve"> em 2001</w:t>
      </w:r>
      <w:r w:rsidRPr="00C33D5F">
        <w:rPr>
          <w:rFonts w:ascii="Perpetua" w:hAnsi="Perpetua"/>
        </w:rPr>
        <w:t xml:space="preserve">. </w:t>
      </w:r>
    </w:p>
    <w:p w:rsidR="00F72F49" w:rsidRDefault="00F72F49" w:rsidP="00C33D5F">
      <w:pPr>
        <w:spacing w:line="360" w:lineRule="auto"/>
        <w:jc w:val="both"/>
        <w:rPr>
          <w:rFonts w:ascii="Perpetua" w:hAnsi="Perpetua"/>
        </w:rPr>
      </w:pPr>
    </w:p>
    <w:p w:rsidR="00F72F49" w:rsidRDefault="00F72F49" w:rsidP="00C33D5F">
      <w:pPr>
        <w:pStyle w:val="ListParagraph"/>
        <w:numPr>
          <w:ilvl w:val="0"/>
          <w:numId w:val="7"/>
        </w:numPr>
        <w:spacing w:line="360" w:lineRule="auto"/>
        <w:jc w:val="both"/>
        <w:rPr>
          <w:rFonts w:ascii="Perpetua" w:hAnsi="Perpetua"/>
        </w:rPr>
      </w:pPr>
      <w:r w:rsidRPr="00927E88">
        <w:rPr>
          <w:rFonts w:ascii="Perpetua" w:hAnsi="Perpetua"/>
          <w:i/>
          <w:u w:val="single"/>
        </w:rPr>
        <w:t>Case mix</w:t>
      </w:r>
      <w:r w:rsidRPr="00ED7380">
        <w:rPr>
          <w:rFonts w:ascii="Perpetua" w:hAnsi="Perpetua"/>
        </w:rPr>
        <w:t xml:space="preserve"> </w:t>
      </w:r>
      <w:r w:rsidR="00927E88" w:rsidRPr="006D5717">
        <w:rPr>
          <w:rFonts w:ascii="Perpetua" w:hAnsi="Perpetua"/>
        </w:rPr>
        <w:t>–</w:t>
      </w:r>
      <w:r w:rsidRPr="00ED7380">
        <w:rPr>
          <w:rFonts w:ascii="Perpetua" w:hAnsi="Perpetua"/>
        </w:rPr>
        <w:t xml:space="preserve"> percentagens</w:t>
      </w:r>
      <w:r w:rsidR="0096787E">
        <w:rPr>
          <w:rFonts w:ascii="Perpetua" w:hAnsi="Perpetua"/>
        </w:rPr>
        <w:t>,</w:t>
      </w:r>
      <w:r w:rsidRPr="00ED7380">
        <w:rPr>
          <w:rFonts w:ascii="Perpetua" w:hAnsi="Perpetua"/>
        </w:rPr>
        <w:t xml:space="preserve"> na totalidade dos processos findos do tribunal em 2001</w:t>
      </w:r>
      <w:r w:rsidR="0096787E">
        <w:rPr>
          <w:rFonts w:ascii="Perpetua" w:hAnsi="Perpetua"/>
        </w:rPr>
        <w:t>,</w:t>
      </w:r>
      <w:r w:rsidRPr="00ED7380">
        <w:rPr>
          <w:rFonts w:ascii="Perpetua" w:hAnsi="Perpetua"/>
        </w:rPr>
        <w:t xml:space="preserve"> dos processos findos </w:t>
      </w:r>
      <w:r w:rsidR="0096787E">
        <w:rPr>
          <w:rFonts w:ascii="Perpetua" w:hAnsi="Perpetua"/>
        </w:rPr>
        <w:t xml:space="preserve">de cada </w:t>
      </w:r>
      <w:r w:rsidRPr="00ED7380">
        <w:rPr>
          <w:rFonts w:ascii="Perpetua" w:hAnsi="Perpetua"/>
        </w:rPr>
        <w:t>categoria dos quatro critérios de agregação de processos findos utilizados, por exemplo: percentagem de acções especiais findas (perc_esp_01), percentagem de processos judiciais findos da área processual tutelar (perc_tut_01)</w:t>
      </w:r>
      <w:r w:rsidR="008932FB">
        <w:rPr>
          <w:rFonts w:ascii="Perpetua" w:hAnsi="Perpetua"/>
        </w:rPr>
        <w:t>,</w:t>
      </w:r>
      <w:r w:rsidRPr="00ED7380">
        <w:rPr>
          <w:rFonts w:ascii="Perpetua" w:hAnsi="Perpetua"/>
        </w:rPr>
        <w:t xml:space="preserve"> etc</w:t>
      </w:r>
      <w:r w:rsidR="00927E88">
        <w:rPr>
          <w:rFonts w:ascii="Perpetua" w:hAnsi="Perpetua"/>
        </w:rPr>
        <w:t>.</w:t>
      </w:r>
      <w:r w:rsidR="00ED7380">
        <w:rPr>
          <w:rStyle w:val="FootnoteReference"/>
          <w:rFonts w:ascii="Perpetua" w:hAnsi="Perpetua"/>
        </w:rPr>
        <w:footnoteReference w:id="104"/>
      </w:r>
      <w:r w:rsidRPr="00ED7380">
        <w:rPr>
          <w:rFonts w:ascii="Perpetua" w:hAnsi="Perpetua"/>
        </w:rPr>
        <w:t xml:space="preserve">. </w:t>
      </w:r>
    </w:p>
    <w:p w:rsidR="00ED7380" w:rsidRPr="00ED7380" w:rsidRDefault="00ED7380" w:rsidP="00ED7380">
      <w:pPr>
        <w:pStyle w:val="ListParagraph"/>
        <w:rPr>
          <w:rFonts w:ascii="Perpetua" w:hAnsi="Perpetua"/>
        </w:rPr>
      </w:pPr>
    </w:p>
    <w:p w:rsidR="00ED7380" w:rsidRPr="00ED7380" w:rsidRDefault="00ED7380" w:rsidP="002E57D1">
      <w:pPr>
        <w:pStyle w:val="ListParagraph"/>
        <w:spacing w:line="360" w:lineRule="auto"/>
        <w:jc w:val="both"/>
        <w:rPr>
          <w:rFonts w:ascii="Perpetua" w:hAnsi="Perpetua"/>
        </w:rPr>
      </w:pPr>
    </w:p>
    <w:p w:rsidR="00F72F49" w:rsidRPr="00E30C95" w:rsidRDefault="00F72F49" w:rsidP="00C33D5F">
      <w:pPr>
        <w:spacing w:line="360" w:lineRule="auto"/>
        <w:jc w:val="both"/>
        <w:rPr>
          <w:rFonts w:ascii="Perpetua" w:hAnsi="Perpetua"/>
        </w:rPr>
      </w:pPr>
      <w:r>
        <w:rPr>
          <w:rFonts w:ascii="Perpetua" w:hAnsi="Perpetua"/>
        </w:rPr>
        <w:t>- Factores externos ao funcionamento d</w:t>
      </w:r>
      <w:r w:rsidRPr="00E30C95">
        <w:rPr>
          <w:rFonts w:ascii="Perpetua" w:hAnsi="Perpetua"/>
        </w:rPr>
        <w:t xml:space="preserve">o tribunal </w:t>
      </w:r>
      <w:r w:rsidR="00927E88">
        <w:rPr>
          <w:rFonts w:ascii="Perpetua" w:hAnsi="Perpetua"/>
        </w:rPr>
        <w:t xml:space="preserve">e que caracterizam o local onde o tribunal </w:t>
      </w:r>
      <w:r w:rsidRPr="00E30C95">
        <w:rPr>
          <w:rFonts w:ascii="Perpetua" w:hAnsi="Perpetua"/>
        </w:rPr>
        <w:t>está instalado (consoante a disponibilidade informativa por comarca, círculo ou NUT III):</w:t>
      </w:r>
    </w:p>
    <w:p w:rsidR="00F72F49" w:rsidRDefault="00F72F49" w:rsidP="00C33D5F">
      <w:pPr>
        <w:spacing w:line="360" w:lineRule="auto"/>
        <w:jc w:val="both"/>
        <w:rPr>
          <w:rFonts w:ascii="Perpetua" w:hAnsi="Perpetua"/>
        </w:rPr>
      </w:pPr>
    </w:p>
    <w:p w:rsidR="00F72F49" w:rsidRPr="006328B8" w:rsidRDefault="00F72F49" w:rsidP="00C33D5F">
      <w:pPr>
        <w:spacing w:line="360" w:lineRule="auto"/>
        <w:jc w:val="both"/>
        <w:rPr>
          <w:rFonts w:ascii="Perpetua" w:hAnsi="Perpetua"/>
        </w:rPr>
      </w:pPr>
      <w:r>
        <w:rPr>
          <w:rFonts w:ascii="Perpetua" w:hAnsi="Perpetua"/>
        </w:rPr>
        <w:t>A maior parte das variáveis de caracterização do ambiente onde o tribunal está insta</w:t>
      </w:r>
      <w:r w:rsidR="0096787E">
        <w:rPr>
          <w:rFonts w:ascii="Perpetua" w:hAnsi="Perpetua"/>
        </w:rPr>
        <w:t>lado, produzidas pelo INE, está desagregada</w:t>
      </w:r>
      <w:r>
        <w:rPr>
          <w:rFonts w:ascii="Perpetua" w:hAnsi="Perpetua"/>
        </w:rPr>
        <w:t xml:space="preserve"> ao nível concelhio. De modo a traduzir o valor da variável do nível do concelho para a comarca, calcul</w:t>
      </w:r>
      <w:r w:rsidR="00BF6760">
        <w:rPr>
          <w:rFonts w:ascii="Perpetua" w:hAnsi="Perpetua"/>
        </w:rPr>
        <w:t>ou-se</w:t>
      </w:r>
      <w:r>
        <w:rPr>
          <w:rFonts w:ascii="Perpetua" w:hAnsi="Perpetua"/>
        </w:rPr>
        <w:t xml:space="preserve"> a média do valor da variável dos concelhos que integravam a comarca, ponderada pelo vector dos pesos relativos dos concelhos na população da comarca (obtidos a partir das estatísticas da população por freguesia).</w:t>
      </w:r>
      <w:r w:rsidRPr="006328B8">
        <w:rPr>
          <w:rFonts w:ascii="Perpetua" w:hAnsi="Perpetua"/>
        </w:rPr>
        <w:t xml:space="preserve"> </w:t>
      </w:r>
      <w:r>
        <w:rPr>
          <w:rFonts w:ascii="Perpetua" w:hAnsi="Perpetua"/>
        </w:rPr>
        <w:t>Por outras palavras, a</w:t>
      </w:r>
      <w:r w:rsidRPr="006328B8">
        <w:rPr>
          <w:rFonts w:ascii="Perpetua" w:hAnsi="Perpetua"/>
        </w:rPr>
        <w:t xml:space="preserve"> partir do cálculo do peso relativo de cada concelho na comarca expresso em percentagem da população (População total das freguesias de concelho</w:t>
      </w:r>
      <w:r w:rsidR="00927E88">
        <w:rPr>
          <w:rFonts w:ascii="Perpetua" w:hAnsi="Perpetua"/>
        </w:rPr>
        <w:t xml:space="preserve"> </w:t>
      </w:r>
      <w:r w:rsidR="00927E88" w:rsidRPr="00927E88">
        <w:rPr>
          <w:rFonts w:ascii="Perpetua" w:hAnsi="Perpetua"/>
          <w:sz w:val="28"/>
          <w:szCs w:val="28"/>
          <w:vertAlign w:val="subscript"/>
        </w:rPr>
        <w:t>i</w:t>
      </w:r>
      <w:r w:rsidR="00927E88">
        <w:rPr>
          <w:rFonts w:ascii="Perpetua" w:hAnsi="Perpetua"/>
          <w:sz w:val="28"/>
          <w:szCs w:val="28"/>
          <w:vertAlign w:val="subscript"/>
        </w:rPr>
        <w:t xml:space="preserve"> </w:t>
      </w:r>
      <w:r w:rsidR="008932FB">
        <w:rPr>
          <w:rFonts w:ascii="Perpetua" w:hAnsi="Perpetua"/>
        </w:rPr>
        <w:t>/</w:t>
      </w:r>
      <w:r w:rsidRPr="006328B8">
        <w:rPr>
          <w:rFonts w:ascii="Perpetua" w:hAnsi="Perpetua"/>
        </w:rPr>
        <w:t>População to</w:t>
      </w:r>
      <w:r w:rsidR="0096787E">
        <w:rPr>
          <w:rFonts w:ascii="Perpetua" w:hAnsi="Perpetua"/>
        </w:rPr>
        <w:t>tal da c</w:t>
      </w:r>
      <w:r>
        <w:rPr>
          <w:rFonts w:ascii="Perpetua" w:hAnsi="Perpetua"/>
        </w:rPr>
        <w:t xml:space="preserve">omarca </w:t>
      </w:r>
      <w:r w:rsidRPr="00927E88">
        <w:rPr>
          <w:rFonts w:ascii="Perpetua" w:hAnsi="Perpetua"/>
          <w:vertAlign w:val="subscript"/>
        </w:rPr>
        <w:t>j</w:t>
      </w:r>
      <w:r w:rsidR="00BF6760">
        <w:rPr>
          <w:rFonts w:ascii="Perpetua" w:hAnsi="Perpetua"/>
        </w:rPr>
        <w:t>), obte</w:t>
      </w:r>
      <w:r>
        <w:rPr>
          <w:rFonts w:ascii="Perpetua" w:hAnsi="Perpetua"/>
        </w:rPr>
        <w:t>ve</w:t>
      </w:r>
      <w:r w:rsidR="00BF6760">
        <w:rPr>
          <w:rFonts w:ascii="Perpetua" w:hAnsi="Perpetua"/>
        </w:rPr>
        <w:t>-se</w:t>
      </w:r>
      <w:r>
        <w:rPr>
          <w:rFonts w:ascii="Perpetua" w:hAnsi="Perpetua"/>
        </w:rPr>
        <w:t xml:space="preserve"> o valor do indicador para </w:t>
      </w:r>
      <w:r w:rsidRPr="006328B8">
        <w:rPr>
          <w:rFonts w:ascii="Perpetua" w:hAnsi="Perpetua"/>
        </w:rPr>
        <w:t xml:space="preserve">a comarca como média dos </w:t>
      </w:r>
      <w:r>
        <w:rPr>
          <w:rFonts w:ascii="Perpetua" w:hAnsi="Perpetua"/>
        </w:rPr>
        <w:t xml:space="preserve">valores do indicador dos concelhos </w:t>
      </w:r>
      <w:r w:rsidRPr="006328B8">
        <w:rPr>
          <w:rFonts w:ascii="Perpetua" w:hAnsi="Perpetua"/>
        </w:rPr>
        <w:t>que a compunham</w:t>
      </w:r>
      <w:r>
        <w:rPr>
          <w:rFonts w:ascii="Perpetua" w:hAnsi="Perpetua"/>
        </w:rPr>
        <w:t>, ponderados</w:t>
      </w:r>
      <w:r w:rsidRPr="006328B8">
        <w:rPr>
          <w:rFonts w:ascii="Perpetua" w:hAnsi="Perpetua"/>
        </w:rPr>
        <w:t xml:space="preserve"> pelos respectivos peso</w:t>
      </w:r>
      <w:r>
        <w:rPr>
          <w:rFonts w:ascii="Perpetua" w:hAnsi="Perpetua"/>
        </w:rPr>
        <w:t>s populacionais.</w:t>
      </w:r>
      <w:r w:rsidRPr="006328B8">
        <w:rPr>
          <w:rFonts w:ascii="Perpetua" w:hAnsi="Perpetua"/>
        </w:rPr>
        <w:t xml:space="preserve"> </w:t>
      </w:r>
    </w:p>
    <w:p w:rsidR="00F72F49" w:rsidRPr="00E30C95"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6D5717">
        <w:rPr>
          <w:rFonts w:ascii="Perpetua" w:hAnsi="Perpetua"/>
          <w:u w:val="single"/>
        </w:rPr>
        <w:t>Empresas</w:t>
      </w:r>
      <w:r w:rsidRPr="006215F8">
        <w:rPr>
          <w:rFonts w:ascii="Perpetua" w:hAnsi="Perpetua"/>
        </w:rPr>
        <w:t xml:space="preserve"> </w:t>
      </w:r>
      <w:r w:rsidRPr="006D5717">
        <w:rPr>
          <w:rFonts w:ascii="Perpetua" w:hAnsi="Perpetua"/>
        </w:rPr>
        <w:t xml:space="preserve">(emp_01) </w:t>
      </w:r>
      <w:r w:rsidR="00927E88" w:rsidRPr="006D5717">
        <w:rPr>
          <w:rFonts w:ascii="Perpetua" w:hAnsi="Perpetua"/>
        </w:rPr>
        <w:t>–</w:t>
      </w:r>
      <w:r w:rsidRPr="006D5717">
        <w:rPr>
          <w:rFonts w:ascii="Perpetua" w:hAnsi="Perpetua"/>
        </w:rPr>
        <w:t xml:space="preserve"> </w:t>
      </w:r>
      <w:r w:rsidR="00A2767C">
        <w:rPr>
          <w:rFonts w:ascii="Perpetua" w:hAnsi="Perpetua"/>
        </w:rPr>
        <w:t>número</w:t>
      </w:r>
      <w:r w:rsidRPr="006D5717">
        <w:rPr>
          <w:rFonts w:ascii="Perpetua" w:hAnsi="Perpetua"/>
        </w:rPr>
        <w:t xml:space="preserve"> de empresas </w:t>
      </w:r>
      <w:r>
        <w:rPr>
          <w:rFonts w:ascii="Perpetua" w:hAnsi="Perpetua"/>
        </w:rPr>
        <w:t>com actividade sed</w:t>
      </w:r>
      <w:r w:rsidR="00927E88">
        <w:rPr>
          <w:rFonts w:ascii="Perpetua" w:hAnsi="Perpetua"/>
        </w:rPr>
        <w:t>e</w:t>
      </w:r>
      <w:r>
        <w:rPr>
          <w:rFonts w:ascii="Perpetua" w:hAnsi="Perpetua"/>
        </w:rPr>
        <w:t>ada na comar</w:t>
      </w:r>
      <w:r w:rsidRPr="006D5717">
        <w:rPr>
          <w:rFonts w:ascii="Perpetua" w:hAnsi="Perpetua"/>
        </w:rPr>
        <w:t xml:space="preserve">ca; </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6D5717">
        <w:rPr>
          <w:rFonts w:ascii="Perpetua" w:hAnsi="Perpetua"/>
          <w:u w:val="single"/>
        </w:rPr>
        <w:t xml:space="preserve">Advogados </w:t>
      </w:r>
      <w:r w:rsidRPr="006D5717">
        <w:rPr>
          <w:rFonts w:ascii="Perpetua" w:hAnsi="Perpetua"/>
        </w:rPr>
        <w:t xml:space="preserve">(adv_mj_01) </w:t>
      </w:r>
      <w:r w:rsidR="00927E88" w:rsidRPr="006D5717">
        <w:rPr>
          <w:rFonts w:ascii="Perpetua" w:hAnsi="Perpetua"/>
        </w:rPr>
        <w:t>–</w:t>
      </w:r>
      <w:r w:rsidRPr="006D5717">
        <w:rPr>
          <w:rFonts w:ascii="Perpetua" w:hAnsi="Perpetua"/>
        </w:rPr>
        <w:t xml:space="preserve"> </w:t>
      </w:r>
      <w:r w:rsidR="00A2767C">
        <w:rPr>
          <w:rFonts w:ascii="Perpetua" w:hAnsi="Perpetua"/>
        </w:rPr>
        <w:t>número</w:t>
      </w:r>
      <w:r w:rsidRPr="006D5717">
        <w:rPr>
          <w:rFonts w:ascii="Perpetua" w:hAnsi="Perpetua"/>
        </w:rPr>
        <w:t xml:space="preserve"> médio de advogados por magistrado judicial no círculo onde o tribunal está instalado;</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6D5717">
        <w:rPr>
          <w:rFonts w:ascii="Perpetua" w:hAnsi="Perpetua"/>
          <w:u w:val="single"/>
        </w:rPr>
        <w:t>Solicitadores</w:t>
      </w:r>
      <w:r w:rsidRPr="006D5717">
        <w:rPr>
          <w:rFonts w:ascii="Perpetua" w:hAnsi="Perpetua"/>
        </w:rPr>
        <w:t xml:space="preserve"> </w:t>
      </w:r>
      <w:r>
        <w:rPr>
          <w:rFonts w:ascii="Perpetua" w:hAnsi="Perpetua"/>
        </w:rPr>
        <w:t xml:space="preserve">(sol_mj_01) </w:t>
      </w:r>
      <w:r w:rsidR="00927E88" w:rsidRPr="006D5717">
        <w:rPr>
          <w:rFonts w:ascii="Perpetua" w:hAnsi="Perpetua"/>
        </w:rPr>
        <w:t>–</w:t>
      </w:r>
      <w:r w:rsidRPr="006D5717">
        <w:rPr>
          <w:rFonts w:ascii="Perpetua" w:hAnsi="Perpetua"/>
        </w:rPr>
        <w:t xml:space="preserve"> </w:t>
      </w:r>
      <w:r w:rsidR="00A2767C">
        <w:rPr>
          <w:rFonts w:ascii="Perpetua" w:hAnsi="Perpetua"/>
        </w:rPr>
        <w:t>número</w:t>
      </w:r>
      <w:r w:rsidRPr="006D5717">
        <w:rPr>
          <w:rFonts w:ascii="Perpetua" w:hAnsi="Perpetua"/>
        </w:rPr>
        <w:t xml:space="preserve"> médio de solicitadores por magistrado judicial no círculo onde o tribunal está instalado;</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6D5717">
        <w:rPr>
          <w:rFonts w:ascii="Perpetua" w:hAnsi="Perpetua"/>
          <w:u w:val="single"/>
        </w:rPr>
        <w:t>Competência específica</w:t>
      </w:r>
      <w:r w:rsidRPr="006D5717">
        <w:rPr>
          <w:rFonts w:ascii="Perpetua" w:hAnsi="Perpetua"/>
        </w:rPr>
        <w:t xml:space="preserve"> </w:t>
      </w:r>
      <w:r>
        <w:rPr>
          <w:rFonts w:ascii="Perpetua" w:hAnsi="Perpetua"/>
        </w:rPr>
        <w:t xml:space="preserve">(com_esp) </w:t>
      </w:r>
      <w:r w:rsidR="00927E88" w:rsidRPr="006D5717">
        <w:rPr>
          <w:rFonts w:ascii="Perpetua" w:hAnsi="Perpetua"/>
        </w:rPr>
        <w:t>–</w:t>
      </w:r>
      <w:r w:rsidRPr="006D5717">
        <w:rPr>
          <w:rFonts w:ascii="Perpetua" w:hAnsi="Perpetua"/>
        </w:rPr>
        <w:t xml:space="preserve"> variável </w:t>
      </w:r>
      <w:r w:rsidRPr="00927E88">
        <w:rPr>
          <w:rFonts w:ascii="Perpetua" w:hAnsi="Perpetua"/>
          <w:i/>
        </w:rPr>
        <w:t>dummy</w:t>
      </w:r>
      <w:r w:rsidRPr="006D5717">
        <w:rPr>
          <w:rFonts w:ascii="Perpetua" w:hAnsi="Perpetua"/>
        </w:rPr>
        <w:t xml:space="preserve"> que assume o valor 1 se o tribunal incluir juízos de competência especializada cível e criminal (n=24);</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6D5717">
        <w:rPr>
          <w:rFonts w:ascii="Perpetua" w:hAnsi="Perpetua"/>
          <w:u w:val="single"/>
        </w:rPr>
        <w:t>Densidade populacional</w:t>
      </w:r>
      <w:r w:rsidRPr="006D5717">
        <w:rPr>
          <w:rFonts w:ascii="Perpetua" w:hAnsi="Perpetua"/>
        </w:rPr>
        <w:t xml:space="preserve"> </w:t>
      </w:r>
      <w:r>
        <w:rPr>
          <w:rFonts w:ascii="Perpetua" w:hAnsi="Perpetua"/>
        </w:rPr>
        <w:t>(dp_01)</w:t>
      </w:r>
      <w:r w:rsidR="00927E88">
        <w:rPr>
          <w:rFonts w:ascii="Perpetua" w:hAnsi="Perpetua"/>
        </w:rPr>
        <w:t xml:space="preserve"> </w:t>
      </w:r>
      <w:r w:rsidRPr="006D5717">
        <w:rPr>
          <w:rFonts w:ascii="Perpetua" w:hAnsi="Perpetua"/>
        </w:rPr>
        <w:t xml:space="preserve">– </w:t>
      </w:r>
      <w:r w:rsidR="00A2767C">
        <w:rPr>
          <w:rFonts w:ascii="Perpetua" w:hAnsi="Perpetua"/>
        </w:rPr>
        <w:t>número</w:t>
      </w:r>
      <w:r w:rsidRPr="006D5717">
        <w:rPr>
          <w:rFonts w:ascii="Perpetua" w:hAnsi="Perpetua"/>
        </w:rPr>
        <w:t xml:space="preserve"> de habitantes por quilómetro quadrado;</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346D34">
        <w:rPr>
          <w:rFonts w:ascii="Perpetua" w:hAnsi="Perpetua"/>
          <w:u w:val="single"/>
        </w:rPr>
        <w:t>Índice de Poder de Compra</w:t>
      </w:r>
      <w:r>
        <w:rPr>
          <w:rFonts w:ascii="Perpetua" w:hAnsi="Perpetua"/>
          <w:u w:val="single"/>
        </w:rPr>
        <w:t xml:space="preserve"> da Comarca</w:t>
      </w:r>
      <w:r>
        <w:rPr>
          <w:rFonts w:ascii="Perpetua" w:hAnsi="Perpetua"/>
        </w:rPr>
        <w:t xml:space="preserve"> (ipcc_02) </w:t>
      </w:r>
      <w:r w:rsidR="00927E88" w:rsidRPr="006D5717">
        <w:rPr>
          <w:rFonts w:ascii="Perpetua" w:hAnsi="Perpetua"/>
        </w:rPr>
        <w:t>–</w:t>
      </w:r>
      <w:r>
        <w:rPr>
          <w:rFonts w:ascii="Perpetua" w:hAnsi="Perpetua"/>
        </w:rPr>
        <w:t xml:space="preserve"> </w:t>
      </w:r>
      <w:r w:rsidR="0096787E">
        <w:rPr>
          <w:rFonts w:ascii="Perpetua" w:hAnsi="Perpetua"/>
        </w:rPr>
        <w:t>número-</w:t>
      </w:r>
      <w:r w:rsidRPr="00346D34">
        <w:rPr>
          <w:rFonts w:ascii="Perpetua" w:hAnsi="Perpetua"/>
        </w:rPr>
        <w:t xml:space="preserve">índice que exprime o poder de compra </w:t>
      </w:r>
      <w:proofErr w:type="gramStart"/>
      <w:r w:rsidR="00BF6760" w:rsidRPr="00BF6760">
        <w:rPr>
          <w:rFonts w:ascii="Perpetua" w:hAnsi="Perpetua"/>
          <w:i/>
        </w:rPr>
        <w:t>per capita</w:t>
      </w:r>
      <w:proofErr w:type="gramEnd"/>
      <w:r w:rsidRPr="00346D34">
        <w:rPr>
          <w:rFonts w:ascii="Perpetua" w:hAnsi="Perpetua"/>
        </w:rPr>
        <w:t xml:space="preserve"> da comarca onde o tribunal está instalado</w:t>
      </w:r>
      <w:r>
        <w:rPr>
          <w:rFonts w:ascii="Perpetua" w:hAnsi="Perpetua"/>
        </w:rPr>
        <w:t xml:space="preserve"> face a</w:t>
      </w:r>
      <w:r w:rsidRPr="00346D34">
        <w:rPr>
          <w:rFonts w:ascii="Perpetua" w:hAnsi="Perpetua"/>
        </w:rPr>
        <w:t xml:space="preserve">o poder de compra médio do </w:t>
      </w:r>
      <w:r>
        <w:rPr>
          <w:rFonts w:ascii="Perpetua" w:hAnsi="Perpetua"/>
        </w:rPr>
        <w:t>P</w:t>
      </w:r>
      <w:r w:rsidRPr="00346D34">
        <w:rPr>
          <w:rFonts w:ascii="Perpetua" w:hAnsi="Perpetua"/>
        </w:rPr>
        <w:t xml:space="preserve">aís. </w:t>
      </w:r>
      <w:r>
        <w:rPr>
          <w:rFonts w:ascii="Perpetua" w:hAnsi="Perpetua"/>
        </w:rPr>
        <w:t xml:space="preserve">O </w:t>
      </w:r>
      <w:r w:rsidRPr="00346D34">
        <w:rPr>
          <w:rFonts w:ascii="Perpetua" w:hAnsi="Perpetua"/>
        </w:rPr>
        <w:t>IPC</w:t>
      </w:r>
      <w:r>
        <w:rPr>
          <w:rFonts w:ascii="Perpetua" w:hAnsi="Perpetua"/>
        </w:rPr>
        <w:t>C</w:t>
      </w:r>
      <w:r w:rsidRPr="00346D34">
        <w:rPr>
          <w:rFonts w:ascii="Perpetua" w:hAnsi="Perpetua"/>
        </w:rPr>
        <w:t xml:space="preserve"> </w:t>
      </w:r>
      <w:proofErr w:type="gramStart"/>
      <w:r w:rsidR="00BF6760" w:rsidRPr="00BF6760">
        <w:rPr>
          <w:rFonts w:ascii="Perpetua" w:hAnsi="Perpetua"/>
          <w:i/>
        </w:rPr>
        <w:t>per capita</w:t>
      </w:r>
      <w:proofErr w:type="gramEnd"/>
      <w:r w:rsidRPr="00346D34">
        <w:rPr>
          <w:rFonts w:ascii="Perpetua" w:hAnsi="Perpetua"/>
        </w:rPr>
        <w:t xml:space="preserve"> tem como </w:t>
      </w:r>
      <w:r w:rsidRPr="00BF6760">
        <w:rPr>
          <w:rFonts w:ascii="Perpetua" w:hAnsi="Perpetua"/>
        </w:rPr>
        <w:t>objectivo</w:t>
      </w:r>
      <w:r w:rsidRPr="00346D34">
        <w:rPr>
          <w:rFonts w:ascii="Perpetua" w:hAnsi="Perpetua"/>
        </w:rPr>
        <w:t xml:space="preserve"> caracterizar as comarcas quanto ao pode</w:t>
      </w:r>
      <w:r>
        <w:rPr>
          <w:rFonts w:ascii="Perpetua" w:hAnsi="Perpetua"/>
        </w:rPr>
        <w:t xml:space="preserve">r de compra das suas populações, não procurando medir nenhum conceito particular de consumo, despesa ou rendimento. </w:t>
      </w:r>
      <w:r w:rsidRPr="00346D34">
        <w:rPr>
          <w:rFonts w:ascii="Perpetua" w:hAnsi="Perpetua"/>
        </w:rPr>
        <w:t xml:space="preserve">O </w:t>
      </w:r>
      <w:r w:rsidR="00BF6760">
        <w:rPr>
          <w:rFonts w:ascii="Perpetua" w:hAnsi="Perpetua"/>
        </w:rPr>
        <w:t>í</w:t>
      </w:r>
      <w:r w:rsidRPr="00346D34">
        <w:rPr>
          <w:rFonts w:ascii="Perpetua" w:hAnsi="Perpetua"/>
        </w:rPr>
        <w:t>ndice de poder de compra concelhio calculado pelo INE resulta de um modelo de análise factorial com base em 19 variáveis (entre as quais Imposto sobre Veículos, Consumo Doméstico de Electricidade, Número de pe</w:t>
      </w:r>
      <w:r w:rsidR="0096787E">
        <w:rPr>
          <w:rFonts w:ascii="Perpetua" w:hAnsi="Perpetua"/>
        </w:rPr>
        <w:t>ssoas ao serviço das empresas de cada</w:t>
      </w:r>
      <w:r w:rsidRPr="00346D34">
        <w:rPr>
          <w:rFonts w:ascii="Perpetua" w:hAnsi="Perpetua"/>
        </w:rPr>
        <w:t xml:space="preserve"> CAE, Valor dos prédios urbanos transaccionados, IRS liquidado segundo o concelho de residência do contribuinte e População com 21 ou mais anos com ensino superior) e que explica </w:t>
      </w:r>
      <w:r>
        <w:rPr>
          <w:rFonts w:ascii="Perpetua" w:hAnsi="Perpetua"/>
        </w:rPr>
        <w:t>77</w:t>
      </w:r>
      <w:r w:rsidRPr="00346D34">
        <w:rPr>
          <w:rFonts w:ascii="Perpetua" w:hAnsi="Perpetua"/>
        </w:rPr>
        <w:t>% da variância total das variáveis</w:t>
      </w:r>
      <w:r>
        <w:rPr>
          <w:rFonts w:ascii="Perpetua" w:hAnsi="Perpetua"/>
        </w:rPr>
        <w:t xml:space="preserve">. </w:t>
      </w:r>
      <w:r w:rsidRPr="00346D34">
        <w:rPr>
          <w:rFonts w:ascii="Perpetua" w:hAnsi="Perpetua"/>
        </w:rPr>
        <w:t xml:space="preserve">Os dados das variáveis utilizadas no cálculo do IPCC </w:t>
      </w:r>
      <w:r>
        <w:rPr>
          <w:rFonts w:ascii="Perpetua" w:hAnsi="Perpetua"/>
        </w:rPr>
        <w:t xml:space="preserve">de 2002 </w:t>
      </w:r>
      <w:proofErr w:type="gramStart"/>
      <w:r w:rsidR="00BF6760" w:rsidRPr="00BF6760">
        <w:rPr>
          <w:rFonts w:ascii="Perpetua" w:hAnsi="Perpetua"/>
          <w:i/>
        </w:rPr>
        <w:t>per capita</w:t>
      </w:r>
      <w:proofErr w:type="gramEnd"/>
      <w:r w:rsidRPr="00346D34">
        <w:rPr>
          <w:rFonts w:ascii="Perpetua" w:hAnsi="Perpetua"/>
        </w:rPr>
        <w:t xml:space="preserve"> reportam-se, na sua maioria, ao ano de 2000, sendo que</w:t>
      </w:r>
      <w:r w:rsidR="00BF6760">
        <w:rPr>
          <w:rFonts w:ascii="Perpetua" w:hAnsi="Perpetua"/>
        </w:rPr>
        <w:t>,</w:t>
      </w:r>
      <w:r w:rsidRPr="00346D34">
        <w:rPr>
          <w:rFonts w:ascii="Perpetua" w:hAnsi="Perpetua"/>
        </w:rPr>
        <w:t xml:space="preserve"> </w:t>
      </w:r>
      <w:r>
        <w:rPr>
          <w:rFonts w:ascii="Perpetua" w:hAnsi="Perpetua"/>
        </w:rPr>
        <w:t>para algumas variáveis</w:t>
      </w:r>
      <w:r w:rsidR="00BF6760">
        <w:rPr>
          <w:rFonts w:ascii="Perpetua" w:hAnsi="Perpetua"/>
        </w:rPr>
        <w:t>,</w:t>
      </w:r>
      <w:r>
        <w:rPr>
          <w:rFonts w:ascii="Perpetua" w:hAnsi="Perpetua"/>
        </w:rPr>
        <w:t xml:space="preserve"> são utilizados dados recolhidos nos C</w:t>
      </w:r>
      <w:r w:rsidRPr="00346D34">
        <w:rPr>
          <w:rFonts w:ascii="Perpetua" w:hAnsi="Perpetua"/>
        </w:rPr>
        <w:t xml:space="preserve">ensos </w:t>
      </w:r>
      <w:r>
        <w:rPr>
          <w:rFonts w:ascii="Perpetua" w:hAnsi="Perpetua"/>
        </w:rPr>
        <w:t>de 2001</w:t>
      </w:r>
      <w:r>
        <w:rPr>
          <w:rStyle w:val="FootnoteReference"/>
          <w:rFonts w:ascii="Perpetua" w:hAnsi="Perpetua"/>
        </w:rPr>
        <w:footnoteReference w:id="105"/>
      </w:r>
      <w:r w:rsidRPr="006D5717">
        <w:rPr>
          <w:rFonts w:ascii="Perpetua" w:hAnsi="Perpetua"/>
        </w:rPr>
        <w:t xml:space="preserve"> </w:t>
      </w:r>
    </w:p>
    <w:p w:rsidR="00F72F49" w:rsidRPr="006D5717" w:rsidRDefault="00F72F49" w:rsidP="00C33D5F">
      <w:pPr>
        <w:spacing w:line="360" w:lineRule="auto"/>
        <w:jc w:val="both"/>
        <w:rPr>
          <w:rFonts w:ascii="Perpetua" w:hAnsi="Perpetua"/>
        </w:rPr>
      </w:pPr>
    </w:p>
    <w:p w:rsidR="00F72F49" w:rsidRPr="006D5717" w:rsidRDefault="00F72F49" w:rsidP="00C33D5F">
      <w:pPr>
        <w:spacing w:line="360" w:lineRule="auto"/>
        <w:jc w:val="both"/>
        <w:rPr>
          <w:rFonts w:ascii="Perpetua" w:hAnsi="Perpetua"/>
        </w:rPr>
      </w:pPr>
      <w:r w:rsidRPr="0094569F">
        <w:rPr>
          <w:rFonts w:ascii="Perpetua" w:hAnsi="Perpetua"/>
          <w:u w:val="single"/>
        </w:rPr>
        <w:t xml:space="preserve">PIB </w:t>
      </w:r>
      <w:proofErr w:type="gramStart"/>
      <w:r w:rsidR="00BF6760" w:rsidRPr="00BF6760">
        <w:rPr>
          <w:rFonts w:ascii="Perpetua" w:hAnsi="Perpetua"/>
          <w:i/>
          <w:u w:val="single"/>
        </w:rPr>
        <w:t>per capita</w:t>
      </w:r>
      <w:proofErr w:type="gramEnd"/>
      <w:r w:rsidRPr="006215F8">
        <w:rPr>
          <w:rFonts w:ascii="Perpetua" w:hAnsi="Perpetua"/>
        </w:rPr>
        <w:t xml:space="preserve"> (pibpc_01)</w:t>
      </w:r>
      <w:r>
        <w:rPr>
          <w:rFonts w:ascii="Perpetua" w:hAnsi="Perpetua"/>
        </w:rPr>
        <w:t xml:space="preserve"> – Produto Interno Bruto </w:t>
      </w:r>
      <w:r w:rsidR="00BF6760" w:rsidRPr="00BF6760">
        <w:rPr>
          <w:rFonts w:ascii="Perpetua" w:hAnsi="Perpetua"/>
          <w:i/>
        </w:rPr>
        <w:t>per capita</w:t>
      </w:r>
      <w:r>
        <w:rPr>
          <w:rFonts w:ascii="Perpetua" w:hAnsi="Perpetua"/>
        </w:rPr>
        <w:t xml:space="preserve"> da </w:t>
      </w:r>
      <w:r w:rsidRPr="006D5717">
        <w:rPr>
          <w:rFonts w:ascii="Perpetua" w:hAnsi="Perpetua"/>
        </w:rPr>
        <w:t>NUT III onde o tribunal está instalado</w:t>
      </w:r>
      <w:r>
        <w:rPr>
          <w:rFonts w:ascii="Perpetua" w:hAnsi="Perpetua"/>
        </w:rPr>
        <w:t>.</w:t>
      </w:r>
    </w:p>
    <w:p w:rsidR="00284F86" w:rsidRDefault="00284F86" w:rsidP="00C33D5F">
      <w:pPr>
        <w:spacing w:line="360" w:lineRule="auto"/>
        <w:jc w:val="both"/>
        <w:rPr>
          <w:rFonts w:ascii="Perpetua" w:hAnsi="Perpetua"/>
        </w:rPr>
      </w:pPr>
    </w:p>
    <w:p w:rsidR="00F72F49" w:rsidRDefault="00470EB1" w:rsidP="00C33D5F">
      <w:pPr>
        <w:pStyle w:val="Heading4"/>
        <w:spacing w:line="360" w:lineRule="auto"/>
      </w:pPr>
      <w:bookmarkStart w:id="109" w:name="_Toc206652079"/>
      <w:bookmarkStart w:id="110" w:name="_Toc220484480"/>
      <w:r>
        <w:t>4.3.2.4.</w:t>
      </w:r>
      <w:r w:rsidR="00F72F49">
        <w:t xml:space="preserve"> Interpretação</w:t>
      </w:r>
      <w:r>
        <w:t xml:space="preserve"> dos resultados</w:t>
      </w:r>
      <w:bookmarkEnd w:id="109"/>
      <w:bookmarkEnd w:id="110"/>
    </w:p>
    <w:p w:rsidR="00F72F49" w:rsidRDefault="00F72F49" w:rsidP="00C33D5F">
      <w:pPr>
        <w:spacing w:line="360" w:lineRule="auto"/>
        <w:jc w:val="both"/>
        <w:rPr>
          <w:rFonts w:ascii="Perpetua" w:hAnsi="Perpetua"/>
        </w:rPr>
      </w:pPr>
    </w:p>
    <w:p w:rsidR="00F72F49" w:rsidRDefault="0096787E" w:rsidP="00C33D5F">
      <w:pPr>
        <w:spacing w:line="360" w:lineRule="auto"/>
        <w:jc w:val="both"/>
        <w:rPr>
          <w:rFonts w:ascii="Perpetua" w:hAnsi="Perpetua"/>
        </w:rPr>
      </w:pPr>
      <w:r>
        <w:rPr>
          <w:rFonts w:ascii="Perpetua" w:hAnsi="Perpetua"/>
        </w:rPr>
        <w:t xml:space="preserve">Após a </w:t>
      </w:r>
      <w:r w:rsidR="001A0442">
        <w:rPr>
          <w:rFonts w:ascii="Perpetua" w:hAnsi="Perpetua"/>
        </w:rPr>
        <w:t>apresentação das escolhas metodológicas e do</w:t>
      </w:r>
      <w:r>
        <w:rPr>
          <w:rFonts w:ascii="Perpetua" w:hAnsi="Perpetua"/>
        </w:rPr>
        <w:t xml:space="preserve"> modelo econométrico da produção de serviços judiciais </w:t>
      </w:r>
      <w:r w:rsidR="001A0442">
        <w:rPr>
          <w:rFonts w:ascii="Perpetua" w:hAnsi="Perpetua"/>
        </w:rPr>
        <w:t xml:space="preserve">utilizado este trabalho </w:t>
      </w:r>
      <w:r>
        <w:rPr>
          <w:rFonts w:ascii="Perpetua" w:hAnsi="Perpetua"/>
        </w:rPr>
        <w:t>importa tornar clara qual a</w:t>
      </w:r>
      <w:r w:rsidR="00F72F49">
        <w:rPr>
          <w:rFonts w:ascii="Perpetua" w:hAnsi="Perpetua"/>
        </w:rPr>
        <w:t xml:space="preserve"> inter</w:t>
      </w:r>
      <w:r>
        <w:rPr>
          <w:rFonts w:ascii="Perpetua" w:hAnsi="Perpetua"/>
        </w:rPr>
        <w:t>pretação dos resultados da</w:t>
      </w:r>
      <w:r w:rsidR="001A0442">
        <w:rPr>
          <w:rFonts w:ascii="Perpetua" w:hAnsi="Perpetua"/>
        </w:rPr>
        <w:t xml:space="preserve"> análise empírica</w:t>
      </w:r>
      <w:r>
        <w:rPr>
          <w:rFonts w:ascii="Perpetua" w:hAnsi="Perpetua"/>
        </w:rPr>
        <w:t xml:space="preserve">. </w:t>
      </w:r>
      <w:r w:rsidR="00F72F49">
        <w:rPr>
          <w:rFonts w:ascii="Perpetua" w:hAnsi="Perpetua"/>
        </w:rPr>
        <w:t>No contexto das limitações informativas existentes e da té</w:t>
      </w:r>
      <w:r>
        <w:rPr>
          <w:rFonts w:ascii="Perpetua" w:hAnsi="Perpetua"/>
        </w:rPr>
        <w:t>cnica econométrica utilizada,</w:t>
      </w:r>
      <w:r w:rsidR="00F72F49">
        <w:rPr>
          <w:rFonts w:ascii="Perpetua" w:hAnsi="Perpetua"/>
        </w:rPr>
        <w:t xml:space="preserve"> </w:t>
      </w:r>
      <w:r w:rsidR="001A0442">
        <w:rPr>
          <w:rFonts w:ascii="Perpetua" w:hAnsi="Perpetua"/>
        </w:rPr>
        <w:t xml:space="preserve">a medida de produtividade judicial utilizada mede indirectamente </w:t>
      </w:r>
      <w:r w:rsidR="00F72F49">
        <w:rPr>
          <w:rFonts w:ascii="Perpetua" w:hAnsi="Perpetua"/>
        </w:rPr>
        <w:t xml:space="preserve">a eficiência produtiva média das unidades produtivas. </w:t>
      </w:r>
      <w:r w:rsidR="001A0442">
        <w:rPr>
          <w:rFonts w:ascii="Perpetua" w:hAnsi="Perpetua"/>
        </w:rPr>
        <w:t>Por outro lado, o estimação do modelo econométrico</w:t>
      </w:r>
      <w:r w:rsidR="00F72F49">
        <w:rPr>
          <w:rFonts w:ascii="Perpetua" w:hAnsi="Perpetua"/>
        </w:rPr>
        <w:t xml:space="preserve"> efectua</w:t>
      </w:r>
      <w:r w:rsidR="00284F86">
        <w:rPr>
          <w:rFonts w:ascii="Perpetua" w:hAnsi="Perpetua"/>
        </w:rPr>
        <w:t xml:space="preserve">da </w:t>
      </w:r>
      <w:r w:rsidR="00F72F49">
        <w:rPr>
          <w:rFonts w:ascii="Perpetua" w:hAnsi="Perpetua"/>
        </w:rPr>
        <w:t xml:space="preserve">no capítulo </w:t>
      </w:r>
      <w:r w:rsidR="00927E88">
        <w:rPr>
          <w:rFonts w:ascii="Perpetua" w:hAnsi="Perpetua"/>
        </w:rPr>
        <w:t>5</w:t>
      </w:r>
      <w:r w:rsidR="00F72F49">
        <w:rPr>
          <w:rFonts w:ascii="Perpetua" w:hAnsi="Perpetua"/>
        </w:rPr>
        <w:t xml:space="preserve"> permite testar a validade estatística de um conjunto de previsões baseadas na teoria económica</w:t>
      </w:r>
      <w:r w:rsidR="00927E88">
        <w:rPr>
          <w:rFonts w:ascii="Perpetua" w:hAnsi="Perpetua"/>
        </w:rPr>
        <w:t xml:space="preserve"> e de outras relações empiricamente válidas</w:t>
      </w:r>
      <w:r w:rsidR="00284F86">
        <w:rPr>
          <w:rFonts w:ascii="Perpetua" w:hAnsi="Perpetua"/>
        </w:rPr>
        <w:t>,</w:t>
      </w:r>
      <w:r w:rsidR="00927E88">
        <w:rPr>
          <w:rFonts w:ascii="Perpetua" w:hAnsi="Perpetua"/>
        </w:rPr>
        <w:t xml:space="preserve"> mas que não são previstas por nenhuma teoria particular</w:t>
      </w:r>
      <w:r w:rsidR="00F72F49">
        <w:rPr>
          <w:rFonts w:ascii="Perpetua" w:hAnsi="Perpetua"/>
        </w:rPr>
        <w:t xml:space="preserve">, designadamente a </w:t>
      </w:r>
      <w:r w:rsidR="001A0442">
        <w:rPr>
          <w:rFonts w:ascii="Perpetua" w:hAnsi="Perpetua"/>
        </w:rPr>
        <w:t>observação de</w:t>
      </w:r>
      <w:r w:rsidR="00F72F49">
        <w:rPr>
          <w:rFonts w:ascii="Perpetua" w:hAnsi="Perpetua"/>
        </w:rPr>
        <w:t xml:space="preserve"> certas propriedades </w:t>
      </w:r>
      <w:r w:rsidR="001A0442">
        <w:rPr>
          <w:rFonts w:ascii="Perpetua" w:hAnsi="Perpetua"/>
        </w:rPr>
        <w:t>tecnoló</w:t>
      </w:r>
      <w:r w:rsidR="00F72F49">
        <w:rPr>
          <w:rFonts w:ascii="Perpetua" w:hAnsi="Perpetua"/>
        </w:rPr>
        <w:t>gi</w:t>
      </w:r>
      <w:r w:rsidR="001A0442">
        <w:rPr>
          <w:rFonts w:ascii="Perpetua" w:hAnsi="Perpetua"/>
        </w:rPr>
        <w:t>c</w:t>
      </w:r>
      <w:r w:rsidR="00F72F49">
        <w:rPr>
          <w:rFonts w:ascii="Perpetua" w:hAnsi="Perpetua"/>
        </w:rPr>
        <w:t>a</w:t>
      </w:r>
      <w:r w:rsidR="001A0442">
        <w:rPr>
          <w:rFonts w:ascii="Perpetua" w:hAnsi="Perpetua"/>
        </w:rPr>
        <w:t>s</w:t>
      </w:r>
      <w:r w:rsidR="00F72F49">
        <w:rPr>
          <w:rFonts w:ascii="Perpetua" w:hAnsi="Perpetua"/>
        </w:rPr>
        <w:t xml:space="preserve"> (factores tecnológicos) e a influência de factores de contexto na produção de serviços das unidades produtivas analisadas</w:t>
      </w:r>
      <w:r w:rsidR="00927E88">
        <w:rPr>
          <w:rFonts w:ascii="Perpetua" w:hAnsi="Perpetua"/>
        </w:rPr>
        <w:t>. As hipóteses teóricas e demais relações são testadas</w:t>
      </w:r>
      <w:r w:rsidR="00F72F49">
        <w:rPr>
          <w:rFonts w:ascii="Perpetua" w:hAnsi="Perpetua"/>
        </w:rPr>
        <w:t xml:space="preserve"> através de testes </w:t>
      </w:r>
      <w:r w:rsidR="00927E88">
        <w:rPr>
          <w:rFonts w:ascii="Perpetua" w:hAnsi="Perpetua"/>
        </w:rPr>
        <w:t>(pass</w:t>
      </w:r>
      <w:r w:rsidR="001A0442">
        <w:rPr>
          <w:rFonts w:ascii="Perpetua" w:hAnsi="Perpetua"/>
        </w:rPr>
        <w:t>e</w:t>
      </w:r>
      <w:r w:rsidR="00927E88">
        <w:rPr>
          <w:rFonts w:ascii="Perpetua" w:hAnsi="Perpetua"/>
        </w:rPr>
        <w:t xml:space="preserve"> a </w:t>
      </w:r>
      <w:r w:rsidR="001A0442">
        <w:rPr>
          <w:rFonts w:ascii="Perpetua" w:hAnsi="Perpetua"/>
        </w:rPr>
        <w:t>redundância</w:t>
      </w:r>
      <w:r w:rsidR="00927E88">
        <w:rPr>
          <w:rFonts w:ascii="Perpetua" w:hAnsi="Perpetua"/>
        </w:rPr>
        <w:t xml:space="preserve">) </w:t>
      </w:r>
      <w:r w:rsidR="00F72F49">
        <w:rPr>
          <w:rFonts w:ascii="Perpetua" w:hAnsi="Perpetua"/>
        </w:rPr>
        <w:t>de significância estatística da relação entre os efeitos médios das variáveis representativas dos factores tecnológicos, dos factores de contexto, das variáveis indicativas das hipóteses testadas</w:t>
      </w:r>
      <w:r w:rsidR="001A0442">
        <w:rPr>
          <w:rFonts w:ascii="Perpetua" w:hAnsi="Perpetua"/>
        </w:rPr>
        <w:t>,</w:t>
      </w:r>
      <w:r w:rsidR="00F72F49">
        <w:rPr>
          <w:rFonts w:ascii="Perpetua" w:hAnsi="Perpetua"/>
        </w:rPr>
        <w:t xml:space="preserve"> e a variável </w:t>
      </w:r>
      <w:r w:rsidR="00284F86">
        <w:rPr>
          <w:rFonts w:ascii="Perpetua" w:hAnsi="Perpetua"/>
        </w:rPr>
        <w:t xml:space="preserve">indirecta </w:t>
      </w:r>
      <w:r w:rsidR="00F72F49">
        <w:rPr>
          <w:rFonts w:ascii="Perpetua" w:hAnsi="Perpetua"/>
        </w:rPr>
        <w:t xml:space="preserve">da eficiência produtiva média das unidades produtivas analisadas. </w:t>
      </w:r>
    </w:p>
    <w:p w:rsidR="00F72F49" w:rsidRDefault="00F72F49" w:rsidP="00C33D5F">
      <w:pPr>
        <w:spacing w:line="360" w:lineRule="auto"/>
        <w:jc w:val="both"/>
        <w:rPr>
          <w:rFonts w:ascii="Perpetua" w:hAnsi="Perpetua"/>
        </w:rPr>
      </w:pPr>
    </w:p>
    <w:p w:rsidR="00470EB1" w:rsidRDefault="00470EB1"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7F01BB" w:rsidRDefault="007F01BB" w:rsidP="00C33D5F">
      <w:pPr>
        <w:spacing w:line="360" w:lineRule="auto"/>
        <w:jc w:val="both"/>
        <w:rPr>
          <w:rFonts w:ascii="Perpetua" w:hAnsi="Perpetua"/>
          <w:b/>
        </w:rPr>
      </w:pPr>
    </w:p>
    <w:p w:rsidR="001E5B3A" w:rsidRDefault="001E5B3A" w:rsidP="00C33D5F">
      <w:pPr>
        <w:spacing w:line="360" w:lineRule="auto"/>
        <w:jc w:val="both"/>
        <w:rPr>
          <w:rFonts w:ascii="Perpetua" w:hAnsi="Perpetua"/>
          <w:b/>
        </w:rPr>
      </w:pPr>
    </w:p>
    <w:p w:rsidR="001E5B3A" w:rsidRDefault="001E5B3A" w:rsidP="00C33D5F">
      <w:pPr>
        <w:spacing w:line="360" w:lineRule="auto"/>
        <w:jc w:val="both"/>
        <w:rPr>
          <w:rFonts w:ascii="Perpetua" w:hAnsi="Perpetua"/>
          <w:b/>
        </w:rPr>
      </w:pPr>
    </w:p>
    <w:p w:rsidR="001E5B3A" w:rsidRDefault="001E5B3A" w:rsidP="00C33D5F">
      <w:pPr>
        <w:spacing w:line="360" w:lineRule="auto"/>
        <w:jc w:val="both"/>
        <w:rPr>
          <w:rFonts w:ascii="Perpetua" w:hAnsi="Perpetua"/>
          <w:b/>
        </w:rPr>
      </w:pPr>
    </w:p>
    <w:p w:rsidR="001E5B3A" w:rsidRDefault="001E5B3A" w:rsidP="00C33D5F">
      <w:pPr>
        <w:spacing w:line="360" w:lineRule="auto"/>
        <w:jc w:val="both"/>
        <w:rPr>
          <w:rFonts w:ascii="Perpetua" w:hAnsi="Perpetua"/>
          <w:b/>
        </w:rPr>
      </w:pPr>
    </w:p>
    <w:p w:rsidR="00284F86" w:rsidRDefault="00284F8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3607F6" w:rsidRDefault="003607F6" w:rsidP="00C33D5F">
      <w:pPr>
        <w:spacing w:line="360" w:lineRule="auto"/>
        <w:jc w:val="both"/>
        <w:rPr>
          <w:rFonts w:ascii="Perpetua" w:hAnsi="Perpetua"/>
          <w:b/>
        </w:rPr>
      </w:pPr>
    </w:p>
    <w:p w:rsidR="00284F86" w:rsidRDefault="00284F86" w:rsidP="00C33D5F">
      <w:pPr>
        <w:spacing w:line="360" w:lineRule="auto"/>
        <w:jc w:val="both"/>
        <w:rPr>
          <w:rFonts w:ascii="Perpetua" w:hAnsi="Perpetua"/>
          <w:b/>
        </w:rPr>
      </w:pPr>
    </w:p>
    <w:p w:rsidR="00F72F49" w:rsidRPr="0065201F" w:rsidRDefault="00F72F49" w:rsidP="00470EB1">
      <w:pPr>
        <w:pStyle w:val="Heading1"/>
      </w:pPr>
      <w:bookmarkStart w:id="111" w:name="_Toc220484481"/>
      <w:bookmarkStart w:id="112" w:name="_Toc206652080"/>
      <w:r>
        <w:t>Análise e</w:t>
      </w:r>
      <w:r w:rsidR="006902F2">
        <w:t>conométrica</w:t>
      </w:r>
      <w:bookmarkEnd w:id="111"/>
      <w:r w:rsidR="009F1342">
        <w:t xml:space="preserve"> </w:t>
      </w:r>
      <w:bookmarkEnd w:id="112"/>
    </w:p>
    <w:p w:rsidR="00AB6A96" w:rsidRDefault="00AB6A96" w:rsidP="00F72F49">
      <w:pPr>
        <w:spacing w:line="360" w:lineRule="auto"/>
        <w:jc w:val="both"/>
        <w:rPr>
          <w:rFonts w:ascii="Perpetua" w:hAnsi="Perpetua"/>
        </w:rPr>
      </w:pPr>
    </w:p>
    <w:p w:rsidR="00F72F49" w:rsidRPr="00D9380B" w:rsidRDefault="00470EB1" w:rsidP="00470EB1">
      <w:pPr>
        <w:pStyle w:val="Heading2"/>
      </w:pPr>
      <w:bookmarkStart w:id="113" w:name="_Toc206652081"/>
      <w:bookmarkStart w:id="114" w:name="_Toc220484482"/>
      <w:r>
        <w:t>5</w:t>
      </w:r>
      <w:r w:rsidR="00F72F49" w:rsidRPr="00D9380B">
        <w:t>. 1 Introdução</w:t>
      </w:r>
      <w:bookmarkEnd w:id="113"/>
      <w:bookmarkEnd w:id="114"/>
    </w:p>
    <w:p w:rsidR="00F72F49" w:rsidRDefault="00F72F49" w:rsidP="00F72F49">
      <w:pPr>
        <w:spacing w:line="360" w:lineRule="auto"/>
        <w:jc w:val="both"/>
        <w:rPr>
          <w:rFonts w:ascii="Perpetua" w:hAnsi="Perpetua"/>
        </w:rPr>
      </w:pPr>
    </w:p>
    <w:p w:rsidR="00F72F49" w:rsidRPr="0065201F" w:rsidRDefault="00F72F49" w:rsidP="00F72F49">
      <w:pPr>
        <w:keepNext/>
        <w:framePr w:dropCap="drop" w:lines="3" w:wrap="around" w:vAnchor="text" w:hAnchor="text"/>
        <w:spacing w:line="1237" w:lineRule="exact"/>
        <w:jc w:val="both"/>
        <w:textAlignment w:val="baseline"/>
        <w:rPr>
          <w:rFonts w:ascii="Perpetua" w:hAnsi="Perpetua"/>
          <w:position w:val="-1"/>
          <w:sz w:val="164"/>
        </w:rPr>
      </w:pPr>
      <w:r>
        <w:rPr>
          <w:rFonts w:ascii="Perpetua" w:hAnsi="Perpetua"/>
          <w:position w:val="-1"/>
          <w:sz w:val="164"/>
        </w:rPr>
        <w:t>A</w:t>
      </w:r>
    </w:p>
    <w:p w:rsidR="00F72F49" w:rsidRDefault="00F72F49" w:rsidP="00F72F49">
      <w:pPr>
        <w:spacing w:line="360" w:lineRule="auto"/>
        <w:jc w:val="both"/>
        <w:rPr>
          <w:rFonts w:ascii="Perpetua" w:hAnsi="Perpetua"/>
        </w:rPr>
      </w:pPr>
      <w:r>
        <w:rPr>
          <w:rFonts w:ascii="Perpetua" w:hAnsi="Perpetua"/>
        </w:rPr>
        <w:t xml:space="preserve">análise empírica </w:t>
      </w:r>
      <w:r w:rsidR="00B45AE5">
        <w:rPr>
          <w:rFonts w:ascii="Perpetua" w:hAnsi="Perpetua"/>
        </w:rPr>
        <w:t xml:space="preserve">efectuada </w:t>
      </w:r>
      <w:r w:rsidR="00B872A1">
        <w:rPr>
          <w:rFonts w:ascii="Perpetua" w:hAnsi="Perpetua"/>
        </w:rPr>
        <w:t xml:space="preserve">neste capítulo tem como </w:t>
      </w:r>
      <w:r>
        <w:rPr>
          <w:rFonts w:ascii="Perpetua" w:hAnsi="Perpetua"/>
        </w:rPr>
        <w:t>objectivo testar a validade estatística das hipótese teóricas formuladas n</w:t>
      </w:r>
      <w:r w:rsidR="00927E88">
        <w:rPr>
          <w:rFonts w:ascii="Perpetua" w:hAnsi="Perpetua"/>
        </w:rPr>
        <w:t xml:space="preserve">a secção 4.2. e </w:t>
      </w:r>
      <w:r w:rsidR="00B872A1">
        <w:rPr>
          <w:rFonts w:ascii="Perpetua" w:hAnsi="Perpetua"/>
        </w:rPr>
        <w:t xml:space="preserve">explorar </w:t>
      </w:r>
      <w:r w:rsidR="00927E88">
        <w:rPr>
          <w:rFonts w:ascii="Perpetua" w:hAnsi="Perpetua"/>
        </w:rPr>
        <w:t>relaç</w:t>
      </w:r>
      <w:r w:rsidR="00AB6A96">
        <w:rPr>
          <w:rFonts w:ascii="Perpetua" w:hAnsi="Perpetua"/>
        </w:rPr>
        <w:t>ões causais que, não sendo previstas por nenhuma teoria particular, a observação empírica do processo produtivo dos serviços judiciais sugere que pode</w:t>
      </w:r>
      <w:r w:rsidR="00B872A1">
        <w:rPr>
          <w:rFonts w:ascii="Perpetua" w:hAnsi="Perpetua"/>
        </w:rPr>
        <w:t>m</w:t>
      </w:r>
      <w:r w:rsidR="00AB6A96">
        <w:rPr>
          <w:rFonts w:ascii="Perpetua" w:hAnsi="Perpetua"/>
        </w:rPr>
        <w:t xml:space="preserve"> afectar a eficiência produtiva dos tribunais. Para esse efeito estima-se o modelo </w:t>
      </w:r>
      <w:r>
        <w:rPr>
          <w:rFonts w:ascii="Perpetua" w:hAnsi="Perpetua"/>
        </w:rPr>
        <w:t>econométric</w:t>
      </w:r>
      <w:r w:rsidR="00AB6A96">
        <w:rPr>
          <w:rFonts w:ascii="Perpetua" w:hAnsi="Perpetua"/>
        </w:rPr>
        <w:t>o</w:t>
      </w:r>
      <w:r>
        <w:rPr>
          <w:rFonts w:ascii="Perpetua" w:hAnsi="Perpetua"/>
        </w:rPr>
        <w:t xml:space="preserve"> propost</w:t>
      </w:r>
      <w:r w:rsidR="00AB6A96">
        <w:rPr>
          <w:rFonts w:ascii="Perpetua" w:hAnsi="Perpetua"/>
        </w:rPr>
        <w:t>o</w:t>
      </w:r>
      <w:r>
        <w:rPr>
          <w:rFonts w:ascii="Perpetua" w:hAnsi="Perpetua"/>
        </w:rPr>
        <w:t xml:space="preserve"> n</w:t>
      </w:r>
      <w:r w:rsidR="00AB6A96">
        <w:rPr>
          <w:rFonts w:ascii="Perpetua" w:hAnsi="Perpetua"/>
        </w:rPr>
        <w:t xml:space="preserve">a secção 4.3. mediante </w:t>
      </w:r>
      <w:r>
        <w:rPr>
          <w:rFonts w:ascii="Perpetua" w:hAnsi="Perpetua"/>
        </w:rPr>
        <w:t xml:space="preserve">técnicas clássicas de análise </w:t>
      </w:r>
      <w:r w:rsidR="00B872A1">
        <w:rPr>
          <w:rFonts w:ascii="Perpetua" w:hAnsi="Perpetua"/>
        </w:rPr>
        <w:t xml:space="preserve">de </w:t>
      </w:r>
      <w:r>
        <w:rPr>
          <w:rFonts w:ascii="Perpetua" w:hAnsi="Perpetua"/>
        </w:rPr>
        <w:t xml:space="preserve">regressão </w:t>
      </w:r>
      <w:r w:rsidR="00AB6A96">
        <w:rPr>
          <w:rFonts w:ascii="Perpetua" w:hAnsi="Perpetua"/>
        </w:rPr>
        <w:t xml:space="preserve">aplicadas à </w:t>
      </w:r>
      <w:r>
        <w:rPr>
          <w:rFonts w:ascii="Perpetua" w:hAnsi="Perpetua"/>
        </w:rPr>
        <w:t>base de dados em formato seccional para o ano de 2001. A organização do presente capítulo é a seguinte: n</w:t>
      </w:r>
      <w:r w:rsidR="00EA48FA">
        <w:rPr>
          <w:rFonts w:ascii="Perpetua" w:hAnsi="Perpetua"/>
        </w:rPr>
        <w:t>a secçã</w:t>
      </w:r>
      <w:r>
        <w:rPr>
          <w:rFonts w:ascii="Perpetua" w:hAnsi="Perpetua"/>
        </w:rPr>
        <w:t xml:space="preserve">o </w:t>
      </w:r>
      <w:r w:rsidR="00EA48FA">
        <w:rPr>
          <w:rFonts w:ascii="Perpetua" w:hAnsi="Perpetua"/>
        </w:rPr>
        <w:t>5.2</w:t>
      </w:r>
      <w:r w:rsidR="007F1308">
        <w:rPr>
          <w:rFonts w:ascii="Perpetua" w:hAnsi="Perpetua"/>
        </w:rPr>
        <w:t>.</w:t>
      </w:r>
      <w:r>
        <w:rPr>
          <w:rFonts w:ascii="Perpetua" w:hAnsi="Perpetua"/>
        </w:rPr>
        <w:t xml:space="preserve"> apresenta</w:t>
      </w:r>
      <w:r w:rsidR="00B45AE5">
        <w:rPr>
          <w:rFonts w:ascii="Perpetua" w:hAnsi="Perpetua"/>
        </w:rPr>
        <w:t>m-se</w:t>
      </w:r>
      <w:r>
        <w:rPr>
          <w:rFonts w:ascii="Perpetua" w:hAnsi="Perpetua"/>
        </w:rPr>
        <w:t xml:space="preserve"> as principais conclusões da análise estatística preliminar da variáve</w:t>
      </w:r>
      <w:r w:rsidR="00B872A1">
        <w:rPr>
          <w:rFonts w:ascii="Perpetua" w:hAnsi="Perpetua"/>
        </w:rPr>
        <w:t>l</w:t>
      </w:r>
      <w:r>
        <w:rPr>
          <w:rFonts w:ascii="Perpetua" w:hAnsi="Perpetua"/>
        </w:rPr>
        <w:t xml:space="preserve"> endógena (produtividade judicial média) e </w:t>
      </w:r>
      <w:r w:rsidR="00B872A1">
        <w:rPr>
          <w:rFonts w:ascii="Perpetua" w:hAnsi="Perpetua"/>
        </w:rPr>
        <w:t xml:space="preserve">das variáveis </w:t>
      </w:r>
      <w:r>
        <w:rPr>
          <w:rFonts w:ascii="Perpetua" w:hAnsi="Perpetua"/>
        </w:rPr>
        <w:t xml:space="preserve">exógenas </w:t>
      </w:r>
      <w:r w:rsidR="00B45AE5">
        <w:rPr>
          <w:rFonts w:ascii="Perpetua" w:hAnsi="Perpetua"/>
        </w:rPr>
        <w:t xml:space="preserve">incluídas </w:t>
      </w:r>
      <w:r>
        <w:rPr>
          <w:rFonts w:ascii="Perpetua" w:hAnsi="Perpetua"/>
        </w:rPr>
        <w:t>na análise de regressão</w:t>
      </w:r>
      <w:r w:rsidR="00AB6A96">
        <w:rPr>
          <w:rFonts w:ascii="Perpetua" w:hAnsi="Perpetua"/>
        </w:rPr>
        <w:t>;</w:t>
      </w:r>
      <w:r>
        <w:rPr>
          <w:rFonts w:ascii="Perpetua" w:hAnsi="Perpetua"/>
        </w:rPr>
        <w:t xml:space="preserve"> no ponto </w:t>
      </w:r>
      <w:r w:rsidR="00EA48FA">
        <w:rPr>
          <w:rFonts w:ascii="Perpetua" w:hAnsi="Perpetua"/>
        </w:rPr>
        <w:t>5</w:t>
      </w:r>
      <w:r>
        <w:rPr>
          <w:rFonts w:ascii="Perpetua" w:hAnsi="Perpetua"/>
        </w:rPr>
        <w:t>.</w:t>
      </w:r>
      <w:r w:rsidR="00EA48FA">
        <w:rPr>
          <w:rFonts w:ascii="Perpetua" w:hAnsi="Perpetua"/>
        </w:rPr>
        <w:t>3</w:t>
      </w:r>
      <w:r>
        <w:rPr>
          <w:rFonts w:ascii="Perpetua" w:hAnsi="Perpetua"/>
        </w:rPr>
        <w:t xml:space="preserve"> apresenta</w:t>
      </w:r>
      <w:r w:rsidR="00B45AE5">
        <w:rPr>
          <w:rFonts w:ascii="Perpetua" w:hAnsi="Perpetua"/>
        </w:rPr>
        <w:t>m-se</w:t>
      </w:r>
      <w:r>
        <w:rPr>
          <w:rFonts w:ascii="Perpetua" w:hAnsi="Perpetua"/>
        </w:rPr>
        <w:t xml:space="preserve"> os resultados da análise de regressão e a </w:t>
      </w:r>
      <w:r w:rsidR="00B45AE5">
        <w:rPr>
          <w:rFonts w:ascii="Perpetua" w:hAnsi="Perpetua"/>
        </w:rPr>
        <w:t>s</w:t>
      </w:r>
      <w:r>
        <w:rPr>
          <w:rFonts w:ascii="Perpetua" w:hAnsi="Perpetua"/>
        </w:rPr>
        <w:t xml:space="preserve">ua interpretação </w:t>
      </w:r>
      <w:r w:rsidR="002F233D">
        <w:rPr>
          <w:rFonts w:ascii="Perpetua" w:hAnsi="Perpetua"/>
        </w:rPr>
        <w:t xml:space="preserve">é discutida </w:t>
      </w:r>
      <w:r>
        <w:rPr>
          <w:rFonts w:ascii="Perpetua" w:hAnsi="Perpetua"/>
        </w:rPr>
        <w:t>à luz das hipóteses formuladas n</w:t>
      </w:r>
      <w:r w:rsidR="00EA48FA">
        <w:rPr>
          <w:rFonts w:ascii="Perpetua" w:hAnsi="Perpetua"/>
        </w:rPr>
        <w:t>a secção 4.2</w:t>
      </w:r>
      <w:r w:rsidR="007F1308">
        <w:rPr>
          <w:rFonts w:ascii="Perpetua" w:hAnsi="Perpetua"/>
        </w:rPr>
        <w:t>.</w:t>
      </w:r>
      <w:r>
        <w:rPr>
          <w:rFonts w:ascii="Perpetua" w:hAnsi="Perpetua"/>
        </w:rPr>
        <w:t xml:space="preserve"> e da modelação </w:t>
      </w:r>
      <w:r w:rsidR="00AB6A96">
        <w:rPr>
          <w:rFonts w:ascii="Perpetua" w:hAnsi="Perpetua"/>
        </w:rPr>
        <w:t xml:space="preserve">econométrica </w:t>
      </w:r>
      <w:r>
        <w:rPr>
          <w:rFonts w:ascii="Perpetua" w:hAnsi="Perpetua"/>
        </w:rPr>
        <w:t>proposta n</w:t>
      </w:r>
      <w:r w:rsidR="00EA48FA">
        <w:rPr>
          <w:rFonts w:ascii="Perpetua" w:hAnsi="Perpetua"/>
        </w:rPr>
        <w:t xml:space="preserve">a secção </w:t>
      </w:r>
      <w:r w:rsidR="00AB6A96">
        <w:rPr>
          <w:rFonts w:ascii="Perpetua" w:hAnsi="Perpetua"/>
        </w:rPr>
        <w:t>4</w:t>
      </w:r>
      <w:r w:rsidR="00EA48FA">
        <w:rPr>
          <w:rFonts w:ascii="Perpetua" w:hAnsi="Perpetua"/>
        </w:rPr>
        <w:t>.3</w:t>
      </w:r>
      <w:r>
        <w:rPr>
          <w:rFonts w:ascii="Perpetua" w:hAnsi="Perpetua"/>
        </w:rPr>
        <w:t xml:space="preserve">. O ponto </w:t>
      </w:r>
      <w:r w:rsidR="00EA48FA">
        <w:rPr>
          <w:rFonts w:ascii="Perpetua" w:hAnsi="Perpetua"/>
        </w:rPr>
        <w:t>5.4</w:t>
      </w:r>
      <w:r>
        <w:rPr>
          <w:rFonts w:ascii="Perpetua" w:hAnsi="Perpetua"/>
        </w:rPr>
        <w:t xml:space="preserve">. sintetiza as </w:t>
      </w:r>
      <w:r w:rsidR="00AB6A96">
        <w:rPr>
          <w:rFonts w:ascii="Perpetua" w:hAnsi="Perpetua"/>
        </w:rPr>
        <w:t xml:space="preserve">principais </w:t>
      </w:r>
      <w:r>
        <w:rPr>
          <w:rFonts w:ascii="Perpetua" w:hAnsi="Perpetua"/>
        </w:rPr>
        <w:t>conclusões d</w:t>
      </w:r>
      <w:r w:rsidR="00AB6A96">
        <w:rPr>
          <w:rFonts w:ascii="Perpetua" w:hAnsi="Perpetua"/>
        </w:rPr>
        <w:t>a análise empírica</w:t>
      </w:r>
      <w:r>
        <w:rPr>
          <w:rFonts w:ascii="Perpetua" w:hAnsi="Perpetua"/>
        </w:rPr>
        <w:t>.</w:t>
      </w:r>
    </w:p>
    <w:p w:rsidR="00F72F49" w:rsidRDefault="00F72F49" w:rsidP="00F72F49">
      <w:pPr>
        <w:spacing w:line="360" w:lineRule="auto"/>
        <w:jc w:val="both"/>
        <w:rPr>
          <w:rFonts w:ascii="Perpetua" w:hAnsi="Perpetua"/>
        </w:rPr>
      </w:pPr>
    </w:p>
    <w:p w:rsidR="00F72F49" w:rsidRPr="00D9380B" w:rsidRDefault="00F73C55" w:rsidP="00F73C55">
      <w:pPr>
        <w:pStyle w:val="Heading2"/>
      </w:pPr>
      <w:bookmarkStart w:id="115" w:name="_Toc206652082"/>
      <w:bookmarkStart w:id="116" w:name="_Toc220484483"/>
      <w:r>
        <w:t>5</w:t>
      </w:r>
      <w:r w:rsidR="00F72F49" w:rsidRPr="00D9380B">
        <w:t xml:space="preserve">.2. Análise </w:t>
      </w:r>
      <w:r>
        <w:t xml:space="preserve">estatística </w:t>
      </w:r>
      <w:r w:rsidR="00F72F49" w:rsidRPr="00D9380B">
        <w:t>preliminar</w:t>
      </w:r>
      <w:r w:rsidR="00F72F49">
        <w:rPr>
          <w:rStyle w:val="FootnoteReference"/>
          <w:b w:val="0"/>
        </w:rPr>
        <w:footnoteReference w:id="106"/>
      </w:r>
      <w:bookmarkEnd w:id="115"/>
      <w:bookmarkEnd w:id="116"/>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primeira condição para aplicação da análise de regressão é a existência de variância </w:t>
      </w:r>
      <w:r w:rsidR="00D41D22">
        <w:rPr>
          <w:rFonts w:ascii="Perpetua" w:hAnsi="Perpetua"/>
        </w:rPr>
        <w:t xml:space="preserve">na variável endógena. Através do Gráfico 5.1 </w:t>
      </w:r>
      <w:r>
        <w:rPr>
          <w:rFonts w:ascii="Perpetua" w:hAnsi="Perpetua"/>
        </w:rPr>
        <w:t xml:space="preserve">é possível constatar que os valores da produtividade judicial média </w:t>
      </w:r>
      <w:r w:rsidR="00D41D22">
        <w:rPr>
          <w:rFonts w:ascii="Perpetua" w:hAnsi="Perpetua"/>
        </w:rPr>
        <w:t xml:space="preserve">(total de processos findos em cada tribunal em 2001 sobre o número de magistrados judiciais afectos a cada tribunal nesse mesmo ano) dos </w:t>
      </w:r>
      <w:r>
        <w:rPr>
          <w:rFonts w:ascii="Perpetua" w:hAnsi="Perpetua"/>
        </w:rPr>
        <w:t>tribunais da am</w:t>
      </w:r>
      <w:r w:rsidR="002F233D">
        <w:rPr>
          <w:rFonts w:ascii="Perpetua" w:hAnsi="Perpetua"/>
        </w:rPr>
        <w:t>ostra são bastante heterogéneos.</w:t>
      </w:r>
      <w:r>
        <w:rPr>
          <w:rFonts w:ascii="Perpetua" w:hAnsi="Perpetua"/>
        </w:rPr>
        <w:t xml:space="preserve"> </w:t>
      </w:r>
    </w:p>
    <w:p w:rsidR="00F72F49" w:rsidRDefault="00F72F49" w:rsidP="00F72F49">
      <w:pPr>
        <w:spacing w:line="360" w:lineRule="auto"/>
        <w:jc w:val="both"/>
        <w:rPr>
          <w:rFonts w:ascii="Perpetua" w:hAnsi="Perpetua"/>
        </w:rPr>
      </w:pPr>
    </w:p>
    <w:p w:rsidR="00B872A1" w:rsidRDefault="00B872A1" w:rsidP="00F72F49">
      <w:pPr>
        <w:spacing w:line="360" w:lineRule="auto"/>
        <w:jc w:val="both"/>
        <w:rPr>
          <w:rFonts w:ascii="Perpetua" w:hAnsi="Perpetua"/>
        </w:rPr>
      </w:pPr>
    </w:p>
    <w:p w:rsidR="00AB6A96" w:rsidRDefault="00AB6A96" w:rsidP="00F72F49">
      <w:pPr>
        <w:spacing w:line="360" w:lineRule="auto"/>
        <w:jc w:val="both"/>
        <w:rPr>
          <w:rFonts w:ascii="Perpetua" w:hAnsi="Perpetua"/>
        </w:rPr>
      </w:pPr>
    </w:p>
    <w:p w:rsidR="00B45AE5" w:rsidRDefault="00B45AE5" w:rsidP="00F72F49">
      <w:pPr>
        <w:spacing w:line="360" w:lineRule="auto"/>
        <w:jc w:val="both"/>
        <w:rPr>
          <w:rFonts w:ascii="Perpetua" w:hAnsi="Perpetua"/>
        </w:rPr>
      </w:pPr>
    </w:p>
    <w:p w:rsidR="00B45AE5" w:rsidRDefault="00B45AE5" w:rsidP="00F72F49">
      <w:pPr>
        <w:spacing w:line="360" w:lineRule="auto"/>
        <w:jc w:val="both"/>
        <w:rPr>
          <w:rFonts w:ascii="Perpetua" w:hAnsi="Perpetua"/>
        </w:rPr>
      </w:pPr>
    </w:p>
    <w:p w:rsidR="00AB6A96" w:rsidRDefault="00AB6A96" w:rsidP="00F72F49">
      <w:pPr>
        <w:spacing w:line="360" w:lineRule="auto"/>
        <w:jc w:val="both"/>
        <w:rPr>
          <w:rFonts w:ascii="Perpetua" w:hAnsi="Perpetua"/>
        </w:rPr>
      </w:pPr>
    </w:p>
    <w:p w:rsidR="00AB6A96" w:rsidRDefault="00AB6A96" w:rsidP="00F72F49">
      <w:pPr>
        <w:spacing w:line="360" w:lineRule="auto"/>
        <w:jc w:val="both"/>
        <w:rPr>
          <w:rFonts w:ascii="Perpetua" w:hAnsi="Perpetua"/>
        </w:rPr>
      </w:pPr>
    </w:p>
    <w:p w:rsidR="002F233D" w:rsidRDefault="002F233D" w:rsidP="003903D0">
      <w:pPr>
        <w:pStyle w:val="Caption"/>
        <w:jc w:val="center"/>
        <w:rPr>
          <w:rFonts w:ascii="Perpetua" w:hAnsi="Perpetua"/>
        </w:rPr>
      </w:pPr>
    </w:p>
    <w:p w:rsidR="00F72F49" w:rsidRDefault="003903D0" w:rsidP="003903D0">
      <w:pPr>
        <w:pStyle w:val="Caption"/>
        <w:jc w:val="center"/>
        <w:rPr>
          <w:rFonts w:ascii="Perpetua" w:hAnsi="Perpetua"/>
        </w:rPr>
      </w:pPr>
      <w:bookmarkStart w:id="117" w:name="_Toc215081933"/>
      <w:r w:rsidRPr="003903D0">
        <w:rPr>
          <w:rFonts w:ascii="Perpetua" w:hAnsi="Perpetua"/>
        </w:rPr>
        <w:t xml:space="preserve">Gráfico </w:t>
      </w:r>
      <w:r w:rsidR="0048473F">
        <w:rPr>
          <w:rFonts w:ascii="Perpetua" w:hAnsi="Perpetua"/>
        </w:rPr>
        <w:fldChar w:fldCharType="begin"/>
      </w:r>
      <w:r w:rsidR="00A023D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A023D8">
        <w:rPr>
          <w:rFonts w:ascii="Perpetua" w:hAnsi="Perpetua"/>
        </w:rPr>
        <w:t>.</w:t>
      </w:r>
      <w:r w:rsidR="0048473F">
        <w:rPr>
          <w:rFonts w:ascii="Perpetua" w:hAnsi="Perpetua"/>
        </w:rPr>
        <w:fldChar w:fldCharType="begin"/>
      </w:r>
      <w:r w:rsidR="00A023D8">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sidR="00F72F49" w:rsidRPr="003903D0">
        <w:rPr>
          <w:rFonts w:ascii="Perpetua" w:hAnsi="Perpetua"/>
        </w:rPr>
        <w:t xml:space="preserve"> – Dispersão da produtividade judicial média dos tribunais, 2001</w:t>
      </w:r>
      <w:bookmarkEnd w:id="117"/>
    </w:p>
    <w:p w:rsidR="003903D0" w:rsidRPr="003903D0" w:rsidRDefault="003903D0" w:rsidP="003903D0"/>
    <w:p w:rsidR="00F72F49" w:rsidRDefault="00C82BCA" w:rsidP="00F72F49">
      <w:pPr>
        <w:spacing w:line="360" w:lineRule="auto"/>
        <w:jc w:val="center"/>
        <w:rPr>
          <w:rFonts w:ascii="Perpetua" w:hAnsi="Perpetua"/>
        </w:rPr>
      </w:pPr>
      <w:r>
        <w:rPr>
          <w:rFonts w:ascii="Perpetua" w:hAnsi="Perpetua"/>
          <w:noProof/>
        </w:rPr>
        <w:drawing>
          <wp:inline distT="0" distB="0" distL="0" distR="0">
            <wp:extent cx="3781425" cy="2657475"/>
            <wp:effectExtent l="0" t="0" r="0" b="0"/>
            <wp:docPr id="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2"/>
                    <a:srcRect/>
                    <a:stretch>
                      <a:fillRect/>
                    </a:stretch>
                  </pic:blipFill>
                  <pic:spPr bwMode="auto">
                    <a:xfrm>
                      <a:off x="0" y="0"/>
                      <a:ext cx="3781425" cy="2657475"/>
                    </a:xfrm>
                    <a:prstGeom prst="rect">
                      <a:avLst/>
                    </a:prstGeom>
                    <a:noFill/>
                    <a:ln w="9525">
                      <a:noFill/>
                      <a:miter lim="800000"/>
                      <a:headEnd/>
                      <a:tailEnd/>
                    </a:ln>
                  </pic:spPr>
                </pic:pic>
              </a:graphicData>
            </a:graphic>
          </wp:inline>
        </w:drawing>
      </w:r>
    </w:p>
    <w:p w:rsidR="00F72F49" w:rsidRDefault="00F72F49" w:rsidP="00F72F49">
      <w:pPr>
        <w:spacing w:line="360" w:lineRule="auto"/>
        <w:jc w:val="both"/>
        <w:rPr>
          <w:rFonts w:ascii="Perpetua" w:hAnsi="Perpetua"/>
        </w:rPr>
      </w:pPr>
    </w:p>
    <w:p w:rsidR="00616B80" w:rsidRDefault="00F72F49" w:rsidP="00616B80">
      <w:pPr>
        <w:spacing w:line="360" w:lineRule="auto"/>
        <w:jc w:val="both"/>
        <w:rPr>
          <w:rFonts w:ascii="Perpetua" w:hAnsi="Perpetua"/>
        </w:rPr>
      </w:pPr>
      <w:r>
        <w:rPr>
          <w:rFonts w:ascii="Perpetua" w:hAnsi="Perpetua"/>
        </w:rPr>
        <w:t xml:space="preserve">A plausibilidade da relação de causalidade entre a carga judicial média e a produtividade judicial média dos tribunais </w:t>
      </w:r>
      <w:r w:rsidR="002F233D">
        <w:rPr>
          <w:rFonts w:ascii="Perpetua" w:hAnsi="Perpetua"/>
        </w:rPr>
        <w:t xml:space="preserve">é </w:t>
      </w:r>
      <w:r>
        <w:rPr>
          <w:rFonts w:ascii="Perpetua" w:hAnsi="Perpetua"/>
        </w:rPr>
        <w:t xml:space="preserve">bastante </w:t>
      </w:r>
      <w:r w:rsidRPr="002F233D">
        <w:rPr>
          <w:rFonts w:ascii="Perpetua" w:hAnsi="Perpetua"/>
        </w:rPr>
        <w:t>e</w:t>
      </w:r>
      <w:r w:rsidR="002F233D" w:rsidRPr="002F233D">
        <w:rPr>
          <w:rFonts w:ascii="Perpetua" w:hAnsi="Perpetua"/>
        </w:rPr>
        <w:t>v</w:t>
      </w:r>
      <w:r w:rsidR="004E5D3A" w:rsidRPr="002F233D">
        <w:rPr>
          <w:rFonts w:ascii="Perpetua" w:hAnsi="Perpetua"/>
        </w:rPr>
        <w:t>ide</w:t>
      </w:r>
      <w:r w:rsidRPr="002F233D">
        <w:rPr>
          <w:rFonts w:ascii="Perpetua" w:hAnsi="Perpetua"/>
        </w:rPr>
        <w:t>nte</w:t>
      </w:r>
      <w:r>
        <w:rPr>
          <w:rFonts w:ascii="Perpetua" w:hAnsi="Perpetua"/>
        </w:rPr>
        <w:t xml:space="preserve"> pela mera análise do diagrama </w:t>
      </w:r>
      <w:r w:rsidR="00D41D22">
        <w:rPr>
          <w:rFonts w:ascii="Perpetua" w:hAnsi="Perpetua"/>
        </w:rPr>
        <w:t xml:space="preserve">de </w:t>
      </w:r>
      <w:r>
        <w:rPr>
          <w:rFonts w:ascii="Perpetua" w:hAnsi="Perpetua"/>
        </w:rPr>
        <w:t>dispersão da relação entre as duas variáveis</w:t>
      </w:r>
      <w:r w:rsidR="00AB6A96">
        <w:rPr>
          <w:rFonts w:ascii="Perpetua" w:hAnsi="Perpetua"/>
        </w:rPr>
        <w:t xml:space="preserve"> (</w:t>
      </w:r>
      <w:r w:rsidR="002F233D" w:rsidRPr="002F233D">
        <w:rPr>
          <w:rFonts w:ascii="Perpetua" w:hAnsi="Perpetua"/>
          <w:i/>
        </w:rPr>
        <w:t>v</w:t>
      </w:r>
      <w:r w:rsidR="004E5D3A" w:rsidRPr="002F233D">
        <w:rPr>
          <w:rFonts w:ascii="Perpetua" w:hAnsi="Perpetua"/>
          <w:i/>
        </w:rPr>
        <w:t>ide</w:t>
      </w:r>
      <w:r w:rsidR="00AB6A96">
        <w:rPr>
          <w:rFonts w:ascii="Perpetua" w:hAnsi="Perpetua"/>
        </w:rPr>
        <w:t xml:space="preserve"> Gráfico 5.2.)</w:t>
      </w:r>
      <w:r>
        <w:rPr>
          <w:rFonts w:ascii="Perpetua" w:hAnsi="Perpetua"/>
        </w:rPr>
        <w:t>, que sugere mesmo a existência de uma correlação extremamente forte entre ambas as variáveis.</w:t>
      </w:r>
      <w:r w:rsidR="00616B80" w:rsidRPr="00616B80">
        <w:rPr>
          <w:rFonts w:ascii="Perpetua" w:hAnsi="Perpetua"/>
        </w:rPr>
        <w:t xml:space="preserve"> </w:t>
      </w:r>
      <w:r w:rsidR="00616B80">
        <w:rPr>
          <w:rFonts w:ascii="Perpetua" w:hAnsi="Perpetua"/>
        </w:rPr>
        <w:t xml:space="preserve">As estatísticas descritivas sumárias das variáveis utilizadas na análise de regressão são apresentadas nos gráficos e quadros seguintes. </w:t>
      </w:r>
    </w:p>
    <w:p w:rsidR="00F72F49" w:rsidRDefault="00F72F49" w:rsidP="00F72F49">
      <w:pPr>
        <w:spacing w:line="360" w:lineRule="auto"/>
        <w:jc w:val="both"/>
        <w:rPr>
          <w:rFonts w:ascii="Perpetua" w:hAnsi="Perpetua"/>
        </w:rPr>
      </w:pPr>
    </w:p>
    <w:p w:rsidR="00F72F49" w:rsidRDefault="003903D0" w:rsidP="003903D0">
      <w:pPr>
        <w:pStyle w:val="Caption"/>
        <w:jc w:val="center"/>
        <w:rPr>
          <w:rFonts w:ascii="Perpetua" w:hAnsi="Perpetua"/>
        </w:rPr>
      </w:pPr>
      <w:bookmarkStart w:id="118" w:name="_Toc215081934"/>
      <w:r w:rsidRPr="003903D0">
        <w:rPr>
          <w:rFonts w:ascii="Perpetua" w:hAnsi="Perpetua"/>
        </w:rPr>
        <w:t xml:space="preserve">Gráfico </w:t>
      </w:r>
      <w:r w:rsidR="0048473F">
        <w:rPr>
          <w:rFonts w:ascii="Perpetua" w:hAnsi="Perpetua"/>
        </w:rPr>
        <w:fldChar w:fldCharType="begin"/>
      </w:r>
      <w:r w:rsidR="00A023D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A023D8">
        <w:rPr>
          <w:rFonts w:ascii="Perpetua" w:hAnsi="Perpetua"/>
        </w:rPr>
        <w:t>.</w:t>
      </w:r>
      <w:r w:rsidR="0048473F">
        <w:rPr>
          <w:rFonts w:ascii="Perpetua" w:hAnsi="Perpetua"/>
        </w:rPr>
        <w:fldChar w:fldCharType="begin"/>
      </w:r>
      <w:r w:rsidR="00A023D8">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Pr="003903D0">
        <w:rPr>
          <w:rFonts w:ascii="Perpetua" w:hAnsi="Perpetua"/>
        </w:rPr>
        <w:t xml:space="preserve"> </w:t>
      </w:r>
      <w:r w:rsidR="00F72F49" w:rsidRPr="003903D0">
        <w:rPr>
          <w:rFonts w:ascii="Perpetua" w:hAnsi="Perpetua"/>
        </w:rPr>
        <w:t>– Dispersão da produtividade judicial (ordenadas) e da carga judicial (abcissas)</w:t>
      </w:r>
      <w:bookmarkEnd w:id="118"/>
    </w:p>
    <w:p w:rsidR="003903D0" w:rsidRPr="003903D0" w:rsidRDefault="003903D0" w:rsidP="003903D0"/>
    <w:p w:rsidR="00F72F49" w:rsidRDefault="00C82BCA" w:rsidP="00F72F49">
      <w:pPr>
        <w:spacing w:line="360" w:lineRule="auto"/>
        <w:jc w:val="center"/>
        <w:rPr>
          <w:rFonts w:ascii="Perpetua" w:hAnsi="Perpetua"/>
        </w:rPr>
      </w:pPr>
      <w:r>
        <w:rPr>
          <w:rFonts w:ascii="Perpetua" w:hAnsi="Perpetua"/>
          <w:noProof/>
        </w:rPr>
        <w:drawing>
          <wp:inline distT="0" distB="0" distL="0" distR="0">
            <wp:extent cx="4019550" cy="2943225"/>
            <wp:effectExtent l="0" t="0" r="0" b="0"/>
            <wp:docPr id="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srcRect/>
                    <a:stretch>
                      <a:fillRect/>
                    </a:stretch>
                  </pic:blipFill>
                  <pic:spPr bwMode="auto">
                    <a:xfrm>
                      <a:off x="0" y="0"/>
                      <a:ext cx="4019550" cy="2943225"/>
                    </a:xfrm>
                    <a:prstGeom prst="rect">
                      <a:avLst/>
                    </a:prstGeom>
                    <a:noFill/>
                    <a:ln w="9525">
                      <a:noFill/>
                      <a:miter lim="800000"/>
                      <a:headEnd/>
                      <a:tailEnd/>
                    </a:ln>
                  </pic:spPr>
                </pic:pic>
              </a:graphicData>
            </a:graphic>
          </wp:inline>
        </w:drawing>
      </w:r>
    </w:p>
    <w:p w:rsidR="00F72F49" w:rsidRDefault="00F72F49" w:rsidP="00F72F49">
      <w:pPr>
        <w:spacing w:line="360" w:lineRule="auto"/>
        <w:jc w:val="both"/>
        <w:rPr>
          <w:rFonts w:ascii="Perpetua" w:hAnsi="Perpetua"/>
        </w:rPr>
      </w:pPr>
    </w:p>
    <w:p w:rsidR="00616B80" w:rsidRPr="006E38A4" w:rsidRDefault="00616B80" w:rsidP="00616B80">
      <w:pPr>
        <w:spacing w:line="360" w:lineRule="auto"/>
        <w:jc w:val="both"/>
        <w:rPr>
          <w:rFonts w:ascii="Perpetua" w:hAnsi="Perpetua"/>
        </w:rPr>
      </w:pPr>
      <w:r>
        <w:rPr>
          <w:rFonts w:ascii="Perpetua" w:hAnsi="Perpetua"/>
        </w:rPr>
        <w:t xml:space="preserve">No que concerne às estatísticas de movimento processual por magistrado judicial apresentadas no </w:t>
      </w:r>
      <w:r w:rsidR="00C234BE">
        <w:rPr>
          <w:rFonts w:ascii="Perpetua" w:hAnsi="Perpetua"/>
        </w:rPr>
        <w:t>Quadro</w:t>
      </w:r>
      <w:r>
        <w:rPr>
          <w:rFonts w:ascii="Perpetua" w:hAnsi="Perpetua"/>
        </w:rPr>
        <w:t xml:space="preserve"> 5.1, a produtividade judicial média dos tribunais é de 442 processos por magistrado judicial, ligeiramente inferior à procura judicial</w:t>
      </w:r>
      <w:r w:rsidR="00C234BE">
        <w:rPr>
          <w:rFonts w:ascii="Perpetua" w:hAnsi="Perpetua"/>
        </w:rPr>
        <w:t xml:space="preserve"> média</w:t>
      </w:r>
      <w:r>
        <w:rPr>
          <w:rFonts w:ascii="Perpetua" w:hAnsi="Perpetua"/>
        </w:rPr>
        <w:t xml:space="preserve"> (</w:t>
      </w:r>
      <w:r w:rsidR="00C234BE">
        <w:rPr>
          <w:rFonts w:ascii="Perpetua" w:hAnsi="Perpetua"/>
        </w:rPr>
        <w:t xml:space="preserve">número de processos </w:t>
      </w:r>
      <w:r>
        <w:rPr>
          <w:rFonts w:ascii="Perpetua" w:hAnsi="Perpetua"/>
        </w:rPr>
        <w:t>entrados</w:t>
      </w:r>
      <w:r w:rsidR="00C234BE">
        <w:rPr>
          <w:rFonts w:ascii="Perpetua" w:hAnsi="Perpetua"/>
        </w:rPr>
        <w:t xml:space="preserve"> por magistrado judicial</w:t>
      </w:r>
      <w:r w:rsidR="002F233D">
        <w:rPr>
          <w:rFonts w:ascii="Perpetua" w:hAnsi="Perpetua"/>
        </w:rPr>
        <w:t>)</w:t>
      </w:r>
      <w:r w:rsidR="00C234BE">
        <w:rPr>
          <w:rFonts w:ascii="Perpetua" w:hAnsi="Perpetua"/>
        </w:rPr>
        <w:t xml:space="preserve">, cerca de </w:t>
      </w:r>
      <w:r>
        <w:rPr>
          <w:rFonts w:ascii="Perpetua" w:hAnsi="Perpetua"/>
        </w:rPr>
        <w:t>478 processos</w:t>
      </w:r>
      <w:r w:rsidR="002F233D">
        <w:rPr>
          <w:rFonts w:ascii="Perpetua" w:hAnsi="Perpetua"/>
        </w:rPr>
        <w:t xml:space="preserve"> por magistrado judicial</w:t>
      </w:r>
      <w:r w:rsidR="00C234BE">
        <w:rPr>
          <w:rFonts w:ascii="Perpetua" w:hAnsi="Perpetua"/>
        </w:rPr>
        <w:t xml:space="preserve">, </w:t>
      </w:r>
      <w:r>
        <w:rPr>
          <w:rFonts w:ascii="Perpetua" w:hAnsi="Perpetua"/>
        </w:rPr>
        <w:t>e cerca de 70% da carga judicial média do conjunto dos tribunais. As distribuições de frequências demonstram uma elevada amplitude da produtividade judicial, carga judicial e procura judicial – o tribunal mais produtivo finda cerca de 3 vezes mais processos que o tribunal médio</w:t>
      </w:r>
      <w:r w:rsidR="00C234BE">
        <w:rPr>
          <w:rFonts w:ascii="Perpetua" w:hAnsi="Perpetua"/>
        </w:rPr>
        <w:t xml:space="preserve">, enquanto o tribunal mais </w:t>
      </w:r>
      <w:r w:rsidR="00C234BE" w:rsidRPr="00C234BE">
        <w:rPr>
          <w:rFonts w:ascii="Perpetua" w:hAnsi="Perpetua"/>
          <w:i/>
        </w:rPr>
        <w:t>sobrecarregado</w:t>
      </w:r>
      <w:r w:rsidR="00C234BE">
        <w:rPr>
          <w:rFonts w:ascii="Perpetua" w:hAnsi="Perpetua"/>
        </w:rPr>
        <w:t xml:space="preserve"> tem mais que o dobro da carga judicial média</w:t>
      </w:r>
      <w:r>
        <w:rPr>
          <w:rFonts w:ascii="Perpetua" w:hAnsi="Perpetua"/>
        </w:rPr>
        <w:t xml:space="preserve">. Por outro lado, </w:t>
      </w:r>
      <w:r w:rsidR="00C234BE">
        <w:rPr>
          <w:rFonts w:ascii="Perpetua" w:hAnsi="Perpetua"/>
        </w:rPr>
        <w:t>observando os diagramas de caixa de bigodes</w:t>
      </w:r>
      <w:r w:rsidR="002F233D">
        <w:rPr>
          <w:rStyle w:val="FootnoteReference"/>
          <w:rFonts w:ascii="Perpetua" w:hAnsi="Perpetua"/>
        </w:rPr>
        <w:footnoteReference w:id="107"/>
      </w:r>
      <w:r w:rsidR="00C234BE">
        <w:rPr>
          <w:rFonts w:ascii="Perpetua" w:hAnsi="Perpetua"/>
        </w:rPr>
        <w:t xml:space="preserve"> constata-se que </w:t>
      </w:r>
      <w:r>
        <w:rPr>
          <w:rFonts w:ascii="Perpetua" w:hAnsi="Perpetua"/>
        </w:rPr>
        <w:t>os padrões de distribuição das variáveis são bem comportados (</w:t>
      </w:r>
      <w:r w:rsidR="004E5D3A" w:rsidRPr="004E5D3A">
        <w:rPr>
          <w:rFonts w:ascii="Perpetua" w:hAnsi="Perpetua"/>
          <w:i/>
        </w:rPr>
        <w:t>i.e.</w:t>
      </w:r>
      <w:r w:rsidR="00941AEA">
        <w:rPr>
          <w:rFonts w:ascii="Perpetua" w:hAnsi="Perpetua"/>
        </w:rPr>
        <w:t xml:space="preserve">, </w:t>
      </w:r>
      <w:r w:rsidR="00E111BE">
        <w:rPr>
          <w:rFonts w:ascii="Perpetua" w:hAnsi="Perpetua"/>
        </w:rPr>
        <w:t>cuja distribuição amostral é semelhante à distribuição normal</w:t>
      </w:r>
      <w:r>
        <w:rPr>
          <w:rFonts w:ascii="Perpetua" w:hAnsi="Perpetua"/>
        </w:rPr>
        <w:t>).</w:t>
      </w:r>
    </w:p>
    <w:p w:rsidR="00616B80" w:rsidRDefault="00616B80" w:rsidP="00616B80">
      <w:pPr>
        <w:spacing w:line="360" w:lineRule="auto"/>
        <w:jc w:val="both"/>
      </w:pPr>
    </w:p>
    <w:p w:rsidR="00616B80" w:rsidRPr="003903D0" w:rsidRDefault="00616B80" w:rsidP="00616B80">
      <w:pPr>
        <w:pStyle w:val="Caption"/>
        <w:jc w:val="center"/>
        <w:rPr>
          <w:rFonts w:ascii="Perpetua" w:hAnsi="Perpetua"/>
        </w:rPr>
      </w:pPr>
      <w:bookmarkStart w:id="119" w:name="_Toc215081941"/>
      <w:r>
        <w:rPr>
          <w:rFonts w:ascii="Perpetua" w:hAnsi="Perpetua"/>
        </w:rPr>
        <w:t>Quadro</w:t>
      </w:r>
      <w:r w:rsidRPr="003903D0">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Pr>
          <w:rFonts w:ascii="Perpetua" w:hAnsi="Perpetua"/>
        </w:rPr>
        <w:t xml:space="preserve"> </w:t>
      </w:r>
      <w:r w:rsidR="00E111BE">
        <w:rPr>
          <w:rFonts w:ascii="Perpetua" w:hAnsi="Perpetua"/>
        </w:rPr>
        <w:t>–</w:t>
      </w:r>
      <w:r w:rsidRPr="003903D0">
        <w:rPr>
          <w:rFonts w:ascii="Perpetua" w:hAnsi="Perpetua"/>
        </w:rPr>
        <w:t xml:space="preserve"> Estatísticas sumárias das variáveis de movimento processual por magistrado judicial</w:t>
      </w:r>
      <w:bookmarkEnd w:id="119"/>
    </w:p>
    <w:p w:rsidR="00616B80" w:rsidRPr="006E38A4" w:rsidRDefault="00616B80" w:rsidP="00616B80"/>
    <w:tbl>
      <w:tblPr>
        <w:tblW w:w="6480" w:type="dxa"/>
        <w:jc w:val="center"/>
        <w:tblInd w:w="55" w:type="dxa"/>
        <w:tblCellMar>
          <w:left w:w="70" w:type="dxa"/>
          <w:right w:w="70" w:type="dxa"/>
        </w:tblCellMar>
        <w:tblLook w:val="04A0"/>
      </w:tblPr>
      <w:tblGrid>
        <w:gridCol w:w="2080"/>
        <w:gridCol w:w="1100"/>
        <w:gridCol w:w="1100"/>
        <w:gridCol w:w="1100"/>
        <w:gridCol w:w="1100"/>
      </w:tblGrid>
      <w:tr w:rsidR="00616B80" w:rsidTr="00C234BE">
        <w:trPr>
          <w:trHeight w:val="660"/>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rPr>
                <w:rFonts w:ascii="Perpetua" w:hAnsi="Perpetua"/>
                <w:b/>
                <w:bCs/>
                <w:sz w:val="20"/>
                <w:szCs w:val="20"/>
              </w:rPr>
            </w:pPr>
            <w:r>
              <w:rPr>
                <w:rFonts w:ascii="Perpetua" w:hAnsi="Perpetua"/>
                <w:b/>
                <w:bCs/>
                <w:sz w:val="20"/>
                <w:szCs w:val="20"/>
              </w:rPr>
              <w:t> </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Findos</w:t>
            </w:r>
          </w:p>
        </w:tc>
        <w:tc>
          <w:tcPr>
            <w:tcW w:w="110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 xml:space="preserve">Pendentes </w:t>
            </w:r>
            <w:r w:rsidR="003A79EC">
              <w:rPr>
                <w:rFonts w:ascii="Perpetua" w:hAnsi="Perpetua"/>
                <w:b/>
                <w:bCs/>
                <w:sz w:val="20"/>
                <w:szCs w:val="20"/>
              </w:rPr>
              <w:t>e</w:t>
            </w:r>
            <w:r>
              <w:rPr>
                <w:rFonts w:ascii="Perpetua" w:hAnsi="Perpetua"/>
                <w:b/>
                <w:bCs/>
                <w:sz w:val="20"/>
                <w:szCs w:val="20"/>
              </w:rPr>
              <w:t xml:space="preserve"> Entrados </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Pendentes</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Entrados</w:t>
            </w:r>
          </w:p>
        </w:tc>
      </w:tr>
      <w:tr w:rsidR="00616B80" w:rsidTr="00C234BE">
        <w:trPr>
          <w:trHeight w:val="465"/>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Mínimo</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86</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196</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84</w:t>
            </w:r>
          </w:p>
        </w:tc>
      </w:tr>
      <w:tr w:rsidR="00616B80" w:rsidTr="00C234BE">
        <w:trPr>
          <w:trHeight w:val="465"/>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 xml:space="preserve">Mediana </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414</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1.029</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564</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447</w:t>
            </w:r>
          </w:p>
        </w:tc>
      </w:tr>
      <w:tr w:rsidR="00616B80" w:rsidTr="00C234BE">
        <w:trPr>
          <w:trHeight w:val="465"/>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Média</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442,4</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1.112,7</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634,6</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478,1</w:t>
            </w:r>
          </w:p>
        </w:tc>
      </w:tr>
      <w:tr w:rsidR="00616B80" w:rsidTr="00C234BE">
        <w:trPr>
          <w:trHeight w:val="525"/>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Máximo</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1.273</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2.638</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1.707</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1.345</w:t>
            </w:r>
          </w:p>
        </w:tc>
      </w:tr>
      <w:tr w:rsidR="00616B80" w:rsidTr="00C234BE">
        <w:trPr>
          <w:trHeight w:val="525"/>
          <w:jc w:val="center"/>
        </w:trPr>
        <w:tc>
          <w:tcPr>
            <w:tcW w:w="2080" w:type="dxa"/>
            <w:tcBorders>
              <w:top w:val="nil"/>
              <w:left w:val="nil"/>
              <w:bottom w:val="single" w:sz="4" w:space="0" w:color="auto"/>
              <w:right w:val="single" w:sz="4" w:space="0" w:color="auto"/>
            </w:tcBorders>
            <w:shd w:val="clear" w:color="000000" w:fill="FFFFFF"/>
            <w:noWrap/>
            <w:vAlign w:val="center"/>
          </w:tcPr>
          <w:p w:rsidR="00616B80" w:rsidRDefault="00616B80" w:rsidP="00E111BE">
            <w:pPr>
              <w:jc w:val="center"/>
              <w:rPr>
                <w:rFonts w:ascii="Perpetua" w:hAnsi="Perpetua"/>
                <w:b/>
                <w:bCs/>
                <w:sz w:val="20"/>
                <w:szCs w:val="20"/>
              </w:rPr>
            </w:pPr>
            <w:r>
              <w:rPr>
                <w:rFonts w:ascii="Perpetua" w:hAnsi="Perpetua"/>
                <w:b/>
                <w:bCs/>
                <w:sz w:val="20"/>
                <w:szCs w:val="20"/>
              </w:rPr>
              <w:t>Desvio</w:t>
            </w:r>
            <w:r w:rsidR="00E111BE">
              <w:rPr>
                <w:rFonts w:ascii="Perpetua" w:hAnsi="Perpetua"/>
                <w:b/>
                <w:bCs/>
                <w:sz w:val="20"/>
                <w:szCs w:val="20"/>
              </w:rPr>
              <w:t>-</w:t>
            </w:r>
            <w:r>
              <w:rPr>
                <w:rFonts w:ascii="Perpetua" w:hAnsi="Perpetua"/>
                <w:b/>
                <w:bCs/>
                <w:sz w:val="20"/>
                <w:szCs w:val="20"/>
              </w:rPr>
              <w:t>padrão</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211,8</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580,6</w:t>
            </w:r>
          </w:p>
        </w:tc>
        <w:tc>
          <w:tcPr>
            <w:tcW w:w="11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395,1</w:t>
            </w:r>
          </w:p>
        </w:tc>
        <w:tc>
          <w:tcPr>
            <w:tcW w:w="110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225,1</w:t>
            </w:r>
          </w:p>
        </w:tc>
      </w:tr>
      <w:tr w:rsidR="00616B80" w:rsidTr="00C234BE">
        <w:trPr>
          <w:trHeight w:val="525"/>
          <w:jc w:val="center"/>
        </w:trPr>
        <w:tc>
          <w:tcPr>
            <w:tcW w:w="208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b/>
                <w:bCs/>
                <w:sz w:val="20"/>
                <w:szCs w:val="20"/>
              </w:rPr>
            </w:pPr>
            <w:r>
              <w:rPr>
                <w:rFonts w:ascii="Perpetua" w:hAnsi="Perpetua"/>
                <w:b/>
                <w:bCs/>
                <w:sz w:val="20"/>
                <w:szCs w:val="20"/>
              </w:rPr>
              <w:t>Coeficiente de variação</w:t>
            </w:r>
          </w:p>
        </w:tc>
        <w:tc>
          <w:tcPr>
            <w:tcW w:w="110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0,48</w:t>
            </w:r>
          </w:p>
        </w:tc>
        <w:tc>
          <w:tcPr>
            <w:tcW w:w="110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0,52</w:t>
            </w:r>
          </w:p>
        </w:tc>
        <w:tc>
          <w:tcPr>
            <w:tcW w:w="110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0,62</w:t>
            </w:r>
          </w:p>
        </w:tc>
        <w:tc>
          <w:tcPr>
            <w:tcW w:w="1100" w:type="dxa"/>
            <w:tcBorders>
              <w:top w:val="nil"/>
              <w:left w:val="nil"/>
              <w:bottom w:val="nil"/>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0,47</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616B80" w:rsidRDefault="00616B80" w:rsidP="00F72F49">
      <w:pPr>
        <w:spacing w:line="360" w:lineRule="auto"/>
        <w:jc w:val="both"/>
        <w:rPr>
          <w:rFonts w:ascii="Perpetua" w:hAnsi="Perpetua"/>
        </w:rPr>
      </w:pPr>
    </w:p>
    <w:p w:rsidR="00616B80" w:rsidRDefault="00616B80" w:rsidP="00616B80">
      <w:pPr>
        <w:spacing w:line="360" w:lineRule="auto"/>
        <w:jc w:val="both"/>
        <w:rPr>
          <w:rFonts w:ascii="Perpetua" w:hAnsi="Perpetua"/>
        </w:rPr>
      </w:pPr>
      <w:r>
        <w:rPr>
          <w:rFonts w:ascii="Perpetua" w:hAnsi="Perpetua"/>
        </w:rPr>
        <w:t xml:space="preserve">O quadro seguinte (Quadro 5.2) apresenta as estatísticas sumárias das variáveis de recursos humanos empregues pelos tribunais analisados. A média de magistrados judiciais e </w:t>
      </w:r>
      <w:r w:rsidR="00CC264B">
        <w:rPr>
          <w:rFonts w:ascii="Perpetua" w:hAnsi="Perpetua"/>
        </w:rPr>
        <w:t xml:space="preserve">de </w:t>
      </w:r>
      <w:r>
        <w:rPr>
          <w:rFonts w:ascii="Perpetua" w:hAnsi="Perpetua"/>
        </w:rPr>
        <w:t>magistrados do M.P. por tribunal é cerca de 3</w:t>
      </w:r>
      <w:r w:rsidR="00CC264B">
        <w:rPr>
          <w:rFonts w:ascii="Perpetua" w:hAnsi="Perpetua"/>
        </w:rPr>
        <w:t xml:space="preserve">, enquanto o número médio de </w:t>
      </w:r>
      <w:r>
        <w:rPr>
          <w:rFonts w:ascii="Perpetua" w:hAnsi="Perpetua"/>
        </w:rPr>
        <w:t>funcionários judiciais</w:t>
      </w:r>
      <w:r w:rsidR="00CC264B">
        <w:rPr>
          <w:rFonts w:ascii="Perpetua" w:hAnsi="Perpetua"/>
        </w:rPr>
        <w:t xml:space="preserve"> por tribunal é 22. A soma destas médias </w:t>
      </w:r>
      <w:r>
        <w:rPr>
          <w:rFonts w:ascii="Perpetua" w:hAnsi="Perpetua"/>
        </w:rPr>
        <w:t xml:space="preserve">corresponde aproximadamente (certos tribunais têm frequências absolutas </w:t>
      </w:r>
      <w:r w:rsidR="00C234BE">
        <w:rPr>
          <w:rFonts w:ascii="Perpetua" w:hAnsi="Perpetua"/>
        </w:rPr>
        <w:t xml:space="preserve">positivas </w:t>
      </w:r>
      <w:r>
        <w:rPr>
          <w:rFonts w:ascii="Perpetua" w:hAnsi="Perpetua"/>
        </w:rPr>
        <w:t xml:space="preserve">das outras carreiras de trabalhadores judiciais, Assessores e Outros) </w:t>
      </w:r>
      <w:r w:rsidR="00CC264B">
        <w:rPr>
          <w:rFonts w:ascii="Perpetua" w:hAnsi="Perpetua"/>
        </w:rPr>
        <w:t xml:space="preserve">a </w:t>
      </w:r>
      <w:r>
        <w:rPr>
          <w:rFonts w:ascii="Perpetua" w:hAnsi="Perpetua"/>
        </w:rPr>
        <w:t>uma média de 28 trabalhadores judiciais por tribunal. É também possível constatar que a distribuição de frequências da variável número de magistrados judiciais é fortemente enviesada à esquerda – mais de meta</w:t>
      </w:r>
      <w:r w:rsidR="00E111BE">
        <w:rPr>
          <w:rFonts w:ascii="Perpetua" w:hAnsi="Perpetua"/>
        </w:rPr>
        <w:t>de dos tribunais considerados te</w:t>
      </w:r>
      <w:r>
        <w:rPr>
          <w:rFonts w:ascii="Perpetua" w:hAnsi="Perpetua"/>
        </w:rPr>
        <w:t xml:space="preserve">m apenas um magistrado judicial e um magistrado do M.P. Dado que a afectação dos restantes recursos aos tribunais é feita com base no número de magistrados judiciais, as restantes variáveis apresentam distribuições de frequência semelhantes. Apesar do forte enviesamento da distribuição de frequências, os níveis de variância das variáveis de recursos humanos </w:t>
      </w:r>
      <w:r w:rsidR="005D0EE1">
        <w:rPr>
          <w:rFonts w:ascii="Perpetua" w:hAnsi="Perpetua"/>
        </w:rPr>
        <w:t xml:space="preserve">são </w:t>
      </w:r>
      <w:r>
        <w:rPr>
          <w:rFonts w:ascii="Perpetua" w:hAnsi="Perpetua"/>
        </w:rPr>
        <w:t>s</w:t>
      </w:r>
      <w:r w:rsidR="00A97DDF">
        <w:rPr>
          <w:rFonts w:ascii="Perpetua" w:hAnsi="Perpetua"/>
        </w:rPr>
        <w:t>atisfatórios.</w:t>
      </w:r>
      <w:r>
        <w:rPr>
          <w:rFonts w:ascii="Perpetua" w:hAnsi="Perpetua"/>
        </w:rPr>
        <w:t xml:space="preserve"> </w:t>
      </w:r>
    </w:p>
    <w:p w:rsidR="002F233D" w:rsidRDefault="002F233D" w:rsidP="00616B80">
      <w:pPr>
        <w:spacing w:line="360" w:lineRule="auto"/>
        <w:jc w:val="both"/>
        <w:rPr>
          <w:rFonts w:ascii="Perpetua" w:hAnsi="Perpetua"/>
        </w:rPr>
      </w:pPr>
    </w:p>
    <w:p w:rsidR="00616B80" w:rsidRDefault="00616B80" w:rsidP="00616B80">
      <w:pPr>
        <w:pStyle w:val="Caption"/>
        <w:jc w:val="center"/>
        <w:rPr>
          <w:rFonts w:ascii="Perpetua" w:hAnsi="Perpetua"/>
        </w:rPr>
      </w:pPr>
      <w:bookmarkStart w:id="120" w:name="_Toc215081942"/>
      <w:r>
        <w:rPr>
          <w:rFonts w:ascii="Perpetua" w:hAnsi="Perpetua"/>
        </w:rPr>
        <w:t>Quadro</w:t>
      </w:r>
      <w:r w:rsidRPr="00257B82">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sidRPr="00257B82">
        <w:rPr>
          <w:rFonts w:ascii="Perpetua" w:hAnsi="Perpetua"/>
        </w:rPr>
        <w:t xml:space="preserve"> – Estatísticas sumárias das variáveis </w:t>
      </w:r>
      <w:r>
        <w:rPr>
          <w:rFonts w:ascii="Perpetua" w:hAnsi="Perpetua"/>
        </w:rPr>
        <w:t>recursos humanos</w:t>
      </w:r>
      <w:bookmarkEnd w:id="120"/>
      <w:r w:rsidRPr="00257B82">
        <w:rPr>
          <w:rFonts w:ascii="Perpetua" w:hAnsi="Perpetua"/>
        </w:rPr>
        <w:t xml:space="preserve"> </w:t>
      </w:r>
    </w:p>
    <w:p w:rsidR="008957EA" w:rsidRPr="008957EA" w:rsidRDefault="008957EA" w:rsidP="008957EA"/>
    <w:tbl>
      <w:tblPr>
        <w:tblW w:w="7440" w:type="dxa"/>
        <w:jc w:val="center"/>
        <w:tblInd w:w="55" w:type="dxa"/>
        <w:tblCellMar>
          <w:left w:w="70" w:type="dxa"/>
          <w:right w:w="70" w:type="dxa"/>
        </w:tblCellMar>
        <w:tblLook w:val="04A0"/>
      </w:tblPr>
      <w:tblGrid>
        <w:gridCol w:w="1960"/>
        <w:gridCol w:w="1340"/>
        <w:gridCol w:w="1280"/>
        <w:gridCol w:w="1400"/>
        <w:gridCol w:w="1460"/>
      </w:tblGrid>
      <w:tr w:rsidR="00616B80" w:rsidTr="00C234BE">
        <w:trPr>
          <w:trHeight w:val="630"/>
          <w:jc w:val="center"/>
        </w:trPr>
        <w:tc>
          <w:tcPr>
            <w:tcW w:w="1960" w:type="dxa"/>
            <w:tcBorders>
              <w:top w:val="nil"/>
              <w:left w:val="nil"/>
              <w:bottom w:val="nil"/>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 </w:t>
            </w:r>
          </w:p>
        </w:tc>
        <w:tc>
          <w:tcPr>
            <w:tcW w:w="1340" w:type="dxa"/>
            <w:tcBorders>
              <w:top w:val="nil"/>
              <w:left w:val="single" w:sz="4" w:space="0" w:color="auto"/>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Magistrados judiciais</w:t>
            </w:r>
          </w:p>
        </w:tc>
        <w:tc>
          <w:tcPr>
            <w:tcW w:w="128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Magistrados M.P.</w:t>
            </w:r>
          </w:p>
        </w:tc>
        <w:tc>
          <w:tcPr>
            <w:tcW w:w="140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Funcionários judiciais</w:t>
            </w:r>
          </w:p>
        </w:tc>
        <w:tc>
          <w:tcPr>
            <w:tcW w:w="1460" w:type="dxa"/>
            <w:tcBorders>
              <w:top w:val="nil"/>
              <w:left w:val="nil"/>
              <w:bottom w:val="single" w:sz="4" w:space="0" w:color="auto"/>
              <w:right w:val="nil"/>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Trabalhadores judiciais</w:t>
            </w:r>
          </w:p>
        </w:tc>
      </w:tr>
      <w:tr w:rsidR="00616B80" w:rsidTr="00C234BE">
        <w:trPr>
          <w:trHeight w:val="390"/>
          <w:jc w:val="center"/>
        </w:trPr>
        <w:tc>
          <w:tcPr>
            <w:tcW w:w="1960" w:type="dxa"/>
            <w:tcBorders>
              <w:top w:val="single" w:sz="4" w:space="0" w:color="auto"/>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Mínimo</w:t>
            </w:r>
          </w:p>
        </w:tc>
        <w:tc>
          <w:tcPr>
            <w:tcW w:w="134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w:t>
            </w:r>
          </w:p>
        </w:tc>
        <w:tc>
          <w:tcPr>
            <w:tcW w:w="12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w:t>
            </w:r>
          </w:p>
        </w:tc>
        <w:tc>
          <w:tcPr>
            <w:tcW w:w="14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4</w:t>
            </w:r>
          </w:p>
        </w:tc>
        <w:tc>
          <w:tcPr>
            <w:tcW w:w="14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6</w:t>
            </w:r>
          </w:p>
        </w:tc>
      </w:tr>
      <w:tr w:rsidR="00616B80" w:rsidTr="00C234BE">
        <w:trPr>
          <w:trHeight w:val="390"/>
          <w:jc w:val="center"/>
        </w:trPr>
        <w:tc>
          <w:tcPr>
            <w:tcW w:w="19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 xml:space="preserve">Mediana </w:t>
            </w:r>
          </w:p>
        </w:tc>
        <w:tc>
          <w:tcPr>
            <w:tcW w:w="134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w:t>
            </w:r>
          </w:p>
        </w:tc>
        <w:tc>
          <w:tcPr>
            <w:tcW w:w="12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w:t>
            </w:r>
          </w:p>
        </w:tc>
        <w:tc>
          <w:tcPr>
            <w:tcW w:w="14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11</w:t>
            </w:r>
          </w:p>
        </w:tc>
        <w:tc>
          <w:tcPr>
            <w:tcW w:w="14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13</w:t>
            </w:r>
          </w:p>
        </w:tc>
      </w:tr>
      <w:tr w:rsidR="00616B80" w:rsidTr="00C234BE">
        <w:trPr>
          <w:trHeight w:val="390"/>
          <w:jc w:val="center"/>
        </w:trPr>
        <w:tc>
          <w:tcPr>
            <w:tcW w:w="19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Média</w:t>
            </w:r>
          </w:p>
        </w:tc>
        <w:tc>
          <w:tcPr>
            <w:tcW w:w="134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2,84</w:t>
            </w:r>
          </w:p>
        </w:tc>
        <w:tc>
          <w:tcPr>
            <w:tcW w:w="12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2,69</w:t>
            </w:r>
          </w:p>
        </w:tc>
        <w:tc>
          <w:tcPr>
            <w:tcW w:w="14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22,22</w:t>
            </w:r>
          </w:p>
        </w:tc>
        <w:tc>
          <w:tcPr>
            <w:tcW w:w="14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27,75</w:t>
            </w:r>
          </w:p>
        </w:tc>
      </w:tr>
      <w:tr w:rsidR="00616B80" w:rsidTr="00C234BE">
        <w:trPr>
          <w:trHeight w:val="390"/>
          <w:jc w:val="center"/>
        </w:trPr>
        <w:tc>
          <w:tcPr>
            <w:tcW w:w="19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Máximo</w:t>
            </w:r>
          </w:p>
        </w:tc>
        <w:tc>
          <w:tcPr>
            <w:tcW w:w="134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18</w:t>
            </w:r>
          </w:p>
        </w:tc>
        <w:tc>
          <w:tcPr>
            <w:tcW w:w="12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18</w:t>
            </w:r>
          </w:p>
        </w:tc>
        <w:tc>
          <w:tcPr>
            <w:tcW w:w="14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126</w:t>
            </w:r>
          </w:p>
        </w:tc>
        <w:tc>
          <w:tcPr>
            <w:tcW w:w="14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162</w:t>
            </w:r>
          </w:p>
        </w:tc>
      </w:tr>
      <w:tr w:rsidR="00616B80" w:rsidTr="00C234BE">
        <w:trPr>
          <w:trHeight w:val="390"/>
          <w:jc w:val="center"/>
        </w:trPr>
        <w:tc>
          <w:tcPr>
            <w:tcW w:w="1960" w:type="dxa"/>
            <w:tcBorders>
              <w:top w:val="nil"/>
              <w:left w:val="nil"/>
              <w:bottom w:val="single" w:sz="4" w:space="0" w:color="auto"/>
              <w:right w:val="single" w:sz="4" w:space="0" w:color="auto"/>
            </w:tcBorders>
            <w:shd w:val="clear" w:color="000000" w:fill="FFFFFF"/>
            <w:vAlign w:val="center"/>
          </w:tcPr>
          <w:p w:rsidR="00616B80" w:rsidRDefault="00A97DDF" w:rsidP="00C234BE">
            <w:pPr>
              <w:jc w:val="center"/>
              <w:rPr>
                <w:rFonts w:ascii="Perpetua" w:hAnsi="Perpetua"/>
                <w:b/>
                <w:bCs/>
                <w:sz w:val="20"/>
                <w:szCs w:val="20"/>
              </w:rPr>
            </w:pPr>
            <w:r>
              <w:rPr>
                <w:rFonts w:ascii="Perpetua" w:hAnsi="Perpetua"/>
                <w:b/>
                <w:bCs/>
                <w:sz w:val="20"/>
                <w:szCs w:val="20"/>
              </w:rPr>
              <w:t>Desvio-padrão</w:t>
            </w:r>
          </w:p>
        </w:tc>
        <w:tc>
          <w:tcPr>
            <w:tcW w:w="134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3,14</w:t>
            </w:r>
          </w:p>
        </w:tc>
        <w:tc>
          <w:tcPr>
            <w:tcW w:w="12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2,94</w:t>
            </w:r>
          </w:p>
        </w:tc>
        <w:tc>
          <w:tcPr>
            <w:tcW w:w="140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22,97</w:t>
            </w:r>
          </w:p>
        </w:tc>
        <w:tc>
          <w:tcPr>
            <w:tcW w:w="14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28,77</w:t>
            </w:r>
          </w:p>
        </w:tc>
      </w:tr>
      <w:tr w:rsidR="00616B80" w:rsidTr="00C234BE">
        <w:trPr>
          <w:trHeight w:val="690"/>
          <w:jc w:val="center"/>
        </w:trPr>
        <w:tc>
          <w:tcPr>
            <w:tcW w:w="1960" w:type="dxa"/>
            <w:tcBorders>
              <w:top w:val="nil"/>
              <w:left w:val="nil"/>
              <w:bottom w:val="nil"/>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Coeficiente de variação</w:t>
            </w:r>
          </w:p>
        </w:tc>
        <w:tc>
          <w:tcPr>
            <w:tcW w:w="134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1,10</w:t>
            </w:r>
          </w:p>
        </w:tc>
        <w:tc>
          <w:tcPr>
            <w:tcW w:w="128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1,09</w:t>
            </w:r>
          </w:p>
        </w:tc>
        <w:tc>
          <w:tcPr>
            <w:tcW w:w="140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1,03</w:t>
            </w:r>
          </w:p>
        </w:tc>
        <w:tc>
          <w:tcPr>
            <w:tcW w:w="1460" w:type="dxa"/>
            <w:tcBorders>
              <w:top w:val="nil"/>
              <w:left w:val="nil"/>
              <w:bottom w:val="nil"/>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1,04</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616B80" w:rsidRDefault="00616B80" w:rsidP="00616B80">
      <w:pPr>
        <w:spacing w:line="360" w:lineRule="auto"/>
        <w:jc w:val="both"/>
        <w:rPr>
          <w:rFonts w:ascii="Perpetua" w:hAnsi="Perpetua"/>
        </w:rPr>
      </w:pPr>
    </w:p>
    <w:p w:rsidR="00616B80" w:rsidRPr="00F06DC9" w:rsidRDefault="00616B80" w:rsidP="00616B80">
      <w:pPr>
        <w:spacing w:line="360" w:lineRule="auto"/>
        <w:jc w:val="both"/>
        <w:rPr>
          <w:rFonts w:ascii="Perpetua" w:hAnsi="Perpetua"/>
        </w:rPr>
      </w:pPr>
      <w:r w:rsidRPr="00F06DC9">
        <w:rPr>
          <w:rFonts w:ascii="Perpetua" w:hAnsi="Perpetua"/>
        </w:rPr>
        <w:t xml:space="preserve">As estatísticas sumárias dos </w:t>
      </w:r>
      <w:r w:rsidR="00CC264B">
        <w:rPr>
          <w:rFonts w:ascii="Perpetua" w:hAnsi="Perpetua"/>
        </w:rPr>
        <w:t xml:space="preserve">variáveis de </w:t>
      </w:r>
      <w:r w:rsidRPr="00F06DC9">
        <w:rPr>
          <w:rFonts w:ascii="Perpetua" w:hAnsi="Perpetua"/>
        </w:rPr>
        <w:t xml:space="preserve">recursos humanos por magistrado judicial </w:t>
      </w:r>
      <w:r w:rsidR="002F233D">
        <w:rPr>
          <w:rFonts w:ascii="Perpetua" w:hAnsi="Perpetua"/>
        </w:rPr>
        <w:t xml:space="preserve">(ver Quadro 5.3) </w:t>
      </w:r>
      <w:r w:rsidRPr="00F06DC9">
        <w:rPr>
          <w:rFonts w:ascii="Perpetua" w:hAnsi="Perpetua"/>
        </w:rPr>
        <w:t xml:space="preserve">permitem constatar que em cada círculo judicial há, em média, </w:t>
      </w:r>
      <w:r w:rsidR="00C234BE">
        <w:rPr>
          <w:rFonts w:ascii="Perpetua" w:hAnsi="Perpetua"/>
        </w:rPr>
        <w:t>2</w:t>
      </w:r>
      <w:r w:rsidRPr="00F06DC9">
        <w:rPr>
          <w:rFonts w:ascii="Perpetua" w:hAnsi="Perpetua"/>
        </w:rPr>
        <w:t xml:space="preserve"> solicitadores e </w:t>
      </w:r>
      <w:r w:rsidR="00C234BE">
        <w:rPr>
          <w:rFonts w:ascii="Perpetua" w:hAnsi="Perpetua"/>
        </w:rPr>
        <w:t>12</w:t>
      </w:r>
      <w:r w:rsidRPr="00F06DC9">
        <w:rPr>
          <w:rFonts w:ascii="Perpetua" w:hAnsi="Perpetua"/>
        </w:rPr>
        <w:t xml:space="preserve"> adv</w:t>
      </w:r>
      <w:r>
        <w:rPr>
          <w:rFonts w:ascii="Perpetua" w:hAnsi="Perpetua"/>
        </w:rPr>
        <w:t>o</w:t>
      </w:r>
      <w:r w:rsidRPr="00F06DC9">
        <w:rPr>
          <w:rFonts w:ascii="Perpetua" w:hAnsi="Perpetua"/>
        </w:rPr>
        <w:t>gados</w:t>
      </w:r>
      <w:r>
        <w:rPr>
          <w:rFonts w:ascii="Perpetua" w:hAnsi="Perpetua"/>
        </w:rPr>
        <w:t xml:space="preserve"> </w:t>
      </w:r>
      <w:r w:rsidRPr="00F06DC9">
        <w:rPr>
          <w:rFonts w:ascii="Perpetua" w:hAnsi="Perpetua"/>
        </w:rPr>
        <w:t>por magistrado judicial</w:t>
      </w:r>
      <w:r>
        <w:rPr>
          <w:rFonts w:ascii="Perpetua" w:hAnsi="Perpetua"/>
        </w:rPr>
        <w:t xml:space="preserve">, ao passo que em cada tribunal há, em média, </w:t>
      </w:r>
      <w:r w:rsidR="00C234BE">
        <w:rPr>
          <w:rFonts w:ascii="Perpetua" w:hAnsi="Perpetua"/>
        </w:rPr>
        <w:t>1</w:t>
      </w:r>
      <w:r>
        <w:rPr>
          <w:rFonts w:ascii="Perpetua" w:hAnsi="Perpetua"/>
        </w:rPr>
        <w:t xml:space="preserve"> magistrado do M.P</w:t>
      </w:r>
      <w:r w:rsidR="00A97DDF">
        <w:rPr>
          <w:rFonts w:ascii="Perpetua" w:hAnsi="Perpetua"/>
        </w:rPr>
        <w:t>.</w:t>
      </w:r>
      <w:r>
        <w:rPr>
          <w:rFonts w:ascii="Perpetua" w:hAnsi="Perpetua"/>
        </w:rPr>
        <w:t xml:space="preserve"> e </w:t>
      </w:r>
      <w:r w:rsidR="00C234BE">
        <w:rPr>
          <w:rFonts w:ascii="Perpetua" w:hAnsi="Perpetua"/>
        </w:rPr>
        <w:t>8</w:t>
      </w:r>
      <w:r>
        <w:rPr>
          <w:rFonts w:ascii="Perpetua" w:hAnsi="Perpetua"/>
        </w:rPr>
        <w:t xml:space="preserve"> funcionários judiciais por magistrado judicial. Os coeficientes de variação das variáveis de recursos humanos por magistrado</w:t>
      </w:r>
      <w:r w:rsidRPr="00F06DC9">
        <w:rPr>
          <w:rFonts w:ascii="Perpetua" w:hAnsi="Perpetua"/>
        </w:rPr>
        <w:t xml:space="preserve"> </w:t>
      </w:r>
      <w:r>
        <w:rPr>
          <w:rFonts w:ascii="Perpetua" w:hAnsi="Perpetua"/>
        </w:rPr>
        <w:t>judicial indicam que há uma dispersão bastante reduzida dos coeficientes de funcionários judiciais e magistrados do M.P. por magistrado judicial</w:t>
      </w:r>
      <w:r w:rsidR="006C45D8">
        <w:rPr>
          <w:rFonts w:ascii="Perpetua" w:hAnsi="Perpetua"/>
        </w:rPr>
        <w:t xml:space="preserve">. Porém, </w:t>
      </w:r>
      <w:r>
        <w:rPr>
          <w:rFonts w:ascii="Perpetua" w:hAnsi="Perpetua"/>
        </w:rPr>
        <w:t xml:space="preserve">a </w:t>
      </w:r>
      <w:r w:rsidR="006C45D8">
        <w:rPr>
          <w:rFonts w:ascii="Perpetua" w:hAnsi="Perpetua"/>
        </w:rPr>
        <w:t xml:space="preserve">verificação da </w:t>
      </w:r>
      <w:r>
        <w:rPr>
          <w:rFonts w:ascii="Perpetua" w:hAnsi="Perpetua"/>
        </w:rPr>
        <w:t>hipótese empírica de que os recursos humanos dos tribunais são afectos com base em coeficientes fixos face ao n</w:t>
      </w:r>
      <w:r w:rsidR="006C45D8">
        <w:rPr>
          <w:rFonts w:ascii="Perpetua" w:hAnsi="Perpetua"/>
        </w:rPr>
        <w:t>úmero de magistrados judiciais exigiria que a dispersão fosse nula.</w:t>
      </w:r>
      <w:r>
        <w:rPr>
          <w:rFonts w:ascii="Perpetua" w:hAnsi="Perpetua"/>
        </w:rPr>
        <w:t xml:space="preserve">     </w:t>
      </w:r>
    </w:p>
    <w:p w:rsidR="00616B80" w:rsidRDefault="00616B80" w:rsidP="00616B80">
      <w:pPr>
        <w:pStyle w:val="Caption"/>
        <w:jc w:val="center"/>
        <w:rPr>
          <w:rFonts w:ascii="Perpetua" w:hAnsi="Perpetua"/>
        </w:rPr>
      </w:pPr>
    </w:p>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Pr="002F233D" w:rsidRDefault="002F233D" w:rsidP="002F233D"/>
    <w:p w:rsidR="00616B80" w:rsidRDefault="00616B80" w:rsidP="00616B80">
      <w:pPr>
        <w:pStyle w:val="Caption"/>
        <w:jc w:val="center"/>
        <w:rPr>
          <w:rFonts w:ascii="Perpetua" w:hAnsi="Perpetua"/>
        </w:rPr>
      </w:pPr>
    </w:p>
    <w:p w:rsidR="00616B80" w:rsidRPr="005708D9" w:rsidRDefault="00616B80" w:rsidP="00616B80">
      <w:pPr>
        <w:pStyle w:val="Caption"/>
        <w:jc w:val="center"/>
        <w:rPr>
          <w:rFonts w:ascii="Perpetua" w:hAnsi="Perpetua"/>
        </w:rPr>
      </w:pPr>
      <w:bookmarkStart w:id="121" w:name="_Toc215081943"/>
      <w:r w:rsidRPr="005708D9">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3</w:t>
      </w:r>
      <w:r w:rsidR="0048473F">
        <w:rPr>
          <w:rFonts w:ascii="Perpetua" w:hAnsi="Perpetua"/>
        </w:rPr>
        <w:fldChar w:fldCharType="end"/>
      </w:r>
      <w:r w:rsidRPr="005708D9">
        <w:rPr>
          <w:rFonts w:ascii="Perpetua" w:hAnsi="Perpetua"/>
        </w:rPr>
        <w:t xml:space="preserve"> – Estatísticas </w:t>
      </w:r>
      <w:r>
        <w:rPr>
          <w:rFonts w:ascii="Perpetua" w:hAnsi="Perpetua"/>
        </w:rPr>
        <w:t xml:space="preserve">sumárias </w:t>
      </w:r>
      <w:r w:rsidRPr="005708D9">
        <w:rPr>
          <w:rFonts w:ascii="Perpetua" w:hAnsi="Perpetua"/>
        </w:rPr>
        <w:t>dos recursos humanos por magistrado judicial</w:t>
      </w:r>
      <w:bookmarkEnd w:id="121"/>
    </w:p>
    <w:p w:rsidR="00616B80" w:rsidRPr="003120EA" w:rsidRDefault="00616B80" w:rsidP="00616B80">
      <w:pPr>
        <w:jc w:val="center"/>
        <w:rPr>
          <w:rFonts w:ascii="Perpetua" w:hAnsi="Perpetua"/>
        </w:rPr>
      </w:pPr>
    </w:p>
    <w:tbl>
      <w:tblPr>
        <w:tblW w:w="7020" w:type="dxa"/>
        <w:jc w:val="center"/>
        <w:tblInd w:w="55" w:type="dxa"/>
        <w:tblCellMar>
          <w:left w:w="70" w:type="dxa"/>
          <w:right w:w="70" w:type="dxa"/>
        </w:tblCellMar>
        <w:tblLook w:val="04A0"/>
      </w:tblPr>
      <w:tblGrid>
        <w:gridCol w:w="1580"/>
        <w:gridCol w:w="1360"/>
        <w:gridCol w:w="1360"/>
        <w:gridCol w:w="1360"/>
        <w:gridCol w:w="1360"/>
      </w:tblGrid>
      <w:tr w:rsidR="00616B80" w:rsidTr="00C234BE">
        <w:trPr>
          <w:trHeight w:val="615"/>
          <w:jc w:val="center"/>
        </w:trPr>
        <w:tc>
          <w:tcPr>
            <w:tcW w:w="158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 </w:t>
            </w:r>
          </w:p>
        </w:tc>
        <w:tc>
          <w:tcPr>
            <w:tcW w:w="13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Solicitadores</w:t>
            </w:r>
          </w:p>
        </w:tc>
        <w:tc>
          <w:tcPr>
            <w:tcW w:w="13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Advogados</w:t>
            </w:r>
          </w:p>
        </w:tc>
        <w:tc>
          <w:tcPr>
            <w:tcW w:w="136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Funcionários judiciais</w:t>
            </w:r>
          </w:p>
        </w:tc>
        <w:tc>
          <w:tcPr>
            <w:tcW w:w="1360" w:type="dxa"/>
            <w:tcBorders>
              <w:top w:val="nil"/>
              <w:left w:val="nil"/>
              <w:bottom w:val="single" w:sz="4" w:space="0" w:color="auto"/>
              <w:right w:val="nil"/>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Magistrados M.P.</w:t>
            </w:r>
          </w:p>
        </w:tc>
      </w:tr>
      <w:tr w:rsidR="00616B80" w:rsidTr="00C234BE">
        <w:trPr>
          <w:trHeight w:val="465"/>
          <w:jc w:val="center"/>
        </w:trPr>
        <w:tc>
          <w:tcPr>
            <w:tcW w:w="158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Mínimo</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0,50</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0,50</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3,75</w:t>
            </w:r>
          </w:p>
        </w:tc>
        <w:tc>
          <w:tcPr>
            <w:tcW w:w="13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0,50</w:t>
            </w:r>
          </w:p>
        </w:tc>
      </w:tr>
      <w:tr w:rsidR="00616B80" w:rsidTr="00C234BE">
        <w:trPr>
          <w:trHeight w:val="465"/>
          <w:jc w:val="center"/>
        </w:trPr>
        <w:tc>
          <w:tcPr>
            <w:tcW w:w="158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 xml:space="preserve">Mediana </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1,62</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10,79</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8,00</w:t>
            </w:r>
          </w:p>
        </w:tc>
        <w:tc>
          <w:tcPr>
            <w:tcW w:w="13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1,00</w:t>
            </w:r>
          </w:p>
        </w:tc>
      </w:tr>
      <w:tr w:rsidR="00616B80" w:rsidTr="00C234BE">
        <w:trPr>
          <w:trHeight w:val="465"/>
          <w:jc w:val="center"/>
        </w:trPr>
        <w:tc>
          <w:tcPr>
            <w:tcW w:w="158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Média</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2,00</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11,53</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8,10</w:t>
            </w:r>
          </w:p>
        </w:tc>
        <w:tc>
          <w:tcPr>
            <w:tcW w:w="13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1,01</w:t>
            </w:r>
          </w:p>
        </w:tc>
      </w:tr>
      <w:tr w:rsidR="00616B80" w:rsidTr="00C234BE">
        <w:trPr>
          <w:trHeight w:val="525"/>
          <w:jc w:val="center"/>
        </w:trPr>
        <w:tc>
          <w:tcPr>
            <w:tcW w:w="1580" w:type="dxa"/>
            <w:tcBorders>
              <w:top w:val="nil"/>
              <w:left w:val="nil"/>
              <w:bottom w:val="single" w:sz="4" w:space="0" w:color="auto"/>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Máximo</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9,89</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26,77</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15,50</w:t>
            </w:r>
          </w:p>
        </w:tc>
        <w:tc>
          <w:tcPr>
            <w:tcW w:w="13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2,00</w:t>
            </w:r>
          </w:p>
        </w:tc>
      </w:tr>
      <w:tr w:rsidR="00616B80" w:rsidTr="00C234BE">
        <w:trPr>
          <w:trHeight w:val="525"/>
          <w:jc w:val="center"/>
        </w:trPr>
        <w:tc>
          <w:tcPr>
            <w:tcW w:w="1580" w:type="dxa"/>
            <w:tcBorders>
              <w:top w:val="nil"/>
              <w:left w:val="nil"/>
              <w:bottom w:val="single" w:sz="4" w:space="0" w:color="auto"/>
              <w:right w:val="single" w:sz="4" w:space="0" w:color="auto"/>
            </w:tcBorders>
            <w:shd w:val="clear" w:color="000000" w:fill="FFFFFF"/>
            <w:vAlign w:val="center"/>
          </w:tcPr>
          <w:p w:rsidR="00616B80" w:rsidRDefault="00616B80" w:rsidP="00A97DDF">
            <w:pPr>
              <w:jc w:val="center"/>
              <w:rPr>
                <w:rFonts w:ascii="Perpetua" w:hAnsi="Perpetua"/>
                <w:b/>
                <w:bCs/>
                <w:sz w:val="20"/>
                <w:szCs w:val="20"/>
              </w:rPr>
            </w:pPr>
            <w:r>
              <w:rPr>
                <w:rFonts w:ascii="Perpetua" w:hAnsi="Perpetua"/>
                <w:b/>
                <w:bCs/>
                <w:sz w:val="20"/>
                <w:szCs w:val="20"/>
              </w:rPr>
              <w:t>Desvio</w:t>
            </w:r>
            <w:r w:rsidR="00A97DDF">
              <w:rPr>
                <w:rFonts w:ascii="Perpetua" w:hAnsi="Perpetua"/>
                <w:b/>
                <w:bCs/>
                <w:sz w:val="20"/>
                <w:szCs w:val="20"/>
              </w:rPr>
              <w:t>-</w:t>
            </w:r>
            <w:r>
              <w:rPr>
                <w:rFonts w:ascii="Perpetua" w:hAnsi="Perpetua"/>
                <w:b/>
                <w:bCs/>
                <w:sz w:val="20"/>
                <w:szCs w:val="20"/>
              </w:rPr>
              <w:t>padrão</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1,46</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5,43</w:t>
            </w:r>
          </w:p>
        </w:tc>
        <w:tc>
          <w:tcPr>
            <w:tcW w:w="1360" w:type="dxa"/>
            <w:tcBorders>
              <w:top w:val="nil"/>
              <w:left w:val="nil"/>
              <w:bottom w:val="single" w:sz="4" w:space="0" w:color="auto"/>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2,69</w:t>
            </w:r>
          </w:p>
        </w:tc>
        <w:tc>
          <w:tcPr>
            <w:tcW w:w="1360" w:type="dxa"/>
            <w:tcBorders>
              <w:top w:val="nil"/>
              <w:left w:val="nil"/>
              <w:bottom w:val="single" w:sz="4" w:space="0" w:color="auto"/>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0,24</w:t>
            </w:r>
          </w:p>
        </w:tc>
      </w:tr>
      <w:tr w:rsidR="00616B80" w:rsidTr="00C234BE">
        <w:trPr>
          <w:trHeight w:val="645"/>
          <w:jc w:val="center"/>
        </w:trPr>
        <w:tc>
          <w:tcPr>
            <w:tcW w:w="1580" w:type="dxa"/>
            <w:tcBorders>
              <w:top w:val="nil"/>
              <w:left w:val="nil"/>
              <w:bottom w:val="nil"/>
              <w:right w:val="single" w:sz="4" w:space="0" w:color="auto"/>
            </w:tcBorders>
            <w:shd w:val="clear" w:color="000000" w:fill="FFFFFF"/>
            <w:vAlign w:val="center"/>
          </w:tcPr>
          <w:p w:rsidR="00616B80" w:rsidRDefault="00616B80" w:rsidP="00C234BE">
            <w:pPr>
              <w:jc w:val="center"/>
              <w:rPr>
                <w:rFonts w:ascii="Perpetua" w:hAnsi="Perpetua"/>
                <w:b/>
                <w:bCs/>
                <w:sz w:val="20"/>
                <w:szCs w:val="20"/>
              </w:rPr>
            </w:pPr>
            <w:r>
              <w:rPr>
                <w:rFonts w:ascii="Perpetua" w:hAnsi="Perpetua"/>
                <w:b/>
                <w:bCs/>
                <w:sz w:val="20"/>
                <w:szCs w:val="20"/>
              </w:rPr>
              <w:t>Coeficiente de variação</w:t>
            </w:r>
          </w:p>
        </w:tc>
        <w:tc>
          <w:tcPr>
            <w:tcW w:w="136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0,73</w:t>
            </w:r>
          </w:p>
        </w:tc>
        <w:tc>
          <w:tcPr>
            <w:tcW w:w="136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0,47</w:t>
            </w:r>
          </w:p>
        </w:tc>
        <w:tc>
          <w:tcPr>
            <w:tcW w:w="1360" w:type="dxa"/>
            <w:tcBorders>
              <w:top w:val="nil"/>
              <w:left w:val="nil"/>
              <w:bottom w:val="nil"/>
              <w:right w:val="single" w:sz="4" w:space="0" w:color="auto"/>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0,33</w:t>
            </w:r>
          </w:p>
        </w:tc>
        <w:tc>
          <w:tcPr>
            <w:tcW w:w="1360" w:type="dxa"/>
            <w:tcBorders>
              <w:top w:val="nil"/>
              <w:left w:val="nil"/>
              <w:bottom w:val="nil"/>
              <w:right w:val="nil"/>
            </w:tcBorders>
            <w:shd w:val="clear" w:color="000000" w:fill="FFFFFF"/>
            <w:noWrap/>
            <w:vAlign w:val="center"/>
          </w:tcPr>
          <w:p w:rsidR="00616B80" w:rsidRDefault="00616B80" w:rsidP="00C234BE">
            <w:pPr>
              <w:jc w:val="center"/>
              <w:rPr>
                <w:rFonts w:ascii="Perpetua" w:hAnsi="Perpetua"/>
                <w:sz w:val="20"/>
                <w:szCs w:val="20"/>
              </w:rPr>
            </w:pPr>
            <w:r>
              <w:rPr>
                <w:rFonts w:ascii="Perpetua" w:hAnsi="Perpetua"/>
                <w:sz w:val="20"/>
                <w:szCs w:val="20"/>
              </w:rPr>
              <w:t>0,23</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616B80" w:rsidRPr="005708D9" w:rsidRDefault="00616B80" w:rsidP="00616B80">
      <w:pPr>
        <w:spacing w:line="360" w:lineRule="auto"/>
        <w:jc w:val="both"/>
        <w:rPr>
          <w:rFonts w:ascii="Perpetua" w:hAnsi="Perpetua"/>
        </w:rPr>
      </w:pPr>
    </w:p>
    <w:p w:rsidR="009B45C6" w:rsidRDefault="006C45D8" w:rsidP="00F72F49">
      <w:pPr>
        <w:spacing w:line="360" w:lineRule="auto"/>
        <w:jc w:val="both"/>
        <w:rPr>
          <w:rFonts w:ascii="Perpetua" w:hAnsi="Perpetua"/>
        </w:rPr>
      </w:pPr>
      <w:r>
        <w:rPr>
          <w:rFonts w:ascii="Perpetua" w:hAnsi="Perpetua"/>
        </w:rPr>
        <w:t>De facto, a</w:t>
      </w:r>
      <w:r w:rsidR="00CC264B">
        <w:rPr>
          <w:rFonts w:ascii="Perpetua" w:hAnsi="Perpetua"/>
        </w:rPr>
        <w:t>nalisando o diagrama de caixa de bigodes</w:t>
      </w:r>
      <w:r w:rsidR="00F72F49">
        <w:rPr>
          <w:rFonts w:ascii="Perpetua" w:hAnsi="Perpetua"/>
        </w:rPr>
        <w:t xml:space="preserve"> </w:t>
      </w:r>
      <w:r w:rsidR="00C741D1">
        <w:rPr>
          <w:rFonts w:ascii="Perpetua" w:hAnsi="Perpetua"/>
        </w:rPr>
        <w:t>(</w:t>
      </w:r>
      <w:r w:rsidR="008957EA">
        <w:rPr>
          <w:rFonts w:ascii="Perpetua" w:hAnsi="Perpetua"/>
          <w:i/>
        </w:rPr>
        <w:t>v</w:t>
      </w:r>
      <w:r w:rsidR="004E5D3A" w:rsidRPr="004E5D3A">
        <w:rPr>
          <w:rFonts w:ascii="Perpetua" w:hAnsi="Perpetua"/>
          <w:i/>
        </w:rPr>
        <w:t>ide</w:t>
      </w:r>
      <w:r w:rsidR="00C741D1">
        <w:rPr>
          <w:rFonts w:ascii="Perpetua" w:hAnsi="Perpetua"/>
        </w:rPr>
        <w:t xml:space="preserve"> </w:t>
      </w:r>
      <w:r w:rsidR="00CC264B">
        <w:rPr>
          <w:rFonts w:ascii="Perpetua" w:hAnsi="Perpetua"/>
        </w:rPr>
        <w:t xml:space="preserve">Gráfico </w:t>
      </w:r>
      <w:r w:rsidR="00C741D1">
        <w:rPr>
          <w:rFonts w:ascii="Perpetua" w:hAnsi="Perpetua"/>
        </w:rPr>
        <w:t>5.</w:t>
      </w:r>
      <w:r w:rsidR="00C234BE">
        <w:rPr>
          <w:rFonts w:ascii="Perpetua" w:hAnsi="Perpetua"/>
        </w:rPr>
        <w:t>3</w:t>
      </w:r>
      <w:r w:rsidR="00C741D1">
        <w:rPr>
          <w:rFonts w:ascii="Perpetua" w:hAnsi="Perpetua"/>
        </w:rPr>
        <w:t>)</w:t>
      </w:r>
      <w:r w:rsidR="00F72F49">
        <w:rPr>
          <w:rFonts w:ascii="Perpetua" w:hAnsi="Perpetua"/>
        </w:rPr>
        <w:t xml:space="preserve">, conclui-se que o coeficiente </w:t>
      </w:r>
      <w:r w:rsidR="0008426C">
        <w:rPr>
          <w:rFonts w:ascii="Perpetua" w:hAnsi="Perpetua"/>
        </w:rPr>
        <w:t xml:space="preserve">de </w:t>
      </w:r>
      <w:r w:rsidR="00F72F49">
        <w:rPr>
          <w:rFonts w:ascii="Perpetua" w:hAnsi="Perpetua"/>
        </w:rPr>
        <w:t>funcionários</w:t>
      </w:r>
      <w:r w:rsidR="0008426C">
        <w:rPr>
          <w:rFonts w:ascii="Perpetua" w:hAnsi="Perpetua"/>
        </w:rPr>
        <w:t xml:space="preserve"> judiciais por </w:t>
      </w:r>
      <w:r w:rsidR="00F72F49">
        <w:rPr>
          <w:rFonts w:ascii="Perpetua" w:hAnsi="Perpetua"/>
        </w:rPr>
        <w:t>magistrado judicia</w:t>
      </w:r>
      <w:r w:rsidR="0008426C">
        <w:rPr>
          <w:rFonts w:ascii="Perpetua" w:hAnsi="Perpetua"/>
        </w:rPr>
        <w:t>l</w:t>
      </w:r>
      <w:r w:rsidR="00F72F49">
        <w:rPr>
          <w:rFonts w:ascii="Perpetua" w:hAnsi="Perpetua"/>
        </w:rPr>
        <w:t xml:space="preserve"> não é homogéneo n</w:t>
      </w:r>
      <w:r w:rsidR="00257B82">
        <w:rPr>
          <w:rFonts w:ascii="Perpetua" w:hAnsi="Perpetua"/>
        </w:rPr>
        <w:t xml:space="preserve">o conjunto </w:t>
      </w:r>
      <w:r w:rsidR="00F72F49">
        <w:rPr>
          <w:rFonts w:ascii="Perpetua" w:hAnsi="Perpetua"/>
        </w:rPr>
        <w:t>de tribunais considerad</w:t>
      </w:r>
      <w:r w:rsidR="00257B82">
        <w:rPr>
          <w:rFonts w:ascii="Perpetua" w:hAnsi="Perpetua"/>
        </w:rPr>
        <w:t>o</w:t>
      </w:r>
      <w:r w:rsidR="00F72F49">
        <w:rPr>
          <w:rFonts w:ascii="Perpetua" w:hAnsi="Perpetua"/>
        </w:rPr>
        <w:t>. Esta constatação empírica</w:t>
      </w:r>
      <w:r w:rsidR="00257B82">
        <w:rPr>
          <w:rFonts w:ascii="Perpetua" w:hAnsi="Perpetua"/>
        </w:rPr>
        <w:t xml:space="preserve"> –</w:t>
      </w:r>
      <w:r w:rsidR="00AD0F32">
        <w:rPr>
          <w:rFonts w:ascii="Perpetua" w:hAnsi="Perpetua"/>
        </w:rPr>
        <w:t xml:space="preserve"> provavelmente resultante dos problemas de medição dos funcionários judiciais afectos à secção judicial e à secção do M. P.</w:t>
      </w:r>
      <w:r w:rsidR="00AD0F32">
        <w:rPr>
          <w:rStyle w:val="FootnoteReference"/>
          <w:rFonts w:ascii="Perpetua" w:hAnsi="Perpetua"/>
        </w:rPr>
        <w:footnoteReference w:id="108"/>
      </w:r>
      <w:r w:rsidR="00AD0F32">
        <w:rPr>
          <w:rFonts w:ascii="Perpetua" w:hAnsi="Perpetua"/>
        </w:rPr>
        <w:t xml:space="preserve"> </w:t>
      </w:r>
      <w:r w:rsidR="00257B82">
        <w:rPr>
          <w:rFonts w:ascii="Perpetua" w:hAnsi="Perpetua"/>
        </w:rPr>
        <w:t xml:space="preserve">– </w:t>
      </w:r>
      <w:r w:rsidR="008957EA">
        <w:rPr>
          <w:rFonts w:ascii="Perpetua" w:hAnsi="Perpetua"/>
        </w:rPr>
        <w:t>viola uma das premissas que motivou a escolha d</w:t>
      </w:r>
      <w:r w:rsidR="00A97DDF">
        <w:rPr>
          <w:rFonts w:ascii="Perpetua" w:hAnsi="Perpetua"/>
        </w:rPr>
        <w:t>a</w:t>
      </w:r>
      <w:r w:rsidR="008957EA">
        <w:rPr>
          <w:rFonts w:ascii="Perpetua" w:hAnsi="Perpetua"/>
        </w:rPr>
        <w:t xml:space="preserve"> abordagem e </w:t>
      </w:r>
      <w:r w:rsidR="00A97DDF">
        <w:rPr>
          <w:rFonts w:ascii="Perpetua" w:hAnsi="Perpetua"/>
        </w:rPr>
        <w:t xml:space="preserve">da </w:t>
      </w:r>
      <w:r w:rsidR="008957EA">
        <w:rPr>
          <w:rFonts w:ascii="Perpetua" w:hAnsi="Perpetua"/>
        </w:rPr>
        <w:t>técnica</w:t>
      </w:r>
      <w:r w:rsidR="00A97DDF">
        <w:rPr>
          <w:rFonts w:ascii="Perpetua" w:hAnsi="Perpetua"/>
        </w:rPr>
        <w:t xml:space="preserve"> econométrica</w:t>
      </w:r>
      <w:r w:rsidR="008957EA">
        <w:rPr>
          <w:rFonts w:ascii="Perpetua" w:hAnsi="Perpetua"/>
        </w:rPr>
        <w:t xml:space="preserve"> </w:t>
      </w:r>
      <w:r w:rsidR="00A97DDF">
        <w:rPr>
          <w:rFonts w:ascii="Perpetua" w:hAnsi="Perpetua"/>
        </w:rPr>
        <w:t>deste</w:t>
      </w:r>
      <w:r w:rsidR="008957EA">
        <w:rPr>
          <w:rFonts w:ascii="Perpetua" w:hAnsi="Perpetua"/>
        </w:rPr>
        <w:t xml:space="preserve"> trabalho. Apesar da violação desta premissa introduzir maior margem de erro nas análises empíricas efectuadas, é possível reduzir o erro daí decorrente através da introdução da variável de número de funcionários judiciais por magistrado judicial como regressor na análise da regressão.</w:t>
      </w:r>
      <w:r w:rsidR="00F72F49">
        <w:rPr>
          <w:rFonts w:ascii="Perpetua" w:hAnsi="Perpetua"/>
        </w:rPr>
        <w:t xml:space="preserve"> </w:t>
      </w:r>
      <w:r w:rsidR="008957EA">
        <w:rPr>
          <w:rFonts w:ascii="Perpetua" w:hAnsi="Perpetua"/>
        </w:rPr>
        <w:t>Acresce que</w:t>
      </w:r>
      <w:r w:rsidR="009B45C6">
        <w:rPr>
          <w:rFonts w:ascii="Perpetua" w:hAnsi="Perpetua"/>
        </w:rPr>
        <w:t>, mediante a análise do diagrama de dispersão do número de magistrados judiciais contra o número de funcionários por magistrado judicial</w:t>
      </w:r>
      <w:r w:rsidR="008957EA">
        <w:rPr>
          <w:rStyle w:val="FootnoteReference"/>
          <w:rFonts w:ascii="Perpetua" w:hAnsi="Perpetua"/>
        </w:rPr>
        <w:footnoteReference w:id="109"/>
      </w:r>
      <w:r w:rsidR="009B45C6">
        <w:rPr>
          <w:rFonts w:ascii="Perpetua" w:hAnsi="Perpetua"/>
        </w:rPr>
        <w:t xml:space="preserve"> conclui-se que há uma relação negativa entre essas variáveis</w:t>
      </w:r>
      <w:r w:rsidR="00CC264B">
        <w:rPr>
          <w:rFonts w:ascii="Perpetua" w:hAnsi="Perpetua"/>
        </w:rPr>
        <w:t>.</w:t>
      </w:r>
    </w:p>
    <w:p w:rsidR="00616B80" w:rsidRDefault="00616B80" w:rsidP="003903D0">
      <w:pPr>
        <w:pStyle w:val="Caption"/>
        <w:jc w:val="center"/>
        <w:rPr>
          <w:rFonts w:ascii="Perpetua" w:hAnsi="Perpetua"/>
        </w:rPr>
      </w:pPr>
    </w:p>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2F233D" w:rsidRDefault="002F233D" w:rsidP="002F233D"/>
    <w:p w:rsidR="0008426C" w:rsidRPr="003903D0" w:rsidRDefault="003903D0" w:rsidP="003903D0">
      <w:pPr>
        <w:pStyle w:val="Caption"/>
        <w:jc w:val="center"/>
        <w:rPr>
          <w:rFonts w:ascii="Perpetua" w:hAnsi="Perpetua"/>
        </w:rPr>
      </w:pPr>
      <w:bookmarkStart w:id="122" w:name="_Toc215081935"/>
      <w:r w:rsidRPr="003903D0">
        <w:rPr>
          <w:rFonts w:ascii="Perpetua" w:hAnsi="Perpetua"/>
        </w:rPr>
        <w:t xml:space="preserve">Gráfico </w:t>
      </w:r>
      <w:r w:rsidR="0048473F">
        <w:rPr>
          <w:rFonts w:ascii="Perpetua" w:hAnsi="Perpetua"/>
        </w:rPr>
        <w:fldChar w:fldCharType="begin"/>
      </w:r>
      <w:r w:rsidR="00A023D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A023D8">
        <w:rPr>
          <w:rFonts w:ascii="Perpetua" w:hAnsi="Perpetua"/>
        </w:rPr>
        <w:t>.</w:t>
      </w:r>
      <w:r w:rsidR="0048473F">
        <w:rPr>
          <w:rFonts w:ascii="Perpetua" w:hAnsi="Perpetua"/>
        </w:rPr>
        <w:fldChar w:fldCharType="begin"/>
      </w:r>
      <w:r w:rsidR="00A023D8">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3</w:t>
      </w:r>
      <w:r w:rsidR="0048473F">
        <w:rPr>
          <w:rFonts w:ascii="Perpetua" w:hAnsi="Perpetua"/>
        </w:rPr>
        <w:fldChar w:fldCharType="end"/>
      </w:r>
      <w:r w:rsidRPr="003903D0">
        <w:rPr>
          <w:rFonts w:ascii="Perpetua" w:hAnsi="Perpetua"/>
        </w:rPr>
        <w:t xml:space="preserve"> </w:t>
      </w:r>
      <w:r w:rsidR="0008426C" w:rsidRPr="003903D0">
        <w:rPr>
          <w:rFonts w:ascii="Perpetua" w:hAnsi="Perpetua"/>
        </w:rPr>
        <w:t>– Caixa de Bigodes do coeficiente de funcionários judiciais por magistrado judicial</w:t>
      </w:r>
      <w:bookmarkEnd w:id="122"/>
    </w:p>
    <w:p w:rsidR="003903D0" w:rsidRPr="003903D0" w:rsidRDefault="003903D0" w:rsidP="003903D0"/>
    <w:p w:rsidR="00C741D1" w:rsidRDefault="00C82BCA" w:rsidP="00C741D1">
      <w:pPr>
        <w:spacing w:line="360" w:lineRule="auto"/>
        <w:jc w:val="center"/>
        <w:rPr>
          <w:rFonts w:ascii="Perpetua" w:hAnsi="Perpetua"/>
        </w:rPr>
      </w:pPr>
      <w:r>
        <w:rPr>
          <w:rFonts w:ascii="Perpetua" w:hAnsi="Perpetua"/>
          <w:noProof/>
        </w:rPr>
        <w:drawing>
          <wp:inline distT="0" distB="0" distL="0" distR="0">
            <wp:extent cx="3724275" cy="2914650"/>
            <wp:effectExtent l="0" t="0" r="0" b="0"/>
            <wp:docPr id="40"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4"/>
                    <a:srcRect/>
                    <a:stretch>
                      <a:fillRect/>
                    </a:stretch>
                  </pic:blipFill>
                  <pic:spPr bwMode="auto">
                    <a:xfrm>
                      <a:off x="0" y="0"/>
                      <a:ext cx="3724275" cy="2914650"/>
                    </a:xfrm>
                    <a:prstGeom prst="rect">
                      <a:avLst/>
                    </a:prstGeom>
                    <a:noFill/>
                    <a:ln w="9525">
                      <a:noFill/>
                      <a:miter lim="800000"/>
                      <a:headEnd/>
                      <a:tailEnd/>
                    </a:ln>
                  </pic:spPr>
                </pic:pic>
              </a:graphicData>
            </a:graphic>
          </wp:inline>
        </w:drawing>
      </w:r>
    </w:p>
    <w:p w:rsidR="0000114F" w:rsidRDefault="0000114F" w:rsidP="005708D9">
      <w:pPr>
        <w:spacing w:line="360" w:lineRule="auto"/>
        <w:jc w:val="both"/>
        <w:rPr>
          <w:rFonts w:ascii="Perpetua" w:hAnsi="Perpetua"/>
        </w:rPr>
      </w:pPr>
    </w:p>
    <w:p w:rsidR="00F73C55" w:rsidRPr="009746B0" w:rsidRDefault="009746B0" w:rsidP="005708D9">
      <w:pPr>
        <w:spacing w:line="360" w:lineRule="auto"/>
        <w:jc w:val="both"/>
        <w:rPr>
          <w:rFonts w:ascii="Perpetua" w:hAnsi="Perpetua"/>
        </w:rPr>
      </w:pPr>
      <w:r>
        <w:rPr>
          <w:rFonts w:ascii="Perpetua" w:hAnsi="Perpetua"/>
        </w:rPr>
        <w:t xml:space="preserve">As estatísticas sumárias relativas às variáveis indirectas da produtividade dos funcionários judiciais (número de injunções findas por funcionário judicial) e dos magistrados do M.P. (número de inquéritos </w:t>
      </w:r>
      <w:r w:rsidR="00CC264B">
        <w:rPr>
          <w:rFonts w:ascii="Perpetua" w:hAnsi="Perpetua"/>
        </w:rPr>
        <w:t xml:space="preserve">penais </w:t>
      </w:r>
      <w:r>
        <w:rPr>
          <w:rFonts w:ascii="Perpetua" w:hAnsi="Perpetua"/>
        </w:rPr>
        <w:t>findos por magistrado do M.P.)</w:t>
      </w:r>
      <w:r w:rsidR="003903D0">
        <w:rPr>
          <w:rFonts w:ascii="Perpetua" w:hAnsi="Perpetua"/>
        </w:rPr>
        <w:t xml:space="preserve"> </w:t>
      </w:r>
      <w:r w:rsidR="00CC264B">
        <w:rPr>
          <w:rFonts w:ascii="Perpetua" w:hAnsi="Perpetua"/>
        </w:rPr>
        <w:t xml:space="preserve">apresentadas no Quadro 5.4 </w:t>
      </w:r>
      <w:r w:rsidR="003903D0">
        <w:rPr>
          <w:rFonts w:ascii="Perpetua" w:hAnsi="Perpetua"/>
        </w:rPr>
        <w:t>e</w:t>
      </w:r>
      <w:r w:rsidR="00A97DDF">
        <w:rPr>
          <w:rFonts w:ascii="Perpetua" w:hAnsi="Perpetua"/>
        </w:rPr>
        <w:t>videnciam</w:t>
      </w:r>
      <w:r w:rsidR="003903D0">
        <w:rPr>
          <w:rFonts w:ascii="Perpetua" w:hAnsi="Perpetua"/>
        </w:rPr>
        <w:t xml:space="preserve"> a reduzida importância das injunções enquanto medida do trabalho dos funcionários judiciais (mais de metade dos tribunais tem uma produtividade média inferior a 3 injunções</w:t>
      </w:r>
      <w:r w:rsidR="005708D9" w:rsidRPr="005708D9">
        <w:rPr>
          <w:rFonts w:ascii="Perpetua" w:hAnsi="Perpetua"/>
        </w:rPr>
        <w:t xml:space="preserve"> </w:t>
      </w:r>
      <w:r w:rsidR="005708D9">
        <w:rPr>
          <w:rFonts w:ascii="Perpetua" w:hAnsi="Perpetua"/>
        </w:rPr>
        <w:t xml:space="preserve">por funcionário judicial). Inversamente, a medida indirecta da produtividade dos magistrados M. P. apresenta uma distribuição de frequências aproximadamente normal, com uma média de cerca de 427 processos de inquérito findos por magistrado do M. </w:t>
      </w:r>
      <w:proofErr w:type="gramStart"/>
      <w:r w:rsidR="005708D9">
        <w:rPr>
          <w:rFonts w:ascii="Perpetua" w:hAnsi="Perpetua"/>
        </w:rPr>
        <w:t>P..</w:t>
      </w:r>
      <w:proofErr w:type="gramEnd"/>
      <w:r w:rsidR="005708D9">
        <w:rPr>
          <w:rFonts w:ascii="Perpetua" w:hAnsi="Perpetua"/>
        </w:rPr>
        <w:t xml:space="preserve">    </w:t>
      </w:r>
    </w:p>
    <w:p w:rsidR="00F73C55" w:rsidRDefault="00F73C55"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2F233D" w:rsidRDefault="002F233D" w:rsidP="005708D9">
      <w:pPr>
        <w:spacing w:line="360" w:lineRule="auto"/>
        <w:jc w:val="both"/>
        <w:rPr>
          <w:rFonts w:ascii="Perpetua" w:hAnsi="Perpetua"/>
        </w:rPr>
      </w:pPr>
    </w:p>
    <w:p w:rsidR="00F72F49" w:rsidRPr="003903D0" w:rsidRDefault="003903D0" w:rsidP="003903D0">
      <w:pPr>
        <w:pStyle w:val="Caption"/>
        <w:jc w:val="center"/>
        <w:rPr>
          <w:rFonts w:ascii="Perpetua" w:hAnsi="Perpetua"/>
        </w:rPr>
      </w:pPr>
      <w:bookmarkStart w:id="123" w:name="_Toc215081944"/>
      <w:r>
        <w:rPr>
          <w:rFonts w:ascii="Perpetua" w:hAnsi="Perpetua"/>
        </w:rPr>
        <w:t>Quadro</w:t>
      </w:r>
      <w:r w:rsidRPr="003903D0">
        <w:rPr>
          <w:rFonts w:ascii="Perpetua" w:hAnsi="Perpetua"/>
        </w:rPr>
        <w:t xml:space="preserve">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00F72F49" w:rsidRPr="003903D0">
        <w:rPr>
          <w:rFonts w:ascii="Perpetua" w:hAnsi="Perpetua"/>
        </w:rPr>
        <w:t xml:space="preserve"> – </w:t>
      </w:r>
      <w:r w:rsidR="005708D9">
        <w:rPr>
          <w:rFonts w:ascii="Perpetua" w:hAnsi="Perpetua"/>
        </w:rPr>
        <w:t>Estatísticas sumárias das medidas indirectas da produtividade dos</w:t>
      </w:r>
      <w:r w:rsidR="00F72F49" w:rsidRPr="003903D0">
        <w:rPr>
          <w:rFonts w:ascii="Perpetua" w:hAnsi="Perpetua"/>
        </w:rPr>
        <w:t xml:space="preserve"> funcionários judiciais e </w:t>
      </w:r>
      <w:r w:rsidR="005708D9">
        <w:rPr>
          <w:rFonts w:ascii="Perpetua" w:hAnsi="Perpetua"/>
        </w:rPr>
        <w:t xml:space="preserve">dos </w:t>
      </w:r>
      <w:r w:rsidR="00F72F49" w:rsidRPr="003903D0">
        <w:rPr>
          <w:rFonts w:ascii="Perpetua" w:hAnsi="Perpetua"/>
        </w:rPr>
        <w:t>magistrados do M.P.</w:t>
      </w:r>
      <w:bookmarkEnd w:id="123"/>
    </w:p>
    <w:p w:rsidR="00F72F49" w:rsidRPr="003120EA" w:rsidRDefault="00F72F49" w:rsidP="00F72F49"/>
    <w:tbl>
      <w:tblPr>
        <w:tblW w:w="5620" w:type="dxa"/>
        <w:jc w:val="center"/>
        <w:tblInd w:w="56" w:type="dxa"/>
        <w:tblCellMar>
          <w:left w:w="70" w:type="dxa"/>
          <w:right w:w="70" w:type="dxa"/>
        </w:tblCellMar>
        <w:tblLook w:val="04A0"/>
      </w:tblPr>
      <w:tblGrid>
        <w:gridCol w:w="1600"/>
        <w:gridCol w:w="2020"/>
        <w:gridCol w:w="2000"/>
      </w:tblGrid>
      <w:tr w:rsidR="00F06DC9" w:rsidTr="00F06DC9">
        <w:trPr>
          <w:trHeight w:val="615"/>
          <w:jc w:val="center"/>
        </w:trPr>
        <w:tc>
          <w:tcPr>
            <w:tcW w:w="160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 </w:t>
            </w:r>
          </w:p>
        </w:tc>
        <w:tc>
          <w:tcPr>
            <w:tcW w:w="2020" w:type="dxa"/>
            <w:tcBorders>
              <w:top w:val="nil"/>
              <w:left w:val="nil"/>
              <w:bottom w:val="single" w:sz="4" w:space="0" w:color="auto"/>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Produtividade magistrados M.P.</w:t>
            </w:r>
          </w:p>
        </w:tc>
        <w:tc>
          <w:tcPr>
            <w:tcW w:w="2000" w:type="dxa"/>
            <w:tcBorders>
              <w:top w:val="nil"/>
              <w:left w:val="nil"/>
              <w:bottom w:val="single" w:sz="4" w:space="0" w:color="auto"/>
              <w:right w:val="nil"/>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Produtividade funcionários judiciais</w:t>
            </w:r>
          </w:p>
        </w:tc>
      </w:tr>
      <w:tr w:rsidR="00F06DC9" w:rsidTr="00F06DC9">
        <w:trPr>
          <w:trHeight w:val="465"/>
          <w:jc w:val="center"/>
        </w:trPr>
        <w:tc>
          <w:tcPr>
            <w:tcW w:w="1600" w:type="dxa"/>
            <w:tcBorders>
              <w:top w:val="nil"/>
              <w:left w:val="nil"/>
              <w:bottom w:val="single" w:sz="4" w:space="0" w:color="auto"/>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Mínimo</w:t>
            </w:r>
          </w:p>
        </w:tc>
        <w:tc>
          <w:tcPr>
            <w:tcW w:w="202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93</w:t>
            </w:r>
          </w:p>
        </w:tc>
        <w:tc>
          <w:tcPr>
            <w:tcW w:w="2000" w:type="dxa"/>
            <w:tcBorders>
              <w:top w:val="nil"/>
              <w:left w:val="nil"/>
              <w:bottom w:val="single" w:sz="4" w:space="0" w:color="auto"/>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0</w:t>
            </w:r>
          </w:p>
        </w:tc>
      </w:tr>
      <w:tr w:rsidR="00F06DC9" w:rsidTr="00F06DC9">
        <w:trPr>
          <w:trHeight w:val="465"/>
          <w:jc w:val="center"/>
        </w:trPr>
        <w:tc>
          <w:tcPr>
            <w:tcW w:w="1600" w:type="dxa"/>
            <w:tcBorders>
              <w:top w:val="nil"/>
              <w:left w:val="nil"/>
              <w:bottom w:val="single" w:sz="4" w:space="0" w:color="auto"/>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 xml:space="preserve">Mediana </w:t>
            </w:r>
          </w:p>
        </w:tc>
        <w:tc>
          <w:tcPr>
            <w:tcW w:w="202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429</w:t>
            </w:r>
          </w:p>
        </w:tc>
        <w:tc>
          <w:tcPr>
            <w:tcW w:w="2000" w:type="dxa"/>
            <w:tcBorders>
              <w:top w:val="nil"/>
              <w:left w:val="nil"/>
              <w:bottom w:val="single" w:sz="4" w:space="0" w:color="auto"/>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3</w:t>
            </w:r>
          </w:p>
        </w:tc>
      </w:tr>
      <w:tr w:rsidR="00F06DC9" w:rsidTr="00F06DC9">
        <w:trPr>
          <w:trHeight w:val="465"/>
          <w:jc w:val="center"/>
        </w:trPr>
        <w:tc>
          <w:tcPr>
            <w:tcW w:w="1600" w:type="dxa"/>
            <w:tcBorders>
              <w:top w:val="nil"/>
              <w:left w:val="nil"/>
              <w:bottom w:val="single" w:sz="4" w:space="0" w:color="auto"/>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Média</w:t>
            </w:r>
          </w:p>
        </w:tc>
        <w:tc>
          <w:tcPr>
            <w:tcW w:w="202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426,76</w:t>
            </w:r>
          </w:p>
        </w:tc>
        <w:tc>
          <w:tcPr>
            <w:tcW w:w="2000" w:type="dxa"/>
            <w:tcBorders>
              <w:top w:val="nil"/>
              <w:left w:val="nil"/>
              <w:bottom w:val="single" w:sz="4" w:space="0" w:color="auto"/>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5,31</w:t>
            </w:r>
          </w:p>
        </w:tc>
      </w:tr>
      <w:tr w:rsidR="00F06DC9" w:rsidTr="00F06DC9">
        <w:trPr>
          <w:trHeight w:val="525"/>
          <w:jc w:val="center"/>
        </w:trPr>
        <w:tc>
          <w:tcPr>
            <w:tcW w:w="1600" w:type="dxa"/>
            <w:tcBorders>
              <w:top w:val="nil"/>
              <w:left w:val="nil"/>
              <w:bottom w:val="single" w:sz="4" w:space="0" w:color="auto"/>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Máximo</w:t>
            </w:r>
          </w:p>
        </w:tc>
        <w:tc>
          <w:tcPr>
            <w:tcW w:w="202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918</w:t>
            </w:r>
          </w:p>
        </w:tc>
        <w:tc>
          <w:tcPr>
            <w:tcW w:w="2000" w:type="dxa"/>
            <w:tcBorders>
              <w:top w:val="nil"/>
              <w:left w:val="nil"/>
              <w:bottom w:val="single" w:sz="4" w:space="0" w:color="auto"/>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97</w:t>
            </w:r>
          </w:p>
        </w:tc>
      </w:tr>
      <w:tr w:rsidR="00F06DC9" w:rsidTr="00F06DC9">
        <w:trPr>
          <w:trHeight w:val="525"/>
          <w:jc w:val="center"/>
        </w:trPr>
        <w:tc>
          <w:tcPr>
            <w:tcW w:w="1600" w:type="dxa"/>
            <w:tcBorders>
              <w:top w:val="nil"/>
              <w:left w:val="nil"/>
              <w:bottom w:val="single" w:sz="4" w:space="0" w:color="auto"/>
              <w:right w:val="single" w:sz="4" w:space="0" w:color="auto"/>
            </w:tcBorders>
            <w:shd w:val="clear" w:color="000000" w:fill="FFFFFF"/>
            <w:vAlign w:val="center"/>
          </w:tcPr>
          <w:p w:rsidR="00F06DC9" w:rsidRDefault="00F06DC9" w:rsidP="00A97DDF">
            <w:pPr>
              <w:jc w:val="center"/>
              <w:rPr>
                <w:rFonts w:ascii="Perpetua" w:hAnsi="Perpetua"/>
                <w:b/>
                <w:bCs/>
                <w:sz w:val="20"/>
                <w:szCs w:val="20"/>
              </w:rPr>
            </w:pPr>
            <w:r>
              <w:rPr>
                <w:rFonts w:ascii="Perpetua" w:hAnsi="Perpetua"/>
                <w:b/>
                <w:bCs/>
                <w:sz w:val="20"/>
                <w:szCs w:val="20"/>
              </w:rPr>
              <w:t>Desvio</w:t>
            </w:r>
            <w:r w:rsidR="00A97DDF">
              <w:rPr>
                <w:rFonts w:ascii="Perpetua" w:hAnsi="Perpetua"/>
                <w:b/>
                <w:bCs/>
                <w:sz w:val="20"/>
                <w:szCs w:val="20"/>
              </w:rPr>
              <w:t>-</w:t>
            </w:r>
            <w:r>
              <w:rPr>
                <w:rFonts w:ascii="Perpetua" w:hAnsi="Perpetua"/>
                <w:b/>
                <w:bCs/>
                <w:sz w:val="20"/>
                <w:szCs w:val="20"/>
              </w:rPr>
              <w:t>padrão</w:t>
            </w:r>
          </w:p>
        </w:tc>
        <w:tc>
          <w:tcPr>
            <w:tcW w:w="2020" w:type="dxa"/>
            <w:tcBorders>
              <w:top w:val="nil"/>
              <w:left w:val="nil"/>
              <w:bottom w:val="single" w:sz="4" w:space="0" w:color="auto"/>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190,28</w:t>
            </w:r>
          </w:p>
        </w:tc>
        <w:tc>
          <w:tcPr>
            <w:tcW w:w="2000" w:type="dxa"/>
            <w:tcBorders>
              <w:top w:val="nil"/>
              <w:left w:val="nil"/>
              <w:bottom w:val="single" w:sz="4" w:space="0" w:color="auto"/>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9,59</w:t>
            </w:r>
          </w:p>
        </w:tc>
      </w:tr>
      <w:tr w:rsidR="00F06DC9" w:rsidTr="00F06DC9">
        <w:trPr>
          <w:trHeight w:val="645"/>
          <w:jc w:val="center"/>
        </w:trPr>
        <w:tc>
          <w:tcPr>
            <w:tcW w:w="1600" w:type="dxa"/>
            <w:tcBorders>
              <w:top w:val="nil"/>
              <w:left w:val="nil"/>
              <w:bottom w:val="nil"/>
              <w:right w:val="single" w:sz="4" w:space="0" w:color="auto"/>
            </w:tcBorders>
            <w:shd w:val="clear" w:color="000000" w:fill="FFFFFF"/>
            <w:vAlign w:val="center"/>
          </w:tcPr>
          <w:p w:rsidR="00F06DC9" w:rsidRDefault="00F06DC9">
            <w:pPr>
              <w:jc w:val="center"/>
              <w:rPr>
                <w:rFonts w:ascii="Perpetua" w:hAnsi="Perpetua"/>
                <w:b/>
                <w:bCs/>
                <w:sz w:val="20"/>
                <w:szCs w:val="20"/>
              </w:rPr>
            </w:pPr>
            <w:r>
              <w:rPr>
                <w:rFonts w:ascii="Perpetua" w:hAnsi="Perpetua"/>
                <w:b/>
                <w:bCs/>
                <w:sz w:val="20"/>
                <w:szCs w:val="20"/>
              </w:rPr>
              <w:t>Coeficiente de variação</w:t>
            </w:r>
          </w:p>
        </w:tc>
        <w:tc>
          <w:tcPr>
            <w:tcW w:w="2020" w:type="dxa"/>
            <w:tcBorders>
              <w:top w:val="nil"/>
              <w:left w:val="nil"/>
              <w:bottom w:val="nil"/>
              <w:right w:val="single" w:sz="4" w:space="0" w:color="auto"/>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0,45</w:t>
            </w:r>
          </w:p>
        </w:tc>
        <w:tc>
          <w:tcPr>
            <w:tcW w:w="2000" w:type="dxa"/>
            <w:tcBorders>
              <w:top w:val="nil"/>
              <w:left w:val="nil"/>
              <w:bottom w:val="nil"/>
              <w:right w:val="nil"/>
            </w:tcBorders>
            <w:shd w:val="clear" w:color="000000" w:fill="FFFFFF"/>
            <w:noWrap/>
            <w:vAlign w:val="center"/>
          </w:tcPr>
          <w:p w:rsidR="00F06DC9" w:rsidRDefault="00F06DC9">
            <w:pPr>
              <w:jc w:val="center"/>
              <w:rPr>
                <w:rFonts w:ascii="Perpetua" w:hAnsi="Perpetua"/>
                <w:sz w:val="20"/>
                <w:szCs w:val="20"/>
              </w:rPr>
            </w:pPr>
            <w:r>
              <w:rPr>
                <w:rFonts w:ascii="Perpetua" w:hAnsi="Perpetua"/>
                <w:sz w:val="20"/>
                <w:szCs w:val="20"/>
              </w:rPr>
              <w:t>1,80</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00114F" w:rsidRDefault="0000114F" w:rsidP="002371D7">
      <w:pPr>
        <w:spacing w:line="360" w:lineRule="auto"/>
        <w:jc w:val="both"/>
        <w:rPr>
          <w:rFonts w:ascii="Perpetua" w:hAnsi="Perpetua"/>
        </w:rPr>
      </w:pPr>
    </w:p>
    <w:p w:rsidR="00F73C55" w:rsidRPr="005708D9" w:rsidRDefault="006C45D8" w:rsidP="002371D7">
      <w:pPr>
        <w:spacing w:line="360" w:lineRule="auto"/>
        <w:jc w:val="both"/>
        <w:rPr>
          <w:rFonts w:ascii="Perpetua" w:hAnsi="Perpetua"/>
        </w:rPr>
      </w:pPr>
      <w:r>
        <w:rPr>
          <w:rFonts w:ascii="Perpetua" w:hAnsi="Perpetua"/>
        </w:rPr>
        <w:t>Por fim, analisando as estatísticas descritivas sumárias das variáveis dos factores de contexto</w:t>
      </w:r>
      <w:r w:rsidR="002371D7">
        <w:rPr>
          <w:rFonts w:ascii="Perpetua" w:hAnsi="Perpetua"/>
        </w:rPr>
        <w:t xml:space="preserve"> </w:t>
      </w:r>
      <w:r w:rsidR="00F51A2B">
        <w:rPr>
          <w:rFonts w:ascii="Perpetua" w:hAnsi="Perpetua"/>
        </w:rPr>
        <w:t>(ver Quadro 5.5)</w:t>
      </w:r>
      <w:r w:rsidR="00A97DDF">
        <w:rPr>
          <w:rFonts w:ascii="Perpetua" w:hAnsi="Perpetua"/>
        </w:rPr>
        <w:t>,</w:t>
      </w:r>
      <w:r w:rsidR="00F51A2B">
        <w:rPr>
          <w:rFonts w:ascii="Perpetua" w:hAnsi="Perpetua"/>
        </w:rPr>
        <w:t xml:space="preserve"> </w:t>
      </w:r>
      <w:r>
        <w:rPr>
          <w:rFonts w:ascii="Perpetua" w:hAnsi="Perpetua"/>
        </w:rPr>
        <w:t>é</w:t>
      </w:r>
      <w:r w:rsidR="002371D7">
        <w:rPr>
          <w:rFonts w:ascii="Perpetua" w:hAnsi="Perpetua"/>
        </w:rPr>
        <w:t xml:space="preserve"> notória a maior variância das variáveis com base concelhia (todas </w:t>
      </w:r>
      <w:r w:rsidR="00CC264B">
        <w:rPr>
          <w:rFonts w:ascii="Perpetua" w:hAnsi="Perpetua"/>
        </w:rPr>
        <w:t xml:space="preserve">as variáveis </w:t>
      </w:r>
      <w:r w:rsidR="002371D7">
        <w:rPr>
          <w:rFonts w:ascii="Perpetua" w:hAnsi="Perpetua"/>
        </w:rPr>
        <w:t>excepto</w:t>
      </w:r>
      <w:r w:rsidR="00CC264B">
        <w:rPr>
          <w:rFonts w:ascii="Perpetua" w:hAnsi="Perpetua"/>
        </w:rPr>
        <w:t xml:space="preserve"> o</w:t>
      </w:r>
      <w:r w:rsidR="002371D7">
        <w:rPr>
          <w:rFonts w:ascii="Perpetua" w:hAnsi="Perpetua"/>
        </w:rPr>
        <w:t xml:space="preserve"> PIB </w:t>
      </w:r>
      <w:r w:rsidR="00BF6760" w:rsidRPr="00BF6760">
        <w:rPr>
          <w:rFonts w:ascii="Perpetua" w:hAnsi="Perpetua"/>
          <w:i/>
        </w:rPr>
        <w:t>per capita</w:t>
      </w:r>
      <w:r w:rsidR="002371D7">
        <w:rPr>
          <w:rFonts w:ascii="Perpetua" w:hAnsi="Perpetua"/>
        </w:rPr>
        <w:t xml:space="preserve">). </w:t>
      </w:r>
      <w:r w:rsidR="00CC264B">
        <w:rPr>
          <w:rFonts w:ascii="Perpetua" w:hAnsi="Perpetua"/>
        </w:rPr>
        <w:t>O conjunto dos tribunais analisados caracteriza-se por um</w:t>
      </w:r>
      <w:r w:rsidR="002371D7">
        <w:rPr>
          <w:rFonts w:ascii="Perpetua" w:hAnsi="Perpetua"/>
        </w:rPr>
        <w:t xml:space="preserve"> PIB </w:t>
      </w:r>
      <w:proofErr w:type="gramStart"/>
      <w:r w:rsidR="00BF6760" w:rsidRPr="00BF6760">
        <w:rPr>
          <w:rFonts w:ascii="Perpetua" w:hAnsi="Perpetua"/>
          <w:i/>
        </w:rPr>
        <w:t>per capita</w:t>
      </w:r>
      <w:proofErr w:type="gramEnd"/>
      <w:r w:rsidR="009675D9">
        <w:rPr>
          <w:rFonts w:ascii="Perpetua" w:hAnsi="Perpetua"/>
        </w:rPr>
        <w:t xml:space="preserve"> </w:t>
      </w:r>
      <w:r w:rsidR="002371D7">
        <w:rPr>
          <w:rFonts w:ascii="Perpetua" w:hAnsi="Perpetua"/>
        </w:rPr>
        <w:t>médio por NUT III de quase 10.000 euros</w:t>
      </w:r>
      <w:r w:rsidR="00392AC1">
        <w:rPr>
          <w:rFonts w:ascii="Perpetua" w:hAnsi="Perpetua"/>
        </w:rPr>
        <w:t xml:space="preserve">, </w:t>
      </w:r>
      <w:r w:rsidR="00CC264B">
        <w:rPr>
          <w:rFonts w:ascii="Perpetua" w:hAnsi="Perpetua"/>
        </w:rPr>
        <w:t>infe</w:t>
      </w:r>
      <w:r w:rsidR="00D55CCF">
        <w:rPr>
          <w:rFonts w:ascii="Perpetua" w:hAnsi="Perpetua"/>
        </w:rPr>
        <w:t>r</w:t>
      </w:r>
      <w:r w:rsidR="00CC264B">
        <w:rPr>
          <w:rFonts w:ascii="Perpetua" w:hAnsi="Perpetua"/>
        </w:rPr>
        <w:t xml:space="preserve">ior ao PIB </w:t>
      </w:r>
      <w:r w:rsidR="00BF6760" w:rsidRPr="00BF6760">
        <w:rPr>
          <w:rFonts w:ascii="Perpetua" w:hAnsi="Perpetua"/>
          <w:i/>
        </w:rPr>
        <w:t>per capita</w:t>
      </w:r>
      <w:r w:rsidR="00CC264B">
        <w:rPr>
          <w:rFonts w:ascii="Perpetua" w:hAnsi="Perpetua"/>
        </w:rPr>
        <w:t xml:space="preserve"> médio do País (</w:t>
      </w:r>
      <w:r w:rsidR="00A97DDF">
        <w:rPr>
          <w:rFonts w:ascii="Perpetua" w:hAnsi="Perpetua"/>
        </w:rPr>
        <w:t>12.</w:t>
      </w:r>
      <w:r w:rsidR="00D55CCF">
        <w:rPr>
          <w:rFonts w:ascii="Perpetua" w:hAnsi="Perpetua"/>
        </w:rPr>
        <w:t xml:space="preserve">452 euros em 2001) </w:t>
      </w:r>
      <w:r w:rsidR="00CC264B">
        <w:rPr>
          <w:rFonts w:ascii="Perpetua" w:hAnsi="Perpetua"/>
        </w:rPr>
        <w:t xml:space="preserve">e </w:t>
      </w:r>
      <w:r w:rsidR="00392AC1">
        <w:rPr>
          <w:rFonts w:ascii="Perpetua" w:hAnsi="Perpetua"/>
        </w:rPr>
        <w:t>um índice de poder de compra que é, em média, cerca de 70% do poder de compra médio de Portugal</w:t>
      </w:r>
      <w:r w:rsidR="00D55CCF">
        <w:rPr>
          <w:rFonts w:ascii="Perpetua" w:hAnsi="Perpetua"/>
        </w:rPr>
        <w:t xml:space="preserve"> nesse ano</w:t>
      </w:r>
      <w:r w:rsidR="00CE2C8B">
        <w:rPr>
          <w:rFonts w:ascii="Perpetua" w:hAnsi="Perpetua"/>
        </w:rPr>
        <w:t xml:space="preserve">. </w:t>
      </w:r>
      <w:r w:rsidR="00F51A2B">
        <w:rPr>
          <w:rFonts w:ascii="Perpetua" w:hAnsi="Perpetua"/>
        </w:rPr>
        <w:t xml:space="preserve">É de assinalar ainda a reduzida variância das variáveis de caracterização do contexto socioeconómico do local onde os tribunais estão instalados. </w:t>
      </w:r>
      <w:r w:rsidR="00CE2C8B">
        <w:rPr>
          <w:rFonts w:ascii="Perpetua" w:hAnsi="Perpetua"/>
        </w:rPr>
        <w:t>A</w:t>
      </w:r>
      <w:r w:rsidR="00392AC1">
        <w:rPr>
          <w:rFonts w:ascii="Perpetua" w:hAnsi="Perpetua"/>
        </w:rPr>
        <w:t xml:space="preserve"> densidade populacional média </w:t>
      </w:r>
      <w:r w:rsidR="00CE2C8B">
        <w:rPr>
          <w:rFonts w:ascii="Perpetua" w:hAnsi="Perpetua"/>
        </w:rPr>
        <w:t xml:space="preserve">por comarca </w:t>
      </w:r>
      <w:r w:rsidR="00392AC1">
        <w:rPr>
          <w:rFonts w:ascii="Perpetua" w:hAnsi="Perpetua"/>
        </w:rPr>
        <w:t xml:space="preserve">é </w:t>
      </w:r>
      <w:r w:rsidR="00CE2C8B">
        <w:rPr>
          <w:rFonts w:ascii="Perpetua" w:hAnsi="Perpetua"/>
        </w:rPr>
        <w:t xml:space="preserve">de </w:t>
      </w:r>
      <w:r w:rsidR="00392AC1">
        <w:rPr>
          <w:rFonts w:ascii="Perpetua" w:hAnsi="Perpetua"/>
        </w:rPr>
        <w:t>232 habitantes por quilómetro quadrado</w:t>
      </w:r>
      <w:r w:rsidR="00CE2C8B">
        <w:rPr>
          <w:rFonts w:ascii="Perpetua" w:hAnsi="Perpetua"/>
        </w:rPr>
        <w:t xml:space="preserve"> e apresenta uma distribuição de frequências fortemente enviesada à esquerda (a média é quase 3 vezes superior à mediana).</w:t>
      </w:r>
      <w:r w:rsidR="00392AC1">
        <w:rPr>
          <w:rFonts w:ascii="Perpetua" w:hAnsi="Perpetua"/>
        </w:rPr>
        <w:t xml:space="preserve"> </w:t>
      </w:r>
      <w:r w:rsidR="00CE2C8B">
        <w:rPr>
          <w:rFonts w:ascii="Perpetua" w:hAnsi="Perpetua"/>
        </w:rPr>
        <w:t xml:space="preserve">Por fim, </w:t>
      </w:r>
      <w:r w:rsidR="00F51A2B">
        <w:rPr>
          <w:rFonts w:ascii="Perpetua" w:hAnsi="Perpetua"/>
        </w:rPr>
        <w:t xml:space="preserve">em média há 3.277 empresas sedeadas por comarca no conjunto dos tribunais analisados; a distribuição de frequências desta variável é semelhante à da densidade populacional, </w:t>
      </w:r>
      <w:r w:rsidR="004E5D3A" w:rsidRPr="004E5D3A">
        <w:rPr>
          <w:rFonts w:ascii="Perpetua" w:hAnsi="Perpetua"/>
          <w:i/>
        </w:rPr>
        <w:t>i.e.</w:t>
      </w:r>
      <w:r w:rsidR="00941AEA">
        <w:rPr>
          <w:rFonts w:ascii="Perpetua" w:hAnsi="Perpetua"/>
        </w:rPr>
        <w:t xml:space="preserve">, </w:t>
      </w:r>
      <w:r w:rsidR="006936E3">
        <w:rPr>
          <w:rFonts w:ascii="Perpetua" w:hAnsi="Perpetua"/>
        </w:rPr>
        <w:t xml:space="preserve">fortemente </w:t>
      </w:r>
      <w:r w:rsidR="00F51A2B">
        <w:rPr>
          <w:rFonts w:ascii="Perpetua" w:hAnsi="Perpetua"/>
        </w:rPr>
        <w:t>enviesada à esquerda</w:t>
      </w:r>
      <w:r w:rsidR="006936E3">
        <w:rPr>
          <w:rFonts w:ascii="Perpetua" w:hAnsi="Perpetua"/>
        </w:rPr>
        <w:t>.</w:t>
      </w:r>
      <w:r w:rsidR="00F51A2B">
        <w:rPr>
          <w:rFonts w:ascii="Perpetua" w:hAnsi="Perpetua"/>
        </w:rPr>
        <w:t xml:space="preserve"> </w:t>
      </w:r>
    </w:p>
    <w:p w:rsidR="00F73C55" w:rsidRDefault="00392AC1" w:rsidP="00392AC1">
      <w:pPr>
        <w:spacing w:line="360" w:lineRule="auto"/>
        <w:jc w:val="both"/>
        <w:rPr>
          <w:rFonts w:ascii="Perpetua" w:hAnsi="Perpetua"/>
        </w:rPr>
      </w:pPr>
      <w:r>
        <w:rPr>
          <w:rFonts w:ascii="Perpetua" w:hAnsi="Perpetua"/>
        </w:rPr>
        <w:t xml:space="preserve"> </w:t>
      </w: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51A2B" w:rsidRDefault="00F51A2B" w:rsidP="00392AC1">
      <w:pPr>
        <w:spacing w:line="360" w:lineRule="auto"/>
        <w:jc w:val="both"/>
        <w:rPr>
          <w:rFonts w:ascii="Perpetua" w:hAnsi="Perpetua"/>
        </w:rPr>
      </w:pPr>
    </w:p>
    <w:p w:rsidR="00F72F49" w:rsidRPr="006C45D8" w:rsidRDefault="006C45D8" w:rsidP="006C45D8">
      <w:pPr>
        <w:pStyle w:val="Caption"/>
        <w:jc w:val="center"/>
        <w:rPr>
          <w:rFonts w:ascii="Perpetua" w:hAnsi="Perpetua"/>
        </w:rPr>
      </w:pPr>
      <w:bookmarkStart w:id="124" w:name="_Toc215081945"/>
      <w:r w:rsidRPr="006C45D8">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F72F49" w:rsidRPr="006C45D8">
        <w:rPr>
          <w:rFonts w:ascii="Perpetua" w:hAnsi="Perpetua"/>
        </w:rPr>
        <w:t xml:space="preserve"> – Estatísticas descritivas dos factores </w:t>
      </w:r>
      <w:r>
        <w:rPr>
          <w:rFonts w:ascii="Perpetua" w:hAnsi="Perpetua"/>
        </w:rPr>
        <w:t>de contexto</w:t>
      </w:r>
      <w:bookmarkEnd w:id="124"/>
    </w:p>
    <w:p w:rsidR="00F72F49" w:rsidRPr="003120EA" w:rsidRDefault="00F72F49" w:rsidP="00F72F49"/>
    <w:tbl>
      <w:tblPr>
        <w:tblW w:w="7620" w:type="dxa"/>
        <w:jc w:val="center"/>
        <w:tblInd w:w="55" w:type="dxa"/>
        <w:tblCellMar>
          <w:left w:w="70" w:type="dxa"/>
          <w:right w:w="70" w:type="dxa"/>
        </w:tblCellMar>
        <w:tblLook w:val="04A0"/>
      </w:tblPr>
      <w:tblGrid>
        <w:gridCol w:w="1680"/>
        <w:gridCol w:w="1280"/>
        <w:gridCol w:w="1800"/>
        <w:gridCol w:w="1360"/>
        <w:gridCol w:w="1500"/>
      </w:tblGrid>
      <w:tr w:rsidR="006C45D8" w:rsidTr="006C45D8">
        <w:trPr>
          <w:trHeight w:val="615"/>
          <w:jc w:val="center"/>
        </w:trPr>
        <w:tc>
          <w:tcPr>
            <w:tcW w:w="1680" w:type="dxa"/>
            <w:tcBorders>
              <w:top w:val="nil"/>
              <w:left w:val="nil"/>
              <w:bottom w:val="single" w:sz="4" w:space="0" w:color="auto"/>
              <w:right w:val="single" w:sz="4" w:space="0" w:color="auto"/>
            </w:tcBorders>
            <w:shd w:val="clear" w:color="000000" w:fill="FFFFFF"/>
            <w:noWrap/>
            <w:vAlign w:val="center"/>
          </w:tcPr>
          <w:p w:rsidR="006C45D8" w:rsidRDefault="006C45D8">
            <w:pPr>
              <w:rPr>
                <w:rFonts w:ascii="Perpetua" w:hAnsi="Perpetua"/>
                <w:sz w:val="20"/>
                <w:szCs w:val="20"/>
              </w:rPr>
            </w:pPr>
            <w:r>
              <w:rPr>
                <w:rFonts w:ascii="Perpetua" w:hAnsi="Perpetua"/>
                <w:sz w:val="20"/>
                <w:szCs w:val="20"/>
              </w:rPr>
              <w:t> </w:t>
            </w:r>
          </w:p>
        </w:tc>
        <w:tc>
          <w:tcPr>
            <w:tcW w:w="128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 xml:space="preserve">PIB </w:t>
            </w:r>
            <w:proofErr w:type="gramStart"/>
            <w:r w:rsidR="00BF6760" w:rsidRPr="00BF6760">
              <w:rPr>
                <w:rFonts w:ascii="Perpetua" w:hAnsi="Perpetua"/>
                <w:b/>
                <w:bCs/>
                <w:i/>
                <w:sz w:val="20"/>
                <w:szCs w:val="20"/>
              </w:rPr>
              <w:t>per capita</w:t>
            </w:r>
            <w:proofErr w:type="gramEnd"/>
          </w:p>
        </w:tc>
        <w:tc>
          <w:tcPr>
            <w:tcW w:w="180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Índice de Poder de Compra</w:t>
            </w:r>
            <w:r w:rsidR="00D55CCF">
              <w:rPr>
                <w:rFonts w:ascii="Perpetua" w:hAnsi="Perpetua"/>
                <w:b/>
                <w:bCs/>
                <w:sz w:val="20"/>
                <w:szCs w:val="20"/>
              </w:rPr>
              <w:t xml:space="preserve"> (%)</w:t>
            </w:r>
          </w:p>
        </w:tc>
        <w:tc>
          <w:tcPr>
            <w:tcW w:w="136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Densidade Populacional</w:t>
            </w:r>
          </w:p>
        </w:tc>
        <w:tc>
          <w:tcPr>
            <w:tcW w:w="1500" w:type="dxa"/>
            <w:tcBorders>
              <w:top w:val="nil"/>
              <w:left w:val="nil"/>
              <w:bottom w:val="single" w:sz="4" w:space="0" w:color="auto"/>
              <w:right w:val="nil"/>
            </w:tcBorders>
            <w:shd w:val="clear" w:color="000000" w:fill="FFFFFF"/>
            <w:vAlign w:val="center"/>
          </w:tcPr>
          <w:p w:rsidR="006C45D8" w:rsidRDefault="006C45D8" w:rsidP="006C45D8">
            <w:pPr>
              <w:jc w:val="center"/>
              <w:rPr>
                <w:rFonts w:ascii="Perpetua" w:hAnsi="Perpetua"/>
                <w:b/>
                <w:bCs/>
                <w:sz w:val="20"/>
                <w:szCs w:val="20"/>
              </w:rPr>
            </w:pPr>
            <w:r>
              <w:rPr>
                <w:rFonts w:ascii="Perpetua" w:hAnsi="Perpetua"/>
                <w:b/>
                <w:bCs/>
                <w:sz w:val="20"/>
                <w:szCs w:val="20"/>
              </w:rPr>
              <w:t>N.º empresas</w:t>
            </w:r>
          </w:p>
        </w:tc>
      </w:tr>
      <w:tr w:rsidR="006C45D8" w:rsidTr="006C45D8">
        <w:trPr>
          <w:trHeight w:val="465"/>
          <w:jc w:val="center"/>
        </w:trPr>
        <w:tc>
          <w:tcPr>
            <w:tcW w:w="168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Mínimo</w:t>
            </w:r>
          </w:p>
        </w:tc>
        <w:tc>
          <w:tcPr>
            <w:tcW w:w="128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6.593,8</w:t>
            </w:r>
          </w:p>
        </w:tc>
        <w:tc>
          <w:tcPr>
            <w:tcW w:w="180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36,0</w:t>
            </w:r>
          </w:p>
        </w:tc>
        <w:tc>
          <w:tcPr>
            <w:tcW w:w="136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6,6</w:t>
            </w:r>
          </w:p>
        </w:tc>
        <w:tc>
          <w:tcPr>
            <w:tcW w:w="1500" w:type="dxa"/>
            <w:tcBorders>
              <w:top w:val="nil"/>
              <w:left w:val="nil"/>
              <w:bottom w:val="single" w:sz="4" w:space="0" w:color="auto"/>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108,6</w:t>
            </w:r>
          </w:p>
        </w:tc>
      </w:tr>
      <w:tr w:rsidR="006C45D8" w:rsidTr="006C45D8">
        <w:trPr>
          <w:trHeight w:val="465"/>
          <w:jc w:val="center"/>
        </w:trPr>
        <w:tc>
          <w:tcPr>
            <w:tcW w:w="168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 xml:space="preserve">Mediana </w:t>
            </w:r>
          </w:p>
        </w:tc>
        <w:tc>
          <w:tcPr>
            <w:tcW w:w="128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9.911,4</w:t>
            </w:r>
          </w:p>
        </w:tc>
        <w:tc>
          <w:tcPr>
            <w:tcW w:w="180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60,2</w:t>
            </w:r>
          </w:p>
        </w:tc>
        <w:tc>
          <w:tcPr>
            <w:tcW w:w="136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83,0</w:t>
            </w:r>
          </w:p>
        </w:tc>
        <w:tc>
          <w:tcPr>
            <w:tcW w:w="1500" w:type="dxa"/>
            <w:tcBorders>
              <w:top w:val="nil"/>
              <w:left w:val="nil"/>
              <w:bottom w:val="single" w:sz="4" w:space="0" w:color="auto"/>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1.810,1</w:t>
            </w:r>
          </w:p>
        </w:tc>
      </w:tr>
      <w:tr w:rsidR="006C45D8" w:rsidTr="006C45D8">
        <w:trPr>
          <w:trHeight w:val="465"/>
          <w:jc w:val="center"/>
        </w:trPr>
        <w:tc>
          <w:tcPr>
            <w:tcW w:w="168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Média</w:t>
            </w:r>
          </w:p>
        </w:tc>
        <w:tc>
          <w:tcPr>
            <w:tcW w:w="128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9.956,0</w:t>
            </w:r>
          </w:p>
        </w:tc>
        <w:tc>
          <w:tcPr>
            <w:tcW w:w="180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68,9</w:t>
            </w:r>
          </w:p>
        </w:tc>
        <w:tc>
          <w:tcPr>
            <w:tcW w:w="136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231,7</w:t>
            </w:r>
          </w:p>
        </w:tc>
        <w:tc>
          <w:tcPr>
            <w:tcW w:w="1500" w:type="dxa"/>
            <w:tcBorders>
              <w:top w:val="nil"/>
              <w:left w:val="nil"/>
              <w:bottom w:val="single" w:sz="4" w:space="0" w:color="auto"/>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3.277,3</w:t>
            </w:r>
          </w:p>
        </w:tc>
      </w:tr>
      <w:tr w:rsidR="006C45D8" w:rsidTr="006C45D8">
        <w:trPr>
          <w:trHeight w:val="525"/>
          <w:jc w:val="center"/>
        </w:trPr>
        <w:tc>
          <w:tcPr>
            <w:tcW w:w="1680" w:type="dxa"/>
            <w:tcBorders>
              <w:top w:val="nil"/>
              <w:left w:val="nil"/>
              <w:bottom w:val="single" w:sz="4" w:space="0" w:color="auto"/>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Máximo</w:t>
            </w:r>
          </w:p>
        </w:tc>
        <w:tc>
          <w:tcPr>
            <w:tcW w:w="128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20.586,4</w:t>
            </w:r>
          </w:p>
        </w:tc>
        <w:tc>
          <w:tcPr>
            <w:tcW w:w="180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184,0</w:t>
            </w:r>
          </w:p>
        </w:tc>
        <w:tc>
          <w:tcPr>
            <w:tcW w:w="136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3.572,3</w:t>
            </w:r>
          </w:p>
        </w:tc>
        <w:tc>
          <w:tcPr>
            <w:tcW w:w="1500" w:type="dxa"/>
            <w:tcBorders>
              <w:top w:val="nil"/>
              <w:left w:val="nil"/>
              <w:bottom w:val="single" w:sz="4" w:space="0" w:color="auto"/>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21.126,0</w:t>
            </w:r>
          </w:p>
        </w:tc>
      </w:tr>
      <w:tr w:rsidR="006C45D8" w:rsidTr="006C45D8">
        <w:trPr>
          <w:trHeight w:val="525"/>
          <w:jc w:val="center"/>
        </w:trPr>
        <w:tc>
          <w:tcPr>
            <w:tcW w:w="1680" w:type="dxa"/>
            <w:tcBorders>
              <w:top w:val="nil"/>
              <w:left w:val="nil"/>
              <w:bottom w:val="single" w:sz="4" w:space="0" w:color="auto"/>
              <w:right w:val="single" w:sz="4" w:space="0" w:color="auto"/>
            </w:tcBorders>
            <w:shd w:val="clear" w:color="000000" w:fill="FFFFFF"/>
            <w:vAlign w:val="center"/>
          </w:tcPr>
          <w:p w:rsidR="006C45D8" w:rsidRDefault="00A97DDF">
            <w:pPr>
              <w:jc w:val="center"/>
              <w:rPr>
                <w:rFonts w:ascii="Perpetua" w:hAnsi="Perpetua"/>
                <w:b/>
                <w:bCs/>
                <w:sz w:val="20"/>
                <w:szCs w:val="20"/>
              </w:rPr>
            </w:pPr>
            <w:r>
              <w:rPr>
                <w:rFonts w:ascii="Perpetua" w:hAnsi="Perpetua"/>
                <w:b/>
                <w:bCs/>
                <w:sz w:val="20"/>
                <w:szCs w:val="20"/>
              </w:rPr>
              <w:t>Desvio-padrão</w:t>
            </w:r>
          </w:p>
        </w:tc>
        <w:tc>
          <w:tcPr>
            <w:tcW w:w="128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2.538,1</w:t>
            </w:r>
          </w:p>
        </w:tc>
        <w:tc>
          <w:tcPr>
            <w:tcW w:w="180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24,4</w:t>
            </w:r>
          </w:p>
        </w:tc>
        <w:tc>
          <w:tcPr>
            <w:tcW w:w="1360" w:type="dxa"/>
            <w:tcBorders>
              <w:top w:val="nil"/>
              <w:left w:val="nil"/>
              <w:bottom w:val="single" w:sz="4" w:space="0" w:color="auto"/>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482,8</w:t>
            </w:r>
          </w:p>
        </w:tc>
        <w:tc>
          <w:tcPr>
            <w:tcW w:w="1500" w:type="dxa"/>
            <w:tcBorders>
              <w:top w:val="nil"/>
              <w:left w:val="nil"/>
              <w:bottom w:val="single" w:sz="4" w:space="0" w:color="auto"/>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3.622,3</w:t>
            </w:r>
          </w:p>
        </w:tc>
      </w:tr>
      <w:tr w:rsidR="006C45D8" w:rsidTr="006C45D8">
        <w:trPr>
          <w:trHeight w:val="645"/>
          <w:jc w:val="center"/>
        </w:trPr>
        <w:tc>
          <w:tcPr>
            <w:tcW w:w="1680" w:type="dxa"/>
            <w:tcBorders>
              <w:top w:val="nil"/>
              <w:left w:val="nil"/>
              <w:bottom w:val="nil"/>
              <w:right w:val="single" w:sz="4" w:space="0" w:color="auto"/>
            </w:tcBorders>
            <w:shd w:val="clear" w:color="000000" w:fill="FFFFFF"/>
            <w:vAlign w:val="center"/>
          </w:tcPr>
          <w:p w:rsidR="006C45D8" w:rsidRDefault="006C45D8">
            <w:pPr>
              <w:jc w:val="center"/>
              <w:rPr>
                <w:rFonts w:ascii="Perpetua" w:hAnsi="Perpetua"/>
                <w:b/>
                <w:bCs/>
                <w:sz w:val="20"/>
                <w:szCs w:val="20"/>
              </w:rPr>
            </w:pPr>
            <w:r>
              <w:rPr>
                <w:rFonts w:ascii="Perpetua" w:hAnsi="Perpetua"/>
                <w:b/>
                <w:bCs/>
                <w:sz w:val="20"/>
                <w:szCs w:val="20"/>
              </w:rPr>
              <w:t>Coeficiente de variação</w:t>
            </w:r>
          </w:p>
        </w:tc>
        <w:tc>
          <w:tcPr>
            <w:tcW w:w="1280" w:type="dxa"/>
            <w:tcBorders>
              <w:top w:val="nil"/>
              <w:left w:val="nil"/>
              <w:bottom w:val="nil"/>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0,3</w:t>
            </w:r>
          </w:p>
        </w:tc>
        <w:tc>
          <w:tcPr>
            <w:tcW w:w="1800" w:type="dxa"/>
            <w:tcBorders>
              <w:top w:val="nil"/>
              <w:left w:val="nil"/>
              <w:bottom w:val="nil"/>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0,4</w:t>
            </w:r>
          </w:p>
        </w:tc>
        <w:tc>
          <w:tcPr>
            <w:tcW w:w="1360" w:type="dxa"/>
            <w:tcBorders>
              <w:top w:val="nil"/>
              <w:left w:val="nil"/>
              <w:bottom w:val="nil"/>
              <w:right w:val="single" w:sz="4" w:space="0" w:color="auto"/>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2,1</w:t>
            </w:r>
          </w:p>
        </w:tc>
        <w:tc>
          <w:tcPr>
            <w:tcW w:w="1500" w:type="dxa"/>
            <w:tcBorders>
              <w:top w:val="nil"/>
              <w:left w:val="nil"/>
              <w:bottom w:val="nil"/>
              <w:right w:val="nil"/>
            </w:tcBorders>
            <w:shd w:val="clear" w:color="000000" w:fill="FFFFFF"/>
            <w:noWrap/>
            <w:vAlign w:val="center"/>
          </w:tcPr>
          <w:p w:rsidR="006C45D8" w:rsidRDefault="006C45D8">
            <w:pPr>
              <w:jc w:val="center"/>
              <w:rPr>
                <w:rFonts w:ascii="Perpetua" w:hAnsi="Perpetua"/>
                <w:sz w:val="20"/>
                <w:szCs w:val="20"/>
              </w:rPr>
            </w:pPr>
            <w:r>
              <w:rPr>
                <w:rFonts w:ascii="Perpetua" w:hAnsi="Perpetua"/>
                <w:sz w:val="20"/>
                <w:szCs w:val="20"/>
              </w:rPr>
              <w:t>1,1</w:t>
            </w:r>
          </w:p>
        </w:tc>
      </w:tr>
    </w:tbl>
    <w:p w:rsidR="00F72F49" w:rsidRDefault="00F72F49" w:rsidP="00F72F49">
      <w:pPr>
        <w:spacing w:line="360" w:lineRule="auto"/>
        <w:jc w:val="center"/>
        <w:rPr>
          <w:rFonts w:ascii="Perpetua" w:hAnsi="Perpetua"/>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F72F49" w:rsidRDefault="00F72F49" w:rsidP="00F72F49">
      <w:pPr>
        <w:spacing w:line="360" w:lineRule="auto"/>
        <w:jc w:val="both"/>
        <w:rPr>
          <w:rFonts w:ascii="Perpetua" w:hAnsi="Perpetua"/>
        </w:rPr>
      </w:pPr>
    </w:p>
    <w:p w:rsidR="00AA10EE" w:rsidRDefault="00F51A2B" w:rsidP="00F72F49">
      <w:pPr>
        <w:spacing w:line="360" w:lineRule="auto"/>
        <w:jc w:val="both"/>
        <w:rPr>
          <w:rFonts w:ascii="Perpetua" w:hAnsi="Perpetua"/>
        </w:rPr>
      </w:pPr>
      <w:r>
        <w:rPr>
          <w:rFonts w:ascii="Perpetua" w:hAnsi="Perpetua"/>
        </w:rPr>
        <w:t xml:space="preserve">Como </w:t>
      </w:r>
      <w:r w:rsidR="00AA10EE">
        <w:rPr>
          <w:rFonts w:ascii="Perpetua" w:hAnsi="Perpetua"/>
        </w:rPr>
        <w:t xml:space="preserve">se tem </w:t>
      </w:r>
      <w:r>
        <w:rPr>
          <w:rFonts w:ascii="Perpetua" w:hAnsi="Perpetua"/>
        </w:rPr>
        <w:t>vindo a referir ao longo deste trabalho</w:t>
      </w:r>
      <w:r w:rsidR="00AA10EE">
        <w:rPr>
          <w:rFonts w:ascii="Perpetua" w:hAnsi="Perpetua"/>
        </w:rPr>
        <w:t>,</w:t>
      </w:r>
      <w:r>
        <w:rPr>
          <w:rFonts w:ascii="Perpetua" w:hAnsi="Perpetua"/>
        </w:rPr>
        <w:t xml:space="preserve"> a</w:t>
      </w:r>
      <w:r w:rsidR="00F72F49">
        <w:rPr>
          <w:rFonts w:ascii="Perpetua" w:hAnsi="Perpetua"/>
        </w:rPr>
        <w:t xml:space="preserve"> principal limitação da análise empírica</w:t>
      </w:r>
      <w:r w:rsidR="00F94124">
        <w:rPr>
          <w:rFonts w:ascii="Perpetua" w:hAnsi="Perpetua"/>
        </w:rPr>
        <w:t xml:space="preserve"> </w:t>
      </w:r>
      <w:r w:rsidR="00F72F49">
        <w:rPr>
          <w:rFonts w:ascii="Perpetua" w:hAnsi="Perpetua"/>
        </w:rPr>
        <w:t>resulta da má qualidade da medida de produtividade judicial</w:t>
      </w:r>
      <w:r w:rsidR="006936E3">
        <w:rPr>
          <w:rFonts w:ascii="Perpetua" w:hAnsi="Perpetua"/>
        </w:rPr>
        <w:t xml:space="preserve"> média</w:t>
      </w:r>
      <w:r w:rsidR="00F72F49">
        <w:rPr>
          <w:rFonts w:ascii="Perpetua" w:hAnsi="Perpetua"/>
        </w:rPr>
        <w:t xml:space="preserve">, que não mede com precisão o trabalho judicial de cada tribunal num dado ano. </w:t>
      </w:r>
      <w:r w:rsidR="00F94124">
        <w:rPr>
          <w:rFonts w:ascii="Perpetua" w:hAnsi="Perpetua"/>
        </w:rPr>
        <w:t xml:space="preserve">Uma vez que não foi possível empregar </w:t>
      </w:r>
      <w:r w:rsidR="00F72F49">
        <w:rPr>
          <w:rFonts w:ascii="Perpetua" w:hAnsi="Perpetua"/>
        </w:rPr>
        <w:t>um vector de ponderadores das intensidades de trabalho judicial compatível com os critérios de agregação de processos findos existentes na base de dados utilizada, explor</w:t>
      </w:r>
      <w:r w:rsidR="00AA10EE">
        <w:rPr>
          <w:rFonts w:ascii="Perpetua" w:hAnsi="Perpetua"/>
        </w:rPr>
        <w:t xml:space="preserve">aram-se </w:t>
      </w:r>
      <w:r w:rsidR="00F72F49">
        <w:rPr>
          <w:rFonts w:ascii="Perpetua" w:hAnsi="Perpetua"/>
        </w:rPr>
        <w:t xml:space="preserve">soluções alternativas para controlar a heterogeneidade do </w:t>
      </w:r>
      <w:r w:rsidR="00F72F49" w:rsidRPr="00F94124">
        <w:rPr>
          <w:rFonts w:ascii="Perpetua" w:hAnsi="Perpetua"/>
          <w:i/>
        </w:rPr>
        <w:t>case mix</w:t>
      </w:r>
      <w:r w:rsidR="00F94124">
        <w:rPr>
          <w:rFonts w:ascii="Perpetua" w:hAnsi="Perpetua"/>
        </w:rPr>
        <w:t xml:space="preserve"> do conjunto dos tribunais analisados.</w:t>
      </w:r>
      <w:r w:rsidR="00F72F49">
        <w:rPr>
          <w:rFonts w:ascii="Perpetua" w:hAnsi="Perpetua"/>
        </w:rPr>
        <w:t xml:space="preserve"> O problema da heterogeneidade das intensidades de trabalho judicial dos processos só é relevante, no sentido em que põe em risco a veracidade das conclusões retiradas a partir da análise com a medida bruta de produtividade judicial, se houver heterogeneidade </w:t>
      </w:r>
      <w:r w:rsidR="00F94124">
        <w:rPr>
          <w:rFonts w:ascii="Perpetua" w:hAnsi="Perpetua"/>
        </w:rPr>
        <w:t>n</w:t>
      </w:r>
      <w:r w:rsidR="00F72F49">
        <w:rPr>
          <w:rFonts w:ascii="Perpetua" w:hAnsi="Perpetua"/>
        </w:rPr>
        <w:t xml:space="preserve">os </w:t>
      </w:r>
      <w:r w:rsidR="00F72F49" w:rsidRPr="00F94124">
        <w:rPr>
          <w:rFonts w:ascii="Perpetua" w:hAnsi="Perpetua"/>
          <w:i/>
        </w:rPr>
        <w:t>case mix</w:t>
      </w:r>
      <w:r w:rsidR="00F72F49">
        <w:rPr>
          <w:rFonts w:ascii="Perpetua" w:hAnsi="Perpetua"/>
        </w:rPr>
        <w:t xml:space="preserve"> dos tribunais </w:t>
      </w:r>
      <w:r w:rsidR="00F94124">
        <w:rPr>
          <w:rFonts w:ascii="Perpetua" w:hAnsi="Perpetua"/>
        </w:rPr>
        <w:t>analisados.</w:t>
      </w:r>
    </w:p>
    <w:p w:rsidR="00AA10EE" w:rsidRDefault="00AA10EE" w:rsidP="00F72F49">
      <w:pPr>
        <w:spacing w:line="360" w:lineRule="auto"/>
        <w:jc w:val="both"/>
        <w:rPr>
          <w:rFonts w:ascii="Perpetua" w:hAnsi="Perpetua"/>
        </w:rPr>
      </w:pPr>
    </w:p>
    <w:p w:rsidR="004B387F" w:rsidRDefault="00AA10EE" w:rsidP="00F72F49">
      <w:pPr>
        <w:spacing w:line="360" w:lineRule="auto"/>
        <w:jc w:val="both"/>
        <w:rPr>
          <w:rFonts w:ascii="Perpetua" w:hAnsi="Perpetua"/>
        </w:rPr>
      </w:pPr>
      <w:r>
        <w:rPr>
          <w:rFonts w:ascii="Perpetua" w:hAnsi="Perpetua"/>
        </w:rPr>
        <w:t xml:space="preserve">Uma forma de medir o </w:t>
      </w:r>
      <w:r w:rsidR="00F72F49" w:rsidRPr="00AA10EE">
        <w:rPr>
          <w:rFonts w:ascii="Perpetua" w:hAnsi="Perpetua"/>
          <w:i/>
        </w:rPr>
        <w:t>case mix</w:t>
      </w:r>
      <w:r w:rsidR="00F72F49">
        <w:rPr>
          <w:rFonts w:ascii="Perpetua" w:hAnsi="Perpetua"/>
        </w:rPr>
        <w:t xml:space="preserve"> </w:t>
      </w:r>
      <w:r>
        <w:rPr>
          <w:rFonts w:ascii="Perpetua" w:hAnsi="Perpetua"/>
        </w:rPr>
        <w:t xml:space="preserve">dos tribunais é através </w:t>
      </w:r>
      <w:r w:rsidR="00F72F49">
        <w:rPr>
          <w:rFonts w:ascii="Perpetua" w:hAnsi="Perpetua"/>
        </w:rPr>
        <w:t>d</w:t>
      </w:r>
      <w:r>
        <w:rPr>
          <w:rFonts w:ascii="Perpetua" w:hAnsi="Perpetua"/>
        </w:rPr>
        <w:t>as distribuições</w:t>
      </w:r>
      <w:r w:rsidR="00F72F49">
        <w:rPr>
          <w:rFonts w:ascii="Perpetua" w:hAnsi="Perpetua"/>
        </w:rPr>
        <w:t xml:space="preserve"> de frequências das categorias de processos findos dos </w:t>
      </w:r>
      <w:r w:rsidR="00BF5D66">
        <w:rPr>
          <w:rFonts w:ascii="Perpetua" w:hAnsi="Perpetua"/>
        </w:rPr>
        <w:t>quatro</w:t>
      </w:r>
      <w:r>
        <w:rPr>
          <w:rFonts w:ascii="Perpetua" w:hAnsi="Perpetua"/>
        </w:rPr>
        <w:t xml:space="preserve"> </w:t>
      </w:r>
      <w:r w:rsidR="00F72F49">
        <w:rPr>
          <w:rFonts w:ascii="Perpetua" w:hAnsi="Perpetua"/>
        </w:rPr>
        <w:t xml:space="preserve">critérios </w:t>
      </w:r>
      <w:r>
        <w:rPr>
          <w:rFonts w:ascii="Perpetua" w:hAnsi="Perpetua"/>
        </w:rPr>
        <w:t>de agregação presentes na base de dados utilizada</w:t>
      </w:r>
      <w:r w:rsidR="006936E3">
        <w:rPr>
          <w:rStyle w:val="FootnoteReference"/>
          <w:rFonts w:ascii="Perpetua" w:hAnsi="Perpetua"/>
        </w:rPr>
        <w:footnoteReference w:id="110"/>
      </w:r>
      <w:r w:rsidR="00F72F49">
        <w:rPr>
          <w:rFonts w:ascii="Perpetua" w:hAnsi="Perpetua"/>
        </w:rPr>
        <w:t xml:space="preserve">. </w:t>
      </w:r>
      <w:r>
        <w:rPr>
          <w:rFonts w:ascii="Perpetua" w:hAnsi="Perpetua"/>
        </w:rPr>
        <w:t xml:space="preserve">De modo a </w:t>
      </w:r>
      <w:r w:rsidR="00F72F49">
        <w:rPr>
          <w:rFonts w:ascii="Perpetua" w:hAnsi="Perpetua"/>
        </w:rPr>
        <w:t xml:space="preserve">avaliar a presença de heterogeneidade </w:t>
      </w:r>
      <w:r>
        <w:rPr>
          <w:rFonts w:ascii="Perpetua" w:hAnsi="Perpetua"/>
        </w:rPr>
        <w:t xml:space="preserve">no </w:t>
      </w:r>
      <w:r w:rsidR="00F72F49" w:rsidRPr="00AA10EE">
        <w:rPr>
          <w:rFonts w:ascii="Perpetua" w:hAnsi="Perpetua"/>
          <w:i/>
        </w:rPr>
        <w:t>case mix</w:t>
      </w:r>
      <w:r w:rsidR="00F72F49">
        <w:rPr>
          <w:rFonts w:ascii="Perpetua" w:hAnsi="Perpetua"/>
        </w:rPr>
        <w:t xml:space="preserve"> </w:t>
      </w:r>
      <w:r>
        <w:rPr>
          <w:rFonts w:ascii="Perpetua" w:hAnsi="Perpetua"/>
        </w:rPr>
        <w:t xml:space="preserve">dos tribunais, criaram-se </w:t>
      </w:r>
      <w:r w:rsidR="00F72F49">
        <w:rPr>
          <w:rFonts w:ascii="Perpetua" w:hAnsi="Perpetua"/>
        </w:rPr>
        <w:t xml:space="preserve">variáveis, por tribunal, da percentagem dos processos findos de todas as categorias de processo dos </w:t>
      </w:r>
      <w:r w:rsidR="00BF5D66">
        <w:rPr>
          <w:rFonts w:ascii="Perpetua" w:hAnsi="Perpetua"/>
        </w:rPr>
        <w:t>quatro</w:t>
      </w:r>
      <w:r w:rsidR="00F72F49">
        <w:rPr>
          <w:rFonts w:ascii="Perpetua" w:hAnsi="Perpetua"/>
        </w:rPr>
        <w:t xml:space="preserve"> critérios de agregação de processos findos no total de processos findos. A análise da</w:t>
      </w:r>
      <w:r w:rsidR="009F5820">
        <w:rPr>
          <w:rFonts w:ascii="Perpetua" w:hAnsi="Perpetua"/>
        </w:rPr>
        <w:t>s medidas de d</w:t>
      </w:r>
      <w:r w:rsidR="00F72F49">
        <w:rPr>
          <w:rFonts w:ascii="Perpetua" w:hAnsi="Perpetua"/>
        </w:rPr>
        <w:t>ispersão</w:t>
      </w:r>
      <w:r w:rsidR="009F5820">
        <w:rPr>
          <w:rFonts w:ascii="Perpetua" w:hAnsi="Perpetua"/>
        </w:rPr>
        <w:t xml:space="preserve"> e de tendência central </w:t>
      </w:r>
      <w:r w:rsidR="00F72F49">
        <w:rPr>
          <w:rFonts w:ascii="Perpetua" w:hAnsi="Perpetua"/>
        </w:rPr>
        <w:t>das variáveis percentuais por categoria</w:t>
      </w:r>
      <w:r w:rsidR="006936E3">
        <w:rPr>
          <w:rStyle w:val="FootnoteReference"/>
          <w:rFonts w:ascii="Perpetua" w:hAnsi="Perpetua"/>
        </w:rPr>
        <w:footnoteReference w:id="111"/>
      </w:r>
      <w:r w:rsidR="00F72F49">
        <w:rPr>
          <w:rFonts w:ascii="Perpetua" w:hAnsi="Perpetua"/>
        </w:rPr>
        <w:t xml:space="preserve"> </w:t>
      </w:r>
      <w:r w:rsidR="009F5820">
        <w:rPr>
          <w:rFonts w:ascii="Perpetua" w:hAnsi="Perpetua"/>
        </w:rPr>
        <w:t xml:space="preserve">põe em evidência a existência de um </w:t>
      </w:r>
      <w:r w:rsidR="00BF5D66">
        <w:rPr>
          <w:rFonts w:ascii="Perpetua" w:hAnsi="Perpetua"/>
        </w:rPr>
        <w:t xml:space="preserve">não negligenciável </w:t>
      </w:r>
      <w:r w:rsidR="00F72F49">
        <w:rPr>
          <w:rFonts w:ascii="Perpetua" w:hAnsi="Perpetua"/>
        </w:rPr>
        <w:t xml:space="preserve">grau de heterogeneidade do </w:t>
      </w:r>
      <w:r w:rsidR="00F72F49" w:rsidRPr="0095596E">
        <w:rPr>
          <w:rFonts w:ascii="Perpetua" w:hAnsi="Perpetua"/>
          <w:i/>
        </w:rPr>
        <w:t>case mix</w:t>
      </w:r>
      <w:r w:rsidR="00F72F49">
        <w:rPr>
          <w:rFonts w:ascii="Perpetua" w:hAnsi="Perpetua"/>
        </w:rPr>
        <w:t xml:space="preserve"> do</w:t>
      </w:r>
      <w:r w:rsidR="006936E3">
        <w:rPr>
          <w:rFonts w:ascii="Perpetua" w:hAnsi="Perpetua"/>
        </w:rPr>
        <w:t xml:space="preserve"> conjunto dos </w:t>
      </w:r>
      <w:r w:rsidR="00F72F49">
        <w:rPr>
          <w:rFonts w:ascii="Perpetua" w:hAnsi="Perpetua"/>
        </w:rPr>
        <w:t xml:space="preserve">tribunais </w:t>
      </w:r>
      <w:r w:rsidR="006936E3">
        <w:rPr>
          <w:rFonts w:ascii="Perpetua" w:hAnsi="Perpetua"/>
        </w:rPr>
        <w:t>analisados</w:t>
      </w:r>
      <w:r w:rsidR="00F72F49">
        <w:rPr>
          <w:rFonts w:ascii="Perpetua" w:hAnsi="Perpetua"/>
        </w:rPr>
        <w:t xml:space="preserve">. </w:t>
      </w:r>
    </w:p>
    <w:p w:rsidR="00F72F49" w:rsidRDefault="00F72F49" w:rsidP="00F72F49">
      <w:pPr>
        <w:spacing w:line="360" w:lineRule="auto"/>
        <w:jc w:val="both"/>
        <w:rPr>
          <w:rFonts w:ascii="Perpetua" w:hAnsi="Perpetua"/>
        </w:rPr>
      </w:pPr>
      <w:r>
        <w:rPr>
          <w:rFonts w:ascii="Perpetua" w:hAnsi="Perpetua"/>
        </w:rPr>
        <w:t>Por outro lado, a</w:t>
      </w:r>
      <w:r>
        <w:rPr>
          <w:rFonts w:ascii="Perpetua" w:hAnsi="Perpetua" w:cs="Perpetua"/>
        </w:rPr>
        <w:t xml:space="preserve"> análise dos coeficientes de correlação </w:t>
      </w:r>
      <w:r w:rsidR="009F5820">
        <w:rPr>
          <w:rFonts w:ascii="Perpetua" w:hAnsi="Perpetua" w:cs="Perpetua"/>
        </w:rPr>
        <w:t xml:space="preserve">de Pearson </w:t>
      </w:r>
      <w:r>
        <w:rPr>
          <w:rFonts w:ascii="Perpetua" w:hAnsi="Perpetua" w:cs="Perpetua"/>
        </w:rPr>
        <w:t xml:space="preserve">das variáveis do </w:t>
      </w:r>
      <w:r w:rsidRPr="00690FF6">
        <w:rPr>
          <w:rFonts w:ascii="Perpetua" w:hAnsi="Perpetua" w:cs="Perpetua"/>
          <w:i/>
        </w:rPr>
        <w:t>case mix</w:t>
      </w:r>
      <w:r>
        <w:rPr>
          <w:rFonts w:ascii="Perpetua" w:hAnsi="Perpetua" w:cs="Perpetua"/>
        </w:rPr>
        <w:t xml:space="preserve"> revelou níveis de </w:t>
      </w:r>
      <w:r w:rsidRPr="001C336F">
        <w:rPr>
          <w:rFonts w:ascii="Perpetua" w:hAnsi="Perpetua" w:cs="Perpetua"/>
        </w:rPr>
        <w:t>corr</w:t>
      </w:r>
      <w:r>
        <w:rPr>
          <w:rFonts w:ascii="Perpetua" w:hAnsi="Perpetua"/>
        </w:rPr>
        <w:t>elação elevado</w:t>
      </w:r>
      <w:r w:rsidRPr="001C336F">
        <w:rPr>
          <w:rFonts w:ascii="Perpetua" w:hAnsi="Perpetua"/>
        </w:rPr>
        <w:t xml:space="preserve">s entre </w:t>
      </w:r>
      <w:r>
        <w:rPr>
          <w:rFonts w:ascii="Perpetua" w:hAnsi="Perpetua"/>
        </w:rPr>
        <w:t xml:space="preserve">as variáveis de </w:t>
      </w:r>
      <w:r w:rsidRPr="009F5820">
        <w:rPr>
          <w:rFonts w:ascii="Perpetua" w:hAnsi="Perpetua"/>
          <w:i/>
        </w:rPr>
        <w:t>case mix</w:t>
      </w:r>
      <w:r>
        <w:rPr>
          <w:rFonts w:ascii="Perpetua" w:hAnsi="Perpetua"/>
        </w:rPr>
        <w:t xml:space="preserve"> de </w:t>
      </w:r>
      <w:r w:rsidRPr="001C336F">
        <w:rPr>
          <w:rFonts w:ascii="Perpetua" w:hAnsi="Perpetua"/>
        </w:rPr>
        <w:t xml:space="preserve">categorias do mesmo critério de agregação </w:t>
      </w:r>
      <w:r>
        <w:rPr>
          <w:rFonts w:ascii="Perpetua" w:hAnsi="Perpetua"/>
        </w:rPr>
        <w:t xml:space="preserve">de processos findos </w:t>
      </w:r>
      <w:r w:rsidRPr="001C336F">
        <w:rPr>
          <w:rFonts w:ascii="Perpetua" w:hAnsi="Perpetua"/>
        </w:rPr>
        <w:t xml:space="preserve">e </w:t>
      </w:r>
      <w:r w:rsidR="00731C18">
        <w:rPr>
          <w:rFonts w:ascii="Perpetua" w:hAnsi="Perpetua"/>
        </w:rPr>
        <w:t xml:space="preserve">entre </w:t>
      </w:r>
      <w:r w:rsidR="00BF5D66">
        <w:rPr>
          <w:rFonts w:ascii="Perpetua" w:hAnsi="Perpetua"/>
        </w:rPr>
        <w:t xml:space="preserve">as </w:t>
      </w:r>
      <w:r w:rsidR="00731C18">
        <w:rPr>
          <w:rFonts w:ascii="Perpetua" w:hAnsi="Perpetua"/>
        </w:rPr>
        <w:t>categorias dos</w:t>
      </w:r>
      <w:r w:rsidRPr="001C336F">
        <w:rPr>
          <w:rFonts w:ascii="Perpetua" w:hAnsi="Perpetua"/>
        </w:rPr>
        <w:t xml:space="preserve"> diferentes critérios de agregação</w:t>
      </w:r>
      <w:r>
        <w:rPr>
          <w:rFonts w:ascii="Perpetua" w:hAnsi="Perpetua"/>
        </w:rPr>
        <w:t xml:space="preserve"> de processos findos</w:t>
      </w:r>
      <w:r w:rsidR="006936E3">
        <w:rPr>
          <w:rStyle w:val="FootnoteReference"/>
          <w:rFonts w:ascii="Perpetua" w:hAnsi="Perpetua"/>
        </w:rPr>
        <w:footnoteReference w:id="112"/>
      </w:r>
      <w:r w:rsidR="006936E3">
        <w:rPr>
          <w:rFonts w:ascii="Perpetua" w:hAnsi="Perpetua"/>
        </w:rPr>
        <w:t>.</w:t>
      </w:r>
      <w:r w:rsidR="00B10DE7">
        <w:rPr>
          <w:rFonts w:ascii="Perpetua" w:hAnsi="Perpetua"/>
        </w:rPr>
        <w:t xml:space="preserve"> </w:t>
      </w:r>
      <w:r w:rsidRPr="001C336F">
        <w:rPr>
          <w:rFonts w:ascii="Perpetua" w:hAnsi="Perpetua"/>
        </w:rPr>
        <w:t xml:space="preserve">A presença de correlações elevadas entre as variáveis de </w:t>
      </w:r>
      <w:r w:rsidRPr="009F5820">
        <w:rPr>
          <w:rFonts w:ascii="Perpetua" w:hAnsi="Perpetua"/>
          <w:i/>
        </w:rPr>
        <w:t>case</w:t>
      </w:r>
      <w:r w:rsidR="009F5820" w:rsidRPr="009F5820">
        <w:rPr>
          <w:rFonts w:ascii="Perpetua" w:hAnsi="Perpetua"/>
          <w:i/>
        </w:rPr>
        <w:t xml:space="preserve"> </w:t>
      </w:r>
      <w:r w:rsidRPr="009F5820">
        <w:rPr>
          <w:rFonts w:ascii="Perpetua" w:hAnsi="Perpetua"/>
          <w:i/>
        </w:rPr>
        <w:t>mix</w:t>
      </w:r>
      <w:r w:rsidRPr="001C336F">
        <w:rPr>
          <w:rFonts w:ascii="Perpetua" w:hAnsi="Perpetua"/>
        </w:rPr>
        <w:t xml:space="preserve"> das categorias</w:t>
      </w:r>
      <w:r>
        <w:rPr>
          <w:rFonts w:ascii="Perpetua" w:hAnsi="Perpetua"/>
        </w:rPr>
        <w:t xml:space="preserve"> do mesmo critério deve-se </w:t>
      </w:r>
      <w:r w:rsidRPr="001C336F">
        <w:rPr>
          <w:rFonts w:ascii="Perpetua" w:hAnsi="Perpetua"/>
        </w:rPr>
        <w:t>a</w:t>
      </w:r>
      <w:r w:rsidR="006936E3">
        <w:rPr>
          <w:rFonts w:ascii="Perpetua" w:hAnsi="Perpetua"/>
        </w:rPr>
        <w:t>o facto da sua</w:t>
      </w:r>
      <w:r w:rsidRPr="001C336F">
        <w:rPr>
          <w:rFonts w:ascii="Perpetua" w:hAnsi="Perpetua"/>
        </w:rPr>
        <w:t xml:space="preserve"> soma</w:t>
      </w:r>
      <w:r>
        <w:rPr>
          <w:rFonts w:ascii="Perpetua" w:hAnsi="Perpetua"/>
        </w:rPr>
        <w:t xml:space="preserve"> </w:t>
      </w:r>
      <w:r w:rsidR="006936E3">
        <w:rPr>
          <w:rFonts w:ascii="Perpetua" w:hAnsi="Perpetua"/>
        </w:rPr>
        <w:t>ser</w:t>
      </w:r>
      <w:r w:rsidRPr="001C336F">
        <w:rPr>
          <w:rFonts w:ascii="Perpetua" w:hAnsi="Perpetua"/>
        </w:rPr>
        <w:t xml:space="preserve">, por definição, igual a 1; logo, é </w:t>
      </w:r>
      <w:r w:rsidR="00731C18">
        <w:rPr>
          <w:rFonts w:ascii="Perpetua" w:hAnsi="Perpetua"/>
        </w:rPr>
        <w:t xml:space="preserve">natural que haja uma correlação estatística </w:t>
      </w:r>
      <w:r w:rsidRPr="001C336F">
        <w:rPr>
          <w:rFonts w:ascii="Perpetua" w:hAnsi="Perpetua"/>
        </w:rPr>
        <w:t>elevada</w:t>
      </w:r>
      <w:r>
        <w:rPr>
          <w:rFonts w:ascii="Perpetua" w:hAnsi="Perpetua"/>
        </w:rPr>
        <w:t xml:space="preserve"> (por exemplo, os tribunais que têm uma percentagem elevada de processos da área cível, cuja média da amostra é superior a 60%, não podem ter </w:t>
      </w:r>
      <w:r w:rsidR="006936E3">
        <w:rPr>
          <w:rFonts w:ascii="Perpetua" w:hAnsi="Perpetua"/>
        </w:rPr>
        <w:t xml:space="preserve">também </w:t>
      </w:r>
      <w:r>
        <w:rPr>
          <w:rFonts w:ascii="Perpetua" w:hAnsi="Perpetua"/>
        </w:rPr>
        <w:t>uma percentagem elevada de processos da área penal, cuja média da amostra é superior a 30%</w:t>
      </w:r>
      <w:r w:rsidR="009F5820">
        <w:rPr>
          <w:rFonts w:ascii="Perpetua" w:hAnsi="Perpetua"/>
        </w:rPr>
        <w:t>)</w:t>
      </w:r>
      <w:r w:rsidRPr="001C336F">
        <w:rPr>
          <w:rFonts w:ascii="Perpetua" w:hAnsi="Perpetua"/>
        </w:rPr>
        <w:t xml:space="preserve">. A presença de correlações elevadas entre variáveis de </w:t>
      </w:r>
      <w:r w:rsidRPr="009F5820">
        <w:rPr>
          <w:rFonts w:ascii="Perpetua" w:hAnsi="Perpetua"/>
          <w:i/>
        </w:rPr>
        <w:t>case</w:t>
      </w:r>
      <w:r w:rsidR="009F5820" w:rsidRPr="009F5820">
        <w:rPr>
          <w:rFonts w:ascii="Perpetua" w:hAnsi="Perpetua"/>
          <w:i/>
        </w:rPr>
        <w:t xml:space="preserve"> </w:t>
      </w:r>
      <w:r w:rsidRPr="009F5820">
        <w:rPr>
          <w:rFonts w:ascii="Perpetua" w:hAnsi="Perpetua"/>
          <w:i/>
        </w:rPr>
        <w:t>mix</w:t>
      </w:r>
      <w:r w:rsidRPr="001C336F">
        <w:rPr>
          <w:rFonts w:ascii="Perpetua" w:hAnsi="Perpetua"/>
        </w:rPr>
        <w:t xml:space="preserve"> de categorias pertencentes a diferentes critérios de agregação resulta</w:t>
      </w:r>
      <w:r w:rsidR="00731C18">
        <w:rPr>
          <w:rFonts w:ascii="Perpetua" w:hAnsi="Perpetua"/>
        </w:rPr>
        <w:t xml:space="preserve"> </w:t>
      </w:r>
      <w:r w:rsidRPr="001C336F">
        <w:rPr>
          <w:rFonts w:ascii="Perpetua" w:hAnsi="Perpetua"/>
        </w:rPr>
        <w:t>da própria estrutura de serviços produzidos pelo sistema judicial</w:t>
      </w:r>
      <w:r w:rsidR="00731C18">
        <w:rPr>
          <w:rFonts w:ascii="Perpetua" w:hAnsi="Perpetua"/>
        </w:rPr>
        <w:t xml:space="preserve">. Como </w:t>
      </w:r>
      <w:r w:rsidR="006936E3">
        <w:rPr>
          <w:rFonts w:ascii="Perpetua" w:hAnsi="Perpetua"/>
        </w:rPr>
        <w:t xml:space="preserve">é </w:t>
      </w:r>
      <w:r w:rsidR="00731C18">
        <w:rPr>
          <w:rFonts w:ascii="Perpetua" w:hAnsi="Perpetua"/>
        </w:rPr>
        <w:t>referi</w:t>
      </w:r>
      <w:r w:rsidR="006936E3">
        <w:rPr>
          <w:rFonts w:ascii="Perpetua" w:hAnsi="Perpetua"/>
        </w:rPr>
        <w:t>d</w:t>
      </w:r>
      <w:r w:rsidR="00731C18">
        <w:rPr>
          <w:rFonts w:ascii="Perpetua" w:hAnsi="Perpetua"/>
        </w:rPr>
        <w:t>o</w:t>
      </w:r>
      <w:r w:rsidR="006936E3">
        <w:rPr>
          <w:rFonts w:ascii="Perpetua" w:hAnsi="Perpetua"/>
        </w:rPr>
        <w:t xml:space="preserve"> na secção 8</w:t>
      </w:r>
      <w:r w:rsidR="00243FBA">
        <w:rPr>
          <w:rFonts w:ascii="Perpetua" w:hAnsi="Perpetua"/>
        </w:rPr>
        <w:t>.4. do Anexo – D</w:t>
      </w:r>
      <w:r>
        <w:rPr>
          <w:rFonts w:ascii="Perpetua" w:hAnsi="Perpetua"/>
        </w:rPr>
        <w:t>ados estatísticos, os critérios de agregação de processos findos têm um baixo nível de transversalidade</w:t>
      </w:r>
      <w:r w:rsidR="004B387F">
        <w:rPr>
          <w:rFonts w:ascii="Perpetua" w:hAnsi="Perpetua"/>
        </w:rPr>
        <w:t>. De facto, a</w:t>
      </w:r>
      <w:r>
        <w:rPr>
          <w:rFonts w:ascii="Perpetua" w:hAnsi="Perpetua"/>
        </w:rPr>
        <w:t xml:space="preserve">s categorias dos diferentes critérios </w:t>
      </w:r>
      <w:r w:rsidR="004B387F">
        <w:rPr>
          <w:rFonts w:ascii="Perpetua" w:hAnsi="Perpetua"/>
        </w:rPr>
        <w:t xml:space="preserve">de agregação de processos </w:t>
      </w:r>
      <w:r>
        <w:rPr>
          <w:rFonts w:ascii="Perpetua" w:hAnsi="Perpetua"/>
        </w:rPr>
        <w:t>estão fortemente associadas</w:t>
      </w:r>
      <w:r w:rsidR="00BF5D66">
        <w:rPr>
          <w:rFonts w:ascii="Perpetua" w:hAnsi="Perpetua"/>
        </w:rPr>
        <w:t xml:space="preserve"> – </w:t>
      </w:r>
      <w:r>
        <w:rPr>
          <w:rFonts w:ascii="Perpetua" w:hAnsi="Perpetua"/>
        </w:rPr>
        <w:t xml:space="preserve">por exemplo, </w:t>
      </w:r>
      <w:r w:rsidRPr="001C336F">
        <w:rPr>
          <w:rFonts w:ascii="Perpetua" w:hAnsi="Perpetua"/>
        </w:rPr>
        <w:t xml:space="preserve">só há um tipo de espécie de processo </w:t>
      </w:r>
      <w:r w:rsidR="005D0EE1">
        <w:rPr>
          <w:rFonts w:ascii="Perpetua" w:hAnsi="Perpetua"/>
        </w:rPr>
        <w:t>(processo</w:t>
      </w:r>
      <w:r w:rsidR="00731C18">
        <w:rPr>
          <w:rFonts w:ascii="Perpetua" w:hAnsi="Perpetua"/>
        </w:rPr>
        <w:t xml:space="preserve"> tutelar) </w:t>
      </w:r>
      <w:r w:rsidRPr="001C336F">
        <w:rPr>
          <w:rFonts w:ascii="Perpetua" w:hAnsi="Perpetua"/>
        </w:rPr>
        <w:t>na área processual tutelar</w:t>
      </w:r>
      <w:r>
        <w:rPr>
          <w:rFonts w:ascii="Perpetua" w:hAnsi="Perpetua"/>
        </w:rPr>
        <w:t xml:space="preserve">, </w:t>
      </w:r>
      <w:r w:rsidR="00731C18">
        <w:rPr>
          <w:rFonts w:ascii="Perpetua" w:hAnsi="Perpetua"/>
        </w:rPr>
        <w:t xml:space="preserve">o que faz com que as variáveis percentuais relativas à área processual </w:t>
      </w:r>
      <w:r w:rsidR="00731C18" w:rsidRPr="005D0EE1">
        <w:rPr>
          <w:rFonts w:ascii="Perpetua" w:hAnsi="Perpetua"/>
        </w:rPr>
        <w:t>tutelar</w:t>
      </w:r>
      <w:r w:rsidR="00731C18">
        <w:rPr>
          <w:rFonts w:ascii="Perpetua" w:hAnsi="Perpetua"/>
        </w:rPr>
        <w:t xml:space="preserve"> e ao tipo de espécie </w:t>
      </w:r>
      <w:r w:rsidR="005D0EE1">
        <w:rPr>
          <w:rFonts w:ascii="Perpetua" w:hAnsi="Perpetua"/>
        </w:rPr>
        <w:t>«</w:t>
      </w:r>
      <w:r w:rsidR="00731C18" w:rsidRPr="005D0EE1">
        <w:rPr>
          <w:rFonts w:ascii="Perpetua" w:hAnsi="Perpetua"/>
        </w:rPr>
        <w:t>processo tutelar</w:t>
      </w:r>
      <w:r w:rsidR="005D0EE1">
        <w:rPr>
          <w:rFonts w:ascii="Perpetua" w:hAnsi="Perpetua"/>
        </w:rPr>
        <w:t>»</w:t>
      </w:r>
      <w:r w:rsidR="00731C18">
        <w:rPr>
          <w:rFonts w:ascii="Perpetua" w:hAnsi="Perpetua"/>
        </w:rPr>
        <w:t xml:space="preserve"> seja</w:t>
      </w:r>
      <w:r w:rsidR="00BF5D66">
        <w:rPr>
          <w:rFonts w:ascii="Perpetua" w:hAnsi="Perpetua"/>
        </w:rPr>
        <w:t>m</w:t>
      </w:r>
      <w:r w:rsidR="00731C18">
        <w:rPr>
          <w:rFonts w:ascii="Perpetua" w:hAnsi="Perpetua"/>
        </w:rPr>
        <w:t xml:space="preserve"> totalmente correlacionad</w:t>
      </w:r>
      <w:r w:rsidR="004B387F">
        <w:rPr>
          <w:rFonts w:ascii="Perpetua" w:hAnsi="Perpetua"/>
        </w:rPr>
        <w:t xml:space="preserve">as. Outros exemplos abundam: </w:t>
      </w:r>
      <w:r w:rsidRPr="001C336F">
        <w:rPr>
          <w:rFonts w:ascii="Perpetua" w:hAnsi="Perpetua"/>
        </w:rPr>
        <w:t>os processos da área processual cível nunca findam por</w:t>
      </w:r>
      <w:r w:rsidR="004B387F">
        <w:rPr>
          <w:rFonts w:ascii="Perpetua" w:hAnsi="Perpetua"/>
        </w:rPr>
        <w:t xml:space="preserve"> tipo de termo</w:t>
      </w:r>
      <w:r w:rsidRPr="004B387F">
        <w:rPr>
          <w:rFonts w:ascii="Perpetua" w:hAnsi="Perpetua"/>
          <w:i/>
        </w:rPr>
        <w:t xml:space="preserve"> </w:t>
      </w:r>
      <w:r w:rsidR="005D0EE1">
        <w:rPr>
          <w:rFonts w:ascii="Perpetua" w:hAnsi="Perpetua"/>
          <w:i/>
        </w:rPr>
        <w:t>«</w:t>
      </w:r>
      <w:r w:rsidR="004B387F" w:rsidRPr="005D0EE1">
        <w:rPr>
          <w:rFonts w:ascii="Perpetua" w:hAnsi="Perpetua"/>
        </w:rPr>
        <w:t xml:space="preserve">por </w:t>
      </w:r>
      <w:r w:rsidRPr="005D0EE1">
        <w:rPr>
          <w:rFonts w:ascii="Perpetua" w:hAnsi="Perpetua"/>
        </w:rPr>
        <w:t>decisão de fundo</w:t>
      </w:r>
      <w:r w:rsidR="005D0EE1">
        <w:rPr>
          <w:rFonts w:ascii="Perpetua" w:hAnsi="Perpetua"/>
        </w:rPr>
        <w:t>»</w:t>
      </w:r>
      <w:r>
        <w:rPr>
          <w:rFonts w:ascii="Perpetua" w:hAnsi="Perpetua"/>
        </w:rPr>
        <w:t xml:space="preserve">, </w:t>
      </w:r>
      <w:r w:rsidRPr="001C336F">
        <w:rPr>
          <w:rFonts w:ascii="Perpetua" w:hAnsi="Perpetua"/>
        </w:rPr>
        <w:t xml:space="preserve">as acções executivas </w:t>
      </w:r>
      <w:r w:rsidR="004B387F">
        <w:rPr>
          <w:rFonts w:ascii="Perpetua" w:hAnsi="Perpetua"/>
        </w:rPr>
        <w:t xml:space="preserve">seguem quase sempre o mesmo tipo de </w:t>
      </w:r>
      <w:r w:rsidRPr="001C336F">
        <w:rPr>
          <w:rFonts w:ascii="Perpetua" w:hAnsi="Perpetua"/>
        </w:rPr>
        <w:t xml:space="preserve">forma de processo </w:t>
      </w:r>
      <w:proofErr w:type="gramStart"/>
      <w:r w:rsidR="005D0EE1">
        <w:rPr>
          <w:rFonts w:ascii="Perpetua" w:hAnsi="Perpetua"/>
        </w:rPr>
        <w:t>(«sumária</w:t>
      </w:r>
      <w:proofErr w:type="gramEnd"/>
      <w:r w:rsidRPr="005D0EE1">
        <w:rPr>
          <w:rFonts w:ascii="Perpetua" w:hAnsi="Perpetua"/>
        </w:rPr>
        <w:t xml:space="preserve"> e outras</w:t>
      </w:r>
      <w:r w:rsidR="005D0EE1">
        <w:rPr>
          <w:rFonts w:ascii="Perpetua" w:hAnsi="Perpetua"/>
        </w:rPr>
        <w:t>»</w:t>
      </w:r>
      <w:r w:rsidR="004B387F">
        <w:rPr>
          <w:rFonts w:ascii="Perpetua" w:hAnsi="Perpetua"/>
        </w:rPr>
        <w:t xml:space="preserve">), </w:t>
      </w:r>
      <w:r w:rsidRPr="001C336F">
        <w:rPr>
          <w:rFonts w:ascii="Perpetua" w:hAnsi="Perpetua"/>
        </w:rPr>
        <w:t xml:space="preserve">a forma de processo </w:t>
      </w:r>
      <w:r w:rsidR="005D0EE1">
        <w:rPr>
          <w:rFonts w:ascii="Perpetua" w:hAnsi="Perpetua"/>
        </w:rPr>
        <w:t>«</w:t>
      </w:r>
      <w:r w:rsidRPr="005D0EE1">
        <w:rPr>
          <w:rFonts w:ascii="Perpetua" w:hAnsi="Perpetua"/>
        </w:rPr>
        <w:t>ordinária</w:t>
      </w:r>
      <w:r w:rsidR="005D0EE1">
        <w:rPr>
          <w:rFonts w:ascii="Perpetua" w:hAnsi="Perpetua"/>
        </w:rPr>
        <w:t>»</w:t>
      </w:r>
      <w:r w:rsidRPr="001C336F">
        <w:rPr>
          <w:rFonts w:ascii="Perpetua" w:hAnsi="Perpetua"/>
        </w:rPr>
        <w:t xml:space="preserve"> </w:t>
      </w:r>
      <w:r w:rsidR="004B387F">
        <w:rPr>
          <w:rFonts w:ascii="Perpetua" w:hAnsi="Perpetua"/>
        </w:rPr>
        <w:t xml:space="preserve">é seguida </w:t>
      </w:r>
      <w:r w:rsidRPr="001C336F">
        <w:rPr>
          <w:rFonts w:ascii="Perpetua" w:hAnsi="Perpetua"/>
        </w:rPr>
        <w:t>quase exclusivamente nas acções declarativas cíveis</w:t>
      </w:r>
      <w:r w:rsidR="008932FB">
        <w:rPr>
          <w:rFonts w:ascii="Perpetua" w:hAnsi="Perpetua"/>
        </w:rPr>
        <w:t>,</w:t>
      </w:r>
      <w:r w:rsidRPr="001C336F">
        <w:rPr>
          <w:rFonts w:ascii="Perpetua" w:hAnsi="Perpetua"/>
        </w:rPr>
        <w:t xml:space="preserve"> etc.</w:t>
      </w:r>
      <w:r w:rsidR="004B387F">
        <w:rPr>
          <w:rFonts w:ascii="Perpetua" w:hAnsi="Perpetua"/>
        </w:rPr>
        <w:t xml:space="preserve"> Desta estrutura de </w:t>
      </w:r>
      <w:r w:rsidR="004C4E17">
        <w:rPr>
          <w:rFonts w:ascii="Perpetua" w:hAnsi="Perpetua"/>
        </w:rPr>
        <w:t xml:space="preserve">correlações resulta que </w:t>
      </w:r>
      <w:r w:rsidR="006936E3">
        <w:rPr>
          <w:rFonts w:ascii="Perpetua" w:hAnsi="Perpetua"/>
        </w:rPr>
        <w:t>o ganh</w:t>
      </w:r>
      <w:r w:rsidR="004B387F">
        <w:rPr>
          <w:rFonts w:ascii="Perpetua" w:hAnsi="Perpetua"/>
        </w:rPr>
        <w:t>o informativ</w:t>
      </w:r>
      <w:r w:rsidR="005D0EE1">
        <w:rPr>
          <w:rFonts w:ascii="Perpetua" w:hAnsi="Perpetua"/>
        </w:rPr>
        <w:t>o associado à utilização de toda</w:t>
      </w:r>
      <w:r w:rsidR="004B387F">
        <w:rPr>
          <w:rFonts w:ascii="Perpetua" w:hAnsi="Perpetua"/>
        </w:rPr>
        <w:t>s as categorias dos critérios de agregação de processos seja pequeno.</w:t>
      </w:r>
    </w:p>
    <w:p w:rsidR="00F72F49" w:rsidRDefault="00F72F49" w:rsidP="00F72F49">
      <w:pPr>
        <w:spacing w:line="360" w:lineRule="auto"/>
        <w:jc w:val="both"/>
        <w:rPr>
          <w:rFonts w:ascii="Perpetua" w:hAnsi="Perpetua"/>
        </w:rPr>
      </w:pPr>
    </w:p>
    <w:p w:rsidR="004B117A" w:rsidRDefault="004B387F" w:rsidP="00F72F49">
      <w:pPr>
        <w:spacing w:line="360" w:lineRule="auto"/>
        <w:jc w:val="both"/>
        <w:rPr>
          <w:rFonts w:ascii="Perpetua" w:hAnsi="Perpetua"/>
        </w:rPr>
      </w:pPr>
      <w:r>
        <w:rPr>
          <w:rFonts w:ascii="Perpetua" w:hAnsi="Perpetua"/>
        </w:rPr>
        <w:t xml:space="preserve">Um </w:t>
      </w:r>
      <w:r w:rsidR="004B117A">
        <w:rPr>
          <w:rFonts w:ascii="Perpetua" w:hAnsi="Perpetua"/>
        </w:rPr>
        <w:t xml:space="preserve">primeira </w:t>
      </w:r>
      <w:r>
        <w:rPr>
          <w:rFonts w:ascii="Perpetua" w:hAnsi="Perpetua"/>
        </w:rPr>
        <w:t xml:space="preserve">estratégia </w:t>
      </w:r>
      <w:r w:rsidR="006936E3">
        <w:rPr>
          <w:rFonts w:ascii="Perpetua" w:hAnsi="Perpetua"/>
        </w:rPr>
        <w:t>pross</w:t>
      </w:r>
      <w:r w:rsidR="004B117A">
        <w:rPr>
          <w:rFonts w:ascii="Perpetua" w:hAnsi="Perpetua"/>
        </w:rPr>
        <w:t>e</w:t>
      </w:r>
      <w:r w:rsidR="006936E3">
        <w:rPr>
          <w:rFonts w:ascii="Perpetua" w:hAnsi="Perpetua"/>
        </w:rPr>
        <w:t xml:space="preserve">guida </w:t>
      </w:r>
      <w:r>
        <w:rPr>
          <w:rFonts w:ascii="Perpetua" w:hAnsi="Perpetua"/>
        </w:rPr>
        <w:t xml:space="preserve">para controlar a heterogeneidade do </w:t>
      </w:r>
      <w:r w:rsidRPr="004B387F">
        <w:rPr>
          <w:rFonts w:ascii="Perpetua" w:hAnsi="Perpetua"/>
          <w:i/>
        </w:rPr>
        <w:t>case mix</w:t>
      </w:r>
      <w:r>
        <w:rPr>
          <w:rFonts w:ascii="Perpetua" w:hAnsi="Perpetua"/>
        </w:rPr>
        <w:t xml:space="preserve"> </w:t>
      </w:r>
      <w:r w:rsidR="004B117A">
        <w:rPr>
          <w:rFonts w:ascii="Perpetua" w:hAnsi="Perpetua"/>
        </w:rPr>
        <w:t xml:space="preserve">consistiu </w:t>
      </w:r>
      <w:r>
        <w:rPr>
          <w:rFonts w:ascii="Perpetua" w:hAnsi="Perpetua"/>
        </w:rPr>
        <w:t>na criação de uma variável que sintetiz</w:t>
      </w:r>
      <w:r w:rsidR="004B117A">
        <w:rPr>
          <w:rFonts w:ascii="Perpetua" w:hAnsi="Perpetua"/>
        </w:rPr>
        <w:t xml:space="preserve">asse o </w:t>
      </w:r>
      <w:r w:rsidR="004B117A" w:rsidRPr="004B117A">
        <w:rPr>
          <w:rFonts w:ascii="Perpetua" w:hAnsi="Perpetua"/>
          <w:i/>
        </w:rPr>
        <w:t>case mix</w:t>
      </w:r>
      <w:r w:rsidR="004B117A">
        <w:rPr>
          <w:rFonts w:ascii="Perpetua" w:hAnsi="Perpetua"/>
        </w:rPr>
        <w:t xml:space="preserve"> de cada tribunal. A </w:t>
      </w:r>
      <w:r w:rsidR="00F72F49">
        <w:rPr>
          <w:rFonts w:ascii="Perpetua" w:hAnsi="Perpetua"/>
        </w:rPr>
        <w:t xml:space="preserve">análise factorial </w:t>
      </w:r>
      <w:r w:rsidR="004B117A">
        <w:rPr>
          <w:rFonts w:ascii="Perpetua" w:hAnsi="Perpetua"/>
        </w:rPr>
        <w:t>é uma técnica de estatística multivariada que permite obter factores a partir de um conjunto de variáveis correlacionadas. No entanto, a utilização dos factores gerados pela análise factorial e</w:t>
      </w:r>
      <w:r w:rsidR="00243FBA">
        <w:rPr>
          <w:rFonts w:ascii="Perpetua" w:hAnsi="Perpetua"/>
        </w:rPr>
        <w:t>m</w:t>
      </w:r>
      <w:r w:rsidR="004B117A">
        <w:rPr>
          <w:rFonts w:ascii="Perpetua" w:hAnsi="Perpetua"/>
        </w:rPr>
        <w:t xml:space="preserve"> vez das variáveis originais só é vantajosa se as correlações entre algumas dessas variáveis forem suficientemente elevadas. Os resultados obtidos </w:t>
      </w:r>
      <w:r w:rsidR="00BF5D66">
        <w:rPr>
          <w:rFonts w:ascii="Perpetua" w:hAnsi="Perpetua"/>
        </w:rPr>
        <w:t>pela</w:t>
      </w:r>
      <w:r w:rsidR="004B117A">
        <w:rPr>
          <w:rFonts w:ascii="Perpetua" w:hAnsi="Perpetua"/>
        </w:rPr>
        <w:t xml:space="preserve"> aplicação da análise factorial </w:t>
      </w:r>
      <w:r w:rsidR="00F72F49">
        <w:rPr>
          <w:rFonts w:ascii="Perpetua" w:hAnsi="Perpetua"/>
        </w:rPr>
        <w:t xml:space="preserve">às variáveis </w:t>
      </w:r>
      <w:r w:rsidR="004B117A">
        <w:rPr>
          <w:rFonts w:ascii="Perpetua" w:hAnsi="Perpetua"/>
        </w:rPr>
        <w:t xml:space="preserve">do </w:t>
      </w:r>
      <w:r w:rsidR="004B117A" w:rsidRPr="004B117A">
        <w:rPr>
          <w:rFonts w:ascii="Perpetua" w:hAnsi="Perpetua"/>
          <w:i/>
        </w:rPr>
        <w:t>case mix</w:t>
      </w:r>
      <w:r w:rsidR="004B117A">
        <w:rPr>
          <w:rFonts w:ascii="Perpetua" w:hAnsi="Perpetua"/>
        </w:rPr>
        <w:t xml:space="preserve"> </w:t>
      </w:r>
      <w:r w:rsidR="00F72F49">
        <w:rPr>
          <w:rFonts w:ascii="Perpetua" w:hAnsi="Perpetua"/>
        </w:rPr>
        <w:t xml:space="preserve">dos critérios </w:t>
      </w:r>
      <w:r w:rsidR="004B117A">
        <w:rPr>
          <w:rFonts w:ascii="Perpetua" w:hAnsi="Perpetua"/>
        </w:rPr>
        <w:t xml:space="preserve">de agregação de processos findos </w:t>
      </w:r>
      <w:r w:rsidR="004C4E17">
        <w:rPr>
          <w:rFonts w:ascii="Perpetua" w:hAnsi="Perpetua"/>
        </w:rPr>
        <w:t>«</w:t>
      </w:r>
      <w:r w:rsidR="004B117A">
        <w:rPr>
          <w:rFonts w:ascii="Perpetua" w:hAnsi="Perpetua"/>
        </w:rPr>
        <w:t>área processual</w:t>
      </w:r>
      <w:r w:rsidR="004C4E17">
        <w:rPr>
          <w:rFonts w:ascii="Perpetua" w:hAnsi="Perpetua"/>
        </w:rPr>
        <w:t>»</w:t>
      </w:r>
      <w:r w:rsidR="004B117A">
        <w:rPr>
          <w:rFonts w:ascii="Perpetua" w:hAnsi="Perpetua"/>
        </w:rPr>
        <w:t>,</w:t>
      </w:r>
      <w:r w:rsidR="00F72F49">
        <w:rPr>
          <w:rFonts w:ascii="Perpetua" w:hAnsi="Perpetua"/>
        </w:rPr>
        <w:t xml:space="preserve"> </w:t>
      </w:r>
      <w:r w:rsidR="004C4E17">
        <w:rPr>
          <w:rFonts w:ascii="Perpetua" w:hAnsi="Perpetua"/>
        </w:rPr>
        <w:t>«</w:t>
      </w:r>
      <w:r w:rsidR="00F72F49">
        <w:rPr>
          <w:rFonts w:ascii="Perpetua" w:hAnsi="Perpetua"/>
        </w:rPr>
        <w:t>tipo de espécie processual</w:t>
      </w:r>
      <w:r w:rsidR="004C4E17">
        <w:rPr>
          <w:rFonts w:ascii="Perpetua" w:hAnsi="Perpetua"/>
        </w:rPr>
        <w:t>»</w:t>
      </w:r>
      <w:r w:rsidR="00F72F49">
        <w:rPr>
          <w:rFonts w:ascii="Perpetua" w:hAnsi="Perpetua"/>
        </w:rPr>
        <w:t xml:space="preserve"> e ao conjunto das categorias dos </w:t>
      </w:r>
      <w:r w:rsidR="00BF5D66">
        <w:rPr>
          <w:rFonts w:ascii="Perpetua" w:hAnsi="Perpetua"/>
        </w:rPr>
        <w:t>quatro</w:t>
      </w:r>
      <w:r w:rsidR="00F72F49">
        <w:rPr>
          <w:rFonts w:ascii="Perpetua" w:hAnsi="Perpetua"/>
        </w:rPr>
        <w:t xml:space="preserve"> critérios de agregação </w:t>
      </w:r>
      <w:r w:rsidR="004B117A">
        <w:rPr>
          <w:rFonts w:ascii="Perpetua" w:hAnsi="Perpetua"/>
        </w:rPr>
        <w:t xml:space="preserve">de processos findos indicam </w:t>
      </w:r>
      <w:r w:rsidR="00F72F49">
        <w:rPr>
          <w:rFonts w:ascii="Perpetua" w:hAnsi="Perpetua"/>
        </w:rPr>
        <w:t xml:space="preserve">que a estrutura de variâncias e co-variâncias das variáveis não é suficientemente forte </w:t>
      </w:r>
      <w:r w:rsidR="00BF5D66">
        <w:rPr>
          <w:rFonts w:ascii="Perpetua" w:hAnsi="Perpetua"/>
        </w:rPr>
        <w:t>de modo a</w:t>
      </w:r>
      <w:r w:rsidR="00F72F49">
        <w:rPr>
          <w:rFonts w:ascii="Perpetua" w:hAnsi="Perpetua"/>
        </w:rPr>
        <w:t xml:space="preserve"> permit</w:t>
      </w:r>
      <w:r w:rsidR="00BF5D66">
        <w:rPr>
          <w:rFonts w:ascii="Perpetua" w:hAnsi="Perpetua"/>
        </w:rPr>
        <w:t>ir</w:t>
      </w:r>
      <w:r w:rsidR="00F72F49">
        <w:rPr>
          <w:rFonts w:ascii="Perpetua" w:hAnsi="Perpetua"/>
        </w:rPr>
        <w:t xml:space="preserve"> a agregação das variáveis das categorias em factores</w:t>
      </w:r>
      <w:r w:rsidR="004B117A">
        <w:rPr>
          <w:rStyle w:val="FootnoteReference"/>
          <w:rFonts w:ascii="Perpetua" w:hAnsi="Perpetua"/>
        </w:rPr>
        <w:footnoteReference w:id="113"/>
      </w:r>
      <w:r w:rsidR="00F72F49">
        <w:rPr>
          <w:rFonts w:ascii="Perpetua" w:hAnsi="Perpetua"/>
        </w:rPr>
        <w:t xml:space="preserve">. </w:t>
      </w:r>
      <w:r w:rsidR="004B117A">
        <w:rPr>
          <w:rFonts w:ascii="Perpetua" w:hAnsi="Perpetua"/>
        </w:rPr>
        <w:t xml:space="preserve">Assim, a estratégia de controlar a heterogeneidade do </w:t>
      </w:r>
      <w:r w:rsidR="004B117A" w:rsidRPr="004B117A">
        <w:rPr>
          <w:rFonts w:ascii="Perpetua" w:hAnsi="Perpetua"/>
          <w:i/>
        </w:rPr>
        <w:t>case mi</w:t>
      </w:r>
      <w:r w:rsidR="004B117A">
        <w:rPr>
          <w:rFonts w:ascii="Perpetua" w:hAnsi="Perpetua"/>
        </w:rPr>
        <w:t xml:space="preserve">x através de factores de </w:t>
      </w:r>
      <w:r w:rsidR="004B117A" w:rsidRPr="004B117A">
        <w:rPr>
          <w:rFonts w:ascii="Perpetua" w:hAnsi="Perpetua"/>
          <w:i/>
        </w:rPr>
        <w:t>case mix</w:t>
      </w:r>
      <w:r w:rsidR="004B117A">
        <w:rPr>
          <w:rFonts w:ascii="Perpetua" w:hAnsi="Perpetua"/>
        </w:rPr>
        <w:t xml:space="preserve"> construídos </w:t>
      </w:r>
      <w:r w:rsidR="00A61427">
        <w:rPr>
          <w:rFonts w:ascii="Perpetua" w:hAnsi="Perpetua"/>
        </w:rPr>
        <w:t xml:space="preserve">a </w:t>
      </w:r>
      <w:r w:rsidR="004B117A">
        <w:rPr>
          <w:rFonts w:ascii="Perpetua" w:hAnsi="Perpetua"/>
        </w:rPr>
        <w:t xml:space="preserve">partir das variáveis de </w:t>
      </w:r>
      <w:r w:rsidR="004B117A" w:rsidRPr="004B117A">
        <w:rPr>
          <w:rFonts w:ascii="Perpetua" w:hAnsi="Perpetua"/>
          <w:i/>
        </w:rPr>
        <w:t>case mix</w:t>
      </w:r>
      <w:r w:rsidR="005E4978">
        <w:rPr>
          <w:rFonts w:ascii="Perpetua" w:hAnsi="Perpetua"/>
        </w:rPr>
        <w:t xml:space="preserve"> não foi prosseguida</w:t>
      </w:r>
      <w:r w:rsidR="004B117A">
        <w:rPr>
          <w:rFonts w:ascii="Perpetua" w:hAnsi="Perpetua"/>
        </w:rPr>
        <w:t xml:space="preserve">, relevando-se mais vantajoso em termos informativos introduzir as variáveis de </w:t>
      </w:r>
      <w:r w:rsidR="004B117A" w:rsidRPr="005E4978">
        <w:rPr>
          <w:rFonts w:ascii="Perpetua" w:hAnsi="Perpetua"/>
          <w:i/>
        </w:rPr>
        <w:t>case mix</w:t>
      </w:r>
      <w:r w:rsidR="004B117A">
        <w:rPr>
          <w:rFonts w:ascii="Perpetua" w:hAnsi="Perpetua"/>
        </w:rPr>
        <w:t xml:space="preserve"> (sem estarem sintetizadas em factores comuns) </w:t>
      </w:r>
      <w:r w:rsidR="005E4978">
        <w:rPr>
          <w:rFonts w:ascii="Perpetua" w:hAnsi="Perpetua"/>
        </w:rPr>
        <w:t xml:space="preserve">directamente </w:t>
      </w:r>
      <w:r w:rsidR="004B117A">
        <w:rPr>
          <w:rFonts w:ascii="Perpetua" w:hAnsi="Perpetua"/>
        </w:rPr>
        <w:t>na análise de regressão</w:t>
      </w:r>
      <w:r w:rsidR="005E4978">
        <w:rPr>
          <w:rFonts w:ascii="Perpetua" w:hAnsi="Perpetua"/>
        </w:rPr>
        <w:t xml:space="preserve"> como regressores</w:t>
      </w:r>
      <w:r w:rsidR="004B117A">
        <w:rPr>
          <w:rFonts w:ascii="Perpetua" w:hAnsi="Perpetua"/>
        </w:rPr>
        <w:t>, de modo a testar o seu poder explicativo dos diferenciais de produtividade judicial média observados</w:t>
      </w:r>
      <w:r w:rsidR="005E4978">
        <w:rPr>
          <w:rFonts w:ascii="Perpetua" w:hAnsi="Perpetua"/>
        </w:rPr>
        <w:t>.</w:t>
      </w:r>
    </w:p>
    <w:p w:rsidR="00F72F49" w:rsidRDefault="00F72F49" w:rsidP="00F72F49">
      <w:pPr>
        <w:spacing w:line="360" w:lineRule="auto"/>
        <w:jc w:val="both"/>
        <w:rPr>
          <w:rFonts w:ascii="Perpetua" w:hAnsi="Perpetua"/>
        </w:rPr>
      </w:pPr>
    </w:p>
    <w:p w:rsidR="00F72F49" w:rsidRDefault="005E4978" w:rsidP="00F72F49">
      <w:pPr>
        <w:spacing w:line="360" w:lineRule="auto"/>
        <w:jc w:val="both"/>
        <w:rPr>
          <w:rFonts w:ascii="Perpetua" w:hAnsi="Perpetua"/>
        </w:rPr>
      </w:pPr>
      <w:r>
        <w:rPr>
          <w:rFonts w:ascii="Perpetua" w:hAnsi="Perpetua"/>
        </w:rPr>
        <w:t>Uma estratégia alternativa consiste n</w:t>
      </w:r>
      <w:r w:rsidR="00F72F49">
        <w:rPr>
          <w:rFonts w:ascii="Perpetua" w:hAnsi="Perpetua"/>
        </w:rPr>
        <w:t xml:space="preserve">a </w:t>
      </w:r>
      <w:r>
        <w:rPr>
          <w:rFonts w:ascii="Perpetua" w:hAnsi="Perpetua"/>
        </w:rPr>
        <w:t xml:space="preserve">criação de grupos de tribunais homogéneos quanto ao </w:t>
      </w:r>
      <w:r w:rsidRPr="005E4978">
        <w:rPr>
          <w:rFonts w:ascii="Perpetua" w:hAnsi="Perpetua"/>
          <w:i/>
        </w:rPr>
        <w:t>case mix</w:t>
      </w:r>
      <w:r>
        <w:rPr>
          <w:rFonts w:ascii="Perpetua" w:hAnsi="Perpetua"/>
        </w:rPr>
        <w:t xml:space="preserve"> resolvido em 2001 e </w:t>
      </w:r>
      <w:r w:rsidR="00BF5D66">
        <w:rPr>
          <w:rFonts w:ascii="Perpetua" w:hAnsi="Perpetua"/>
        </w:rPr>
        <w:t xml:space="preserve">de </w:t>
      </w:r>
      <w:r>
        <w:rPr>
          <w:rFonts w:ascii="Perpetua" w:hAnsi="Perpetua"/>
        </w:rPr>
        <w:t xml:space="preserve">variáveis </w:t>
      </w:r>
      <w:r w:rsidRPr="005E4978">
        <w:rPr>
          <w:rFonts w:ascii="Perpetua" w:hAnsi="Perpetua"/>
          <w:i/>
        </w:rPr>
        <w:t>dummy</w:t>
      </w:r>
      <w:r>
        <w:rPr>
          <w:rFonts w:ascii="Perpetua" w:hAnsi="Perpetua"/>
        </w:rPr>
        <w:t xml:space="preserve"> para a pertença dos tribunais a cada um dos grupos criados. A técnica de análise multivariada que permite efectuar esses agrupamentos é conhecida como análise de </w:t>
      </w:r>
      <w:r>
        <w:rPr>
          <w:rFonts w:ascii="Perpetua" w:hAnsi="Perpetua"/>
          <w:i/>
        </w:rPr>
        <w:t>clusters.</w:t>
      </w:r>
      <w:r>
        <w:rPr>
          <w:rFonts w:ascii="Perpetua" w:hAnsi="Perpetua"/>
        </w:rPr>
        <w:t xml:space="preserve"> </w:t>
      </w:r>
      <w:r w:rsidR="00DE4144">
        <w:rPr>
          <w:rFonts w:ascii="Perpetua" w:hAnsi="Perpetua"/>
        </w:rPr>
        <w:t>A</w:t>
      </w:r>
      <w:r w:rsidR="00F72F49">
        <w:rPr>
          <w:rFonts w:ascii="Perpetua" w:hAnsi="Perpetua"/>
        </w:rPr>
        <w:t xml:space="preserve"> análise de </w:t>
      </w:r>
      <w:r w:rsidR="00F72F49" w:rsidRPr="005E4978">
        <w:rPr>
          <w:rFonts w:ascii="Perpetua" w:hAnsi="Perpetua"/>
          <w:i/>
        </w:rPr>
        <w:t>cluster</w:t>
      </w:r>
      <w:r w:rsidRPr="005E4978">
        <w:rPr>
          <w:rFonts w:ascii="Perpetua" w:hAnsi="Perpetua"/>
          <w:i/>
        </w:rPr>
        <w:t>s</w:t>
      </w:r>
      <w:r w:rsidR="00F72F49">
        <w:rPr>
          <w:rFonts w:ascii="Perpetua" w:hAnsi="Perpetua"/>
        </w:rPr>
        <w:t xml:space="preserve"> é uma técnica exploratória (ou heurística) que não se baseia em testes de significância estatística que determinem a</w:t>
      </w:r>
      <w:r w:rsidR="00DE4144">
        <w:rPr>
          <w:rFonts w:ascii="Perpetua" w:hAnsi="Perpetua"/>
        </w:rPr>
        <w:t xml:space="preserve"> validade da solução encontrada; p</w:t>
      </w:r>
      <w:r w:rsidR="00F72F49">
        <w:rPr>
          <w:rFonts w:ascii="Perpetua" w:hAnsi="Perpetua"/>
        </w:rPr>
        <w:t xml:space="preserve">elo contrário, a solução depende do problema em concreto e dos objectivos do investigador, estando a escolha dos métodos empregues (hierárquicos, não hierárquicos), das medidas de semelhança dos </w:t>
      </w:r>
      <w:r w:rsidRPr="00BF5D66">
        <w:rPr>
          <w:rFonts w:ascii="Perpetua" w:hAnsi="Perpetua"/>
          <w:i/>
        </w:rPr>
        <w:t>clusters</w:t>
      </w:r>
      <w:r w:rsidR="00F72F49">
        <w:rPr>
          <w:rFonts w:ascii="Perpetua" w:hAnsi="Perpetua"/>
        </w:rPr>
        <w:t xml:space="preserve"> (euclidiana, de Mahalanobis</w:t>
      </w:r>
      <w:r w:rsidR="008932FB">
        <w:rPr>
          <w:rFonts w:ascii="Perpetua" w:hAnsi="Perpetua"/>
        </w:rPr>
        <w:t>,</w:t>
      </w:r>
      <w:r w:rsidR="00F72F49">
        <w:rPr>
          <w:rFonts w:ascii="Perpetua" w:hAnsi="Perpetua"/>
        </w:rPr>
        <w:t xml:space="preserve"> etc.) e das regras de selecção de </w:t>
      </w:r>
      <w:r w:rsidRPr="00BF5D66">
        <w:rPr>
          <w:rFonts w:ascii="Perpetua" w:hAnsi="Perpetua"/>
          <w:i/>
        </w:rPr>
        <w:t>clusters</w:t>
      </w:r>
      <w:r w:rsidR="00F72F49">
        <w:rPr>
          <w:rFonts w:ascii="Perpetua" w:hAnsi="Perpetua"/>
        </w:rPr>
        <w:t xml:space="preserve"> (Calinski, Duda</w:t>
      </w:r>
      <w:r w:rsidR="008932FB">
        <w:rPr>
          <w:rFonts w:ascii="Perpetua" w:hAnsi="Perpetua"/>
        </w:rPr>
        <w:t>,</w:t>
      </w:r>
      <w:r>
        <w:rPr>
          <w:rFonts w:ascii="Perpetua" w:hAnsi="Perpetua"/>
        </w:rPr>
        <w:t xml:space="preserve"> etc.</w:t>
      </w:r>
      <w:r w:rsidR="00F72F49">
        <w:rPr>
          <w:rFonts w:ascii="Perpetua" w:hAnsi="Perpetua"/>
        </w:rPr>
        <w:t xml:space="preserve">) e a própria determinação do número de </w:t>
      </w:r>
      <w:r w:rsidR="00F72F49" w:rsidRPr="005E4978">
        <w:rPr>
          <w:rFonts w:ascii="Perpetua" w:hAnsi="Perpetua"/>
          <w:i/>
        </w:rPr>
        <w:t>cluster</w:t>
      </w:r>
      <w:r w:rsidRPr="005E4978">
        <w:rPr>
          <w:rFonts w:ascii="Perpetua" w:hAnsi="Perpetua"/>
          <w:i/>
        </w:rPr>
        <w:t>s</w:t>
      </w:r>
      <w:r w:rsidR="00DE4144">
        <w:rPr>
          <w:rFonts w:ascii="Perpetua" w:hAnsi="Perpetua"/>
        </w:rPr>
        <w:t xml:space="preserve">, </w:t>
      </w:r>
      <w:r w:rsidR="00F72F49">
        <w:rPr>
          <w:rFonts w:ascii="Perpetua" w:hAnsi="Perpetua"/>
        </w:rPr>
        <w:t xml:space="preserve">sujeita </w:t>
      </w:r>
      <w:r w:rsidR="00DE4144">
        <w:rPr>
          <w:rFonts w:ascii="Perpetua" w:hAnsi="Perpetua"/>
        </w:rPr>
        <w:t xml:space="preserve">a </w:t>
      </w:r>
      <w:r w:rsidR="00F72F49">
        <w:rPr>
          <w:rFonts w:ascii="Perpetua" w:hAnsi="Perpetua"/>
        </w:rPr>
        <w:t>um elevado nível de discricionariedade. Em geral,</w:t>
      </w:r>
      <w:r w:rsidR="00335FED">
        <w:rPr>
          <w:rFonts w:ascii="Perpetua" w:hAnsi="Perpetua"/>
        </w:rPr>
        <w:t xml:space="preserve"> </w:t>
      </w:r>
      <w:r w:rsidR="00F72F49">
        <w:rPr>
          <w:rFonts w:ascii="Perpetua" w:hAnsi="Perpetua"/>
        </w:rPr>
        <w:t xml:space="preserve">a </w:t>
      </w:r>
      <w:r w:rsidR="00BF5D66">
        <w:rPr>
          <w:rFonts w:ascii="Perpetua" w:hAnsi="Perpetua"/>
        </w:rPr>
        <w:t xml:space="preserve">consistência </w:t>
      </w:r>
      <w:r w:rsidR="00F72F49">
        <w:rPr>
          <w:rFonts w:ascii="Perpetua" w:hAnsi="Perpetua"/>
        </w:rPr>
        <w:t xml:space="preserve">da dimensão e composição dos </w:t>
      </w:r>
      <w:r w:rsidRPr="005E4978">
        <w:rPr>
          <w:rFonts w:ascii="Perpetua" w:hAnsi="Perpetua"/>
          <w:i/>
        </w:rPr>
        <w:t>clusters</w:t>
      </w:r>
      <w:r w:rsidR="00F72F49">
        <w:rPr>
          <w:rFonts w:ascii="Perpetua" w:hAnsi="Perpetua"/>
        </w:rPr>
        <w:t xml:space="preserve"> </w:t>
      </w:r>
      <w:r w:rsidR="00BF5D66">
        <w:rPr>
          <w:rFonts w:ascii="Perpetua" w:hAnsi="Perpetua"/>
        </w:rPr>
        <w:t xml:space="preserve">das </w:t>
      </w:r>
      <w:r w:rsidR="00F72F49">
        <w:rPr>
          <w:rFonts w:ascii="Perpetua" w:hAnsi="Perpetua"/>
        </w:rPr>
        <w:t xml:space="preserve">diferentes combinações de métodos, medidas e regras de selecção garante que a solução </w:t>
      </w:r>
      <w:r>
        <w:rPr>
          <w:rFonts w:ascii="Perpetua" w:hAnsi="Perpetua"/>
        </w:rPr>
        <w:t xml:space="preserve">escolhida </w:t>
      </w:r>
      <w:r w:rsidR="00F72F49">
        <w:rPr>
          <w:rFonts w:ascii="Perpetua" w:hAnsi="Perpetua"/>
        </w:rPr>
        <w:t xml:space="preserve">é robusta. </w:t>
      </w:r>
    </w:p>
    <w:p w:rsidR="00F72F49" w:rsidRDefault="00F72F49" w:rsidP="00F72F49">
      <w:pPr>
        <w:spacing w:line="360" w:lineRule="auto"/>
        <w:jc w:val="both"/>
        <w:rPr>
          <w:rFonts w:ascii="Perpetua" w:hAnsi="Perpetua"/>
        </w:rPr>
      </w:pPr>
    </w:p>
    <w:p w:rsidR="00F72F49" w:rsidRDefault="00D24907" w:rsidP="00F72F49">
      <w:pPr>
        <w:spacing w:line="360" w:lineRule="auto"/>
        <w:jc w:val="both"/>
        <w:rPr>
          <w:rFonts w:ascii="Perpetua" w:hAnsi="Perpetua"/>
        </w:rPr>
      </w:pPr>
      <w:r>
        <w:rPr>
          <w:rFonts w:ascii="Perpetua" w:hAnsi="Perpetua"/>
        </w:rPr>
        <w:t xml:space="preserve">Os </w:t>
      </w:r>
      <w:r w:rsidR="005E4978" w:rsidRPr="00D24907">
        <w:rPr>
          <w:rFonts w:ascii="Perpetua" w:hAnsi="Perpetua"/>
          <w:i/>
        </w:rPr>
        <w:t>clusters</w:t>
      </w:r>
      <w:r w:rsidR="00F72F49">
        <w:rPr>
          <w:rFonts w:ascii="Perpetua" w:hAnsi="Perpetua"/>
        </w:rPr>
        <w:t xml:space="preserve"> </w:t>
      </w:r>
      <w:r>
        <w:rPr>
          <w:rFonts w:ascii="Perpetua" w:hAnsi="Perpetua"/>
        </w:rPr>
        <w:t xml:space="preserve">utilizados neste trabalho foram obtidos </w:t>
      </w:r>
      <w:r w:rsidR="00F72F49">
        <w:rPr>
          <w:rFonts w:ascii="Perpetua" w:hAnsi="Perpetua"/>
        </w:rPr>
        <w:t xml:space="preserve">através da aplicação do método de Ward à totalidade das variáveis do </w:t>
      </w:r>
      <w:r w:rsidR="00F72F49" w:rsidRPr="00DE4144">
        <w:rPr>
          <w:rFonts w:ascii="Perpetua" w:hAnsi="Perpetua"/>
          <w:i/>
        </w:rPr>
        <w:t>case mix</w:t>
      </w:r>
      <w:r w:rsidR="00F72F49">
        <w:rPr>
          <w:rFonts w:ascii="Perpetua" w:hAnsi="Perpetua"/>
        </w:rPr>
        <w:t xml:space="preserve">. O método de Ward cria </w:t>
      </w:r>
      <w:r w:rsidR="005E4978" w:rsidRPr="00D24907">
        <w:rPr>
          <w:rFonts w:ascii="Perpetua" w:hAnsi="Perpetua"/>
          <w:i/>
        </w:rPr>
        <w:t>clusters</w:t>
      </w:r>
      <w:r w:rsidR="00F72F49">
        <w:rPr>
          <w:rFonts w:ascii="Perpetua" w:hAnsi="Perpetua"/>
        </w:rPr>
        <w:t xml:space="preserve"> através de um problema de maximização em que a variância inter-</w:t>
      </w:r>
      <w:r w:rsidR="005E4978" w:rsidRPr="00DE4144">
        <w:rPr>
          <w:rFonts w:ascii="Perpetua" w:hAnsi="Perpetua"/>
          <w:i/>
        </w:rPr>
        <w:t>clusters</w:t>
      </w:r>
      <w:r w:rsidR="00F72F49">
        <w:rPr>
          <w:rFonts w:ascii="Perpetua" w:hAnsi="Perpetua"/>
        </w:rPr>
        <w:t xml:space="preserve"> é a variável objectivo. A</w:t>
      </w:r>
      <w:r>
        <w:rPr>
          <w:rFonts w:ascii="Perpetua" w:hAnsi="Perpetua"/>
        </w:rPr>
        <w:t xml:space="preserve"> análise d</w:t>
      </w:r>
      <w:r w:rsidR="00F72F49">
        <w:rPr>
          <w:rFonts w:ascii="Perpetua" w:hAnsi="Perpetua"/>
        </w:rPr>
        <w:t xml:space="preserve">o dendograma e </w:t>
      </w:r>
      <w:r>
        <w:rPr>
          <w:rFonts w:ascii="Perpetua" w:hAnsi="Perpetua"/>
        </w:rPr>
        <w:t>d</w:t>
      </w:r>
      <w:r w:rsidR="00F72F49">
        <w:rPr>
          <w:rFonts w:ascii="Perpetua" w:hAnsi="Perpetua"/>
        </w:rPr>
        <w:t>os valores das regras de Calinski (</w:t>
      </w:r>
      <w:r w:rsidR="00F72F49" w:rsidRPr="00DE4144">
        <w:rPr>
          <w:rFonts w:ascii="Perpetua" w:hAnsi="Perpetua"/>
          <w:i/>
        </w:rPr>
        <w:t>Calinski/Harabasz pseudo-F index stopping rule</w:t>
      </w:r>
      <w:r w:rsidR="00F72F49">
        <w:rPr>
          <w:rFonts w:ascii="Perpetua" w:hAnsi="Perpetua"/>
        </w:rPr>
        <w:t>) e de Duda (</w:t>
      </w:r>
      <w:r w:rsidR="00F72F49" w:rsidRPr="00DE4144">
        <w:rPr>
          <w:rFonts w:ascii="Perpetua" w:hAnsi="Perpetua"/>
          <w:i/>
        </w:rPr>
        <w:t xml:space="preserve">Duda/Hart </w:t>
      </w:r>
      <w:proofErr w:type="gramStart"/>
      <w:r w:rsidR="00F72F49" w:rsidRPr="00DE4144">
        <w:rPr>
          <w:rFonts w:ascii="Perpetua" w:hAnsi="Perpetua"/>
          <w:i/>
        </w:rPr>
        <w:t>Je(2</w:t>
      </w:r>
      <w:proofErr w:type="gramEnd"/>
      <w:r w:rsidR="00F72F49" w:rsidRPr="00DE4144">
        <w:rPr>
          <w:rFonts w:ascii="Perpetua" w:hAnsi="Perpetua"/>
          <w:i/>
        </w:rPr>
        <w:t>)/Je(1) index stopping rule</w:t>
      </w:r>
      <w:r w:rsidR="00F72F49">
        <w:rPr>
          <w:rFonts w:ascii="Perpetua" w:hAnsi="Perpetua"/>
        </w:rPr>
        <w:t xml:space="preserve">) dos </w:t>
      </w:r>
      <w:r w:rsidR="005E4978" w:rsidRPr="00D24907">
        <w:rPr>
          <w:rFonts w:ascii="Perpetua" w:hAnsi="Perpetua"/>
          <w:i/>
        </w:rPr>
        <w:t>clusters</w:t>
      </w:r>
      <w:r w:rsidR="00F72F49">
        <w:rPr>
          <w:rFonts w:ascii="Perpetua" w:hAnsi="Perpetua"/>
        </w:rPr>
        <w:t xml:space="preserve"> produzidos pelo método de Ward levaram</w:t>
      </w:r>
      <w:r>
        <w:rPr>
          <w:rFonts w:ascii="Perpetua" w:hAnsi="Perpetua"/>
        </w:rPr>
        <w:t xml:space="preserve"> à</w:t>
      </w:r>
      <w:r w:rsidR="00F72F49">
        <w:rPr>
          <w:rFonts w:ascii="Perpetua" w:hAnsi="Perpetua"/>
        </w:rPr>
        <w:t xml:space="preserve"> selec</w:t>
      </w:r>
      <w:r>
        <w:rPr>
          <w:rFonts w:ascii="Perpetua" w:hAnsi="Perpetua"/>
        </w:rPr>
        <w:t xml:space="preserve">ção de </w:t>
      </w:r>
      <w:r w:rsidR="005D0EE1">
        <w:rPr>
          <w:rFonts w:ascii="Perpetua" w:hAnsi="Perpetua"/>
        </w:rPr>
        <w:t>três</w:t>
      </w:r>
      <w:r w:rsidR="00F72F49">
        <w:rPr>
          <w:rFonts w:ascii="Perpetua" w:hAnsi="Perpetua"/>
        </w:rPr>
        <w:t xml:space="preserve"> </w:t>
      </w:r>
      <w:r w:rsidR="005E4978" w:rsidRPr="00DE4144">
        <w:rPr>
          <w:rFonts w:ascii="Perpetua" w:hAnsi="Perpetua"/>
          <w:i/>
        </w:rPr>
        <w:t>clusters</w:t>
      </w:r>
      <w:r w:rsidR="00F72F49">
        <w:rPr>
          <w:rFonts w:ascii="Perpetua" w:hAnsi="Perpetua"/>
        </w:rPr>
        <w:t xml:space="preserve">. </w:t>
      </w:r>
      <w:r w:rsidR="009260BF">
        <w:rPr>
          <w:rFonts w:ascii="Perpetua" w:hAnsi="Perpetua"/>
        </w:rPr>
        <w:t xml:space="preserve">A </w:t>
      </w:r>
      <w:r w:rsidR="00F72F49">
        <w:rPr>
          <w:rFonts w:ascii="Perpetua" w:hAnsi="Perpetua"/>
        </w:rPr>
        <w:t xml:space="preserve">solução </w:t>
      </w:r>
      <w:r w:rsidR="009260BF">
        <w:rPr>
          <w:rFonts w:ascii="Perpetua" w:hAnsi="Perpetua"/>
        </w:rPr>
        <w:t xml:space="preserve">escolhida </w:t>
      </w:r>
      <w:r w:rsidR="00F72F49">
        <w:rPr>
          <w:rFonts w:ascii="Perpetua" w:hAnsi="Perpetua"/>
        </w:rPr>
        <w:t xml:space="preserve">é relativamente robusta, na medida em que os resultados da análise do dendograma e das regras de Calinski e Duda </w:t>
      </w:r>
      <w:r w:rsidR="00BF5D66">
        <w:rPr>
          <w:rFonts w:ascii="Perpetua" w:hAnsi="Perpetua"/>
        </w:rPr>
        <w:t>d</w:t>
      </w:r>
      <w:r w:rsidR="00F72F49">
        <w:rPr>
          <w:rFonts w:ascii="Perpetua" w:hAnsi="Perpetua"/>
        </w:rPr>
        <w:t xml:space="preserve">os </w:t>
      </w:r>
      <w:r w:rsidR="005E4978" w:rsidRPr="00D24907">
        <w:rPr>
          <w:rFonts w:ascii="Perpetua" w:hAnsi="Perpetua"/>
          <w:i/>
        </w:rPr>
        <w:t>clusters</w:t>
      </w:r>
      <w:r w:rsidR="00F72F49">
        <w:rPr>
          <w:rFonts w:ascii="Perpetua" w:hAnsi="Perpetua"/>
        </w:rPr>
        <w:t xml:space="preserve"> produzidos pelo método hierárquico </w:t>
      </w:r>
      <w:r w:rsidR="009260BF">
        <w:rPr>
          <w:rFonts w:ascii="Perpetua" w:hAnsi="Perpetua"/>
        </w:rPr>
        <w:t xml:space="preserve">(distância calculada por </w:t>
      </w:r>
      <w:r w:rsidR="00F72F49" w:rsidRPr="009260BF">
        <w:rPr>
          <w:rFonts w:ascii="Perpetua" w:hAnsi="Perpetua"/>
          <w:i/>
        </w:rPr>
        <w:t>complete linkage</w:t>
      </w:r>
      <w:r w:rsidR="009260BF">
        <w:rPr>
          <w:rFonts w:ascii="Perpetua" w:hAnsi="Perpetua"/>
        </w:rPr>
        <w:t>)</w:t>
      </w:r>
      <w:r w:rsidR="00F72F49">
        <w:rPr>
          <w:rFonts w:ascii="Perpetua" w:hAnsi="Perpetua"/>
        </w:rPr>
        <w:t xml:space="preserve"> e para o método não hierárquico </w:t>
      </w:r>
      <w:r w:rsidR="009260BF">
        <w:rPr>
          <w:rFonts w:ascii="Perpetua" w:hAnsi="Perpetua"/>
        </w:rPr>
        <w:t>(</w:t>
      </w:r>
      <w:r w:rsidR="00F72F49" w:rsidRPr="009260BF">
        <w:rPr>
          <w:rFonts w:ascii="Perpetua" w:hAnsi="Perpetua"/>
          <w:i/>
        </w:rPr>
        <w:t>k-means</w:t>
      </w:r>
      <w:r w:rsidR="009260BF">
        <w:rPr>
          <w:rFonts w:ascii="Perpetua" w:hAnsi="Perpetua"/>
        </w:rPr>
        <w:t>)</w:t>
      </w:r>
      <w:r w:rsidR="00F72F49">
        <w:rPr>
          <w:rFonts w:ascii="Perpetua" w:hAnsi="Perpetua"/>
        </w:rPr>
        <w:t xml:space="preserve"> são semelhantes. </w:t>
      </w:r>
    </w:p>
    <w:p w:rsidR="00F72F49" w:rsidRDefault="00F72F49" w:rsidP="00F72F49">
      <w:pPr>
        <w:spacing w:line="360" w:lineRule="auto"/>
        <w:jc w:val="both"/>
        <w:rPr>
          <w:rFonts w:ascii="Perpetua" w:hAnsi="Perpetua"/>
        </w:rPr>
      </w:pPr>
    </w:p>
    <w:p w:rsidR="009260BF" w:rsidRPr="006447C9" w:rsidRDefault="009260BF" w:rsidP="009260BF">
      <w:pPr>
        <w:spacing w:line="360" w:lineRule="auto"/>
        <w:jc w:val="both"/>
        <w:rPr>
          <w:rFonts w:ascii="Perpetua" w:hAnsi="Perpetua"/>
        </w:rPr>
      </w:pPr>
      <w:r w:rsidRPr="006447C9">
        <w:rPr>
          <w:rFonts w:ascii="Perpetua" w:hAnsi="Perpetua"/>
        </w:rPr>
        <w:t xml:space="preserve">A </w:t>
      </w:r>
      <w:r>
        <w:rPr>
          <w:rFonts w:ascii="Perpetua" w:hAnsi="Perpetua"/>
        </w:rPr>
        <w:t xml:space="preserve">análise das medidas de tendência central das variáveis do </w:t>
      </w:r>
      <w:r w:rsidRPr="009260BF">
        <w:rPr>
          <w:rFonts w:ascii="Perpetua" w:hAnsi="Perpetua"/>
          <w:i/>
        </w:rPr>
        <w:t>case mix</w:t>
      </w:r>
      <w:r>
        <w:rPr>
          <w:rFonts w:ascii="Perpetua" w:hAnsi="Perpetua"/>
        </w:rPr>
        <w:t xml:space="preserve"> por </w:t>
      </w:r>
      <w:r w:rsidRPr="00F2427F">
        <w:rPr>
          <w:rFonts w:ascii="Perpetua" w:hAnsi="Perpetua"/>
          <w:i/>
        </w:rPr>
        <w:t>cluster</w:t>
      </w:r>
      <w:r>
        <w:rPr>
          <w:rFonts w:ascii="Perpetua" w:hAnsi="Perpetua"/>
        </w:rPr>
        <w:t xml:space="preserve"> permite caracterizar os três agrupamentos quanto ao perfil dos serviços prestados. O Cluster 1 (ver Quadro 5.6) corresponde aos tribunais que resolveram maioritariamente processos da área processual cível e que, dentro dos processos dessa categoria, mostraram </w:t>
      </w:r>
      <w:r w:rsidR="00D24907">
        <w:rPr>
          <w:rFonts w:ascii="Perpetua" w:hAnsi="Perpetua"/>
        </w:rPr>
        <w:t>t</w:t>
      </w:r>
      <w:r w:rsidR="00F2427F">
        <w:rPr>
          <w:rFonts w:ascii="Perpetua" w:hAnsi="Perpetua"/>
        </w:rPr>
        <w:t>er</w:t>
      </w:r>
      <w:r>
        <w:rPr>
          <w:rFonts w:ascii="Perpetua" w:hAnsi="Perpetua"/>
        </w:rPr>
        <w:t xml:space="preserve"> </w:t>
      </w:r>
      <w:r w:rsidR="00D24907">
        <w:rPr>
          <w:rFonts w:ascii="Perpetua" w:hAnsi="Perpetua"/>
        </w:rPr>
        <w:t xml:space="preserve">uma maior </w:t>
      </w:r>
      <w:r>
        <w:rPr>
          <w:rFonts w:ascii="Perpetua" w:hAnsi="Perpetua"/>
        </w:rPr>
        <w:t xml:space="preserve">concentração de acções declarativas e executivas. No que respeita </w:t>
      </w:r>
      <w:r w:rsidR="004C16B2">
        <w:rPr>
          <w:rFonts w:ascii="Perpetua" w:hAnsi="Perpetua"/>
        </w:rPr>
        <w:t>ao tipo de</w:t>
      </w:r>
      <w:r>
        <w:rPr>
          <w:rFonts w:ascii="Perpetua" w:hAnsi="Perpetua"/>
        </w:rPr>
        <w:t xml:space="preserve"> fo</w:t>
      </w:r>
      <w:r w:rsidR="004C16B2">
        <w:rPr>
          <w:rFonts w:ascii="Perpetua" w:hAnsi="Perpetua"/>
        </w:rPr>
        <w:t>rma processual, o C</w:t>
      </w:r>
      <w:r>
        <w:rPr>
          <w:rFonts w:ascii="Perpetua" w:hAnsi="Perpetua"/>
        </w:rPr>
        <w:t xml:space="preserve">luster 1 apresenta uma percentagem elevada de acções </w:t>
      </w:r>
      <w:r w:rsidR="004C16B2">
        <w:rPr>
          <w:rFonts w:ascii="Perpetua" w:hAnsi="Perpetua"/>
        </w:rPr>
        <w:t>com forma «</w:t>
      </w:r>
      <w:r>
        <w:rPr>
          <w:rFonts w:ascii="Perpetua" w:hAnsi="Perpetua"/>
        </w:rPr>
        <w:t>ordinária</w:t>
      </w:r>
      <w:r w:rsidR="004C16B2">
        <w:rPr>
          <w:rFonts w:ascii="Perpetua" w:hAnsi="Perpetua"/>
        </w:rPr>
        <w:t>»</w:t>
      </w:r>
      <w:r>
        <w:rPr>
          <w:rFonts w:ascii="Perpetua" w:hAnsi="Perpetua"/>
        </w:rPr>
        <w:t xml:space="preserve">, </w:t>
      </w:r>
      <w:r w:rsidR="004C16B2">
        <w:rPr>
          <w:rFonts w:ascii="Perpetua" w:hAnsi="Perpetua"/>
        </w:rPr>
        <w:t>«</w:t>
      </w:r>
      <w:r>
        <w:rPr>
          <w:rFonts w:ascii="Perpetua" w:hAnsi="Perpetua"/>
        </w:rPr>
        <w:t>sumaríssima</w:t>
      </w:r>
      <w:r w:rsidR="004C16B2">
        <w:rPr>
          <w:rFonts w:ascii="Perpetua" w:hAnsi="Perpetua"/>
        </w:rPr>
        <w:t>»</w:t>
      </w:r>
      <w:r>
        <w:rPr>
          <w:rFonts w:ascii="Perpetua" w:hAnsi="Perpetua"/>
        </w:rPr>
        <w:t xml:space="preserve"> e </w:t>
      </w:r>
      <w:r w:rsidR="004C16B2">
        <w:rPr>
          <w:rFonts w:ascii="Perpetua" w:hAnsi="Perpetua"/>
        </w:rPr>
        <w:t>«</w:t>
      </w:r>
      <w:r w:rsidRPr="004C16B2">
        <w:rPr>
          <w:rFonts w:ascii="Perpetua" w:hAnsi="Perpetua"/>
        </w:rPr>
        <w:t>sumária ou outra</w:t>
      </w:r>
      <w:r w:rsidR="004C16B2">
        <w:rPr>
          <w:rFonts w:ascii="Perpetua" w:hAnsi="Perpetua"/>
        </w:rPr>
        <w:t>»</w:t>
      </w:r>
      <w:r>
        <w:rPr>
          <w:rFonts w:ascii="Perpetua" w:hAnsi="Perpetua"/>
        </w:rPr>
        <w:t xml:space="preserve">. Por fim, os tribunais </w:t>
      </w:r>
      <w:r w:rsidR="004C16B2">
        <w:rPr>
          <w:rFonts w:ascii="Perpetua" w:hAnsi="Perpetua"/>
        </w:rPr>
        <w:t>pertencentes a</w:t>
      </w:r>
      <w:r>
        <w:rPr>
          <w:rFonts w:ascii="Perpetua" w:hAnsi="Perpetua"/>
        </w:rPr>
        <w:t xml:space="preserve">o </w:t>
      </w:r>
      <w:r w:rsidR="004C16B2">
        <w:rPr>
          <w:rFonts w:ascii="Perpetua" w:hAnsi="Perpetua"/>
        </w:rPr>
        <w:t>C</w:t>
      </w:r>
      <w:r>
        <w:rPr>
          <w:rFonts w:ascii="Perpetua" w:hAnsi="Perpetua"/>
        </w:rPr>
        <w:t xml:space="preserve">luster 1 têm uma percentagem baixa de processos findos por decisão de fundo. </w:t>
      </w:r>
    </w:p>
    <w:p w:rsidR="009260BF" w:rsidRDefault="009260BF" w:rsidP="00F72F49">
      <w:pPr>
        <w:spacing w:line="360" w:lineRule="auto"/>
        <w:jc w:val="both"/>
        <w:rPr>
          <w:rFonts w:ascii="Perpetua" w:hAnsi="Perpetua"/>
        </w:rPr>
      </w:pPr>
    </w:p>
    <w:p w:rsidR="00F72F49" w:rsidRDefault="00DE4144" w:rsidP="00DE4144">
      <w:pPr>
        <w:pStyle w:val="Caption"/>
        <w:jc w:val="center"/>
        <w:rPr>
          <w:rFonts w:ascii="Perpetua" w:hAnsi="Perpetua"/>
        </w:rPr>
      </w:pPr>
      <w:bookmarkStart w:id="125" w:name="_Toc215081946"/>
      <w:r w:rsidRPr="00DE4144">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6</w:t>
      </w:r>
      <w:r w:rsidR="0048473F">
        <w:rPr>
          <w:rFonts w:ascii="Perpetua" w:hAnsi="Perpetua"/>
        </w:rPr>
        <w:fldChar w:fldCharType="end"/>
      </w:r>
      <w:r w:rsidR="00F72F49" w:rsidRPr="00DE4144">
        <w:rPr>
          <w:rFonts w:ascii="Perpetua" w:hAnsi="Perpetua"/>
        </w:rPr>
        <w:t xml:space="preserve"> – Cluster 1</w:t>
      </w:r>
      <w:bookmarkEnd w:id="125"/>
    </w:p>
    <w:p w:rsidR="00DE4144" w:rsidRPr="00DE4144" w:rsidRDefault="00DE4144" w:rsidP="00DE4144"/>
    <w:p w:rsidR="009260BF" w:rsidRDefault="00C82BCA" w:rsidP="00F72F49">
      <w:pPr>
        <w:spacing w:line="360" w:lineRule="auto"/>
        <w:jc w:val="both"/>
        <w:rPr>
          <w:rFonts w:ascii="Perpetua" w:hAnsi="Perpetua"/>
        </w:rPr>
      </w:pPr>
      <w:r>
        <w:rPr>
          <w:noProof/>
        </w:rPr>
        <w:drawing>
          <wp:inline distT="0" distB="0" distL="0" distR="0">
            <wp:extent cx="5400675" cy="1790700"/>
            <wp:effectExtent l="19050" t="0" r="9525" b="0"/>
            <wp:docPr id="41"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75"/>
                    <a:srcRect/>
                    <a:stretch>
                      <a:fillRect/>
                    </a:stretch>
                  </pic:blipFill>
                  <pic:spPr bwMode="auto">
                    <a:xfrm>
                      <a:off x="0" y="0"/>
                      <a:ext cx="5400675" cy="1790700"/>
                    </a:xfrm>
                    <a:prstGeom prst="rect">
                      <a:avLst/>
                    </a:prstGeom>
                    <a:noFill/>
                    <a:ln w="9525">
                      <a:noFill/>
                      <a:miter lim="800000"/>
                      <a:headEnd/>
                      <a:tailEnd/>
                    </a:ln>
                  </pic:spPr>
                </pic:pic>
              </a:graphicData>
            </a:graphic>
          </wp:inline>
        </w:drawing>
      </w: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4C16B2" w:rsidRDefault="004C16B2" w:rsidP="004C16B2">
      <w:pPr>
        <w:spacing w:line="360" w:lineRule="auto"/>
        <w:jc w:val="both"/>
        <w:rPr>
          <w:rFonts w:ascii="Perpetua" w:hAnsi="Perpetua"/>
        </w:rPr>
      </w:pPr>
    </w:p>
    <w:p w:rsidR="004C16B2" w:rsidRPr="006447C9" w:rsidRDefault="004C16B2" w:rsidP="004C16B2">
      <w:pPr>
        <w:spacing w:line="360" w:lineRule="auto"/>
        <w:jc w:val="both"/>
        <w:rPr>
          <w:rFonts w:ascii="Perpetua" w:hAnsi="Perpetua"/>
        </w:rPr>
      </w:pPr>
      <w:r>
        <w:rPr>
          <w:rFonts w:ascii="Perpetua" w:hAnsi="Perpetua"/>
        </w:rPr>
        <w:t xml:space="preserve">Os tribunais do Cluster 2 (ver Quadro 5.7) apresentam um padrão de serviços </w:t>
      </w:r>
      <w:r w:rsidR="00D24907">
        <w:rPr>
          <w:rFonts w:ascii="Perpetua" w:hAnsi="Perpetua"/>
        </w:rPr>
        <w:t xml:space="preserve">judiciais </w:t>
      </w:r>
      <w:r>
        <w:rPr>
          <w:rFonts w:ascii="Perpetua" w:hAnsi="Perpetua"/>
        </w:rPr>
        <w:t xml:space="preserve">resolvidos fortemente dissemelhante do dos tribunais do Cluster 1: são tribunais que, relativamente aos restantes tribunais analisados, resolvem uma percentagem baixa de processos cíveis e uma percentagem elevada de processos penais. A percentagem de processos tutelares tramitados é semelhante à do Cluster 3 e superior à do Cluster 1. Dali resulta que o Cluster </w:t>
      </w:r>
      <w:r w:rsidR="00F2427F">
        <w:rPr>
          <w:rFonts w:ascii="Perpetua" w:hAnsi="Perpetua"/>
        </w:rPr>
        <w:t>2</w:t>
      </w:r>
      <w:r>
        <w:rPr>
          <w:rFonts w:ascii="Perpetua" w:hAnsi="Perpetua"/>
        </w:rPr>
        <w:t xml:space="preserve"> tenha uma maior incidência relativa dos tipos de espécie processual «processo tutelar», «processo-crime em fase de julgamento», «contra-ordenações e transgressões» e uma menor incidência relativa das espécies</w:t>
      </w:r>
      <w:r w:rsidR="00D24907">
        <w:rPr>
          <w:rFonts w:ascii="Perpetua" w:hAnsi="Perpetua"/>
        </w:rPr>
        <w:t xml:space="preserve"> processuais</w:t>
      </w:r>
      <w:r>
        <w:rPr>
          <w:rFonts w:ascii="Perpetua" w:hAnsi="Perpetua"/>
        </w:rPr>
        <w:t xml:space="preserve"> «acção executiva» e «acção declarativa». No que respeita à forma processual, os tribunais do Cluster 3 têm uma percentagem relativamente elevada de acções sumárias e, quanto ao termo do processo, apresentam a maior percentagem de processos findos por decisão de fundo. </w:t>
      </w:r>
    </w:p>
    <w:p w:rsidR="009260BF" w:rsidRDefault="009260BF" w:rsidP="00F72F49">
      <w:pPr>
        <w:spacing w:line="360" w:lineRule="auto"/>
        <w:jc w:val="both"/>
        <w:rPr>
          <w:rFonts w:ascii="Perpetua" w:hAnsi="Perpetua"/>
        </w:rPr>
      </w:pPr>
    </w:p>
    <w:p w:rsidR="004C16B2" w:rsidRDefault="004C16B2" w:rsidP="00F72F49">
      <w:pPr>
        <w:spacing w:line="360" w:lineRule="auto"/>
        <w:jc w:val="both"/>
        <w:rPr>
          <w:rFonts w:ascii="Perpetua" w:hAnsi="Perpetua"/>
        </w:rPr>
      </w:pPr>
    </w:p>
    <w:p w:rsidR="004C16B2" w:rsidRDefault="004C16B2" w:rsidP="00F72F49">
      <w:pPr>
        <w:spacing w:line="360" w:lineRule="auto"/>
        <w:jc w:val="both"/>
        <w:rPr>
          <w:rFonts w:ascii="Perpetua" w:hAnsi="Perpetua"/>
        </w:rPr>
      </w:pPr>
    </w:p>
    <w:p w:rsidR="004C16B2" w:rsidRDefault="004C16B2" w:rsidP="00F72F49">
      <w:pPr>
        <w:spacing w:line="360" w:lineRule="auto"/>
        <w:jc w:val="both"/>
        <w:rPr>
          <w:rFonts w:ascii="Perpetua" w:hAnsi="Perpetua"/>
        </w:rPr>
      </w:pPr>
    </w:p>
    <w:p w:rsidR="004C16B2" w:rsidRDefault="004C16B2" w:rsidP="00F72F49">
      <w:pPr>
        <w:spacing w:line="360" w:lineRule="auto"/>
        <w:jc w:val="both"/>
        <w:rPr>
          <w:rFonts w:ascii="Perpetua" w:hAnsi="Perpetua"/>
        </w:rPr>
      </w:pPr>
    </w:p>
    <w:p w:rsidR="00F72F49" w:rsidRPr="009260BF" w:rsidRDefault="00DE4144" w:rsidP="009260BF">
      <w:pPr>
        <w:pStyle w:val="Caption"/>
        <w:jc w:val="center"/>
        <w:rPr>
          <w:rFonts w:ascii="Perpetua" w:hAnsi="Perpetua"/>
        </w:rPr>
      </w:pPr>
      <w:bookmarkStart w:id="126" w:name="_Toc215081947"/>
      <w:r w:rsidRPr="009260BF">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7</w:t>
      </w:r>
      <w:r w:rsidR="0048473F">
        <w:rPr>
          <w:rFonts w:ascii="Perpetua" w:hAnsi="Perpetua"/>
        </w:rPr>
        <w:fldChar w:fldCharType="end"/>
      </w:r>
      <w:r w:rsidR="00F72F49" w:rsidRPr="009260BF">
        <w:rPr>
          <w:rFonts w:ascii="Perpetua" w:hAnsi="Perpetua"/>
        </w:rPr>
        <w:t xml:space="preserve"> – Cluster 2</w:t>
      </w:r>
      <w:bookmarkEnd w:id="126"/>
    </w:p>
    <w:p w:rsidR="00DE4144" w:rsidRPr="00DE4144" w:rsidRDefault="00DE4144" w:rsidP="00DE4144"/>
    <w:p w:rsidR="00F72F49" w:rsidRDefault="00C82BCA" w:rsidP="004C16B2">
      <w:pPr>
        <w:spacing w:line="360" w:lineRule="auto"/>
        <w:jc w:val="center"/>
        <w:rPr>
          <w:rFonts w:ascii="Perpetua" w:hAnsi="Perpetua"/>
        </w:rPr>
      </w:pPr>
      <w:r>
        <w:rPr>
          <w:noProof/>
        </w:rPr>
        <w:drawing>
          <wp:inline distT="0" distB="0" distL="0" distR="0">
            <wp:extent cx="5400675" cy="1790700"/>
            <wp:effectExtent l="19050" t="0" r="9525" b="0"/>
            <wp:docPr id="4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76"/>
                    <a:srcRect/>
                    <a:stretch>
                      <a:fillRect/>
                    </a:stretch>
                  </pic:blipFill>
                  <pic:spPr bwMode="auto">
                    <a:xfrm>
                      <a:off x="0" y="0"/>
                      <a:ext cx="5400675" cy="1790700"/>
                    </a:xfrm>
                    <a:prstGeom prst="rect">
                      <a:avLst/>
                    </a:prstGeom>
                    <a:noFill/>
                    <a:ln w="9525">
                      <a:noFill/>
                      <a:miter lim="800000"/>
                      <a:headEnd/>
                      <a:tailEnd/>
                    </a:ln>
                  </pic:spPr>
                </pic:pic>
              </a:graphicData>
            </a:graphic>
          </wp:inline>
        </w:drawing>
      </w: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4C16B2" w:rsidRDefault="004C16B2" w:rsidP="004C16B2">
      <w:pPr>
        <w:spacing w:line="360" w:lineRule="auto"/>
        <w:jc w:val="both"/>
        <w:rPr>
          <w:rFonts w:ascii="Perpetua" w:hAnsi="Perpetua"/>
        </w:rPr>
      </w:pPr>
    </w:p>
    <w:p w:rsidR="004C16B2" w:rsidRPr="006447C9" w:rsidRDefault="004C16B2" w:rsidP="004C16B2">
      <w:pPr>
        <w:spacing w:line="360" w:lineRule="auto"/>
        <w:jc w:val="both"/>
        <w:rPr>
          <w:rFonts w:ascii="Perpetua" w:hAnsi="Perpetua"/>
        </w:rPr>
      </w:pPr>
      <w:r>
        <w:rPr>
          <w:rFonts w:ascii="Perpetua" w:hAnsi="Perpetua"/>
        </w:rPr>
        <w:t xml:space="preserve">Por último, os tribunais que compõem o Cluster 3 (ver Quadro 5.8) correspondem a um perfil médio, ou normal, do </w:t>
      </w:r>
      <w:r w:rsidRPr="004C16B2">
        <w:rPr>
          <w:rFonts w:ascii="Perpetua" w:hAnsi="Perpetua"/>
          <w:i/>
        </w:rPr>
        <w:t xml:space="preserve">mix </w:t>
      </w:r>
      <w:r>
        <w:rPr>
          <w:rFonts w:ascii="Perpetua" w:hAnsi="Perpetua"/>
        </w:rPr>
        <w:t xml:space="preserve">de serviços </w:t>
      </w:r>
      <w:r w:rsidR="00D24907">
        <w:rPr>
          <w:rFonts w:ascii="Perpetua" w:hAnsi="Perpetua"/>
        </w:rPr>
        <w:t xml:space="preserve">judiciais </w:t>
      </w:r>
      <w:r>
        <w:rPr>
          <w:rFonts w:ascii="Perpetua" w:hAnsi="Perpetua"/>
        </w:rPr>
        <w:t xml:space="preserve">resolvidos dos tribunais analisados, representando cerca de metade da amostra considerada. Relativamente aos tribunais dos </w:t>
      </w:r>
      <w:r w:rsidR="00F2427F">
        <w:rPr>
          <w:rFonts w:ascii="Perpetua" w:hAnsi="Perpetua"/>
        </w:rPr>
        <w:t>C</w:t>
      </w:r>
      <w:r w:rsidRPr="00F2427F">
        <w:rPr>
          <w:rFonts w:ascii="Perpetua" w:hAnsi="Perpetua"/>
        </w:rPr>
        <w:t>lusters</w:t>
      </w:r>
      <w:r w:rsidR="00D24907">
        <w:rPr>
          <w:rFonts w:ascii="Perpetua" w:hAnsi="Perpetua"/>
        </w:rPr>
        <w:t xml:space="preserve"> 1 e 2,</w:t>
      </w:r>
      <w:r>
        <w:rPr>
          <w:rFonts w:ascii="Perpetua" w:hAnsi="Perpetua"/>
        </w:rPr>
        <w:t xml:space="preserve"> estes tribunais resolvem percentagens médias das categorias dos </w:t>
      </w:r>
      <w:r w:rsidR="00F2427F">
        <w:rPr>
          <w:rFonts w:ascii="Perpetua" w:hAnsi="Perpetua"/>
        </w:rPr>
        <w:t xml:space="preserve">quatro </w:t>
      </w:r>
      <w:r>
        <w:rPr>
          <w:rFonts w:ascii="Perpetua" w:hAnsi="Perpetua"/>
        </w:rPr>
        <w:t xml:space="preserve">critérios de agregação considerados, com excepção para a percentagem de processos especiais, cujas média e mediana são mais elevadas que a média e </w:t>
      </w:r>
      <w:r w:rsidR="00D000FD">
        <w:rPr>
          <w:rFonts w:ascii="Perpetua" w:hAnsi="Perpetua"/>
        </w:rPr>
        <w:t xml:space="preserve">a </w:t>
      </w:r>
      <w:r>
        <w:rPr>
          <w:rFonts w:ascii="Perpetua" w:hAnsi="Perpetua"/>
        </w:rPr>
        <w:t xml:space="preserve">mediana dos tribunais dos </w:t>
      </w:r>
      <w:r w:rsidR="00F2427F">
        <w:rPr>
          <w:rFonts w:ascii="Perpetua" w:hAnsi="Perpetua"/>
        </w:rPr>
        <w:t>C</w:t>
      </w:r>
      <w:r w:rsidRPr="00F2427F">
        <w:rPr>
          <w:rFonts w:ascii="Perpetua" w:hAnsi="Perpetua"/>
        </w:rPr>
        <w:t>lusters</w:t>
      </w:r>
      <w:r w:rsidR="002F697D">
        <w:rPr>
          <w:rFonts w:ascii="Perpetua" w:hAnsi="Perpetua"/>
        </w:rPr>
        <w:t xml:space="preserve"> 1 e 2.</w:t>
      </w:r>
    </w:p>
    <w:p w:rsidR="00F72F49" w:rsidRDefault="00F72F49" w:rsidP="00F72F49">
      <w:pPr>
        <w:spacing w:line="360" w:lineRule="auto"/>
        <w:jc w:val="both"/>
        <w:rPr>
          <w:rFonts w:ascii="Perpetua" w:hAnsi="Perpetua"/>
        </w:rPr>
      </w:pPr>
    </w:p>
    <w:p w:rsidR="00F72F49" w:rsidRPr="009260BF" w:rsidRDefault="00DE4144" w:rsidP="009260BF">
      <w:pPr>
        <w:pStyle w:val="Caption"/>
        <w:jc w:val="center"/>
        <w:rPr>
          <w:rFonts w:ascii="Perpetua" w:hAnsi="Perpetua"/>
        </w:rPr>
      </w:pPr>
      <w:bookmarkStart w:id="127" w:name="_Toc215081948"/>
      <w:r w:rsidRPr="009260BF">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Pr="009260BF">
        <w:rPr>
          <w:rFonts w:ascii="Perpetua" w:hAnsi="Perpetua"/>
        </w:rPr>
        <w:t xml:space="preserve"> </w:t>
      </w:r>
      <w:r w:rsidR="00F2427F">
        <w:rPr>
          <w:rFonts w:ascii="Perpetua" w:hAnsi="Perpetua"/>
        </w:rPr>
        <w:t xml:space="preserve">– </w:t>
      </w:r>
      <w:r w:rsidR="00F72F49" w:rsidRPr="009260BF">
        <w:rPr>
          <w:rFonts w:ascii="Perpetua" w:hAnsi="Perpetua"/>
        </w:rPr>
        <w:t>Cluster 3</w:t>
      </w:r>
      <w:bookmarkEnd w:id="127"/>
    </w:p>
    <w:p w:rsidR="00DE4144" w:rsidRPr="00DE4144" w:rsidRDefault="00DE4144" w:rsidP="00DE4144"/>
    <w:p w:rsidR="00F72F49" w:rsidRDefault="00C82BCA" w:rsidP="00F72F49">
      <w:pPr>
        <w:spacing w:line="360" w:lineRule="auto"/>
        <w:jc w:val="both"/>
        <w:rPr>
          <w:rFonts w:ascii="Perpetua" w:hAnsi="Perpetua"/>
        </w:rPr>
      </w:pPr>
      <w:r>
        <w:rPr>
          <w:noProof/>
        </w:rPr>
        <w:drawing>
          <wp:inline distT="0" distB="0" distL="0" distR="0">
            <wp:extent cx="5400675" cy="1790700"/>
            <wp:effectExtent l="19050" t="0" r="9525" b="0"/>
            <wp:docPr id="43"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77"/>
                    <a:srcRect/>
                    <a:stretch>
                      <a:fillRect/>
                    </a:stretch>
                  </pic:blipFill>
                  <pic:spPr bwMode="auto">
                    <a:xfrm>
                      <a:off x="0" y="0"/>
                      <a:ext cx="5400675" cy="1790700"/>
                    </a:xfrm>
                    <a:prstGeom prst="rect">
                      <a:avLst/>
                    </a:prstGeom>
                    <a:noFill/>
                    <a:ln w="9525">
                      <a:noFill/>
                      <a:miter lim="800000"/>
                      <a:headEnd/>
                      <a:tailEnd/>
                    </a:ln>
                  </pic:spPr>
                </pic:pic>
              </a:graphicData>
            </a:graphic>
          </wp:inline>
        </w:drawing>
      </w: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4C16B2" w:rsidRDefault="004C16B2" w:rsidP="00F72F49">
      <w:pPr>
        <w:spacing w:line="360" w:lineRule="auto"/>
        <w:jc w:val="both"/>
        <w:rPr>
          <w:rFonts w:ascii="Perpetua" w:hAnsi="Perpetua"/>
        </w:rPr>
      </w:pPr>
    </w:p>
    <w:p w:rsidR="004C16B2" w:rsidRDefault="004C16B2" w:rsidP="004C16B2">
      <w:pPr>
        <w:spacing w:line="360" w:lineRule="auto"/>
        <w:jc w:val="both"/>
        <w:rPr>
          <w:rFonts w:ascii="Perpetua" w:hAnsi="Perpetua"/>
        </w:rPr>
      </w:pPr>
      <w:r>
        <w:rPr>
          <w:rFonts w:ascii="Perpetua" w:hAnsi="Perpetua"/>
        </w:rPr>
        <w:t xml:space="preserve">Como forma de avaliar a pertinência da introdução da informação produzida pela análise de </w:t>
      </w:r>
      <w:r w:rsidRPr="004C16B2">
        <w:rPr>
          <w:rFonts w:ascii="Perpetua" w:hAnsi="Perpetua"/>
          <w:i/>
        </w:rPr>
        <w:t>clusters</w:t>
      </w:r>
      <w:r>
        <w:rPr>
          <w:rFonts w:ascii="Perpetua" w:hAnsi="Perpetua"/>
        </w:rPr>
        <w:t xml:space="preserve"> na análise de regressão, </w:t>
      </w:r>
      <w:r w:rsidR="002F697D">
        <w:rPr>
          <w:rFonts w:ascii="Perpetua" w:hAnsi="Perpetua"/>
        </w:rPr>
        <w:t xml:space="preserve">foi efectuada uma </w:t>
      </w:r>
      <w:r>
        <w:rPr>
          <w:rFonts w:ascii="Perpetua" w:hAnsi="Perpetua"/>
        </w:rPr>
        <w:t xml:space="preserve">análise da variância (ANOVA) da produtividade judicial média pelos três </w:t>
      </w:r>
      <w:r w:rsidRPr="004C16B2">
        <w:rPr>
          <w:rFonts w:ascii="Perpetua" w:hAnsi="Perpetua"/>
          <w:i/>
        </w:rPr>
        <w:t>clusters</w:t>
      </w:r>
      <w:r>
        <w:rPr>
          <w:rFonts w:ascii="Perpetua" w:hAnsi="Perpetua"/>
        </w:rPr>
        <w:t>. Como é observável n</w:t>
      </w:r>
      <w:r w:rsidR="0041266D">
        <w:rPr>
          <w:rFonts w:ascii="Perpetua" w:hAnsi="Perpetua"/>
        </w:rPr>
        <w:t xml:space="preserve">o Quadro </w:t>
      </w:r>
      <w:r w:rsidR="00723265">
        <w:rPr>
          <w:rFonts w:ascii="Perpetua" w:hAnsi="Perpetua"/>
        </w:rPr>
        <w:t>5.10</w:t>
      </w:r>
      <w:r>
        <w:rPr>
          <w:rFonts w:ascii="Perpetua" w:hAnsi="Perpetua"/>
        </w:rPr>
        <w:t xml:space="preserve">, os resultados da ANOVA dão uma indicação clara de que o comportamento médio da produtividade judicial é bastante diferente para </w:t>
      </w:r>
      <w:r w:rsidR="00723265">
        <w:rPr>
          <w:rFonts w:ascii="Perpetua" w:hAnsi="Perpetua"/>
        </w:rPr>
        <w:t>o</w:t>
      </w:r>
      <w:r>
        <w:rPr>
          <w:rFonts w:ascii="Perpetua" w:hAnsi="Perpetua"/>
        </w:rPr>
        <w:t xml:space="preserve">s </w:t>
      </w:r>
      <w:r w:rsidR="007F1308">
        <w:rPr>
          <w:rFonts w:ascii="Perpetua" w:hAnsi="Perpetua"/>
        </w:rPr>
        <w:t>três</w:t>
      </w:r>
      <w:r>
        <w:rPr>
          <w:rFonts w:ascii="Perpetua" w:hAnsi="Perpetua"/>
        </w:rPr>
        <w:t xml:space="preserve"> </w:t>
      </w:r>
      <w:r w:rsidR="0041266D" w:rsidRPr="0041266D">
        <w:rPr>
          <w:rFonts w:ascii="Perpetua" w:hAnsi="Perpetua"/>
          <w:i/>
        </w:rPr>
        <w:t>clu</w:t>
      </w:r>
      <w:r w:rsidRPr="0041266D">
        <w:rPr>
          <w:rFonts w:ascii="Perpetua" w:hAnsi="Perpetua"/>
          <w:i/>
        </w:rPr>
        <w:t>s</w:t>
      </w:r>
      <w:r w:rsidR="0041266D" w:rsidRPr="0041266D">
        <w:rPr>
          <w:rFonts w:ascii="Perpetua" w:hAnsi="Perpetua"/>
          <w:i/>
        </w:rPr>
        <w:t>ters</w:t>
      </w:r>
      <w:r w:rsidR="00723265">
        <w:rPr>
          <w:rFonts w:ascii="Perpetua" w:hAnsi="Perpetua"/>
        </w:rPr>
        <w:t>: a hipótese de igualdade das méd</w:t>
      </w:r>
      <w:r w:rsidR="00B87904">
        <w:rPr>
          <w:rFonts w:ascii="Perpetua" w:hAnsi="Perpetua"/>
        </w:rPr>
        <w:t>i</w:t>
      </w:r>
      <w:r w:rsidR="00723265">
        <w:rPr>
          <w:rFonts w:ascii="Perpetua" w:hAnsi="Perpetua"/>
        </w:rPr>
        <w:t>a</w:t>
      </w:r>
      <w:r w:rsidR="00B87904">
        <w:rPr>
          <w:rFonts w:ascii="Perpetua" w:hAnsi="Perpetua"/>
        </w:rPr>
        <w:t xml:space="preserve">s é rejeitada para um grau de </w:t>
      </w:r>
      <w:r w:rsidR="004C4E17">
        <w:rPr>
          <w:rFonts w:ascii="Perpetua" w:hAnsi="Perpetua"/>
        </w:rPr>
        <w:t>confiança</w:t>
      </w:r>
      <w:r w:rsidR="00B87904">
        <w:rPr>
          <w:rFonts w:ascii="Perpetua" w:hAnsi="Perpetua"/>
        </w:rPr>
        <w:t xml:space="preserve"> ligeiramente inferior a 95%</w:t>
      </w:r>
      <w:r w:rsidR="00C1241C">
        <w:rPr>
          <w:rStyle w:val="FootnoteReference"/>
          <w:rFonts w:ascii="Perpetua" w:hAnsi="Perpetua"/>
        </w:rPr>
        <w:footnoteReference w:id="114"/>
      </w:r>
      <w:r w:rsidR="00B87904">
        <w:rPr>
          <w:rFonts w:ascii="Perpetua" w:hAnsi="Perpetua"/>
        </w:rPr>
        <w:t>.</w:t>
      </w:r>
      <w:r w:rsidR="00C1241C">
        <w:rPr>
          <w:rFonts w:ascii="Perpetua" w:hAnsi="Perpetua"/>
        </w:rPr>
        <w:t xml:space="preserve"> No Quadro 5.9 é visível que </w:t>
      </w:r>
      <w:r w:rsidR="00723265">
        <w:rPr>
          <w:rFonts w:ascii="Perpetua" w:hAnsi="Perpetua"/>
        </w:rPr>
        <w:t>o Cluster 1 tem a produtividade judicial média mais elevada, seguido pelo Cluster 3 e, finalmente, pelo Cluster 2. Conclui-se que</w:t>
      </w:r>
      <w:r>
        <w:rPr>
          <w:rFonts w:ascii="Perpetua" w:hAnsi="Perpetua"/>
        </w:rPr>
        <w:t xml:space="preserve"> há </w:t>
      </w:r>
      <w:r w:rsidR="00674E69">
        <w:rPr>
          <w:rFonts w:ascii="Perpetua" w:hAnsi="Perpetua"/>
        </w:rPr>
        <w:t xml:space="preserve">provas </w:t>
      </w:r>
      <w:r>
        <w:rPr>
          <w:rFonts w:ascii="Perpetua" w:hAnsi="Perpetua"/>
        </w:rPr>
        <w:t>estatística</w:t>
      </w:r>
      <w:r w:rsidR="00674E69">
        <w:rPr>
          <w:rFonts w:ascii="Perpetua" w:hAnsi="Perpetua"/>
        </w:rPr>
        <w:t>s</w:t>
      </w:r>
      <w:r>
        <w:rPr>
          <w:rFonts w:ascii="Perpetua" w:hAnsi="Perpetua"/>
        </w:rPr>
        <w:t xml:space="preserve"> forte</w:t>
      </w:r>
      <w:r w:rsidR="00674E69">
        <w:rPr>
          <w:rFonts w:ascii="Perpetua" w:hAnsi="Perpetua"/>
        </w:rPr>
        <w:t>s</w:t>
      </w:r>
      <w:r>
        <w:rPr>
          <w:rFonts w:ascii="Perpetua" w:hAnsi="Perpetua"/>
        </w:rPr>
        <w:t xml:space="preserve"> para tratar de forma diferenciada os </w:t>
      </w:r>
      <w:r w:rsidR="007F1308">
        <w:rPr>
          <w:rFonts w:ascii="Perpetua" w:hAnsi="Perpetua"/>
        </w:rPr>
        <w:t>três</w:t>
      </w:r>
      <w:r>
        <w:rPr>
          <w:rFonts w:ascii="Perpetua" w:hAnsi="Perpetua"/>
        </w:rPr>
        <w:t xml:space="preserve"> </w:t>
      </w:r>
      <w:r w:rsidRPr="0041266D">
        <w:rPr>
          <w:rFonts w:ascii="Perpetua" w:hAnsi="Perpetua"/>
          <w:i/>
        </w:rPr>
        <w:t>clusters</w:t>
      </w:r>
      <w:r w:rsidR="001758CA">
        <w:rPr>
          <w:rFonts w:ascii="Perpetua" w:hAnsi="Perpetua"/>
        </w:rPr>
        <w:t xml:space="preserve"> criados com base na homogeneidade do</w:t>
      </w:r>
      <w:r>
        <w:rPr>
          <w:rFonts w:ascii="Perpetua" w:hAnsi="Perpetua"/>
        </w:rPr>
        <w:t xml:space="preserve"> </w:t>
      </w:r>
      <w:r w:rsidRPr="00723265">
        <w:rPr>
          <w:rFonts w:ascii="Perpetua" w:hAnsi="Perpetua"/>
          <w:i/>
        </w:rPr>
        <w:t>case mix</w:t>
      </w:r>
      <w:r>
        <w:rPr>
          <w:rFonts w:ascii="Perpetua" w:hAnsi="Perpetua"/>
        </w:rPr>
        <w:t xml:space="preserve"> dos processos resolvidos pelos tribunais no ano de 2001.</w:t>
      </w:r>
    </w:p>
    <w:p w:rsidR="00C1241C" w:rsidRDefault="00C1241C" w:rsidP="004C16B2">
      <w:pPr>
        <w:spacing w:line="360" w:lineRule="auto"/>
        <w:jc w:val="both"/>
        <w:rPr>
          <w:rFonts w:ascii="Perpetua" w:hAnsi="Perpetua"/>
        </w:rPr>
      </w:pPr>
    </w:p>
    <w:p w:rsidR="00F72F49" w:rsidRPr="004C16B2" w:rsidRDefault="004C16B2" w:rsidP="004C16B2">
      <w:pPr>
        <w:pStyle w:val="Caption"/>
        <w:jc w:val="center"/>
        <w:rPr>
          <w:rFonts w:ascii="Perpetua" w:hAnsi="Perpetua"/>
        </w:rPr>
      </w:pPr>
      <w:bookmarkStart w:id="128" w:name="_Toc215081949"/>
      <w:r w:rsidRPr="004C16B2">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9</w:t>
      </w:r>
      <w:r w:rsidR="0048473F">
        <w:rPr>
          <w:rFonts w:ascii="Perpetua" w:hAnsi="Perpetua"/>
        </w:rPr>
        <w:fldChar w:fldCharType="end"/>
      </w:r>
      <w:r w:rsidR="00F2427F">
        <w:rPr>
          <w:rFonts w:ascii="Perpetua" w:hAnsi="Perpetua"/>
        </w:rPr>
        <w:t xml:space="preserve"> </w:t>
      </w:r>
      <w:r w:rsidR="00F72F49" w:rsidRPr="004C16B2">
        <w:rPr>
          <w:rFonts w:ascii="Perpetua" w:hAnsi="Perpetua"/>
        </w:rPr>
        <w:t xml:space="preserve">– Produtividade judicial média por </w:t>
      </w:r>
      <w:r w:rsidR="00F72F49" w:rsidRPr="004C16B2">
        <w:rPr>
          <w:rFonts w:ascii="Perpetua" w:hAnsi="Perpetua"/>
          <w:i/>
        </w:rPr>
        <w:t>cluster</w:t>
      </w:r>
      <w:bookmarkEnd w:id="128"/>
    </w:p>
    <w:p w:rsidR="00F72F49" w:rsidRPr="002865F5" w:rsidRDefault="00F72F49" w:rsidP="00F72F49"/>
    <w:tbl>
      <w:tblPr>
        <w:tblW w:w="4872" w:type="dxa"/>
        <w:jc w:val="center"/>
        <w:tblInd w:w="55" w:type="dxa"/>
        <w:tblCellMar>
          <w:left w:w="70" w:type="dxa"/>
          <w:right w:w="70" w:type="dxa"/>
        </w:tblCellMar>
        <w:tblLook w:val="04A0"/>
      </w:tblPr>
      <w:tblGrid>
        <w:gridCol w:w="1340"/>
        <w:gridCol w:w="920"/>
        <w:gridCol w:w="1523"/>
        <w:gridCol w:w="1089"/>
      </w:tblGrid>
      <w:tr w:rsidR="004C16B2" w:rsidRPr="004C16B2" w:rsidTr="002F233D">
        <w:trPr>
          <w:trHeight w:val="315"/>
          <w:jc w:val="center"/>
        </w:trPr>
        <w:tc>
          <w:tcPr>
            <w:tcW w:w="134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 </w:t>
            </w:r>
          </w:p>
        </w:tc>
        <w:tc>
          <w:tcPr>
            <w:tcW w:w="92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Média</w:t>
            </w:r>
          </w:p>
        </w:tc>
        <w:tc>
          <w:tcPr>
            <w:tcW w:w="1523"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 xml:space="preserve">Desvio-padrão  </w:t>
            </w:r>
          </w:p>
        </w:tc>
        <w:tc>
          <w:tcPr>
            <w:tcW w:w="1089" w:type="dxa"/>
            <w:tcBorders>
              <w:top w:val="nil"/>
              <w:left w:val="nil"/>
              <w:bottom w:val="single" w:sz="4" w:space="0" w:color="auto"/>
              <w:right w:val="nil"/>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Frequência</w:t>
            </w:r>
          </w:p>
        </w:tc>
      </w:tr>
      <w:tr w:rsidR="004C16B2" w:rsidRPr="004C16B2" w:rsidTr="002F697D">
        <w:trPr>
          <w:trHeight w:val="366"/>
          <w:jc w:val="center"/>
        </w:trPr>
        <w:tc>
          <w:tcPr>
            <w:tcW w:w="134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Cluster 1</w:t>
            </w:r>
          </w:p>
        </w:tc>
        <w:tc>
          <w:tcPr>
            <w:tcW w:w="92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486,39</w:t>
            </w:r>
          </w:p>
        </w:tc>
        <w:tc>
          <w:tcPr>
            <w:tcW w:w="1523"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208,53</w:t>
            </w:r>
          </w:p>
        </w:tc>
        <w:tc>
          <w:tcPr>
            <w:tcW w:w="1089" w:type="dxa"/>
            <w:tcBorders>
              <w:top w:val="nil"/>
              <w:left w:val="nil"/>
              <w:bottom w:val="single" w:sz="4" w:space="0" w:color="auto"/>
              <w:right w:val="nil"/>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74</w:t>
            </w:r>
          </w:p>
        </w:tc>
      </w:tr>
      <w:tr w:rsidR="004C16B2" w:rsidRPr="004C16B2" w:rsidTr="002F233D">
        <w:trPr>
          <w:trHeight w:val="480"/>
          <w:jc w:val="center"/>
        </w:trPr>
        <w:tc>
          <w:tcPr>
            <w:tcW w:w="134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Cluster 2</w:t>
            </w:r>
          </w:p>
        </w:tc>
        <w:tc>
          <w:tcPr>
            <w:tcW w:w="92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384,39</w:t>
            </w:r>
          </w:p>
        </w:tc>
        <w:tc>
          <w:tcPr>
            <w:tcW w:w="1523"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210,46</w:t>
            </w:r>
          </w:p>
        </w:tc>
        <w:tc>
          <w:tcPr>
            <w:tcW w:w="1089" w:type="dxa"/>
            <w:tcBorders>
              <w:top w:val="nil"/>
              <w:left w:val="nil"/>
              <w:bottom w:val="single" w:sz="4" w:space="0" w:color="auto"/>
              <w:right w:val="nil"/>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31</w:t>
            </w:r>
          </w:p>
        </w:tc>
      </w:tr>
      <w:tr w:rsidR="004C16B2" w:rsidRPr="004C16B2" w:rsidTr="002F233D">
        <w:trPr>
          <w:trHeight w:val="420"/>
          <w:jc w:val="center"/>
        </w:trPr>
        <w:tc>
          <w:tcPr>
            <w:tcW w:w="134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Cluster 3</w:t>
            </w:r>
          </w:p>
        </w:tc>
        <w:tc>
          <w:tcPr>
            <w:tcW w:w="920"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429,33</w:t>
            </w:r>
          </w:p>
        </w:tc>
        <w:tc>
          <w:tcPr>
            <w:tcW w:w="1523" w:type="dxa"/>
            <w:tcBorders>
              <w:top w:val="nil"/>
              <w:left w:val="nil"/>
              <w:bottom w:val="single" w:sz="4" w:space="0" w:color="auto"/>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210,44</w:t>
            </w:r>
          </w:p>
        </w:tc>
        <w:tc>
          <w:tcPr>
            <w:tcW w:w="1089" w:type="dxa"/>
            <w:tcBorders>
              <w:top w:val="nil"/>
              <w:left w:val="nil"/>
              <w:bottom w:val="single" w:sz="4" w:space="0" w:color="auto"/>
              <w:right w:val="nil"/>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106</w:t>
            </w:r>
          </w:p>
        </w:tc>
      </w:tr>
      <w:tr w:rsidR="004C16B2" w:rsidRPr="004C16B2" w:rsidTr="002F233D">
        <w:trPr>
          <w:trHeight w:val="420"/>
          <w:jc w:val="center"/>
        </w:trPr>
        <w:tc>
          <w:tcPr>
            <w:tcW w:w="1340" w:type="dxa"/>
            <w:tcBorders>
              <w:top w:val="nil"/>
              <w:left w:val="nil"/>
              <w:bottom w:val="nil"/>
              <w:right w:val="single" w:sz="4" w:space="0" w:color="auto"/>
            </w:tcBorders>
            <w:shd w:val="clear" w:color="000000" w:fill="FFFFFF"/>
            <w:noWrap/>
            <w:vAlign w:val="center"/>
          </w:tcPr>
          <w:p w:rsidR="004C16B2" w:rsidRPr="004C16B2" w:rsidRDefault="004C16B2" w:rsidP="004C16B2">
            <w:pPr>
              <w:jc w:val="center"/>
              <w:rPr>
                <w:rFonts w:ascii="Perpetua" w:hAnsi="Perpetua"/>
                <w:b/>
                <w:bCs/>
                <w:color w:val="000000"/>
                <w:sz w:val="20"/>
                <w:szCs w:val="20"/>
              </w:rPr>
            </w:pPr>
            <w:r w:rsidRPr="004C16B2">
              <w:rPr>
                <w:rFonts w:ascii="Perpetua" w:hAnsi="Perpetua"/>
                <w:b/>
                <w:bCs/>
                <w:color w:val="000000"/>
                <w:sz w:val="20"/>
                <w:szCs w:val="20"/>
              </w:rPr>
              <w:t>Total</w:t>
            </w:r>
          </w:p>
        </w:tc>
        <w:tc>
          <w:tcPr>
            <w:tcW w:w="920" w:type="dxa"/>
            <w:tcBorders>
              <w:top w:val="nil"/>
              <w:left w:val="nil"/>
              <w:bottom w:val="nil"/>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442,74</w:t>
            </w:r>
          </w:p>
        </w:tc>
        <w:tc>
          <w:tcPr>
            <w:tcW w:w="1523" w:type="dxa"/>
            <w:tcBorders>
              <w:top w:val="nil"/>
              <w:left w:val="nil"/>
              <w:bottom w:val="nil"/>
              <w:right w:val="single" w:sz="4" w:space="0" w:color="auto"/>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211,78</w:t>
            </w:r>
          </w:p>
        </w:tc>
        <w:tc>
          <w:tcPr>
            <w:tcW w:w="1089" w:type="dxa"/>
            <w:tcBorders>
              <w:top w:val="nil"/>
              <w:left w:val="nil"/>
              <w:bottom w:val="nil"/>
              <w:right w:val="nil"/>
            </w:tcBorders>
            <w:shd w:val="clear" w:color="000000" w:fill="FFFFFF"/>
            <w:noWrap/>
            <w:vAlign w:val="center"/>
          </w:tcPr>
          <w:p w:rsidR="004C16B2" w:rsidRPr="004C16B2" w:rsidRDefault="004C16B2" w:rsidP="004C16B2">
            <w:pPr>
              <w:jc w:val="center"/>
              <w:rPr>
                <w:rFonts w:ascii="Perpetua" w:hAnsi="Perpetua"/>
                <w:color w:val="000000"/>
                <w:sz w:val="20"/>
                <w:szCs w:val="20"/>
              </w:rPr>
            </w:pPr>
            <w:r w:rsidRPr="004C16B2">
              <w:rPr>
                <w:rFonts w:ascii="Perpetua" w:hAnsi="Perpetua"/>
                <w:color w:val="000000"/>
                <w:sz w:val="20"/>
                <w:szCs w:val="20"/>
              </w:rPr>
              <w:t>211</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F72F49" w:rsidRDefault="00F72F49" w:rsidP="00723265">
      <w:pPr>
        <w:spacing w:line="360" w:lineRule="auto"/>
        <w:jc w:val="center"/>
        <w:rPr>
          <w:rFonts w:ascii="Perpetua" w:hAnsi="Perpetua"/>
        </w:rPr>
      </w:pPr>
    </w:p>
    <w:p w:rsidR="007F01BB" w:rsidRPr="00723265" w:rsidRDefault="007F01BB" w:rsidP="00723265">
      <w:pPr>
        <w:spacing w:line="360" w:lineRule="auto"/>
        <w:jc w:val="center"/>
        <w:rPr>
          <w:rFonts w:ascii="Perpetua" w:hAnsi="Perpetua"/>
        </w:rPr>
      </w:pPr>
    </w:p>
    <w:p w:rsidR="00F72F49" w:rsidRDefault="00723265" w:rsidP="00723265">
      <w:pPr>
        <w:pStyle w:val="Caption"/>
        <w:jc w:val="center"/>
        <w:rPr>
          <w:rFonts w:ascii="Perpetua" w:hAnsi="Perpetua"/>
          <w:i/>
        </w:rPr>
      </w:pPr>
      <w:bookmarkStart w:id="129" w:name="_Toc215081950"/>
      <w:r w:rsidRPr="00723265">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10</w:t>
      </w:r>
      <w:r w:rsidR="0048473F">
        <w:rPr>
          <w:rFonts w:ascii="Perpetua" w:hAnsi="Perpetua"/>
        </w:rPr>
        <w:fldChar w:fldCharType="end"/>
      </w:r>
      <w:r w:rsidRPr="00723265">
        <w:rPr>
          <w:rFonts w:ascii="Perpetua" w:hAnsi="Perpetua"/>
        </w:rPr>
        <w:t xml:space="preserve"> </w:t>
      </w:r>
      <w:r w:rsidR="00F72F49" w:rsidRPr="00723265">
        <w:rPr>
          <w:rFonts w:ascii="Perpetua" w:hAnsi="Perpetua"/>
        </w:rPr>
        <w:t xml:space="preserve">– Teste de igualdade de médias da produtividade judicial média dos </w:t>
      </w:r>
      <w:r w:rsidR="005E4978" w:rsidRPr="00723265">
        <w:rPr>
          <w:rFonts w:ascii="Perpetua" w:hAnsi="Perpetua"/>
          <w:i/>
        </w:rPr>
        <w:t>clusters</w:t>
      </w:r>
      <w:bookmarkEnd w:id="129"/>
    </w:p>
    <w:p w:rsidR="00A31F57" w:rsidRPr="00A31F57" w:rsidRDefault="00A31F57" w:rsidP="00A31F57"/>
    <w:tbl>
      <w:tblPr>
        <w:tblW w:w="5811" w:type="dxa"/>
        <w:jc w:val="center"/>
        <w:tblInd w:w="55" w:type="dxa"/>
        <w:tblCellMar>
          <w:left w:w="70" w:type="dxa"/>
          <w:right w:w="70" w:type="dxa"/>
        </w:tblCellMar>
        <w:tblLook w:val="04A0"/>
      </w:tblPr>
      <w:tblGrid>
        <w:gridCol w:w="1560"/>
        <w:gridCol w:w="1043"/>
        <w:gridCol w:w="709"/>
        <w:gridCol w:w="749"/>
        <w:gridCol w:w="689"/>
        <w:gridCol w:w="1061"/>
      </w:tblGrid>
      <w:tr w:rsidR="00A31F57" w:rsidRPr="00A31F57" w:rsidTr="00FB666C">
        <w:trPr>
          <w:trHeight w:val="270"/>
          <w:jc w:val="center"/>
        </w:trPr>
        <w:tc>
          <w:tcPr>
            <w:tcW w:w="1560"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rPr>
            </w:pPr>
            <w:r w:rsidRPr="00A31F57">
              <w:rPr>
                <w:rFonts w:ascii="Perpetua" w:hAnsi="Perpetua"/>
                <w:color w:val="000000"/>
                <w:sz w:val="20"/>
                <w:szCs w:val="20"/>
              </w:rPr>
              <w:t>Source</w:t>
            </w:r>
          </w:p>
        </w:tc>
        <w:tc>
          <w:tcPr>
            <w:tcW w:w="1043"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rPr>
            </w:pPr>
            <w:r w:rsidRPr="00A31F57">
              <w:rPr>
                <w:rFonts w:ascii="Perpetua" w:hAnsi="Perpetua"/>
                <w:color w:val="000000"/>
                <w:sz w:val="20"/>
                <w:szCs w:val="20"/>
              </w:rPr>
              <w:t>SS</w:t>
            </w:r>
          </w:p>
        </w:tc>
        <w:tc>
          <w:tcPr>
            <w:tcW w:w="70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rPr>
            </w:pPr>
            <w:proofErr w:type="gramStart"/>
            <w:r w:rsidRPr="00A31F57">
              <w:rPr>
                <w:rFonts w:ascii="Perpetua" w:hAnsi="Perpetua"/>
                <w:color w:val="000000"/>
                <w:sz w:val="20"/>
                <w:szCs w:val="20"/>
              </w:rPr>
              <w:t>df</w:t>
            </w:r>
            <w:proofErr w:type="gramEnd"/>
          </w:p>
        </w:tc>
        <w:tc>
          <w:tcPr>
            <w:tcW w:w="74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rPr>
            </w:pPr>
            <w:r w:rsidRPr="00A31F57">
              <w:rPr>
                <w:rFonts w:ascii="Perpetua" w:hAnsi="Perpetua"/>
                <w:color w:val="000000"/>
                <w:sz w:val="20"/>
                <w:szCs w:val="20"/>
              </w:rPr>
              <w:t xml:space="preserve"> MS</w:t>
            </w:r>
          </w:p>
        </w:tc>
        <w:tc>
          <w:tcPr>
            <w:tcW w:w="68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rPr>
            </w:pPr>
            <w:r w:rsidRPr="00A31F57">
              <w:rPr>
                <w:rFonts w:ascii="Perpetua" w:hAnsi="Perpetua"/>
                <w:color w:val="000000"/>
                <w:sz w:val="20"/>
                <w:szCs w:val="20"/>
              </w:rPr>
              <w:t xml:space="preserve">F    </w:t>
            </w:r>
          </w:p>
        </w:tc>
        <w:tc>
          <w:tcPr>
            <w:tcW w:w="1061" w:type="dxa"/>
            <w:tcBorders>
              <w:top w:val="nil"/>
              <w:left w:val="nil"/>
              <w:bottom w:val="single" w:sz="4" w:space="0" w:color="auto"/>
              <w:right w:val="nil"/>
            </w:tcBorders>
            <w:shd w:val="clear" w:color="000000" w:fill="FFFFFF"/>
            <w:noWrap/>
            <w:vAlign w:val="center"/>
          </w:tcPr>
          <w:p w:rsidR="00A31F57" w:rsidRPr="00A31F57" w:rsidRDefault="00A31F57" w:rsidP="00A31F57">
            <w:pPr>
              <w:ind w:firstLineChars="100" w:firstLine="200"/>
              <w:rPr>
                <w:rFonts w:ascii="Perpetua" w:hAnsi="Perpetua"/>
                <w:color w:val="000000"/>
                <w:sz w:val="20"/>
                <w:szCs w:val="20"/>
                <w:lang w:val="en-US"/>
              </w:rPr>
            </w:pPr>
            <w:r w:rsidRPr="00A31F57">
              <w:rPr>
                <w:rFonts w:ascii="Perpetua" w:hAnsi="Perpetua"/>
                <w:color w:val="000000"/>
                <w:sz w:val="20"/>
                <w:szCs w:val="20"/>
                <w:lang w:val="en-US"/>
              </w:rPr>
              <w:t>Prob &gt;</w:t>
            </w:r>
            <w:r w:rsidRPr="00785FBD">
              <w:rPr>
                <w:rFonts w:ascii="Perpetua" w:hAnsi="Perpetua"/>
                <w:color w:val="000000"/>
                <w:sz w:val="20"/>
                <w:szCs w:val="20"/>
                <w:lang w:val="en-US"/>
              </w:rPr>
              <w:t xml:space="preserve"> </w:t>
            </w:r>
            <w:r w:rsidRPr="00A31F57">
              <w:rPr>
                <w:rFonts w:ascii="Perpetua" w:hAnsi="Perpetua"/>
                <w:color w:val="000000"/>
                <w:sz w:val="20"/>
                <w:szCs w:val="20"/>
                <w:lang w:val="en-US"/>
              </w:rPr>
              <w:t xml:space="preserve"> F</w:t>
            </w:r>
          </w:p>
        </w:tc>
      </w:tr>
      <w:tr w:rsidR="00A31F57" w:rsidRPr="00A31F57" w:rsidTr="00785FBD">
        <w:trPr>
          <w:trHeight w:val="480"/>
          <w:jc w:val="center"/>
        </w:trPr>
        <w:tc>
          <w:tcPr>
            <w:tcW w:w="1560"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lang w:val="en-US"/>
              </w:rPr>
            </w:pPr>
            <w:r w:rsidRPr="00A31F57">
              <w:rPr>
                <w:rFonts w:ascii="Perpetua" w:hAnsi="Perpetua"/>
                <w:color w:val="000000"/>
                <w:sz w:val="20"/>
                <w:szCs w:val="20"/>
                <w:lang w:val="en-US"/>
              </w:rPr>
              <w:t>Between groups</w:t>
            </w:r>
          </w:p>
        </w:tc>
        <w:tc>
          <w:tcPr>
            <w:tcW w:w="1043"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265.606</w:t>
            </w:r>
          </w:p>
        </w:tc>
        <w:tc>
          <w:tcPr>
            <w:tcW w:w="70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2</w:t>
            </w:r>
          </w:p>
        </w:tc>
        <w:tc>
          <w:tcPr>
            <w:tcW w:w="74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132.803</w:t>
            </w:r>
          </w:p>
        </w:tc>
        <w:tc>
          <w:tcPr>
            <w:tcW w:w="68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3,02</w:t>
            </w:r>
          </w:p>
        </w:tc>
        <w:tc>
          <w:tcPr>
            <w:tcW w:w="1061" w:type="dxa"/>
            <w:tcBorders>
              <w:top w:val="nil"/>
              <w:left w:val="nil"/>
              <w:bottom w:val="single" w:sz="4" w:space="0" w:color="auto"/>
              <w:right w:val="nil"/>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0,0511</w:t>
            </w:r>
          </w:p>
        </w:tc>
      </w:tr>
      <w:tr w:rsidR="00A31F57" w:rsidRPr="00A31F57" w:rsidTr="00785FBD">
        <w:trPr>
          <w:trHeight w:val="420"/>
          <w:jc w:val="center"/>
        </w:trPr>
        <w:tc>
          <w:tcPr>
            <w:tcW w:w="1560"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lang w:val="en-US"/>
              </w:rPr>
            </w:pPr>
            <w:r w:rsidRPr="00A31F57">
              <w:rPr>
                <w:rFonts w:ascii="Perpetua" w:hAnsi="Perpetua"/>
                <w:color w:val="000000"/>
                <w:sz w:val="20"/>
                <w:szCs w:val="20"/>
                <w:lang w:val="en-US"/>
              </w:rPr>
              <w:t>Within groups</w:t>
            </w:r>
          </w:p>
        </w:tc>
        <w:tc>
          <w:tcPr>
            <w:tcW w:w="1043"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9.153.210</w:t>
            </w:r>
          </w:p>
        </w:tc>
        <w:tc>
          <w:tcPr>
            <w:tcW w:w="70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208</w:t>
            </w:r>
          </w:p>
        </w:tc>
        <w:tc>
          <w:tcPr>
            <w:tcW w:w="74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4.401</w:t>
            </w:r>
          </w:p>
        </w:tc>
        <w:tc>
          <w:tcPr>
            <w:tcW w:w="689" w:type="dxa"/>
            <w:tcBorders>
              <w:top w:val="nil"/>
              <w:left w:val="nil"/>
              <w:bottom w:val="single" w:sz="4" w:space="0" w:color="auto"/>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p>
        </w:tc>
        <w:tc>
          <w:tcPr>
            <w:tcW w:w="1061" w:type="dxa"/>
            <w:tcBorders>
              <w:top w:val="nil"/>
              <w:left w:val="nil"/>
              <w:bottom w:val="single" w:sz="4" w:space="0" w:color="auto"/>
              <w:right w:val="nil"/>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p>
        </w:tc>
      </w:tr>
      <w:tr w:rsidR="00A31F57" w:rsidRPr="00A31F57" w:rsidTr="00785FBD">
        <w:trPr>
          <w:trHeight w:val="420"/>
          <w:jc w:val="center"/>
        </w:trPr>
        <w:tc>
          <w:tcPr>
            <w:tcW w:w="1560" w:type="dxa"/>
            <w:tcBorders>
              <w:top w:val="nil"/>
              <w:left w:val="nil"/>
              <w:bottom w:val="nil"/>
              <w:right w:val="single" w:sz="4" w:space="0" w:color="auto"/>
            </w:tcBorders>
            <w:shd w:val="clear" w:color="000000" w:fill="FFFFFF"/>
            <w:noWrap/>
            <w:vAlign w:val="center"/>
          </w:tcPr>
          <w:p w:rsidR="00A31F57" w:rsidRPr="00A31F57" w:rsidRDefault="00A31F57" w:rsidP="00A31F57">
            <w:pPr>
              <w:jc w:val="center"/>
              <w:rPr>
                <w:rFonts w:ascii="Perpetua" w:hAnsi="Perpetua"/>
                <w:color w:val="000000"/>
                <w:sz w:val="20"/>
                <w:szCs w:val="20"/>
                <w:lang w:val="en-US"/>
              </w:rPr>
            </w:pPr>
            <w:r w:rsidRPr="00A31F57">
              <w:rPr>
                <w:rFonts w:ascii="Perpetua" w:hAnsi="Perpetua"/>
                <w:color w:val="000000"/>
                <w:sz w:val="20"/>
                <w:szCs w:val="20"/>
                <w:lang w:val="en-US"/>
              </w:rPr>
              <w:t>Total</w:t>
            </w:r>
          </w:p>
        </w:tc>
        <w:tc>
          <w:tcPr>
            <w:tcW w:w="1043" w:type="dxa"/>
            <w:tcBorders>
              <w:top w:val="nil"/>
              <w:left w:val="nil"/>
              <w:bottom w:val="nil"/>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941.882</w:t>
            </w:r>
          </w:p>
        </w:tc>
        <w:tc>
          <w:tcPr>
            <w:tcW w:w="709" w:type="dxa"/>
            <w:tcBorders>
              <w:top w:val="nil"/>
              <w:left w:val="nil"/>
              <w:bottom w:val="nil"/>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210</w:t>
            </w:r>
          </w:p>
        </w:tc>
        <w:tc>
          <w:tcPr>
            <w:tcW w:w="749" w:type="dxa"/>
            <w:tcBorders>
              <w:top w:val="nil"/>
              <w:left w:val="nil"/>
              <w:bottom w:val="nil"/>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r w:rsidRPr="00A31F57">
              <w:rPr>
                <w:rFonts w:ascii="Perpetua" w:hAnsi="Perpetua"/>
                <w:color w:val="000000"/>
                <w:sz w:val="20"/>
                <w:szCs w:val="20"/>
                <w:lang w:val="en-US"/>
              </w:rPr>
              <w:t>4.485</w:t>
            </w:r>
          </w:p>
        </w:tc>
        <w:tc>
          <w:tcPr>
            <w:tcW w:w="689" w:type="dxa"/>
            <w:tcBorders>
              <w:top w:val="nil"/>
              <w:left w:val="nil"/>
              <w:bottom w:val="nil"/>
              <w:right w:val="single" w:sz="4" w:space="0" w:color="auto"/>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p>
        </w:tc>
        <w:tc>
          <w:tcPr>
            <w:tcW w:w="1061" w:type="dxa"/>
            <w:tcBorders>
              <w:top w:val="nil"/>
              <w:left w:val="nil"/>
              <w:bottom w:val="nil"/>
              <w:right w:val="nil"/>
            </w:tcBorders>
            <w:shd w:val="clear" w:color="000000" w:fill="FFFFFF"/>
            <w:noWrap/>
            <w:vAlign w:val="center"/>
          </w:tcPr>
          <w:p w:rsidR="00A31F57" w:rsidRPr="00A31F57" w:rsidRDefault="00A31F57" w:rsidP="00785FBD">
            <w:pPr>
              <w:jc w:val="center"/>
              <w:rPr>
                <w:rFonts w:ascii="Perpetua" w:hAnsi="Perpetua"/>
                <w:color w:val="000000"/>
                <w:sz w:val="20"/>
                <w:szCs w:val="20"/>
                <w:lang w:val="en-US"/>
              </w:rPr>
            </w:pP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F72F49" w:rsidRPr="002F233D" w:rsidRDefault="00F72F49" w:rsidP="0000114F">
      <w:pPr>
        <w:spacing w:line="360" w:lineRule="auto"/>
        <w:jc w:val="both"/>
        <w:rPr>
          <w:rFonts w:ascii="Perpetua" w:hAnsi="Perpetua"/>
        </w:rPr>
      </w:pPr>
    </w:p>
    <w:p w:rsidR="00F72F49" w:rsidRDefault="00F73C55" w:rsidP="00F73C55">
      <w:pPr>
        <w:pStyle w:val="Heading2"/>
      </w:pPr>
      <w:bookmarkStart w:id="130" w:name="_Toc206652083"/>
      <w:bookmarkStart w:id="131" w:name="_Toc220484484"/>
      <w:r w:rsidRPr="00A023D8">
        <w:t>5</w:t>
      </w:r>
      <w:r w:rsidR="00F72F49" w:rsidRPr="00A023D8">
        <w:t>.3</w:t>
      </w:r>
      <w:r w:rsidRPr="00A023D8">
        <w:t>.</w:t>
      </w:r>
      <w:r w:rsidR="00F72F49" w:rsidRPr="00A023D8">
        <w:t xml:space="preserve"> Análi</w:t>
      </w:r>
      <w:r w:rsidR="00F72F49" w:rsidRPr="00D9380B">
        <w:t>se de regressão</w:t>
      </w:r>
      <w:bookmarkEnd w:id="130"/>
      <w:bookmarkEnd w:id="131"/>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De acordo com </w:t>
      </w:r>
      <w:r w:rsidR="001E7F2B">
        <w:rPr>
          <w:rFonts w:ascii="Perpetua" w:hAnsi="Perpetua"/>
        </w:rPr>
        <w:t>o modelo econométrico apresentado n</w:t>
      </w:r>
      <w:r>
        <w:rPr>
          <w:rFonts w:ascii="Perpetua" w:hAnsi="Perpetua"/>
        </w:rPr>
        <w:t xml:space="preserve">a </w:t>
      </w:r>
      <w:r w:rsidR="001E7F2B">
        <w:rPr>
          <w:rFonts w:ascii="Perpetua" w:hAnsi="Perpetua"/>
        </w:rPr>
        <w:t>secção 4.3</w:t>
      </w:r>
      <w:r w:rsidR="007F1308">
        <w:rPr>
          <w:rFonts w:ascii="Perpetua" w:hAnsi="Perpetua"/>
        </w:rPr>
        <w:t>.</w:t>
      </w:r>
      <w:r w:rsidR="001E7F2B">
        <w:rPr>
          <w:rFonts w:ascii="Perpetua" w:hAnsi="Perpetua"/>
        </w:rPr>
        <w:t>, as análises de regressão efectuadas na presente secção utilizam a</w:t>
      </w:r>
      <w:r>
        <w:rPr>
          <w:rFonts w:ascii="Perpetua" w:hAnsi="Perpetua"/>
        </w:rPr>
        <w:t xml:space="preserve"> produtividade judicial média </w:t>
      </w:r>
      <w:r w:rsidR="001E7F2B">
        <w:rPr>
          <w:rFonts w:ascii="Perpetua" w:hAnsi="Perpetua"/>
        </w:rPr>
        <w:t xml:space="preserve">dos tribunais </w:t>
      </w:r>
      <w:r w:rsidR="00522AEC">
        <w:rPr>
          <w:rFonts w:ascii="Perpetua" w:hAnsi="Perpetua"/>
        </w:rPr>
        <w:t xml:space="preserve">como </w:t>
      </w:r>
      <w:r w:rsidR="001E7F2B">
        <w:rPr>
          <w:rFonts w:ascii="Perpetua" w:hAnsi="Perpetua"/>
        </w:rPr>
        <w:t xml:space="preserve">variável explicada </w:t>
      </w:r>
      <w:r w:rsidR="00522AEC">
        <w:rPr>
          <w:rFonts w:ascii="Perpetua" w:hAnsi="Perpetua"/>
        </w:rPr>
        <w:t>e um conjunto de variáveis explicativas, discutidas nas secções 4.3</w:t>
      </w:r>
      <w:r w:rsidR="007F1308">
        <w:rPr>
          <w:rFonts w:ascii="Perpetua" w:hAnsi="Perpetua"/>
        </w:rPr>
        <w:t>.</w:t>
      </w:r>
      <w:r w:rsidR="00522AEC">
        <w:rPr>
          <w:rFonts w:ascii="Perpetua" w:hAnsi="Perpetua"/>
        </w:rPr>
        <w:t xml:space="preserve"> e 5.2</w:t>
      </w:r>
      <w:r w:rsidR="007F1308">
        <w:rPr>
          <w:rFonts w:ascii="Perpetua" w:hAnsi="Perpetua"/>
        </w:rPr>
        <w:t>.</w:t>
      </w:r>
      <w:r w:rsidR="00522AEC">
        <w:rPr>
          <w:rFonts w:ascii="Perpetua" w:hAnsi="Perpetua"/>
        </w:rPr>
        <w:t xml:space="preserve">, </w:t>
      </w:r>
      <w:r>
        <w:rPr>
          <w:rFonts w:ascii="Perpetua" w:hAnsi="Perpetua"/>
        </w:rPr>
        <w:t xml:space="preserve">agrupadas em função da sua relação com </w:t>
      </w:r>
      <w:r w:rsidR="00522AEC">
        <w:rPr>
          <w:rFonts w:ascii="Perpetua" w:hAnsi="Perpetua"/>
        </w:rPr>
        <w:t>a variável explicada.</w:t>
      </w:r>
      <w:r w:rsidR="00337857">
        <w:rPr>
          <w:rFonts w:ascii="Perpetua" w:hAnsi="Perpetua"/>
        </w:rPr>
        <w:t xml:space="preserve"> A variável explicada </w:t>
      </w:r>
      <w:r w:rsidR="00D000FD">
        <w:rPr>
          <w:rFonts w:ascii="Perpetua" w:hAnsi="Perpetua"/>
        </w:rPr>
        <w:t>«</w:t>
      </w:r>
      <w:r w:rsidR="00337857" w:rsidRPr="00C878AF">
        <w:rPr>
          <w:rFonts w:ascii="Perpetua" w:hAnsi="Perpetua"/>
        </w:rPr>
        <w:t xml:space="preserve">produtividade judicial </w:t>
      </w:r>
      <w:r w:rsidR="00337857">
        <w:rPr>
          <w:rFonts w:ascii="Perpetua" w:hAnsi="Perpetua"/>
        </w:rPr>
        <w:t>média</w:t>
      </w:r>
      <w:r w:rsidR="00D000FD">
        <w:rPr>
          <w:rFonts w:ascii="Perpetua" w:hAnsi="Perpetua"/>
        </w:rPr>
        <w:t>»</w:t>
      </w:r>
      <w:r w:rsidR="00337857">
        <w:rPr>
          <w:rFonts w:ascii="Perpetua" w:hAnsi="Perpetua"/>
        </w:rPr>
        <w:t xml:space="preserve"> incluída nas regressões foi logar</w:t>
      </w:r>
      <w:r w:rsidR="00337857" w:rsidRPr="00C878AF">
        <w:rPr>
          <w:rFonts w:ascii="Perpetua" w:hAnsi="Perpetua"/>
        </w:rPr>
        <w:t>itm</w:t>
      </w:r>
      <w:r w:rsidR="00337857">
        <w:rPr>
          <w:rFonts w:ascii="Perpetua" w:hAnsi="Perpetua"/>
        </w:rPr>
        <w:t>izada, pois trata-se de uma variável positiva com elevada amplitude. Os grupos das variáveis explicativas são descritos abaixo.</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sidRPr="00193A46">
        <w:rPr>
          <w:rFonts w:ascii="Perpetua" w:hAnsi="Perpetua"/>
          <w:u w:val="single"/>
        </w:rPr>
        <w:t xml:space="preserve">Variáveis de controlo do </w:t>
      </w:r>
      <w:r w:rsidRPr="00522AEC">
        <w:rPr>
          <w:rFonts w:ascii="Perpetua" w:hAnsi="Perpetua"/>
          <w:i/>
          <w:u w:val="single"/>
        </w:rPr>
        <w:t>case</w:t>
      </w:r>
      <w:r w:rsidR="00364021">
        <w:rPr>
          <w:rFonts w:ascii="Perpetua" w:hAnsi="Perpetua"/>
          <w:i/>
          <w:u w:val="single"/>
        </w:rPr>
        <w:t xml:space="preserve"> </w:t>
      </w:r>
      <w:r w:rsidRPr="00522AEC">
        <w:rPr>
          <w:rFonts w:ascii="Perpetua" w:hAnsi="Perpetua"/>
          <w:i/>
          <w:u w:val="single"/>
        </w:rPr>
        <w:t>mix</w:t>
      </w:r>
      <w:r w:rsidRPr="00193A46">
        <w:rPr>
          <w:rFonts w:ascii="Perpetua" w:hAnsi="Perpetua"/>
          <w:u w:val="single"/>
        </w:rPr>
        <w:t xml:space="preserve"> (por tribunal)</w:t>
      </w:r>
      <w:r w:rsidRPr="00193A46">
        <w:rPr>
          <w:rFonts w:ascii="Perpetua" w:hAnsi="Perpetua"/>
        </w:rPr>
        <w:t xml:space="preserve">: </w:t>
      </w:r>
      <w:r>
        <w:rPr>
          <w:rFonts w:ascii="Perpetua" w:hAnsi="Perpetua"/>
        </w:rPr>
        <w:t xml:space="preserve">Cluster 1 (variável </w:t>
      </w:r>
      <w:r w:rsidRPr="00522AEC">
        <w:rPr>
          <w:rFonts w:ascii="Perpetua" w:hAnsi="Perpetua"/>
          <w:i/>
        </w:rPr>
        <w:t>dummy</w:t>
      </w:r>
      <w:r>
        <w:rPr>
          <w:rFonts w:ascii="Perpetua" w:hAnsi="Perpetua"/>
        </w:rPr>
        <w:t xml:space="preserve"> que assume valor 1 </w:t>
      </w:r>
      <w:r w:rsidR="001758CA">
        <w:rPr>
          <w:rFonts w:ascii="Perpetua" w:hAnsi="Perpetua"/>
        </w:rPr>
        <w:t xml:space="preserve">se </w:t>
      </w:r>
      <w:r w:rsidR="00D000FD">
        <w:rPr>
          <w:rFonts w:ascii="Perpetua" w:hAnsi="Perpetua"/>
        </w:rPr>
        <w:t>o tribunal pertence ao C</w:t>
      </w:r>
      <w:r>
        <w:rPr>
          <w:rFonts w:ascii="Perpetua" w:hAnsi="Perpetua"/>
        </w:rPr>
        <w:t xml:space="preserve">luster 1 e 0 se pertence a um dos outros dois </w:t>
      </w:r>
      <w:r w:rsidR="005E4978" w:rsidRPr="00D000FD">
        <w:rPr>
          <w:rFonts w:ascii="Perpetua" w:hAnsi="Perpetua"/>
          <w:i/>
        </w:rPr>
        <w:t>clusters</w:t>
      </w:r>
      <w:r>
        <w:rPr>
          <w:rFonts w:ascii="Perpetua" w:hAnsi="Perpetua"/>
        </w:rPr>
        <w:t xml:space="preserve">) e Cluster 2 (variável </w:t>
      </w:r>
      <w:r w:rsidRPr="00522AEC">
        <w:rPr>
          <w:rFonts w:ascii="Perpetua" w:hAnsi="Perpetua"/>
          <w:i/>
        </w:rPr>
        <w:t>dummy</w:t>
      </w:r>
      <w:r>
        <w:rPr>
          <w:rFonts w:ascii="Perpetua" w:hAnsi="Perpetua"/>
        </w:rPr>
        <w:t xml:space="preserve"> que assume o valor 1 se o tribunal pertence ao </w:t>
      </w:r>
      <w:r w:rsidR="00D000FD">
        <w:rPr>
          <w:rFonts w:ascii="Perpetua" w:hAnsi="Perpetua"/>
        </w:rPr>
        <w:t>C</w:t>
      </w:r>
      <w:r>
        <w:rPr>
          <w:rFonts w:ascii="Perpetua" w:hAnsi="Perpetua"/>
        </w:rPr>
        <w:t>luster 2 e 0 se pertence a um dos outro</w:t>
      </w:r>
      <w:r w:rsidR="001758CA">
        <w:rPr>
          <w:rFonts w:ascii="Perpetua" w:hAnsi="Perpetua"/>
        </w:rPr>
        <w:t>s</w:t>
      </w:r>
      <w:r>
        <w:rPr>
          <w:rFonts w:ascii="Perpetua" w:hAnsi="Perpetua"/>
        </w:rPr>
        <w:t xml:space="preserve"> dois </w:t>
      </w:r>
      <w:r w:rsidR="005E4978" w:rsidRPr="001758CA">
        <w:rPr>
          <w:rFonts w:ascii="Perpetua" w:hAnsi="Perpetua"/>
          <w:i/>
        </w:rPr>
        <w:t>clusters</w:t>
      </w:r>
      <w:r>
        <w:rPr>
          <w:rFonts w:ascii="Perpetua" w:hAnsi="Perpetua"/>
        </w:rPr>
        <w:t>);</w:t>
      </w:r>
    </w:p>
    <w:p w:rsidR="00522AEC" w:rsidRDefault="00522AEC" w:rsidP="00F72F49">
      <w:pPr>
        <w:spacing w:line="360" w:lineRule="auto"/>
        <w:jc w:val="both"/>
        <w:rPr>
          <w:rFonts w:ascii="Perpetua" w:hAnsi="Perpetua"/>
          <w:u w:val="single"/>
        </w:rPr>
      </w:pPr>
    </w:p>
    <w:p w:rsidR="00F72F49" w:rsidRDefault="00F72F49" w:rsidP="00F72F49">
      <w:pPr>
        <w:spacing w:line="360" w:lineRule="auto"/>
        <w:jc w:val="both"/>
        <w:rPr>
          <w:rFonts w:ascii="Perpetua" w:hAnsi="Perpetua"/>
        </w:rPr>
      </w:pPr>
      <w:r w:rsidRPr="00193A46">
        <w:rPr>
          <w:rFonts w:ascii="Perpetua" w:hAnsi="Perpetua"/>
          <w:u w:val="single"/>
        </w:rPr>
        <w:t>Variáveis relativas à estrutura interna dos tribunais (por tribunal)</w:t>
      </w:r>
      <w:r w:rsidRPr="00193A46">
        <w:rPr>
          <w:rFonts w:ascii="Perpetua" w:hAnsi="Perpetua"/>
        </w:rPr>
        <w:t xml:space="preserve">: </w:t>
      </w:r>
      <w:r w:rsidRPr="00C878AF">
        <w:rPr>
          <w:rFonts w:ascii="Perpetua" w:hAnsi="Perpetua"/>
        </w:rPr>
        <w:t xml:space="preserve">carga judicial, quadrado da carga judicial, </w:t>
      </w:r>
      <w:r w:rsidR="00A2767C">
        <w:rPr>
          <w:rFonts w:ascii="Perpetua" w:hAnsi="Perpetua"/>
        </w:rPr>
        <w:t>número</w:t>
      </w:r>
      <w:r>
        <w:rPr>
          <w:rFonts w:ascii="Perpetua" w:hAnsi="Perpetua"/>
        </w:rPr>
        <w:t xml:space="preserve"> </w:t>
      </w:r>
      <w:r w:rsidRPr="00C878AF">
        <w:rPr>
          <w:rFonts w:ascii="Perpetua" w:hAnsi="Perpetua"/>
        </w:rPr>
        <w:t xml:space="preserve">de magistrados judiciais, </w:t>
      </w:r>
      <w:r w:rsidR="00A2767C">
        <w:rPr>
          <w:rFonts w:ascii="Perpetua" w:hAnsi="Perpetua"/>
        </w:rPr>
        <w:t>número</w:t>
      </w:r>
      <w:r>
        <w:rPr>
          <w:rFonts w:ascii="Perpetua" w:hAnsi="Perpetua"/>
        </w:rPr>
        <w:t xml:space="preserve"> de funcionários por magistrado judicial, </w:t>
      </w:r>
      <w:r w:rsidR="00A2767C">
        <w:rPr>
          <w:rFonts w:ascii="Perpetua" w:hAnsi="Perpetua"/>
        </w:rPr>
        <w:t>número</w:t>
      </w:r>
      <w:r>
        <w:rPr>
          <w:rFonts w:ascii="Perpetua" w:hAnsi="Perpetua"/>
        </w:rPr>
        <w:t xml:space="preserve"> de magistrados do M.P. por magistrado judicial, </w:t>
      </w:r>
      <w:r w:rsidRPr="00C878AF">
        <w:rPr>
          <w:rFonts w:ascii="Perpetua" w:hAnsi="Perpetua"/>
        </w:rPr>
        <w:t>produtividade dos funcionários judiciais</w:t>
      </w:r>
      <w:r>
        <w:rPr>
          <w:rFonts w:ascii="Perpetua" w:hAnsi="Perpetua"/>
        </w:rPr>
        <w:t xml:space="preserve"> e</w:t>
      </w:r>
      <w:r w:rsidRPr="00C878AF">
        <w:rPr>
          <w:rFonts w:ascii="Perpetua" w:hAnsi="Perpetua"/>
        </w:rPr>
        <w:t xml:space="preserve"> pr</w:t>
      </w:r>
      <w:r>
        <w:rPr>
          <w:rFonts w:ascii="Perpetua" w:hAnsi="Perpetua"/>
        </w:rPr>
        <w:t>odutividade dos magistrados M.</w:t>
      </w:r>
      <w:proofErr w:type="gramStart"/>
      <w:r>
        <w:rPr>
          <w:rFonts w:ascii="Perpetua" w:hAnsi="Perpetua"/>
        </w:rPr>
        <w:t>P</w:t>
      </w:r>
      <w:r w:rsidR="007F1308">
        <w:rPr>
          <w:rFonts w:ascii="Perpetua" w:hAnsi="Perpetua"/>
        </w:rPr>
        <w:t>.</w:t>
      </w:r>
      <w:r w:rsidRPr="00C878AF">
        <w:rPr>
          <w:rFonts w:ascii="Perpetua" w:hAnsi="Perpetua"/>
        </w:rPr>
        <w:t>;</w:t>
      </w:r>
      <w:proofErr w:type="gramEnd"/>
      <w:r w:rsidRPr="00C878AF">
        <w:rPr>
          <w:rFonts w:ascii="Perpetua" w:hAnsi="Perpetua"/>
        </w:rPr>
        <w:t xml:space="preserve"> </w:t>
      </w:r>
    </w:p>
    <w:p w:rsidR="00F72F49" w:rsidRDefault="00F72F49" w:rsidP="00F72F49">
      <w:pPr>
        <w:spacing w:line="360" w:lineRule="auto"/>
        <w:jc w:val="both"/>
        <w:rPr>
          <w:rFonts w:ascii="Perpetua" w:hAnsi="Perpetua"/>
        </w:rPr>
      </w:pPr>
    </w:p>
    <w:p w:rsidR="00F72F49" w:rsidRPr="00C878AF" w:rsidRDefault="00F72F49" w:rsidP="00F72F49">
      <w:pPr>
        <w:spacing w:line="360" w:lineRule="auto"/>
        <w:jc w:val="both"/>
        <w:rPr>
          <w:rFonts w:ascii="Perpetua" w:hAnsi="Perpetua"/>
        </w:rPr>
      </w:pPr>
      <w:r w:rsidRPr="00193A46">
        <w:rPr>
          <w:rFonts w:ascii="Perpetua" w:hAnsi="Perpetua"/>
          <w:u w:val="single"/>
        </w:rPr>
        <w:t xml:space="preserve">Variáveis de </w:t>
      </w:r>
      <w:r w:rsidR="00522AEC">
        <w:rPr>
          <w:rFonts w:ascii="Perpetua" w:hAnsi="Perpetua"/>
          <w:u w:val="single"/>
        </w:rPr>
        <w:t xml:space="preserve">factores de </w:t>
      </w:r>
      <w:r w:rsidRPr="00193A46">
        <w:rPr>
          <w:rFonts w:ascii="Perpetua" w:hAnsi="Perpetua"/>
          <w:u w:val="single"/>
        </w:rPr>
        <w:t>contexto (por comarca, círculo ou NUTS III)</w:t>
      </w:r>
      <w:r>
        <w:rPr>
          <w:rFonts w:ascii="Perpetua" w:hAnsi="Perpetua"/>
        </w:rPr>
        <w:t>: advogados por magistrado judicial por círculo</w:t>
      </w:r>
      <w:r w:rsidRPr="00C878AF">
        <w:rPr>
          <w:rFonts w:ascii="Perpetua" w:hAnsi="Perpetua"/>
        </w:rPr>
        <w:t>, solicitadores por magistrado</w:t>
      </w:r>
      <w:r>
        <w:rPr>
          <w:rFonts w:ascii="Perpetua" w:hAnsi="Perpetua"/>
        </w:rPr>
        <w:t xml:space="preserve"> judicial por círculo</w:t>
      </w:r>
      <w:r w:rsidRPr="00C878AF">
        <w:rPr>
          <w:rFonts w:ascii="Perpetua" w:hAnsi="Perpetua"/>
        </w:rPr>
        <w:t xml:space="preserve">, </w:t>
      </w:r>
      <w:r>
        <w:rPr>
          <w:rFonts w:ascii="Perpetua" w:hAnsi="Perpetua"/>
        </w:rPr>
        <w:t>PIB</w:t>
      </w:r>
      <w:r w:rsidRPr="00C878AF">
        <w:rPr>
          <w:rFonts w:ascii="Perpetua" w:hAnsi="Perpetua"/>
        </w:rPr>
        <w:t xml:space="preserve"> </w:t>
      </w:r>
      <w:proofErr w:type="gramStart"/>
      <w:r w:rsidR="00BF6760" w:rsidRPr="00BF6760">
        <w:rPr>
          <w:rFonts w:ascii="Perpetua" w:hAnsi="Perpetua"/>
          <w:i/>
        </w:rPr>
        <w:t>per capita</w:t>
      </w:r>
      <w:proofErr w:type="gramEnd"/>
      <w:r>
        <w:rPr>
          <w:rFonts w:ascii="Perpetua" w:hAnsi="Perpetua"/>
        </w:rPr>
        <w:t xml:space="preserve"> por NUT III</w:t>
      </w:r>
      <w:r w:rsidRPr="00C878AF">
        <w:rPr>
          <w:rFonts w:ascii="Perpetua" w:hAnsi="Perpetua"/>
        </w:rPr>
        <w:t>, densidade populacional</w:t>
      </w:r>
      <w:r w:rsidR="001758CA">
        <w:rPr>
          <w:rFonts w:ascii="Perpetua" w:hAnsi="Perpetua"/>
        </w:rPr>
        <w:t xml:space="preserve"> da comarca</w:t>
      </w:r>
      <w:r w:rsidRPr="00C878AF">
        <w:rPr>
          <w:rFonts w:ascii="Perpetua" w:hAnsi="Perpetua"/>
        </w:rPr>
        <w:t>, índice de po</w:t>
      </w:r>
      <w:r>
        <w:rPr>
          <w:rFonts w:ascii="Perpetua" w:hAnsi="Perpetua"/>
        </w:rPr>
        <w:t xml:space="preserve">der de compra </w:t>
      </w:r>
      <w:r w:rsidR="00522AEC">
        <w:rPr>
          <w:rFonts w:ascii="Perpetua" w:hAnsi="Perpetua"/>
        </w:rPr>
        <w:t xml:space="preserve">por comarca </w:t>
      </w:r>
      <w:r>
        <w:rPr>
          <w:rFonts w:ascii="Perpetua" w:hAnsi="Perpetua"/>
        </w:rPr>
        <w:t xml:space="preserve">e </w:t>
      </w:r>
      <w:r w:rsidR="00A2767C">
        <w:rPr>
          <w:rFonts w:ascii="Perpetua" w:hAnsi="Perpetua"/>
        </w:rPr>
        <w:t>número</w:t>
      </w:r>
      <w:r>
        <w:rPr>
          <w:rFonts w:ascii="Perpetua" w:hAnsi="Perpetua"/>
        </w:rPr>
        <w:t xml:space="preserve"> de empresas</w:t>
      </w:r>
      <w:r w:rsidR="00522AEC">
        <w:rPr>
          <w:rFonts w:ascii="Perpetua" w:hAnsi="Perpetua"/>
        </w:rPr>
        <w:t xml:space="preserve"> por comarca</w:t>
      </w:r>
      <w:r>
        <w:rPr>
          <w:rFonts w:ascii="Perpetua" w:hAnsi="Perpetua"/>
        </w:rPr>
        <w:t>.</w:t>
      </w:r>
    </w:p>
    <w:p w:rsidR="00F72F49" w:rsidRDefault="00F72F49" w:rsidP="00F72F49">
      <w:pPr>
        <w:spacing w:line="360" w:lineRule="auto"/>
        <w:jc w:val="both"/>
        <w:rPr>
          <w:rFonts w:ascii="Perpetua" w:hAnsi="Perpetua"/>
        </w:rPr>
      </w:pPr>
    </w:p>
    <w:p w:rsidR="00522AEC" w:rsidRDefault="00F72F49" w:rsidP="00F72F49">
      <w:pPr>
        <w:spacing w:line="360" w:lineRule="auto"/>
        <w:jc w:val="both"/>
        <w:rPr>
          <w:rFonts w:ascii="Perpetua" w:hAnsi="Perpetua"/>
        </w:rPr>
      </w:pPr>
      <w:r w:rsidRPr="00C878AF">
        <w:rPr>
          <w:rFonts w:ascii="Perpetua" w:hAnsi="Perpetua"/>
        </w:rPr>
        <w:t>A</w:t>
      </w:r>
      <w:r w:rsidR="001758CA">
        <w:rPr>
          <w:rFonts w:ascii="Perpetua" w:hAnsi="Perpetua"/>
        </w:rPr>
        <w:t xml:space="preserve">s equações estimadas apresentadas resultam de </w:t>
      </w:r>
      <w:r>
        <w:rPr>
          <w:rFonts w:ascii="Perpetua" w:hAnsi="Perpetua"/>
        </w:rPr>
        <w:t xml:space="preserve">um procedimento analítico </w:t>
      </w:r>
      <w:r w:rsidR="001758CA">
        <w:rPr>
          <w:rFonts w:ascii="Perpetua" w:hAnsi="Perpetua"/>
        </w:rPr>
        <w:t xml:space="preserve">de refinação das estimações </w:t>
      </w:r>
      <w:r>
        <w:rPr>
          <w:rFonts w:ascii="Perpetua" w:hAnsi="Perpetua"/>
        </w:rPr>
        <w:t>que avalia conjuntamente a conformidade dos resultados estimados com as previsões da teoria económica e o conhecimento empírico do funcionamento dos tribunais, a significância estatística individual das variáveis introduzidas no modelo (</w:t>
      </w:r>
      <w:r w:rsidRPr="00522AEC">
        <w:rPr>
          <w:rFonts w:ascii="Perpetua" w:hAnsi="Perpetua"/>
          <w:i/>
        </w:rPr>
        <w:t>p-values</w:t>
      </w:r>
      <w:r>
        <w:rPr>
          <w:rFonts w:ascii="Perpetua" w:hAnsi="Perpetua"/>
        </w:rPr>
        <w:t>), a qualidade do ajustamento (R</w:t>
      </w:r>
      <w:r w:rsidRPr="00193A46">
        <w:rPr>
          <w:rFonts w:ascii="Perpetua" w:hAnsi="Perpetua"/>
          <w:vertAlign w:val="superscript"/>
        </w:rPr>
        <w:t>2</w:t>
      </w:r>
      <w:r>
        <w:rPr>
          <w:rFonts w:ascii="Perpetua" w:hAnsi="Perpetua"/>
        </w:rPr>
        <w:t>) e o grau de multicolinearidade das variáveis explicativas (</w:t>
      </w:r>
      <w:r w:rsidR="00522AEC" w:rsidRPr="00522AEC">
        <w:rPr>
          <w:rFonts w:ascii="Perpetua" w:hAnsi="Perpetua"/>
          <w:i/>
        </w:rPr>
        <w:t>variance inflation factors</w:t>
      </w:r>
      <w:r w:rsidR="00522AEC">
        <w:rPr>
          <w:rFonts w:ascii="Perpetua" w:hAnsi="Perpetua"/>
        </w:rPr>
        <w:t>, VIF</w:t>
      </w:r>
      <w:r>
        <w:rPr>
          <w:rFonts w:ascii="Perpetua" w:hAnsi="Perpetua"/>
        </w:rPr>
        <w:t xml:space="preserve">), para além dos testes de pós-estimação que </w:t>
      </w:r>
      <w:r w:rsidR="00D000FD">
        <w:rPr>
          <w:rFonts w:ascii="Perpetua" w:hAnsi="Perpetua"/>
        </w:rPr>
        <w:t xml:space="preserve">são </w:t>
      </w:r>
      <w:r>
        <w:rPr>
          <w:rFonts w:ascii="Perpetua" w:hAnsi="Perpetua"/>
        </w:rPr>
        <w:t>tecnicamente exig</w:t>
      </w:r>
      <w:r w:rsidR="001758CA">
        <w:rPr>
          <w:rFonts w:ascii="Perpetua" w:hAnsi="Perpetua"/>
        </w:rPr>
        <w:t>idos</w:t>
      </w:r>
      <w:r>
        <w:rPr>
          <w:rFonts w:ascii="Perpetua" w:hAnsi="Perpetua"/>
        </w:rPr>
        <w:t xml:space="preserve"> (heterocedasticidade, normalidade, análise de </w:t>
      </w:r>
      <w:r w:rsidRPr="00522AEC">
        <w:rPr>
          <w:rFonts w:ascii="Perpetua" w:hAnsi="Perpetua"/>
          <w:i/>
        </w:rPr>
        <w:t>outliers</w:t>
      </w:r>
      <w:r>
        <w:rPr>
          <w:rFonts w:ascii="Perpetua" w:hAnsi="Perpetua"/>
        </w:rPr>
        <w:t xml:space="preserve">, </w:t>
      </w:r>
      <w:r w:rsidRPr="00522AEC">
        <w:rPr>
          <w:rFonts w:ascii="Perpetua" w:hAnsi="Perpetua"/>
          <w:i/>
        </w:rPr>
        <w:t>leverages</w:t>
      </w:r>
      <w:r>
        <w:rPr>
          <w:rFonts w:ascii="Perpetua" w:hAnsi="Perpetua"/>
        </w:rPr>
        <w:t xml:space="preserve"> e observações influentes). </w:t>
      </w:r>
    </w:p>
    <w:p w:rsidR="00522AEC" w:rsidRDefault="00522AEC" w:rsidP="00F72F49">
      <w:pPr>
        <w:spacing w:line="360" w:lineRule="auto"/>
        <w:jc w:val="both"/>
        <w:rPr>
          <w:rFonts w:ascii="Perpetua" w:hAnsi="Perpetua"/>
        </w:rPr>
      </w:pPr>
    </w:p>
    <w:p w:rsidR="00F72F49" w:rsidRDefault="00AC204D" w:rsidP="00F72F49">
      <w:pPr>
        <w:spacing w:line="360" w:lineRule="auto"/>
        <w:jc w:val="both"/>
        <w:rPr>
          <w:rFonts w:ascii="Perpetua" w:hAnsi="Perpetua"/>
        </w:rPr>
      </w:pPr>
      <w:r>
        <w:rPr>
          <w:rFonts w:ascii="Perpetua" w:hAnsi="Perpetua"/>
        </w:rPr>
        <w:t>O modelo econométrico estimado através da</w:t>
      </w:r>
      <w:r w:rsidR="00E3158F">
        <w:rPr>
          <w:rFonts w:ascii="Perpetua" w:hAnsi="Perpetua"/>
        </w:rPr>
        <w:t xml:space="preserve"> análise de </w:t>
      </w:r>
      <w:r>
        <w:rPr>
          <w:rFonts w:ascii="Perpetua" w:hAnsi="Perpetua"/>
        </w:rPr>
        <w:t>regressão é descrito pela</w:t>
      </w:r>
      <w:r w:rsidR="005D2136">
        <w:rPr>
          <w:rFonts w:ascii="Perpetua" w:hAnsi="Perpetua"/>
        </w:rPr>
        <w:t xml:space="preserve"> equação 1</w:t>
      </w:r>
      <w:r>
        <w:rPr>
          <w:rFonts w:ascii="Perpetua" w:hAnsi="Perpetua"/>
        </w:rPr>
        <w:t>, sendo os resultados de especificações alternativas apresentados no</w:t>
      </w:r>
      <w:r w:rsidR="00E3158F">
        <w:rPr>
          <w:rFonts w:ascii="Perpetua" w:hAnsi="Perpetua"/>
        </w:rPr>
        <w:t>s</w:t>
      </w:r>
      <w:r>
        <w:rPr>
          <w:rFonts w:ascii="Perpetua" w:hAnsi="Perpetua"/>
        </w:rPr>
        <w:t xml:space="preserve"> Quadro</w:t>
      </w:r>
      <w:r w:rsidR="00E3158F">
        <w:rPr>
          <w:rFonts w:ascii="Perpetua" w:hAnsi="Perpetua"/>
        </w:rPr>
        <w:t xml:space="preserve">s 5.11 e 5.12.  </w:t>
      </w:r>
      <w:r>
        <w:rPr>
          <w:rFonts w:ascii="Perpetua" w:hAnsi="Perpetua"/>
        </w:rPr>
        <w:t xml:space="preserve"> </w:t>
      </w:r>
      <w:r w:rsidR="00522AEC">
        <w:rPr>
          <w:rFonts w:ascii="Perpetua" w:hAnsi="Perpetua"/>
        </w:rPr>
        <w:t xml:space="preserve"> </w:t>
      </w:r>
    </w:p>
    <w:p w:rsidR="00E3158F" w:rsidRDefault="00E3158F" w:rsidP="00F72F49">
      <w:pPr>
        <w:spacing w:line="360" w:lineRule="auto"/>
        <w:jc w:val="both"/>
        <w:rPr>
          <w:rFonts w:ascii="Perpetua" w:hAnsi="Perpetua"/>
          <w:b/>
        </w:rPr>
      </w:pPr>
    </w:p>
    <w:p w:rsidR="00F72F49" w:rsidRPr="005D2136" w:rsidRDefault="00F72F49" w:rsidP="00F72F49">
      <w:pPr>
        <w:spacing w:line="360" w:lineRule="auto"/>
        <w:jc w:val="both"/>
        <w:rPr>
          <w:rFonts w:ascii="Perpetua" w:hAnsi="Perpetua"/>
          <w:b/>
          <w:sz w:val="22"/>
          <w:szCs w:val="22"/>
        </w:rPr>
      </w:pPr>
      <w:r w:rsidRPr="005D2136">
        <w:rPr>
          <w:rFonts w:ascii="Perpetua" w:hAnsi="Perpetua"/>
          <w:b/>
          <w:sz w:val="22"/>
          <w:szCs w:val="22"/>
        </w:rPr>
        <w:t>Eq</w:t>
      </w:r>
      <w:r w:rsidR="005D2136" w:rsidRPr="005D2136">
        <w:rPr>
          <w:rFonts w:ascii="Perpetua" w:hAnsi="Perpetua"/>
          <w:b/>
          <w:sz w:val="22"/>
          <w:szCs w:val="22"/>
        </w:rPr>
        <w:t>uação</w:t>
      </w:r>
      <w:r w:rsidRPr="005D2136">
        <w:rPr>
          <w:rFonts w:ascii="Perpetua" w:hAnsi="Perpetua"/>
          <w:b/>
          <w:sz w:val="22"/>
          <w:szCs w:val="22"/>
        </w:rPr>
        <w:t xml:space="preserve"> 1:</w:t>
      </w:r>
    </w:p>
    <w:p w:rsidR="00F72F49" w:rsidRPr="006576FE" w:rsidRDefault="00F72F49" w:rsidP="00F72F49">
      <w:pPr>
        <w:spacing w:line="360" w:lineRule="auto"/>
        <w:jc w:val="both"/>
        <w:rPr>
          <w:rFonts w:ascii="Perpetua" w:hAnsi="Perpetua"/>
          <w:b/>
        </w:rPr>
      </w:pPr>
    </w:p>
    <w:p w:rsidR="00F72F49" w:rsidRDefault="0048473F" w:rsidP="00F72F49">
      <w:pPr>
        <w:spacing w:line="360" w:lineRule="auto"/>
        <w:jc w:val="both"/>
        <w:rPr>
          <w:rFonts w:ascii="Perpetua" w:hAnsi="Perpetua"/>
        </w:rPr>
      </w:pPr>
      <m:oMathPara>
        <m:oMath>
          <m:func>
            <m:funcPr>
              <m:ctrlPr>
                <w:rPr>
                  <w:rFonts w:ascii="Cambria Math" w:hAnsi="Perpetua"/>
                  <w:i/>
                  <w:sz w:val="22"/>
                  <w:szCs w:val="22"/>
                </w:rPr>
              </m:ctrlPr>
            </m:funcPr>
            <m:fName>
              <m:r>
                <m:rPr>
                  <m:sty m:val="p"/>
                </m:rPr>
                <w:rPr>
                  <w:rFonts w:ascii="Cambria Math" w:hAnsi="Perpetua"/>
                  <w:sz w:val="22"/>
                  <w:szCs w:val="22"/>
                </w:rPr>
                <m:t>ln</m:t>
              </m:r>
            </m:fName>
            <m:e>
              <m:r>
                <w:rPr>
                  <w:rFonts w:ascii="Cambria Math" w:hAnsi="Cambria Math"/>
                  <w:sz w:val="22"/>
                  <w:szCs w:val="22"/>
                </w:rPr>
                <m:t>Produtividade</m:t>
              </m:r>
            </m:e>
          </m:func>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0</m:t>
              </m:r>
            </m:sub>
          </m:sSub>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1</m:t>
              </m:r>
            </m:sub>
          </m:sSub>
          <m:r>
            <w:rPr>
              <w:rFonts w:ascii="Cambria Math" w:hAnsi="Perpetua"/>
              <w:sz w:val="22"/>
              <w:szCs w:val="22"/>
            </w:rPr>
            <m:t>.</m:t>
          </m:r>
          <m:r>
            <w:rPr>
              <w:rFonts w:ascii="Cambria Math" w:hAnsi="Cambria Math"/>
              <w:sz w:val="22"/>
              <w:szCs w:val="22"/>
            </w:rPr>
            <m:t>Carga</m:t>
          </m:r>
          <m:r>
            <w:rPr>
              <w:rFonts w:ascii="Cambria Math" w:hAnsi="Perpetua"/>
              <w:sz w:val="22"/>
              <w:szCs w:val="22"/>
            </w:rPr>
            <m:t xml:space="preserve"> +</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2</m:t>
              </m:r>
            </m:sub>
          </m:sSub>
          <m:r>
            <w:rPr>
              <w:rFonts w:ascii="Cambria Math" w:hAnsi="Perpetua"/>
              <w:sz w:val="22"/>
              <w:szCs w:val="22"/>
            </w:rPr>
            <m:t xml:space="preserve">. </m:t>
          </m:r>
          <m:sSup>
            <m:sSupPr>
              <m:ctrlPr>
                <w:rPr>
                  <w:rFonts w:ascii="Cambria Math" w:hAnsi="Perpetua"/>
                  <w:i/>
                  <w:sz w:val="22"/>
                  <w:szCs w:val="22"/>
                </w:rPr>
              </m:ctrlPr>
            </m:sSupPr>
            <m:e>
              <m:r>
                <w:rPr>
                  <w:rFonts w:ascii="Cambria Math" w:hAnsi="Cambria Math"/>
                  <w:sz w:val="22"/>
                  <w:szCs w:val="22"/>
                </w:rPr>
                <m:t>Carga</m:t>
              </m:r>
            </m:e>
            <m:sup>
              <m:r>
                <w:rPr>
                  <w:rFonts w:ascii="Cambria Math" w:hAnsi="Perpetua"/>
                  <w:sz w:val="22"/>
                  <w:szCs w:val="22"/>
                </w:rPr>
                <m:t>2</m:t>
              </m:r>
            </m:sup>
          </m:sSup>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3</m:t>
              </m:r>
            </m:sub>
          </m:sSub>
          <m:r>
            <w:rPr>
              <w:rFonts w:ascii="Cambria Math" w:hAnsi="Perpetua"/>
              <w:sz w:val="22"/>
              <w:szCs w:val="22"/>
            </w:rPr>
            <m:t>.</m:t>
          </m:r>
          <m:r>
            <w:rPr>
              <w:rFonts w:ascii="Cambria Math" w:hAnsi="Cambria Math"/>
              <w:sz w:val="22"/>
              <w:szCs w:val="22"/>
            </w:rPr>
            <m:t>Cluster</m:t>
          </m:r>
          <m:r>
            <w:rPr>
              <w:rFonts w:ascii="Cambria Math" w:hAnsi="Perpetua"/>
              <w:sz w:val="22"/>
              <w:szCs w:val="22"/>
            </w:rPr>
            <m:t>1+</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4</m:t>
              </m:r>
            </m:sub>
          </m:sSub>
          <m:r>
            <w:rPr>
              <w:rFonts w:ascii="Cambria Math" w:hAnsi="Perpetua"/>
              <w:sz w:val="22"/>
              <w:szCs w:val="22"/>
            </w:rPr>
            <m:t>.</m:t>
          </m:r>
          <m:r>
            <w:rPr>
              <w:rFonts w:ascii="Cambria Math" w:hAnsi="Cambria Math"/>
              <w:sz w:val="22"/>
              <w:szCs w:val="22"/>
            </w:rPr>
            <m:t>Cluster</m:t>
          </m:r>
          <m:r>
            <w:rPr>
              <w:rFonts w:ascii="Cambria Math" w:hAnsi="Perpetua"/>
              <w:sz w:val="22"/>
              <w:szCs w:val="22"/>
            </w:rPr>
            <m:t>2+</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5</m:t>
              </m:r>
            </m:sub>
          </m:sSub>
          <m:r>
            <w:rPr>
              <w:rFonts w:ascii="Cambria Math" w:hAnsi="Perpetua"/>
              <w:sz w:val="22"/>
              <w:szCs w:val="22"/>
            </w:rPr>
            <m:t>.</m:t>
          </m:r>
          <m:r>
            <w:rPr>
              <w:rFonts w:ascii="Cambria Math" w:hAnsi="Cambria Math"/>
              <w:sz w:val="22"/>
              <w:szCs w:val="22"/>
            </w:rPr>
            <m:t>Advogados</m:t>
          </m:r>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6</m:t>
              </m:r>
            </m:sub>
          </m:sSub>
          <m:r>
            <w:rPr>
              <w:rFonts w:ascii="Cambria Math" w:hAnsi="Perpetua"/>
              <w:sz w:val="22"/>
              <w:szCs w:val="22"/>
            </w:rPr>
            <m:t>.</m:t>
          </m:r>
          <m:r>
            <w:rPr>
              <w:rFonts w:ascii="Cambria Math" w:hAnsi="Cambria Math"/>
              <w:sz w:val="22"/>
              <w:szCs w:val="22"/>
            </w:rPr>
            <m:t>Solicitadores</m:t>
          </m:r>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7</m:t>
              </m:r>
            </m:sub>
          </m:sSub>
          <m:r>
            <w:rPr>
              <w:rFonts w:ascii="Cambria Math" w:hAnsi="Perpetua"/>
              <w:sz w:val="22"/>
              <w:szCs w:val="22"/>
            </w:rPr>
            <m:t>.</m:t>
          </m:r>
          <m:r>
            <w:rPr>
              <w:rFonts w:ascii="Cambria Math" w:hAnsi="Cambria Math"/>
              <w:sz w:val="22"/>
              <w:szCs w:val="22"/>
            </w:rPr>
            <m:t>Funcion</m:t>
          </m:r>
          <m:r>
            <w:rPr>
              <w:rFonts w:ascii="Perpetua" w:hAnsi="Perpetua"/>
              <w:sz w:val="22"/>
              <w:szCs w:val="22"/>
            </w:rPr>
            <m:t>á</m:t>
          </m:r>
          <m:r>
            <w:rPr>
              <w:rFonts w:ascii="Cambria Math" w:hAnsi="Cambria Math"/>
              <w:sz w:val="22"/>
              <w:szCs w:val="22"/>
            </w:rPr>
            <m:t>rios</m:t>
          </m:r>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8</m:t>
              </m:r>
            </m:sub>
          </m:sSub>
          <m:r>
            <w:rPr>
              <w:rFonts w:ascii="Cambria Math" w:hAnsi="Perpetua"/>
              <w:sz w:val="22"/>
              <w:szCs w:val="22"/>
            </w:rPr>
            <m:t>.</m:t>
          </m:r>
          <m:r>
            <w:rPr>
              <w:rFonts w:ascii="Cambria Math" w:hAnsi="Cambria Math"/>
              <w:sz w:val="22"/>
              <w:szCs w:val="22"/>
            </w:rPr>
            <m:t>PIBpc</m:t>
          </m:r>
          <m:r>
            <w:rPr>
              <w:rFonts w:ascii="Cambria Math" w:hAnsi="Perpetua"/>
              <w:sz w:val="22"/>
              <w:szCs w:val="22"/>
            </w:rPr>
            <m:t>+</m:t>
          </m:r>
          <m:sSub>
            <m:sSubPr>
              <m:ctrlPr>
                <w:rPr>
                  <w:rFonts w:ascii="Cambria Math" w:hAnsi="Perpetua"/>
                  <w:i/>
                  <w:sz w:val="22"/>
                  <w:szCs w:val="22"/>
                </w:rPr>
              </m:ctrlPr>
            </m:sSubPr>
            <m:e>
              <m:r>
                <w:rPr>
                  <w:rFonts w:ascii="Cambria Math" w:hAnsi="Cambria Math"/>
                  <w:sz w:val="22"/>
                  <w:szCs w:val="22"/>
                </w:rPr>
                <m:t>β</m:t>
              </m:r>
            </m:e>
            <m:sub>
              <m:r>
                <w:rPr>
                  <w:rFonts w:ascii="Cambria Math" w:hAnsi="Perpetua"/>
                  <w:sz w:val="22"/>
                  <w:szCs w:val="22"/>
                </w:rPr>
                <m:t>9</m:t>
              </m:r>
            </m:sub>
          </m:sSub>
          <m:r>
            <w:rPr>
              <w:rFonts w:ascii="Cambria Math" w:hAnsi="Perpetua"/>
              <w:sz w:val="22"/>
              <w:szCs w:val="22"/>
            </w:rPr>
            <m:t>.</m:t>
          </m:r>
          <m:r>
            <w:rPr>
              <w:rFonts w:ascii="Cambria Math" w:hAnsi="Cambria Math"/>
              <w:sz w:val="22"/>
              <w:szCs w:val="22"/>
            </w:rPr>
            <m:t>DensidadePopulacional</m:t>
          </m:r>
          <m:r>
            <w:rPr>
              <w:rFonts w:ascii="Cambria Math" w:hAnsi="Perpetua"/>
              <w:sz w:val="22"/>
              <w:szCs w:val="22"/>
            </w:rPr>
            <m:t>+</m:t>
          </m:r>
          <m:r>
            <w:rPr>
              <w:rFonts w:ascii="Cambria Math" w:hAnsi="Cambria Math"/>
              <w:sz w:val="22"/>
              <w:szCs w:val="22"/>
            </w:rPr>
            <m:t>e</m:t>
          </m:r>
        </m:oMath>
      </m:oMathPara>
    </w:p>
    <w:p w:rsidR="00F72F49" w:rsidRDefault="00F72F49" w:rsidP="00F72F49">
      <w:pPr>
        <w:spacing w:line="360" w:lineRule="auto"/>
        <w:jc w:val="both"/>
        <w:rPr>
          <w:rFonts w:ascii="Perpetua" w:hAnsi="Perpetua"/>
        </w:rPr>
      </w:pPr>
    </w:p>
    <w:p w:rsidR="003042EF" w:rsidRDefault="003042EF" w:rsidP="003042EF">
      <w:pPr>
        <w:pStyle w:val="Caption"/>
        <w:jc w:val="center"/>
        <w:rPr>
          <w:rFonts w:ascii="Perpetua" w:hAnsi="Perpetua"/>
        </w:rPr>
      </w:pPr>
      <w:bookmarkStart w:id="132" w:name="_Toc215081951"/>
      <w:r w:rsidRPr="003042EF">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11</w:t>
      </w:r>
      <w:r w:rsidR="0048473F">
        <w:rPr>
          <w:rFonts w:ascii="Perpetua" w:hAnsi="Perpetua"/>
        </w:rPr>
        <w:fldChar w:fldCharType="end"/>
      </w:r>
      <w:r w:rsidRPr="003042EF">
        <w:rPr>
          <w:rFonts w:ascii="Perpetua" w:hAnsi="Perpetua"/>
        </w:rPr>
        <w:t xml:space="preserve"> </w:t>
      </w:r>
      <w:r w:rsidR="00D000FD">
        <w:rPr>
          <w:rFonts w:ascii="Perpetua" w:hAnsi="Perpetua"/>
        </w:rPr>
        <w:t>–</w:t>
      </w:r>
      <w:r w:rsidRPr="003042EF">
        <w:rPr>
          <w:rFonts w:ascii="Perpetua" w:hAnsi="Perpetua"/>
        </w:rPr>
        <w:t xml:space="preserve"> Resultados das estimações </w:t>
      </w:r>
      <w:r>
        <w:rPr>
          <w:rFonts w:ascii="Perpetua" w:hAnsi="Perpetua"/>
        </w:rPr>
        <w:t xml:space="preserve">econométricas </w:t>
      </w:r>
      <w:r w:rsidRPr="003042EF">
        <w:rPr>
          <w:rFonts w:ascii="Perpetua" w:hAnsi="Perpetua"/>
        </w:rPr>
        <w:t>da Equação 1</w:t>
      </w:r>
      <w:bookmarkEnd w:id="132"/>
    </w:p>
    <w:p w:rsidR="00FD7A8E" w:rsidRDefault="00FD7A8E" w:rsidP="00FD7A8E"/>
    <w:tbl>
      <w:tblPr>
        <w:tblW w:w="0" w:type="auto"/>
        <w:jc w:val="center"/>
        <w:tblInd w:w="55" w:type="dxa"/>
        <w:tblCellMar>
          <w:left w:w="70" w:type="dxa"/>
          <w:right w:w="70" w:type="dxa"/>
        </w:tblCellMar>
        <w:tblLook w:val="04A0"/>
      </w:tblPr>
      <w:tblGrid>
        <w:gridCol w:w="1999"/>
        <w:gridCol w:w="826"/>
        <w:gridCol w:w="702"/>
        <w:gridCol w:w="579"/>
        <w:gridCol w:w="913"/>
        <w:gridCol w:w="758"/>
        <w:gridCol w:w="619"/>
        <w:gridCol w:w="875"/>
        <w:gridCol w:w="724"/>
        <w:gridCol w:w="594"/>
      </w:tblGrid>
      <w:tr w:rsidR="00FD7A8E" w:rsidRPr="00FD7A8E" w:rsidTr="002B0F29">
        <w:trPr>
          <w:trHeight w:val="780"/>
          <w:jc w:val="center"/>
        </w:trPr>
        <w:tc>
          <w:tcPr>
            <w:tcW w:w="0" w:type="auto"/>
            <w:tcBorders>
              <w:top w:val="nil"/>
              <w:left w:val="nil"/>
              <w:bottom w:val="single" w:sz="4" w:space="0" w:color="auto"/>
              <w:right w:val="single" w:sz="4" w:space="0" w:color="auto"/>
            </w:tcBorders>
            <w:shd w:val="clear" w:color="000000" w:fill="FFFFFF"/>
            <w:noWrap/>
            <w:vAlign w:val="bottom"/>
          </w:tcPr>
          <w:p w:rsidR="00FD7A8E" w:rsidRPr="00FD7A8E" w:rsidRDefault="00FD7A8E" w:rsidP="00FD7A8E">
            <w:pPr>
              <w:rPr>
                <w:rFonts w:ascii="Perpetua" w:hAnsi="Perpetua"/>
                <w:color w:val="000000"/>
                <w:sz w:val="18"/>
                <w:szCs w:val="18"/>
              </w:rPr>
            </w:pPr>
            <w:r w:rsidRPr="00FD7A8E">
              <w:rPr>
                <w:rFonts w:ascii="Perpetua" w:hAnsi="Perpetua"/>
                <w:color w:val="000000"/>
                <w:sz w:val="18"/>
                <w:szCs w:val="18"/>
              </w:rPr>
              <w:t> </w:t>
            </w:r>
          </w:p>
        </w:tc>
        <w:tc>
          <w:tcPr>
            <w:tcW w:w="0" w:type="auto"/>
            <w:gridSpan w:val="3"/>
            <w:tcBorders>
              <w:top w:val="nil"/>
              <w:left w:val="nil"/>
              <w:bottom w:val="single" w:sz="4" w:space="0" w:color="auto"/>
              <w:right w:val="single" w:sz="4" w:space="0" w:color="auto"/>
            </w:tcBorders>
            <w:shd w:val="clear" w:color="000000" w:fill="FFFFFF"/>
            <w:vAlign w:val="center"/>
          </w:tcPr>
          <w:p w:rsidR="002B0F29" w:rsidRDefault="00FD7A8E" w:rsidP="002B0F29">
            <w:pPr>
              <w:jc w:val="center"/>
              <w:rPr>
                <w:rFonts w:ascii="Perpetua" w:hAnsi="Perpetua"/>
                <w:b/>
                <w:bCs/>
                <w:color w:val="000000"/>
                <w:sz w:val="18"/>
                <w:szCs w:val="18"/>
              </w:rPr>
            </w:pPr>
            <w:r w:rsidRPr="00FD7A8E">
              <w:rPr>
                <w:rFonts w:ascii="Perpetua" w:hAnsi="Perpetua"/>
                <w:b/>
                <w:bCs/>
                <w:color w:val="000000"/>
                <w:sz w:val="18"/>
                <w:szCs w:val="18"/>
              </w:rPr>
              <w:t>Total</w:t>
            </w:r>
          </w:p>
          <w:p w:rsidR="00FD7A8E" w:rsidRPr="00FD7A8E" w:rsidRDefault="002B0F29" w:rsidP="002B0F29">
            <w:pPr>
              <w:jc w:val="center"/>
              <w:rPr>
                <w:rFonts w:ascii="Perpetua" w:hAnsi="Perpetua"/>
                <w:b/>
                <w:bCs/>
                <w:color w:val="000000"/>
                <w:sz w:val="18"/>
                <w:szCs w:val="18"/>
              </w:rPr>
            </w:pPr>
            <w:r>
              <w:rPr>
                <w:rFonts w:ascii="Perpetua" w:hAnsi="Perpetua"/>
                <w:b/>
                <w:bCs/>
                <w:color w:val="000000"/>
                <w:sz w:val="18"/>
                <w:szCs w:val="18"/>
              </w:rPr>
              <w:t>(1)</w:t>
            </w:r>
          </w:p>
        </w:tc>
        <w:tc>
          <w:tcPr>
            <w:tcW w:w="0" w:type="auto"/>
            <w:gridSpan w:val="3"/>
            <w:tcBorders>
              <w:top w:val="nil"/>
              <w:left w:val="nil"/>
              <w:bottom w:val="single" w:sz="4" w:space="0" w:color="auto"/>
              <w:right w:val="single" w:sz="4" w:space="0" w:color="auto"/>
            </w:tcBorders>
            <w:shd w:val="clear" w:color="000000" w:fill="FFFFFF"/>
            <w:vAlign w:val="center"/>
          </w:tcPr>
          <w:p w:rsidR="002B0F29"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Tribunais de dimensão mínima</w:t>
            </w:r>
          </w:p>
          <w:p w:rsidR="00FD7A8E" w:rsidRPr="00FD7A8E" w:rsidRDefault="002B0F29" w:rsidP="00FD7A8E">
            <w:pPr>
              <w:jc w:val="center"/>
              <w:rPr>
                <w:rFonts w:ascii="Perpetua" w:hAnsi="Perpetua"/>
                <w:b/>
                <w:bCs/>
                <w:color w:val="000000"/>
                <w:sz w:val="18"/>
                <w:szCs w:val="18"/>
              </w:rPr>
            </w:pPr>
            <w:r>
              <w:rPr>
                <w:rFonts w:ascii="Perpetua" w:hAnsi="Perpetua"/>
                <w:b/>
                <w:bCs/>
                <w:color w:val="000000"/>
                <w:sz w:val="18"/>
                <w:szCs w:val="18"/>
              </w:rPr>
              <w:t>(2)</w:t>
            </w:r>
            <w:r w:rsidR="00FD7A8E" w:rsidRPr="00FD7A8E">
              <w:rPr>
                <w:rFonts w:ascii="Perpetua" w:hAnsi="Perpetua"/>
                <w:b/>
                <w:bCs/>
                <w:color w:val="000000"/>
                <w:sz w:val="18"/>
                <w:szCs w:val="18"/>
              </w:rPr>
              <w:t xml:space="preserve"> </w:t>
            </w:r>
          </w:p>
        </w:tc>
        <w:tc>
          <w:tcPr>
            <w:tcW w:w="0" w:type="auto"/>
            <w:gridSpan w:val="3"/>
            <w:tcBorders>
              <w:top w:val="nil"/>
              <w:left w:val="nil"/>
              <w:bottom w:val="single" w:sz="4" w:space="0" w:color="auto"/>
            </w:tcBorders>
            <w:shd w:val="clear" w:color="000000" w:fill="FFFFFF"/>
            <w:vAlign w:val="center"/>
          </w:tcPr>
          <w:p w:rsidR="002B0F29"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Tribunais de outra dimensão</w:t>
            </w:r>
          </w:p>
          <w:p w:rsidR="00FD7A8E" w:rsidRPr="00FD7A8E" w:rsidRDefault="002B0F29" w:rsidP="00FD7A8E">
            <w:pPr>
              <w:jc w:val="center"/>
              <w:rPr>
                <w:rFonts w:ascii="Perpetua" w:hAnsi="Perpetua"/>
                <w:b/>
                <w:bCs/>
                <w:color w:val="000000"/>
                <w:sz w:val="18"/>
                <w:szCs w:val="18"/>
              </w:rPr>
            </w:pPr>
            <w:r>
              <w:rPr>
                <w:rFonts w:ascii="Perpetua" w:hAnsi="Perpetua"/>
                <w:b/>
                <w:bCs/>
                <w:color w:val="000000"/>
                <w:sz w:val="18"/>
                <w:szCs w:val="18"/>
              </w:rPr>
              <w:t>(3)</w:t>
            </w:r>
            <w:r w:rsidR="00FD7A8E" w:rsidRPr="00FD7A8E">
              <w:rPr>
                <w:rFonts w:ascii="Perpetua" w:hAnsi="Perpetua"/>
                <w:b/>
                <w:bCs/>
                <w:color w:val="000000"/>
                <w:sz w:val="18"/>
                <w:szCs w:val="18"/>
              </w:rPr>
              <w:t xml:space="preserve"> </w:t>
            </w:r>
          </w:p>
        </w:tc>
      </w:tr>
      <w:tr w:rsidR="002B0F29" w:rsidRPr="00FD7A8E" w:rsidTr="002B0F29">
        <w:trPr>
          <w:trHeight w:val="64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 </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proofErr w:type="gramStart"/>
            <w:r w:rsidRPr="00FD7A8E">
              <w:rPr>
                <w:rFonts w:ascii="Perpetua" w:hAnsi="Perpetua"/>
                <w:b/>
                <w:bCs/>
                <w:color w:val="000000"/>
                <w:sz w:val="18"/>
                <w:szCs w:val="18"/>
              </w:rPr>
              <w:t>p</w:t>
            </w:r>
            <w:proofErr w:type="gramEnd"/>
            <w:r w:rsidRPr="00FD7A8E">
              <w:rPr>
                <w:rFonts w:ascii="Perpetua" w:hAnsi="Perpetua"/>
                <w:b/>
                <w:bCs/>
                <w:color w:val="000000"/>
                <w:sz w:val="18"/>
                <w:szCs w:val="18"/>
              </w:rPr>
              <w:t xml:space="preserve"> - value</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proofErr w:type="gramStart"/>
            <w:r w:rsidRPr="00FD7A8E">
              <w:rPr>
                <w:rFonts w:ascii="Perpetua" w:hAnsi="Perpetua"/>
                <w:b/>
                <w:bCs/>
                <w:color w:val="000000"/>
                <w:sz w:val="18"/>
                <w:szCs w:val="18"/>
              </w:rPr>
              <w:t>p</w:t>
            </w:r>
            <w:proofErr w:type="gramEnd"/>
            <w:r w:rsidRPr="00FD7A8E">
              <w:rPr>
                <w:rFonts w:ascii="Perpetua" w:hAnsi="Perpetua"/>
                <w:b/>
                <w:bCs/>
                <w:color w:val="000000"/>
                <w:sz w:val="18"/>
                <w:szCs w:val="18"/>
              </w:rPr>
              <w:t xml:space="preserve"> - value</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FD7A8E" w:rsidRPr="00FD7A8E" w:rsidRDefault="00FD7A8E" w:rsidP="00FD7A8E">
            <w:pPr>
              <w:jc w:val="center"/>
              <w:rPr>
                <w:rFonts w:ascii="Perpetua" w:hAnsi="Perpetua"/>
                <w:b/>
                <w:bCs/>
                <w:color w:val="000000"/>
                <w:sz w:val="18"/>
                <w:szCs w:val="18"/>
              </w:rPr>
            </w:pPr>
            <w:proofErr w:type="gramStart"/>
            <w:r w:rsidRPr="00FD7A8E">
              <w:rPr>
                <w:rFonts w:ascii="Perpetua" w:hAnsi="Perpetua"/>
                <w:b/>
                <w:bCs/>
                <w:color w:val="000000"/>
                <w:sz w:val="18"/>
                <w:szCs w:val="18"/>
              </w:rPr>
              <w:t>p</w:t>
            </w:r>
            <w:proofErr w:type="gramEnd"/>
            <w:r w:rsidRPr="00FD7A8E">
              <w:rPr>
                <w:rFonts w:ascii="Perpetua" w:hAnsi="Perpetua"/>
                <w:b/>
                <w:bCs/>
                <w:color w:val="000000"/>
                <w:sz w:val="18"/>
                <w:szCs w:val="18"/>
              </w:rPr>
              <w:t xml:space="preserve"> - value</w:t>
            </w:r>
          </w:p>
        </w:tc>
        <w:tc>
          <w:tcPr>
            <w:tcW w:w="0" w:type="auto"/>
            <w:tcBorders>
              <w:top w:val="nil"/>
              <w:left w:val="nil"/>
              <w:bottom w:val="single" w:sz="4" w:space="0" w:color="auto"/>
              <w:right w:val="nil"/>
            </w:tcBorders>
            <w:shd w:val="clear" w:color="000000" w:fill="FFFFFF"/>
            <w:vAlign w:val="center"/>
          </w:tcPr>
          <w:p w:rsidR="00FD7A8E" w:rsidRPr="00FD7A8E" w:rsidRDefault="00FD7A8E" w:rsidP="00FD7A8E">
            <w:pPr>
              <w:jc w:val="center"/>
              <w:rPr>
                <w:rFonts w:ascii="Perpetua" w:hAnsi="Perpetua"/>
                <w:b/>
                <w:bCs/>
                <w:color w:val="000000"/>
                <w:sz w:val="18"/>
                <w:szCs w:val="18"/>
              </w:rPr>
            </w:pPr>
            <w:r w:rsidRPr="00FD7A8E">
              <w:rPr>
                <w:rFonts w:ascii="Perpetua" w:hAnsi="Perpetua"/>
                <w:b/>
                <w:bCs/>
                <w:color w:val="000000"/>
                <w:sz w:val="18"/>
                <w:szCs w:val="18"/>
              </w:rPr>
              <w:t>Beta</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Carga judicial</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0,001572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1,704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0,0016353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1,580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0,0012652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1,717</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 xml:space="preserve">(Carga </w:t>
            </w:r>
            <w:r w:rsidR="002B0F29" w:rsidRPr="00FD7A8E">
              <w:rPr>
                <w:rFonts w:ascii="Perpetua" w:hAnsi="Perpetua"/>
                <w:b/>
                <w:bCs/>
                <w:color w:val="000000"/>
                <w:sz w:val="18"/>
                <w:szCs w:val="18"/>
              </w:rPr>
              <w:t>judicial) ^2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-4,18E-07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-1,173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-4,37E-07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-1,018</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-3,05E-07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0,001</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-1,224</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Cluster 1</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0,054331</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0,047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0,049</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0,0537959</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0,146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0,043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0,0735509</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0,083</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0,094</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Cluster 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-0,211524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-0,140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-0,231296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0,008</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-0,147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-0,202422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0,006</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-0,177</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Advogados</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-0,009091</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-0,006369</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0,091</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-0,014506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0,023</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-0,178</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Solicitadores</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-0,030468</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-0,083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-0,025986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-0,059</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-0,023603</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0,090</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-0,096</w:t>
            </w:r>
          </w:p>
        </w:tc>
      </w:tr>
      <w:tr w:rsidR="002B0F29" w:rsidRPr="00FD7A8E" w:rsidTr="002B0F29">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 xml:space="preserve">Funcionários </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0,066487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0,334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0,0628887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0,284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0,0580538</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0,001</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0,397</w:t>
            </w:r>
          </w:p>
        </w:tc>
      </w:tr>
      <w:tr w:rsidR="002B0F29" w:rsidRPr="00FD7A8E" w:rsidTr="002B0F29">
        <w:trPr>
          <w:trHeight w:val="570"/>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 xml:space="preserve">PIB </w:t>
            </w:r>
            <w:proofErr w:type="gramStart"/>
            <w:r w:rsidR="00BF6760" w:rsidRPr="00BF6760">
              <w:rPr>
                <w:rFonts w:ascii="Perpetua" w:hAnsi="Perpetua"/>
                <w:b/>
                <w:bCs/>
                <w:i/>
                <w:color w:val="000000"/>
                <w:sz w:val="18"/>
                <w:szCs w:val="18"/>
              </w:rPr>
              <w:t>per capita</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1,41E-05</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0,014</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0,0000272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0,005</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0,092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8,07E-06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0,307</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0,060</w:t>
            </w:r>
          </w:p>
        </w:tc>
      </w:tr>
      <w:tr w:rsidR="002B0F29" w:rsidRPr="00FD7A8E" w:rsidTr="002B0F29">
        <w:trPr>
          <w:trHeight w:val="540"/>
          <w:jc w:val="center"/>
        </w:trPr>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Densidade populacional</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7,24E-05</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0,007</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0,065</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0,0000906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0,062</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0,046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0,0000796</w:t>
            </w:r>
          </w:p>
        </w:tc>
        <w:tc>
          <w:tcPr>
            <w:tcW w:w="0" w:type="auto"/>
            <w:tcBorders>
              <w:top w:val="nil"/>
              <w:left w:val="nil"/>
              <w:bottom w:val="single" w:sz="4" w:space="0" w:color="auto"/>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0,035</w:t>
            </w:r>
          </w:p>
        </w:tc>
        <w:tc>
          <w:tcPr>
            <w:tcW w:w="0" w:type="auto"/>
            <w:tcBorders>
              <w:top w:val="nil"/>
              <w:left w:val="nil"/>
              <w:bottom w:val="single" w:sz="4" w:space="0" w:color="auto"/>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0,128</w:t>
            </w:r>
          </w:p>
        </w:tc>
      </w:tr>
      <w:tr w:rsidR="002B0F29" w:rsidRPr="00FD7A8E" w:rsidTr="002B0F29">
        <w:trPr>
          <w:trHeight w:val="405"/>
          <w:jc w:val="center"/>
        </w:trPr>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rPr>
                <w:rFonts w:ascii="Perpetua" w:hAnsi="Perpetua"/>
                <w:b/>
                <w:bCs/>
                <w:color w:val="000000"/>
                <w:sz w:val="18"/>
                <w:szCs w:val="18"/>
              </w:rPr>
            </w:pPr>
            <w:r w:rsidRPr="00FD7A8E">
              <w:rPr>
                <w:rFonts w:ascii="Perpetua" w:hAnsi="Perpetua"/>
                <w:b/>
                <w:bCs/>
                <w:color w:val="000000"/>
                <w:sz w:val="18"/>
                <w:szCs w:val="18"/>
              </w:rPr>
              <w:t>Constante</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4,354021</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4,191862</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4,708986</w:t>
            </w:r>
          </w:p>
        </w:tc>
        <w:tc>
          <w:tcPr>
            <w:tcW w:w="0" w:type="auto"/>
            <w:tcBorders>
              <w:top w:val="nil"/>
              <w:left w:val="nil"/>
              <w:bottom w:val="nil"/>
              <w:right w:val="single" w:sz="4" w:space="0" w:color="auto"/>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0,000</w:t>
            </w:r>
          </w:p>
        </w:tc>
        <w:tc>
          <w:tcPr>
            <w:tcW w:w="0" w:type="auto"/>
            <w:tcBorders>
              <w:top w:val="nil"/>
              <w:left w:val="nil"/>
              <w:bottom w:val="nil"/>
              <w:right w:val="nil"/>
            </w:tcBorders>
            <w:shd w:val="clear" w:color="000000" w:fill="FFFFFF"/>
            <w:noWrap/>
            <w:vAlign w:val="center"/>
          </w:tcPr>
          <w:p w:rsidR="00FD7A8E" w:rsidRPr="00FD7A8E" w:rsidRDefault="00FD7A8E" w:rsidP="00FD7A8E">
            <w:pPr>
              <w:jc w:val="center"/>
              <w:rPr>
                <w:rFonts w:ascii="Perpetua" w:hAnsi="Perpetua"/>
                <w:color w:val="000000"/>
                <w:sz w:val="18"/>
                <w:szCs w:val="18"/>
              </w:rPr>
            </w:pPr>
            <w:r w:rsidRPr="00FD7A8E">
              <w:rPr>
                <w:rFonts w:ascii="Perpetua" w:hAnsi="Perpetua"/>
                <w:color w:val="000000"/>
                <w:sz w:val="18"/>
                <w:szCs w:val="18"/>
              </w:rPr>
              <w:t>-</w:t>
            </w:r>
          </w:p>
        </w:tc>
      </w:tr>
    </w:tbl>
    <w:p w:rsidR="00FD7A8E" w:rsidRDefault="00FD7A8E" w:rsidP="00FD7A8E"/>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FD7A8E" w:rsidRDefault="00FD7A8E" w:rsidP="00FD7A8E"/>
    <w:p w:rsidR="00E3158F" w:rsidRPr="00E3158F" w:rsidRDefault="00E3158F" w:rsidP="00E3158F">
      <w:pPr>
        <w:pStyle w:val="Caption"/>
        <w:jc w:val="center"/>
        <w:rPr>
          <w:rFonts w:ascii="Perpetua" w:hAnsi="Perpetua"/>
        </w:rPr>
      </w:pPr>
      <w:bookmarkStart w:id="133" w:name="_Toc215081952"/>
      <w:r w:rsidRPr="00E3158F">
        <w:rPr>
          <w:rFonts w:ascii="Perpetua" w:hAnsi="Perpetua"/>
        </w:rPr>
        <w:t xml:space="preserve">Quadro </w:t>
      </w:r>
      <w:r w:rsidR="0048473F">
        <w:rPr>
          <w:rFonts w:ascii="Perpetua" w:hAnsi="Perpetua"/>
        </w:rPr>
        <w:fldChar w:fldCharType="begin"/>
      </w:r>
      <w:r w:rsidR="00847A35">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847A35">
        <w:rPr>
          <w:rFonts w:ascii="Perpetua" w:hAnsi="Perpetua"/>
        </w:rPr>
        <w:t>.</w:t>
      </w:r>
      <w:r w:rsidR="0048473F">
        <w:rPr>
          <w:rFonts w:ascii="Perpetua" w:hAnsi="Perpetua"/>
        </w:rPr>
        <w:fldChar w:fldCharType="begin"/>
      </w:r>
      <w:r w:rsidR="00847A35">
        <w:rPr>
          <w:rFonts w:ascii="Perpetua" w:hAnsi="Perpetua"/>
        </w:rPr>
        <w:instrText xml:space="preserve"> SEQ Quadro \* ARABIC \s 1 </w:instrText>
      </w:r>
      <w:r w:rsidR="0048473F">
        <w:rPr>
          <w:rFonts w:ascii="Perpetua" w:hAnsi="Perpetua"/>
        </w:rPr>
        <w:fldChar w:fldCharType="separate"/>
      </w:r>
      <w:r w:rsidR="00FF37B9">
        <w:rPr>
          <w:rFonts w:ascii="Perpetua" w:hAnsi="Perpetua"/>
          <w:noProof/>
        </w:rPr>
        <w:t>12</w:t>
      </w:r>
      <w:r w:rsidR="0048473F">
        <w:rPr>
          <w:rFonts w:ascii="Perpetua" w:hAnsi="Perpetua"/>
        </w:rPr>
        <w:fldChar w:fldCharType="end"/>
      </w:r>
      <w:r w:rsidRPr="00E3158F">
        <w:rPr>
          <w:rFonts w:ascii="Perpetua" w:hAnsi="Perpetua"/>
        </w:rPr>
        <w:t xml:space="preserve"> </w:t>
      </w:r>
      <w:r w:rsidR="00D000FD">
        <w:rPr>
          <w:rFonts w:ascii="Perpetua" w:hAnsi="Perpetua"/>
        </w:rPr>
        <w:t>– R</w:t>
      </w:r>
      <w:r w:rsidRPr="00E3158F">
        <w:rPr>
          <w:rFonts w:ascii="Perpetua" w:hAnsi="Perpetua"/>
        </w:rPr>
        <w:t>esultados das estimações econométricas da Equação 1 (continuação)</w:t>
      </w:r>
      <w:bookmarkEnd w:id="133"/>
    </w:p>
    <w:p w:rsidR="00E3158F" w:rsidRDefault="00E3158F" w:rsidP="00F72F49">
      <w:pPr>
        <w:spacing w:line="360" w:lineRule="auto"/>
        <w:jc w:val="both"/>
        <w:rPr>
          <w:rFonts w:ascii="Perpetua" w:hAnsi="Perpetua"/>
        </w:rPr>
      </w:pPr>
    </w:p>
    <w:tbl>
      <w:tblPr>
        <w:tblW w:w="0" w:type="auto"/>
        <w:jc w:val="center"/>
        <w:tblInd w:w="55" w:type="dxa"/>
        <w:tblCellMar>
          <w:left w:w="70" w:type="dxa"/>
          <w:right w:w="70" w:type="dxa"/>
        </w:tblCellMar>
        <w:tblLook w:val="04A0"/>
      </w:tblPr>
      <w:tblGrid>
        <w:gridCol w:w="2371"/>
        <w:gridCol w:w="523"/>
        <w:gridCol w:w="523"/>
        <w:gridCol w:w="523"/>
      </w:tblGrid>
      <w:tr w:rsidR="00E3158F" w:rsidRPr="002B0F29" w:rsidTr="00E3158F">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 </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7848CA" w:rsidP="00E3158F">
            <w:pPr>
              <w:jc w:val="center"/>
              <w:rPr>
                <w:rFonts w:ascii="Perpetua" w:hAnsi="Perpetua"/>
                <w:b/>
                <w:bCs/>
                <w:color w:val="000000"/>
                <w:sz w:val="18"/>
                <w:szCs w:val="18"/>
              </w:rPr>
            </w:pPr>
            <w:r w:rsidRPr="002B0F29">
              <w:rPr>
                <w:rFonts w:ascii="Perpetua" w:hAnsi="Perpetua"/>
                <w:b/>
                <w:bCs/>
                <w:color w:val="000000"/>
                <w:sz w:val="18"/>
                <w:szCs w:val="18"/>
              </w:rPr>
              <w:t>(</w:t>
            </w:r>
            <w:r w:rsidR="00E3158F" w:rsidRPr="002B0F29">
              <w:rPr>
                <w:rFonts w:ascii="Perpetua" w:hAnsi="Perpetua"/>
                <w:b/>
                <w:bCs/>
                <w:color w:val="000000"/>
                <w:sz w:val="18"/>
                <w:szCs w:val="18"/>
              </w:rPr>
              <w:t>1</w:t>
            </w:r>
            <w:r w:rsidRPr="002B0F29">
              <w:rPr>
                <w:rFonts w:ascii="Perpetua" w:hAnsi="Perpetua"/>
                <w:b/>
                <w:bCs/>
                <w:color w:val="000000"/>
                <w:sz w:val="18"/>
                <w:szCs w:val="18"/>
              </w:rPr>
              <w:t>)</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7848CA" w:rsidP="00E3158F">
            <w:pPr>
              <w:jc w:val="center"/>
              <w:rPr>
                <w:rFonts w:ascii="Perpetua" w:hAnsi="Perpetua"/>
                <w:b/>
                <w:bCs/>
                <w:color w:val="000000"/>
                <w:sz w:val="18"/>
                <w:szCs w:val="18"/>
              </w:rPr>
            </w:pPr>
            <w:r w:rsidRPr="002B0F29">
              <w:rPr>
                <w:rFonts w:ascii="Perpetua" w:hAnsi="Perpetua"/>
                <w:b/>
                <w:bCs/>
                <w:color w:val="000000"/>
                <w:sz w:val="18"/>
                <w:szCs w:val="18"/>
              </w:rPr>
              <w:t>(</w:t>
            </w:r>
            <w:r w:rsidR="00E3158F" w:rsidRPr="002B0F29">
              <w:rPr>
                <w:rFonts w:ascii="Perpetua" w:hAnsi="Perpetua"/>
                <w:b/>
                <w:bCs/>
                <w:color w:val="000000"/>
                <w:sz w:val="18"/>
                <w:szCs w:val="18"/>
              </w:rPr>
              <w:t>2</w:t>
            </w:r>
            <w:r w:rsidRPr="002B0F29">
              <w:rPr>
                <w:rFonts w:ascii="Perpetua" w:hAnsi="Perpetua"/>
                <w:b/>
                <w:bCs/>
                <w:color w:val="000000"/>
                <w:sz w:val="18"/>
                <w:szCs w:val="18"/>
              </w:rPr>
              <w:t>)</w:t>
            </w:r>
          </w:p>
        </w:tc>
        <w:tc>
          <w:tcPr>
            <w:tcW w:w="0" w:type="auto"/>
            <w:tcBorders>
              <w:top w:val="nil"/>
              <w:left w:val="nil"/>
              <w:bottom w:val="single" w:sz="4" w:space="0" w:color="auto"/>
              <w:right w:val="nil"/>
            </w:tcBorders>
            <w:shd w:val="clear" w:color="000000" w:fill="FFFFFF"/>
            <w:noWrap/>
            <w:vAlign w:val="center"/>
          </w:tcPr>
          <w:p w:rsidR="00E3158F" w:rsidRPr="002B0F29" w:rsidRDefault="007848CA" w:rsidP="00E3158F">
            <w:pPr>
              <w:jc w:val="center"/>
              <w:rPr>
                <w:rFonts w:ascii="Perpetua" w:hAnsi="Perpetua"/>
                <w:b/>
                <w:bCs/>
                <w:color w:val="000000"/>
                <w:sz w:val="18"/>
                <w:szCs w:val="18"/>
              </w:rPr>
            </w:pPr>
            <w:r w:rsidRPr="002B0F29">
              <w:rPr>
                <w:rFonts w:ascii="Perpetua" w:hAnsi="Perpetua"/>
                <w:b/>
                <w:bCs/>
                <w:color w:val="000000"/>
                <w:sz w:val="18"/>
                <w:szCs w:val="18"/>
              </w:rPr>
              <w:t>(</w:t>
            </w:r>
            <w:r w:rsidR="00E3158F" w:rsidRPr="002B0F29">
              <w:rPr>
                <w:rFonts w:ascii="Perpetua" w:hAnsi="Perpetua"/>
                <w:b/>
                <w:bCs/>
                <w:color w:val="000000"/>
                <w:sz w:val="18"/>
                <w:szCs w:val="18"/>
              </w:rPr>
              <w:t>3</w:t>
            </w:r>
            <w:r w:rsidRPr="002B0F29">
              <w:rPr>
                <w:rFonts w:ascii="Perpetua" w:hAnsi="Perpetua"/>
                <w:b/>
                <w:bCs/>
                <w:color w:val="000000"/>
                <w:sz w:val="18"/>
                <w:szCs w:val="18"/>
              </w:rPr>
              <w:t>)</w:t>
            </w:r>
          </w:p>
        </w:tc>
      </w:tr>
      <w:tr w:rsidR="00E3158F" w:rsidRPr="002B0F29" w:rsidTr="00E3158F">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N</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211</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117</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94</w:t>
            </w:r>
          </w:p>
        </w:tc>
      </w:tr>
      <w:tr w:rsidR="00E3158F" w:rsidRPr="002B0F29" w:rsidTr="00E3158F">
        <w:trPr>
          <w:trHeight w:val="52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Aderência global (</w:t>
            </w:r>
            <w:proofErr w:type="gramStart"/>
            <w:r w:rsidRPr="002B0F29">
              <w:rPr>
                <w:rFonts w:ascii="Perpetua" w:hAnsi="Perpetua"/>
                <w:b/>
                <w:bCs/>
                <w:color w:val="000000"/>
                <w:sz w:val="18"/>
                <w:szCs w:val="18"/>
              </w:rPr>
              <w:t>Prob &gt;</w:t>
            </w:r>
            <w:proofErr w:type="gramEnd"/>
            <w:r w:rsidRPr="002B0F29">
              <w:rPr>
                <w:rFonts w:ascii="Perpetua" w:hAnsi="Perpetua"/>
                <w:b/>
                <w:bCs/>
                <w:color w:val="000000"/>
                <w:sz w:val="18"/>
                <w:szCs w:val="18"/>
              </w:rPr>
              <w:t xml:space="preserve"> F)</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0,000</w:t>
            </w:r>
          </w:p>
        </w:tc>
      </w:tr>
      <w:tr w:rsidR="00E3158F" w:rsidRPr="002B0F29" w:rsidTr="00E3158F">
        <w:trPr>
          <w:trHeight w:val="52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R2</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0,870</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0,881</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0,794</w:t>
            </w:r>
          </w:p>
        </w:tc>
      </w:tr>
      <w:tr w:rsidR="00E3158F" w:rsidRPr="002B0F29" w:rsidTr="00E3158F">
        <w:trPr>
          <w:trHeight w:val="52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R2 ajustado</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0,864</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0,871</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0,772</w:t>
            </w:r>
          </w:p>
        </w:tc>
      </w:tr>
      <w:tr w:rsidR="00E3158F" w:rsidRPr="002B0F29" w:rsidTr="00E3158F">
        <w:trPr>
          <w:trHeight w:val="52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Breusch-Pagan (</w:t>
            </w:r>
            <w:proofErr w:type="gramStart"/>
            <w:r w:rsidRPr="002B0F29">
              <w:rPr>
                <w:rFonts w:ascii="Perpetua" w:hAnsi="Perpetua"/>
                <w:b/>
                <w:bCs/>
                <w:color w:val="000000"/>
                <w:sz w:val="18"/>
                <w:szCs w:val="18"/>
              </w:rPr>
              <w:t>Prob &gt;</w:t>
            </w:r>
            <w:proofErr w:type="gramEnd"/>
            <w:r w:rsidRPr="002B0F29">
              <w:rPr>
                <w:rFonts w:ascii="Perpetua" w:hAnsi="Perpetua"/>
                <w:b/>
                <w:bCs/>
                <w:color w:val="000000"/>
                <w:sz w:val="18"/>
                <w:szCs w:val="18"/>
              </w:rPr>
              <w:t xml:space="preserve"> Chi2)</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0,289</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0,355</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0,887</w:t>
            </w:r>
          </w:p>
        </w:tc>
      </w:tr>
      <w:tr w:rsidR="00E3158F" w:rsidRPr="002B0F29" w:rsidTr="00E3158F">
        <w:trPr>
          <w:trHeight w:val="525"/>
          <w:jc w:val="center"/>
        </w:trPr>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Ramsey (</w:t>
            </w:r>
            <w:proofErr w:type="gramStart"/>
            <w:r w:rsidRPr="002B0F29">
              <w:rPr>
                <w:rFonts w:ascii="Perpetua" w:hAnsi="Perpetua"/>
                <w:b/>
                <w:bCs/>
                <w:color w:val="000000"/>
                <w:sz w:val="18"/>
                <w:szCs w:val="18"/>
              </w:rPr>
              <w:t>Prob &gt;</w:t>
            </w:r>
            <w:proofErr w:type="gramEnd"/>
            <w:r w:rsidRPr="002B0F29">
              <w:rPr>
                <w:rFonts w:ascii="Perpetua" w:hAnsi="Perpetua"/>
                <w:b/>
                <w:bCs/>
                <w:color w:val="000000"/>
                <w:sz w:val="18"/>
                <w:szCs w:val="18"/>
              </w:rPr>
              <w:t xml:space="preserve"> F)</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0,138</w:t>
            </w:r>
          </w:p>
        </w:tc>
        <w:tc>
          <w:tcPr>
            <w:tcW w:w="0" w:type="auto"/>
            <w:tcBorders>
              <w:top w:val="nil"/>
              <w:left w:val="nil"/>
              <w:bottom w:val="single" w:sz="4" w:space="0" w:color="auto"/>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0,271</w:t>
            </w:r>
          </w:p>
        </w:tc>
        <w:tc>
          <w:tcPr>
            <w:tcW w:w="0" w:type="auto"/>
            <w:tcBorders>
              <w:top w:val="nil"/>
              <w:left w:val="nil"/>
              <w:bottom w:val="single" w:sz="4" w:space="0" w:color="auto"/>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0,037</w:t>
            </w:r>
          </w:p>
        </w:tc>
      </w:tr>
      <w:tr w:rsidR="00E3158F" w:rsidRPr="002B0F29" w:rsidTr="00E3158F">
        <w:trPr>
          <w:trHeight w:val="435"/>
          <w:jc w:val="center"/>
        </w:trPr>
        <w:tc>
          <w:tcPr>
            <w:tcW w:w="0" w:type="auto"/>
            <w:tcBorders>
              <w:top w:val="nil"/>
              <w:left w:val="nil"/>
              <w:bottom w:val="nil"/>
              <w:right w:val="single" w:sz="4" w:space="0" w:color="auto"/>
            </w:tcBorders>
            <w:shd w:val="clear" w:color="000000" w:fill="FFFFFF"/>
            <w:noWrap/>
            <w:vAlign w:val="center"/>
          </w:tcPr>
          <w:p w:rsidR="00E3158F" w:rsidRPr="002B0F29" w:rsidRDefault="00E3158F" w:rsidP="00E3158F">
            <w:pPr>
              <w:rPr>
                <w:rFonts w:ascii="Perpetua" w:hAnsi="Perpetua"/>
                <w:b/>
                <w:bCs/>
                <w:color w:val="000000"/>
                <w:sz w:val="18"/>
                <w:szCs w:val="18"/>
              </w:rPr>
            </w:pPr>
            <w:r w:rsidRPr="002B0F29">
              <w:rPr>
                <w:rFonts w:ascii="Perpetua" w:hAnsi="Perpetua"/>
                <w:b/>
                <w:bCs/>
                <w:color w:val="000000"/>
                <w:sz w:val="18"/>
                <w:szCs w:val="18"/>
              </w:rPr>
              <w:t>VIF médio</w:t>
            </w:r>
          </w:p>
        </w:tc>
        <w:tc>
          <w:tcPr>
            <w:tcW w:w="0" w:type="auto"/>
            <w:tcBorders>
              <w:top w:val="nil"/>
              <w:left w:val="nil"/>
              <w:bottom w:val="nil"/>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1,729</w:t>
            </w:r>
          </w:p>
        </w:tc>
        <w:tc>
          <w:tcPr>
            <w:tcW w:w="0" w:type="auto"/>
            <w:tcBorders>
              <w:top w:val="nil"/>
              <w:left w:val="nil"/>
              <w:bottom w:val="nil"/>
              <w:right w:val="single" w:sz="4" w:space="0" w:color="auto"/>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1,950</w:t>
            </w:r>
          </w:p>
        </w:tc>
        <w:tc>
          <w:tcPr>
            <w:tcW w:w="0" w:type="auto"/>
            <w:tcBorders>
              <w:top w:val="nil"/>
              <w:left w:val="nil"/>
              <w:bottom w:val="nil"/>
              <w:right w:val="nil"/>
            </w:tcBorders>
            <w:shd w:val="clear" w:color="000000" w:fill="FFFFFF"/>
            <w:noWrap/>
            <w:vAlign w:val="center"/>
          </w:tcPr>
          <w:p w:rsidR="00E3158F" w:rsidRPr="002B0F29" w:rsidRDefault="00E3158F" w:rsidP="00E3158F">
            <w:pPr>
              <w:jc w:val="center"/>
              <w:rPr>
                <w:rFonts w:ascii="Perpetua" w:hAnsi="Perpetua"/>
                <w:color w:val="000000"/>
                <w:sz w:val="18"/>
                <w:szCs w:val="18"/>
              </w:rPr>
            </w:pPr>
            <w:r w:rsidRPr="002B0F29">
              <w:rPr>
                <w:rFonts w:ascii="Perpetua" w:hAnsi="Perpetua"/>
                <w:color w:val="000000"/>
                <w:sz w:val="18"/>
                <w:szCs w:val="18"/>
              </w:rPr>
              <w:t>1,751</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E3158F" w:rsidRDefault="00E3158F" w:rsidP="00F72F49">
      <w:pPr>
        <w:spacing w:line="360" w:lineRule="auto"/>
        <w:jc w:val="both"/>
        <w:rPr>
          <w:rFonts w:ascii="Perpetua" w:hAnsi="Perpetua"/>
        </w:rPr>
      </w:pPr>
    </w:p>
    <w:p w:rsidR="00E3158F" w:rsidRDefault="00E3158F"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estimação da equação </w:t>
      </w:r>
      <w:r w:rsidR="00E3158F">
        <w:rPr>
          <w:rFonts w:ascii="Perpetua" w:hAnsi="Perpetua"/>
        </w:rPr>
        <w:t xml:space="preserve">1 para o conjunto </w:t>
      </w:r>
      <w:r w:rsidR="00261BD1">
        <w:rPr>
          <w:rFonts w:ascii="Perpetua" w:hAnsi="Perpetua"/>
        </w:rPr>
        <w:t xml:space="preserve">total </w:t>
      </w:r>
      <w:r w:rsidR="00E3158F">
        <w:rPr>
          <w:rFonts w:ascii="Perpetua" w:hAnsi="Perpetua"/>
        </w:rPr>
        <w:t xml:space="preserve">dos tribunais </w:t>
      </w:r>
      <w:r w:rsidR="00261BD1">
        <w:rPr>
          <w:rFonts w:ascii="Perpetua" w:hAnsi="Perpetua"/>
        </w:rPr>
        <w:t xml:space="preserve">considerados </w:t>
      </w:r>
      <w:r w:rsidRPr="00E3158F">
        <w:rPr>
          <w:rFonts w:ascii="Perpetua" w:hAnsi="Perpetua"/>
        </w:rPr>
        <w:t>(</w:t>
      </w:r>
      <w:r w:rsidR="00261BD1">
        <w:rPr>
          <w:rFonts w:ascii="Perpetua" w:hAnsi="Perpetua"/>
        </w:rPr>
        <w:t>1)</w:t>
      </w:r>
      <w:r w:rsidRPr="00E3158F">
        <w:rPr>
          <w:rFonts w:ascii="Perpetua" w:hAnsi="Perpetua"/>
        </w:rPr>
        <w:t xml:space="preserve"> demonstra a elevada capacidade do modelo econométrico na explicação</w:t>
      </w:r>
      <w:r>
        <w:rPr>
          <w:rFonts w:ascii="Perpetua" w:hAnsi="Perpetua"/>
        </w:rPr>
        <w:t xml:space="preserve"> dos diferenciais de produtividade judicial observados, explicando cerca de 87% da variância total da produtividade judicial </w:t>
      </w:r>
      <w:r w:rsidR="00D11F7D">
        <w:rPr>
          <w:rFonts w:ascii="Perpetua" w:hAnsi="Perpetua"/>
        </w:rPr>
        <w:t>do</w:t>
      </w:r>
      <w:r>
        <w:rPr>
          <w:rFonts w:ascii="Perpetua" w:hAnsi="Perpetua"/>
        </w:rPr>
        <w:t xml:space="preserve">s tribunais </w:t>
      </w:r>
      <w:r w:rsidR="00D11F7D">
        <w:rPr>
          <w:rFonts w:ascii="Perpetua" w:hAnsi="Perpetua"/>
        </w:rPr>
        <w:t>analisados</w:t>
      </w:r>
      <w:r w:rsidR="00D11F7D">
        <w:rPr>
          <w:rStyle w:val="FootnoteReference"/>
          <w:rFonts w:ascii="Perpetua" w:hAnsi="Perpetua"/>
        </w:rPr>
        <w:footnoteReference w:id="115"/>
      </w:r>
      <w:r>
        <w:rPr>
          <w:rFonts w:ascii="Perpetua" w:hAnsi="Perpetua"/>
        </w:rPr>
        <w:t xml:space="preserve">. A carga judicial média dos tribunais é o factor crítico da explicação dos diferenciais de produtividade judicial </w:t>
      </w:r>
      <w:r w:rsidR="00D11F7D">
        <w:rPr>
          <w:rFonts w:ascii="Perpetua" w:hAnsi="Perpetua"/>
        </w:rPr>
        <w:t xml:space="preserve">média </w:t>
      </w:r>
      <w:r>
        <w:rPr>
          <w:rFonts w:ascii="Perpetua" w:hAnsi="Perpetua"/>
        </w:rPr>
        <w:t xml:space="preserve">observados, explicando mais de metade da variação da produtividade judicial logaritmizada. A semi-elasticidade da produtividade judicial em relação à carga judicial é positiva, mas decrescente, esgotando-se o efeito positivo na produtividade judicial média quando a carga judicial atinge um valor próximo </w:t>
      </w:r>
      <w:r w:rsidR="00261BD1">
        <w:rPr>
          <w:rFonts w:ascii="Perpetua" w:hAnsi="Perpetua"/>
        </w:rPr>
        <w:t>d</w:t>
      </w:r>
      <w:r>
        <w:rPr>
          <w:rFonts w:ascii="Perpetua" w:hAnsi="Perpetua"/>
        </w:rPr>
        <w:t>e 1.880 processos (v</w:t>
      </w:r>
      <w:r w:rsidR="00261BD1">
        <w:rPr>
          <w:rFonts w:ascii="Perpetua" w:hAnsi="Perpetua"/>
        </w:rPr>
        <w:t xml:space="preserve">er </w:t>
      </w:r>
      <w:r w:rsidR="006261B6">
        <w:rPr>
          <w:rFonts w:ascii="Perpetua" w:hAnsi="Perpetua"/>
        </w:rPr>
        <w:t xml:space="preserve">Efeito Marginal (1) no </w:t>
      </w:r>
      <w:r w:rsidR="00261BD1">
        <w:rPr>
          <w:rFonts w:ascii="Perpetua" w:hAnsi="Perpetua"/>
        </w:rPr>
        <w:t>Gráfico 5.4</w:t>
      </w:r>
      <w:r>
        <w:rPr>
          <w:rFonts w:ascii="Perpetua" w:hAnsi="Perpetua"/>
        </w:rPr>
        <w:t>). Avaliado no valor médio da carga judicial da amostra, um aumento de um processo na carga</w:t>
      </w:r>
      <w:r w:rsidR="00D11F7D">
        <w:rPr>
          <w:rFonts w:ascii="Perpetua" w:hAnsi="Perpetua"/>
        </w:rPr>
        <w:t xml:space="preserve"> judicial</w:t>
      </w:r>
      <w:r>
        <w:rPr>
          <w:rFonts w:ascii="Perpetua" w:hAnsi="Perpetua"/>
        </w:rPr>
        <w:t xml:space="preserve"> média de um tribunal resulta num aumento da produtividade judicial média de 0,0642 %.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O rácio de funcionários judiciais por magistrado judicial é o segundo factor mais importante na explicação dos diferenciais de produtividade judicial, explicando mais de 30% da variância da produtividade judicial dos tribunais da amostra. A utilização de mais um funcionário judicial por magistrado judicial no tribunal permite aumentar a produtividade judicial do magistrado médio do tribunal em cerca de 7%. </w:t>
      </w:r>
    </w:p>
    <w:p w:rsidR="00F72F49" w:rsidRDefault="00F72F49" w:rsidP="00F72F49">
      <w:pPr>
        <w:spacing w:line="360" w:lineRule="auto"/>
        <w:jc w:val="both"/>
        <w:rPr>
          <w:rFonts w:ascii="Perpetua" w:hAnsi="Perpetua"/>
        </w:rPr>
      </w:pPr>
    </w:p>
    <w:p w:rsidR="00F72F49" w:rsidRPr="00522AEC" w:rsidRDefault="00522AEC" w:rsidP="00522AEC">
      <w:pPr>
        <w:pStyle w:val="Caption"/>
        <w:jc w:val="center"/>
        <w:rPr>
          <w:rFonts w:ascii="Perpetua" w:hAnsi="Perpetua"/>
        </w:rPr>
      </w:pPr>
      <w:bookmarkStart w:id="134" w:name="_Toc215081936"/>
      <w:r w:rsidRPr="00522AEC">
        <w:rPr>
          <w:rFonts w:ascii="Perpetua" w:hAnsi="Perpetua"/>
        </w:rPr>
        <w:t xml:space="preserve">Gráfico </w:t>
      </w:r>
      <w:r w:rsidR="0048473F">
        <w:rPr>
          <w:rFonts w:ascii="Perpetua" w:hAnsi="Perpetua"/>
        </w:rPr>
        <w:fldChar w:fldCharType="begin"/>
      </w:r>
      <w:r w:rsidR="00A023D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5</w:t>
      </w:r>
      <w:r w:rsidR="0048473F">
        <w:rPr>
          <w:rFonts w:ascii="Perpetua" w:hAnsi="Perpetua"/>
        </w:rPr>
        <w:fldChar w:fldCharType="end"/>
      </w:r>
      <w:r w:rsidR="00A023D8">
        <w:rPr>
          <w:rFonts w:ascii="Perpetua" w:hAnsi="Perpetua"/>
        </w:rPr>
        <w:t>.</w:t>
      </w:r>
      <w:r w:rsidR="0048473F">
        <w:rPr>
          <w:rFonts w:ascii="Perpetua" w:hAnsi="Perpetua"/>
        </w:rPr>
        <w:fldChar w:fldCharType="begin"/>
      </w:r>
      <w:r w:rsidR="00A023D8">
        <w:rPr>
          <w:rFonts w:ascii="Perpetua" w:hAnsi="Perpetua"/>
        </w:rPr>
        <w:instrText xml:space="preserve"> SEQ Gráfico \* ARABIC \s 1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Pr="00522AEC">
        <w:rPr>
          <w:rFonts w:ascii="Perpetua" w:hAnsi="Perpetua"/>
        </w:rPr>
        <w:t xml:space="preserve"> </w:t>
      </w:r>
      <w:r w:rsidR="00F72F49" w:rsidRPr="00522AEC">
        <w:rPr>
          <w:rFonts w:ascii="Perpetua" w:hAnsi="Perpetua"/>
        </w:rPr>
        <w:t xml:space="preserve">– Evolução da semi-elasticidade </w:t>
      </w:r>
      <w:r w:rsidR="00261BD1">
        <w:rPr>
          <w:rFonts w:ascii="Perpetua" w:hAnsi="Perpetua"/>
        </w:rPr>
        <w:t xml:space="preserve">(%) da </w:t>
      </w:r>
      <w:r w:rsidR="00F72F49" w:rsidRPr="00522AEC">
        <w:rPr>
          <w:rFonts w:ascii="Perpetua" w:hAnsi="Perpetua"/>
        </w:rPr>
        <w:t>produtividade</w:t>
      </w:r>
      <w:r w:rsidR="00261BD1">
        <w:rPr>
          <w:rFonts w:ascii="Perpetua" w:hAnsi="Perpetua"/>
        </w:rPr>
        <w:t xml:space="preserve"> judicial à carga </w:t>
      </w:r>
      <w:r w:rsidR="00F72F49" w:rsidRPr="00522AEC">
        <w:rPr>
          <w:rFonts w:ascii="Perpetua" w:hAnsi="Perpetua"/>
        </w:rPr>
        <w:t>judicial para valores da carga judicial média</w:t>
      </w:r>
      <w:bookmarkEnd w:id="134"/>
    </w:p>
    <w:p w:rsidR="00F72F49" w:rsidRDefault="00C82BCA" w:rsidP="00261BD1">
      <w:pPr>
        <w:spacing w:line="360" w:lineRule="auto"/>
        <w:jc w:val="center"/>
        <w:rPr>
          <w:rFonts w:ascii="Perpetua" w:hAnsi="Perpetua"/>
        </w:rPr>
      </w:pPr>
      <w:r>
        <w:rPr>
          <w:rFonts w:ascii="Perpetua" w:hAnsi="Perpetua"/>
          <w:noProof/>
        </w:rPr>
        <w:drawing>
          <wp:inline distT="0" distB="0" distL="0" distR="0">
            <wp:extent cx="4953000" cy="3067050"/>
            <wp:effectExtent l="0" t="0" r="0" b="0"/>
            <wp:docPr id="45"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F72F49" w:rsidRDefault="00F72F49" w:rsidP="00F72F49">
      <w:pPr>
        <w:spacing w:line="360" w:lineRule="auto"/>
        <w:jc w:val="both"/>
        <w:rPr>
          <w:rFonts w:ascii="Perpetua" w:hAnsi="Perpetua"/>
        </w:rPr>
      </w:pPr>
      <w:r>
        <w:rPr>
          <w:rFonts w:ascii="Perpetua" w:hAnsi="Perpetua"/>
        </w:rPr>
        <w:t xml:space="preserve">O coeficiente negativo e estatisticamente muito significativo associado à variável </w:t>
      </w:r>
      <w:r w:rsidRPr="00261BD1">
        <w:rPr>
          <w:rFonts w:ascii="Perpetua" w:hAnsi="Perpetua"/>
          <w:i/>
        </w:rPr>
        <w:t>dummy</w:t>
      </w:r>
      <w:r>
        <w:rPr>
          <w:rFonts w:ascii="Perpetua" w:hAnsi="Perpetua"/>
        </w:rPr>
        <w:t xml:space="preserve"> Cluster 2 é um indicador claro </w:t>
      </w:r>
      <w:r w:rsidR="00D000FD">
        <w:rPr>
          <w:rFonts w:ascii="Perpetua" w:hAnsi="Perpetua"/>
        </w:rPr>
        <w:t xml:space="preserve">de </w:t>
      </w:r>
      <w:r>
        <w:rPr>
          <w:rFonts w:ascii="Perpetua" w:hAnsi="Perpetua"/>
        </w:rPr>
        <w:t xml:space="preserve">que os tribunais com um </w:t>
      </w:r>
      <w:r w:rsidRPr="00D73CBB">
        <w:rPr>
          <w:rFonts w:ascii="Perpetua" w:hAnsi="Perpetua"/>
          <w:i/>
        </w:rPr>
        <w:t>case mix</w:t>
      </w:r>
      <w:r>
        <w:rPr>
          <w:rFonts w:ascii="Perpetua" w:hAnsi="Perpetua"/>
        </w:rPr>
        <w:t xml:space="preserve"> caracterizado por uma concentração elevada de processos da área penal são penalizados na sua produtividade judicial média, quando esta está expressa em termos puramente quantitativos. A variável </w:t>
      </w:r>
      <w:r w:rsidRPr="000F61D4">
        <w:rPr>
          <w:rFonts w:ascii="Perpetua" w:hAnsi="Perpetua"/>
          <w:i/>
        </w:rPr>
        <w:t>dummy</w:t>
      </w:r>
      <w:r>
        <w:rPr>
          <w:rFonts w:ascii="Perpetua" w:hAnsi="Perpetua"/>
        </w:rPr>
        <w:t xml:space="preserve"> correspondente ao Cluster 1 apresenta um sinal contrário e, embora o nível de confiança da veracidade da relação seja inferior à da </w:t>
      </w:r>
      <w:r w:rsidRPr="000F61D4">
        <w:rPr>
          <w:rFonts w:ascii="Perpetua" w:hAnsi="Perpetua"/>
          <w:i/>
        </w:rPr>
        <w:t>dummy</w:t>
      </w:r>
      <w:r>
        <w:rPr>
          <w:rFonts w:ascii="Perpetua" w:hAnsi="Perpetua"/>
        </w:rPr>
        <w:t xml:space="preserve"> do Cluster 2, indica que os processos cíveis, particularmente as acções declarativas e executivas</w:t>
      </w:r>
      <w:r w:rsidR="000F61D4">
        <w:rPr>
          <w:rFonts w:ascii="Perpetua" w:hAnsi="Perpetua"/>
        </w:rPr>
        <w:t xml:space="preserve"> (os tipos de espécie processual mais comuns)</w:t>
      </w:r>
      <w:r>
        <w:rPr>
          <w:rFonts w:ascii="Perpetua" w:hAnsi="Perpetua"/>
        </w:rPr>
        <w:t xml:space="preserve">, favorecem a produtividade judicial média face aos processos das restantes áreas processuais. </w:t>
      </w:r>
      <w:r w:rsidR="00DE0A2D">
        <w:rPr>
          <w:rFonts w:ascii="Perpetua" w:hAnsi="Perpetua"/>
        </w:rPr>
        <w:t xml:space="preserve">A </w:t>
      </w:r>
      <w:r>
        <w:rPr>
          <w:rFonts w:ascii="Perpetua" w:hAnsi="Perpetua"/>
        </w:rPr>
        <w:t xml:space="preserve">análise dos </w:t>
      </w:r>
      <w:r w:rsidR="000F61D4">
        <w:rPr>
          <w:rFonts w:ascii="Perpetua" w:hAnsi="Perpetua"/>
        </w:rPr>
        <w:t>coeficientes com as variáveis padronizadas</w:t>
      </w:r>
      <w:r>
        <w:rPr>
          <w:rFonts w:ascii="Perpetua" w:hAnsi="Perpetua"/>
        </w:rPr>
        <w:t xml:space="preserve"> </w:t>
      </w:r>
      <w:r w:rsidR="006C6659">
        <w:rPr>
          <w:rFonts w:ascii="Perpetua" w:hAnsi="Perpetua"/>
        </w:rPr>
        <w:t>(b</w:t>
      </w:r>
      <w:r w:rsidR="000F61D4">
        <w:rPr>
          <w:rFonts w:ascii="Perpetua" w:hAnsi="Perpetua"/>
        </w:rPr>
        <w:t xml:space="preserve">eta) </w:t>
      </w:r>
      <w:r>
        <w:rPr>
          <w:rFonts w:ascii="Perpetua" w:hAnsi="Perpetua"/>
        </w:rPr>
        <w:t xml:space="preserve">sugere que a penalização da produtividade judicial média por força de uma maior concentração de processos da área processual penal tem maior importância e significância estatísticas que o favorecimento resultante de uma elevada concentração de processos da área cível.    </w:t>
      </w:r>
    </w:p>
    <w:p w:rsidR="00F72F49" w:rsidRDefault="00F72F49" w:rsidP="00F72F49">
      <w:pPr>
        <w:spacing w:line="360" w:lineRule="auto"/>
        <w:jc w:val="both"/>
        <w:rPr>
          <w:rFonts w:ascii="Perpetua" w:hAnsi="Perpetua"/>
        </w:rPr>
      </w:pPr>
      <w:r>
        <w:rPr>
          <w:rFonts w:ascii="Perpetua" w:hAnsi="Perpetua"/>
        </w:rPr>
        <w:t xml:space="preserve"> </w:t>
      </w:r>
    </w:p>
    <w:p w:rsidR="00F72F49" w:rsidRDefault="00F72F49" w:rsidP="00F72F49">
      <w:pPr>
        <w:spacing w:line="360" w:lineRule="auto"/>
        <w:jc w:val="both"/>
        <w:rPr>
          <w:rFonts w:ascii="Perpetua" w:hAnsi="Perpetua"/>
        </w:rPr>
      </w:pPr>
      <w:r>
        <w:rPr>
          <w:rFonts w:ascii="Perpetua" w:hAnsi="Perpetua"/>
        </w:rPr>
        <w:t xml:space="preserve">A estimação da equação 1 estabelece uma relação negativa entre a produtividade judicial média e as variáveis relativas à oferta de serviços de consultoria jurídica e de </w:t>
      </w:r>
      <w:r w:rsidR="00D000FD">
        <w:rPr>
          <w:rFonts w:ascii="Perpetua" w:hAnsi="Perpetua"/>
        </w:rPr>
        <w:t>procuradoria</w:t>
      </w:r>
      <w:r>
        <w:rPr>
          <w:rFonts w:ascii="Perpetua" w:hAnsi="Perpetua"/>
        </w:rPr>
        <w:t xml:space="preserve">, expressas no </w:t>
      </w:r>
      <w:r w:rsidR="00A2767C">
        <w:rPr>
          <w:rFonts w:ascii="Perpetua" w:hAnsi="Perpetua"/>
        </w:rPr>
        <w:t>número</w:t>
      </w:r>
      <w:r>
        <w:rPr>
          <w:rFonts w:ascii="Perpetua" w:hAnsi="Perpetua"/>
        </w:rPr>
        <w:t xml:space="preserve"> de advogados e solicitadores por magistrado judicial no círculo judicial onde o tribunal está inserido, respectivamente. As variáveis têm uma contribuição semelhante para a explicação dos diferenciais de produtividade judicial observados na amostra e a correlação com a variável explicada verifica-se para níveis de confiança estatística bastante elevados. Por fim, as variáveis de caracterização da</w:t>
      </w:r>
      <w:r w:rsidR="00E54747">
        <w:rPr>
          <w:rFonts w:ascii="Perpetua" w:hAnsi="Perpetua"/>
        </w:rPr>
        <w:t xml:space="preserve"> área</w:t>
      </w:r>
      <w:r>
        <w:rPr>
          <w:rFonts w:ascii="Perpetua" w:hAnsi="Perpetua"/>
        </w:rPr>
        <w:t xml:space="preserve"> </w:t>
      </w:r>
      <w:r w:rsidR="000F61D4">
        <w:rPr>
          <w:rFonts w:ascii="Perpetua" w:hAnsi="Perpetua"/>
        </w:rPr>
        <w:t xml:space="preserve">territorial onde o tribunal está instalado – a </w:t>
      </w:r>
      <w:r>
        <w:rPr>
          <w:rFonts w:ascii="Perpetua" w:hAnsi="Perpetua"/>
        </w:rPr>
        <w:t>comarca</w:t>
      </w:r>
      <w:r w:rsidR="000F61D4">
        <w:rPr>
          <w:rFonts w:ascii="Perpetua" w:hAnsi="Perpetua"/>
        </w:rPr>
        <w:t xml:space="preserve">, no caso da densidade populacional e a NUT III, no caso do PIB </w:t>
      </w:r>
      <w:proofErr w:type="gramStart"/>
      <w:r w:rsidR="00BF6760" w:rsidRPr="00BF6760">
        <w:rPr>
          <w:rFonts w:ascii="Perpetua" w:hAnsi="Perpetua"/>
          <w:i/>
        </w:rPr>
        <w:t>per capita</w:t>
      </w:r>
      <w:proofErr w:type="gramEnd"/>
      <w:r w:rsidR="000F61D4">
        <w:rPr>
          <w:rFonts w:ascii="Perpetua" w:hAnsi="Perpetua"/>
        </w:rPr>
        <w:t xml:space="preserve"> – </w:t>
      </w:r>
      <w:r>
        <w:rPr>
          <w:rFonts w:ascii="Perpetua" w:hAnsi="Perpetua"/>
        </w:rPr>
        <w:t xml:space="preserve">incluídas na equação 1 apresentam uma relação positiva e estatisticamente significativa com a produtividade judicial média. </w:t>
      </w:r>
    </w:p>
    <w:p w:rsidR="00F72F49" w:rsidRPr="006447C9" w:rsidRDefault="00F72F49" w:rsidP="00F72F49"/>
    <w:p w:rsidR="000F61D4" w:rsidRDefault="000F61D4" w:rsidP="00F72F49">
      <w:pPr>
        <w:spacing w:line="360" w:lineRule="auto"/>
        <w:jc w:val="both"/>
        <w:rPr>
          <w:rFonts w:ascii="Perpetua" w:hAnsi="Perpetua"/>
        </w:rPr>
      </w:pPr>
      <w:r>
        <w:rPr>
          <w:rFonts w:ascii="Perpetua" w:hAnsi="Perpetua"/>
        </w:rPr>
        <w:t>Do conjunto total dos tribunais considerados, mais de metade tem apenas um magistrado judicial</w:t>
      </w:r>
      <w:r w:rsidR="003110A9">
        <w:rPr>
          <w:rFonts w:ascii="Perpetua" w:hAnsi="Perpetua"/>
        </w:rPr>
        <w:t>, conjunto denominado como «</w:t>
      </w:r>
      <w:r>
        <w:rPr>
          <w:rFonts w:ascii="Perpetua" w:hAnsi="Perpetua"/>
        </w:rPr>
        <w:t>tribunais de dimensão mínima</w:t>
      </w:r>
      <w:r w:rsidR="003110A9">
        <w:rPr>
          <w:rFonts w:ascii="Perpetua" w:hAnsi="Perpetua"/>
        </w:rPr>
        <w:t xml:space="preserve">». </w:t>
      </w:r>
      <w:r w:rsidR="00AA0DAE">
        <w:rPr>
          <w:rFonts w:ascii="Perpetua" w:hAnsi="Perpetua"/>
        </w:rPr>
        <w:t>Os tribunais de dimensão mínima</w:t>
      </w:r>
      <w:r w:rsidR="003110A9">
        <w:rPr>
          <w:rFonts w:ascii="Perpetua" w:hAnsi="Perpetua"/>
        </w:rPr>
        <w:t xml:space="preserve"> </w:t>
      </w:r>
      <w:r w:rsidR="00BD39D4">
        <w:rPr>
          <w:rFonts w:ascii="Perpetua" w:hAnsi="Perpetua"/>
        </w:rPr>
        <w:t>est</w:t>
      </w:r>
      <w:r w:rsidR="00AA0DAE">
        <w:rPr>
          <w:rFonts w:ascii="Perpetua" w:hAnsi="Perpetua"/>
        </w:rPr>
        <w:t>ão</w:t>
      </w:r>
      <w:r w:rsidR="00BD39D4">
        <w:rPr>
          <w:rFonts w:ascii="Perpetua" w:hAnsi="Perpetua"/>
        </w:rPr>
        <w:t xml:space="preserve"> predominantemente localizados no</w:t>
      </w:r>
      <w:r w:rsidR="003110A9">
        <w:rPr>
          <w:rFonts w:ascii="Perpetua" w:hAnsi="Perpetua"/>
        </w:rPr>
        <w:t xml:space="preserve"> interior</w:t>
      </w:r>
      <w:r w:rsidR="00BD39D4">
        <w:rPr>
          <w:rFonts w:ascii="Perpetua" w:hAnsi="Perpetua"/>
        </w:rPr>
        <w:t xml:space="preserve"> do País</w:t>
      </w:r>
      <w:r w:rsidR="003110A9">
        <w:rPr>
          <w:rFonts w:ascii="Perpetua" w:hAnsi="Perpetua"/>
        </w:rPr>
        <w:t>, onde</w:t>
      </w:r>
      <w:r w:rsidR="00A96AE7">
        <w:rPr>
          <w:rFonts w:ascii="Perpetua" w:hAnsi="Perpetua"/>
        </w:rPr>
        <w:t xml:space="preserve"> as</w:t>
      </w:r>
      <w:r w:rsidR="00AA0DAE">
        <w:rPr>
          <w:rFonts w:ascii="Perpetua" w:hAnsi="Perpetua"/>
        </w:rPr>
        <w:t xml:space="preserve"> condições sociais, económicas e demográficas específicas</w:t>
      </w:r>
      <w:r w:rsidR="00DE0A2D">
        <w:rPr>
          <w:rStyle w:val="FootnoteReference"/>
          <w:rFonts w:ascii="Perpetua" w:hAnsi="Perpetua"/>
        </w:rPr>
        <w:footnoteReference w:id="116"/>
      </w:r>
      <w:r w:rsidR="00AA0DAE">
        <w:rPr>
          <w:rFonts w:ascii="Perpetua" w:hAnsi="Perpetua"/>
        </w:rPr>
        <w:t xml:space="preserve"> </w:t>
      </w:r>
      <w:r w:rsidR="00DE0A2D">
        <w:rPr>
          <w:rFonts w:ascii="Perpetua" w:hAnsi="Perpetua"/>
        </w:rPr>
        <w:t>t</w:t>
      </w:r>
      <w:r w:rsidR="00AA0DAE">
        <w:rPr>
          <w:rFonts w:ascii="Perpetua" w:hAnsi="Perpetua"/>
        </w:rPr>
        <w:t>ende</w:t>
      </w:r>
      <w:r w:rsidR="007F1308">
        <w:rPr>
          <w:rFonts w:ascii="Perpetua" w:hAnsi="Perpetua"/>
        </w:rPr>
        <w:t>m</w:t>
      </w:r>
      <w:r w:rsidR="00AA0DAE">
        <w:rPr>
          <w:rFonts w:ascii="Perpetua" w:hAnsi="Perpetua"/>
        </w:rPr>
        <w:t xml:space="preserve"> a produzir uma p</w:t>
      </w:r>
      <w:r w:rsidR="003110A9">
        <w:rPr>
          <w:rFonts w:ascii="Perpetua" w:hAnsi="Perpetua"/>
        </w:rPr>
        <w:t xml:space="preserve">rocura </w:t>
      </w:r>
      <w:r w:rsidR="00AA0DAE">
        <w:rPr>
          <w:rFonts w:ascii="Perpetua" w:hAnsi="Perpetua"/>
        </w:rPr>
        <w:t xml:space="preserve">judicial </w:t>
      </w:r>
      <w:r w:rsidR="003110A9">
        <w:rPr>
          <w:rFonts w:ascii="Perpetua" w:hAnsi="Perpetua"/>
        </w:rPr>
        <w:t>acumulada (</w:t>
      </w:r>
      <w:r w:rsidR="00451732">
        <w:rPr>
          <w:rFonts w:ascii="Perpetua" w:hAnsi="Perpetua"/>
        </w:rPr>
        <w:t xml:space="preserve">volume de processos </w:t>
      </w:r>
      <w:r w:rsidR="003110A9">
        <w:rPr>
          <w:rFonts w:ascii="Perpetua" w:hAnsi="Perpetua"/>
        </w:rPr>
        <w:t xml:space="preserve">pendentes) e </w:t>
      </w:r>
      <w:r w:rsidR="00451732">
        <w:rPr>
          <w:rFonts w:ascii="Perpetua" w:hAnsi="Perpetua"/>
        </w:rPr>
        <w:t xml:space="preserve">a procura momentânea (volume de processos entrados) </w:t>
      </w:r>
      <w:r w:rsidR="00AA0DAE">
        <w:rPr>
          <w:rFonts w:ascii="Perpetua" w:hAnsi="Perpetua"/>
        </w:rPr>
        <w:t xml:space="preserve">mais </w:t>
      </w:r>
      <w:r w:rsidR="00451732">
        <w:rPr>
          <w:rFonts w:ascii="Perpetua" w:hAnsi="Perpetua"/>
        </w:rPr>
        <w:t xml:space="preserve">baixa relativamente à procura </w:t>
      </w:r>
      <w:r w:rsidR="00AA0DAE">
        <w:rPr>
          <w:rFonts w:ascii="Perpetua" w:hAnsi="Perpetua"/>
        </w:rPr>
        <w:t xml:space="preserve">judicial </w:t>
      </w:r>
      <w:r w:rsidR="00451732">
        <w:rPr>
          <w:rFonts w:ascii="Perpetua" w:hAnsi="Perpetua"/>
        </w:rPr>
        <w:t>dos restantes tribunais. Como foi referido na secção 5.2</w:t>
      </w:r>
      <w:r w:rsidR="007F1308">
        <w:rPr>
          <w:rFonts w:ascii="Perpetua" w:hAnsi="Perpetua"/>
        </w:rPr>
        <w:t>.</w:t>
      </w:r>
      <w:r w:rsidR="00451732">
        <w:rPr>
          <w:rFonts w:ascii="Perpetua" w:hAnsi="Perpetua"/>
        </w:rPr>
        <w:t>, e</w:t>
      </w:r>
      <w:r>
        <w:rPr>
          <w:rFonts w:ascii="Perpetua" w:hAnsi="Perpetua"/>
        </w:rPr>
        <w:t xml:space="preserve">stes tribunais podem ser penalizados no seu nível de produtividade judicial por terem </w:t>
      </w:r>
      <w:r w:rsidR="00451732">
        <w:rPr>
          <w:rFonts w:ascii="Perpetua" w:hAnsi="Perpetua"/>
        </w:rPr>
        <w:t>v</w:t>
      </w:r>
      <w:r>
        <w:rPr>
          <w:rFonts w:ascii="Perpetua" w:hAnsi="Perpetua"/>
        </w:rPr>
        <w:t>olume</w:t>
      </w:r>
      <w:r w:rsidR="00451732">
        <w:rPr>
          <w:rFonts w:ascii="Perpetua" w:hAnsi="Perpetua"/>
        </w:rPr>
        <w:t>s</w:t>
      </w:r>
      <w:r>
        <w:rPr>
          <w:rFonts w:ascii="Perpetua" w:hAnsi="Perpetua"/>
        </w:rPr>
        <w:t xml:space="preserve"> </w:t>
      </w:r>
      <w:r w:rsidR="00451732">
        <w:rPr>
          <w:rFonts w:ascii="Perpetua" w:hAnsi="Perpetua"/>
        </w:rPr>
        <w:t xml:space="preserve">reduzidos </w:t>
      </w:r>
      <w:r>
        <w:rPr>
          <w:rFonts w:ascii="Perpetua" w:hAnsi="Perpetua"/>
        </w:rPr>
        <w:t xml:space="preserve">de procura </w:t>
      </w:r>
      <w:r w:rsidR="00AA0DAE">
        <w:rPr>
          <w:rFonts w:ascii="Perpetua" w:hAnsi="Perpetua"/>
        </w:rPr>
        <w:t xml:space="preserve">judicial </w:t>
      </w:r>
      <w:r w:rsidR="00451732">
        <w:rPr>
          <w:rFonts w:ascii="Perpetua" w:hAnsi="Perpetua"/>
        </w:rPr>
        <w:t xml:space="preserve">acumulada e momentânea, medidos no modelo através da </w:t>
      </w:r>
      <w:r>
        <w:rPr>
          <w:rFonts w:ascii="Perpetua" w:hAnsi="Perpetua"/>
        </w:rPr>
        <w:t>carga judicial</w:t>
      </w:r>
      <w:r w:rsidR="00451732">
        <w:rPr>
          <w:rFonts w:ascii="Perpetua" w:hAnsi="Perpetua"/>
        </w:rPr>
        <w:t xml:space="preserve"> média, pois enfrentam uma restrição máxima</w:t>
      </w:r>
      <w:r>
        <w:rPr>
          <w:rFonts w:ascii="Perpetua" w:hAnsi="Perpetua"/>
        </w:rPr>
        <w:t xml:space="preserve"> à capacidade de findar processos. </w:t>
      </w:r>
      <w:r w:rsidR="00B03D60">
        <w:rPr>
          <w:rFonts w:ascii="Perpetua" w:hAnsi="Perpetua"/>
        </w:rPr>
        <w:t xml:space="preserve">A análise dos histogramas da carga judicial média para dois subconjuntos de tribunais (os tribunais de dimensão mínima e os tribunais de outra dimensão) </w:t>
      </w:r>
      <w:r w:rsidR="00451732">
        <w:rPr>
          <w:rFonts w:ascii="Perpetua" w:hAnsi="Perpetua"/>
        </w:rPr>
        <w:t xml:space="preserve">permite confirmar que </w:t>
      </w:r>
      <w:r w:rsidR="00B03D60">
        <w:rPr>
          <w:rFonts w:ascii="Perpetua" w:hAnsi="Perpetua"/>
        </w:rPr>
        <w:t>os tribunais de dimensão mínima têm</w:t>
      </w:r>
      <w:r w:rsidR="00875A4B">
        <w:rPr>
          <w:rFonts w:ascii="Perpetua" w:hAnsi="Perpetua"/>
        </w:rPr>
        <w:t>, em média,</w:t>
      </w:r>
      <w:r w:rsidR="00B03D60">
        <w:rPr>
          <w:rFonts w:ascii="Perpetua" w:hAnsi="Perpetua"/>
        </w:rPr>
        <w:t xml:space="preserve"> uma carga judicial</w:t>
      </w:r>
      <w:r w:rsidR="00875A4B">
        <w:rPr>
          <w:rFonts w:ascii="Perpetua" w:hAnsi="Perpetua"/>
        </w:rPr>
        <w:t xml:space="preserve"> significativamente</w:t>
      </w:r>
      <w:r w:rsidR="00B03D60">
        <w:rPr>
          <w:rFonts w:ascii="Perpetua" w:hAnsi="Perpetua"/>
        </w:rPr>
        <w:t xml:space="preserve"> </w:t>
      </w:r>
      <w:r w:rsidR="00875A4B">
        <w:rPr>
          <w:rFonts w:ascii="Perpetua" w:hAnsi="Perpetua"/>
        </w:rPr>
        <w:t xml:space="preserve">mais </w:t>
      </w:r>
      <w:r w:rsidR="00B03D60">
        <w:rPr>
          <w:rFonts w:ascii="Perpetua" w:hAnsi="Perpetua"/>
        </w:rPr>
        <w:t>baixa</w:t>
      </w:r>
      <w:r w:rsidR="00DE0A2D">
        <w:rPr>
          <w:rStyle w:val="FootnoteReference"/>
          <w:rFonts w:ascii="Perpetua" w:hAnsi="Perpetua"/>
        </w:rPr>
        <w:footnoteReference w:id="117"/>
      </w:r>
      <w:r w:rsidR="00B03D60">
        <w:rPr>
          <w:rFonts w:ascii="Perpetua" w:hAnsi="Perpetua"/>
        </w:rPr>
        <w:t xml:space="preserve">. </w:t>
      </w:r>
      <w:r w:rsidR="00FC5401">
        <w:rPr>
          <w:rFonts w:ascii="Perpetua" w:hAnsi="Perpetua"/>
        </w:rPr>
        <w:t xml:space="preserve">No entanto, a hipótese empírica mencionada na secção 4.2. </w:t>
      </w:r>
      <w:r w:rsidR="00E54747">
        <w:rPr>
          <w:rFonts w:ascii="Perpetua" w:hAnsi="Perpetua"/>
        </w:rPr>
        <w:t xml:space="preserve">– </w:t>
      </w:r>
      <w:r w:rsidR="00FC5401">
        <w:rPr>
          <w:rFonts w:ascii="Perpetua" w:hAnsi="Perpetua"/>
        </w:rPr>
        <w:t>que a dimensão do tribunal em termos de número de magistrados judiciais estaria negativa e fortemente correlacionada com a carga judicial média</w:t>
      </w:r>
      <w:r w:rsidR="00E54747">
        <w:rPr>
          <w:rFonts w:ascii="Perpetua" w:hAnsi="Perpetua"/>
        </w:rPr>
        <w:t xml:space="preserve"> –</w:t>
      </w:r>
      <w:r w:rsidR="00FC5401">
        <w:rPr>
          <w:rFonts w:ascii="Perpetua" w:hAnsi="Perpetua"/>
        </w:rPr>
        <w:t xml:space="preserve"> não se verifica no conjunto dos tribunais analisados</w:t>
      </w:r>
      <w:r w:rsidR="00DE0A2D">
        <w:rPr>
          <w:rStyle w:val="FootnoteReference"/>
          <w:rFonts w:ascii="Perpetua" w:hAnsi="Perpetua"/>
        </w:rPr>
        <w:footnoteReference w:id="118"/>
      </w:r>
      <w:r w:rsidR="00FC5401">
        <w:rPr>
          <w:rFonts w:ascii="Perpetua" w:hAnsi="Perpetua"/>
        </w:rPr>
        <w:t>. Face às diferenças encontradas entre estes dois subgrupos de tribunais quanto à distribuição da carga judicial média e demais variáveis de caracterização</w:t>
      </w:r>
      <w:r w:rsidR="00DE0A2D">
        <w:rPr>
          <w:rStyle w:val="FootnoteReference"/>
          <w:rFonts w:ascii="Perpetua" w:hAnsi="Perpetua"/>
        </w:rPr>
        <w:footnoteReference w:id="119"/>
      </w:r>
      <w:r w:rsidR="00E54747">
        <w:rPr>
          <w:rFonts w:ascii="Perpetua" w:hAnsi="Perpetua"/>
        </w:rPr>
        <w:t>,</w:t>
      </w:r>
      <w:r w:rsidR="00DE0A2D">
        <w:rPr>
          <w:rFonts w:ascii="Perpetua" w:hAnsi="Perpetua"/>
        </w:rPr>
        <w:t xml:space="preserve"> </w:t>
      </w:r>
      <w:r w:rsidR="00E54747">
        <w:rPr>
          <w:rFonts w:ascii="Perpetua" w:hAnsi="Perpetua"/>
        </w:rPr>
        <w:t>interessa</w:t>
      </w:r>
      <w:r w:rsidR="00FC5401">
        <w:rPr>
          <w:rFonts w:ascii="Perpetua" w:hAnsi="Perpetua"/>
        </w:rPr>
        <w:t xml:space="preserve"> investigar se os resultados empíricos obtidos n</w:t>
      </w:r>
      <w:r w:rsidR="00B03D60">
        <w:rPr>
          <w:rFonts w:ascii="Perpetua" w:hAnsi="Perpetua"/>
        </w:rPr>
        <w:t xml:space="preserve">a estimação da equação 1 para a totalidade dos tribunais (1) se mantêm quando esta é estimada para os tribunais de dimensão mínima (2) e para os tribunais de outra dimensão </w:t>
      </w:r>
      <w:r w:rsidR="00451732">
        <w:rPr>
          <w:rFonts w:ascii="Perpetua" w:hAnsi="Perpetua"/>
        </w:rPr>
        <w:t xml:space="preserve">(3), em particular interessa investigar se a hipótese da endogeneidade da produtividade judicial se mantém nos dois subconjuntos de tribunais. Analisando as colunas (2) e (3) resulta claro que, em geral, as conclusões </w:t>
      </w:r>
      <w:r w:rsidR="003275EC">
        <w:rPr>
          <w:rFonts w:ascii="Perpetua" w:hAnsi="Perpetua"/>
        </w:rPr>
        <w:t>obtidas em (1) s</w:t>
      </w:r>
      <w:r w:rsidR="00451732">
        <w:rPr>
          <w:rFonts w:ascii="Perpetua" w:hAnsi="Perpetua"/>
        </w:rPr>
        <w:t>e mantêm</w:t>
      </w:r>
      <w:r w:rsidR="003275EC">
        <w:rPr>
          <w:rFonts w:ascii="Perpetua" w:hAnsi="Perpetua"/>
        </w:rPr>
        <w:t>: com excepção da vari</w:t>
      </w:r>
      <w:r w:rsidR="00AA0DAE">
        <w:rPr>
          <w:rFonts w:ascii="Perpetua" w:hAnsi="Perpetua"/>
        </w:rPr>
        <w:t>á</w:t>
      </w:r>
      <w:r w:rsidR="003275EC">
        <w:rPr>
          <w:rFonts w:ascii="Perpetua" w:hAnsi="Perpetua"/>
        </w:rPr>
        <w:t xml:space="preserve">vel </w:t>
      </w:r>
      <w:r w:rsidR="003275EC" w:rsidRPr="00AA0DAE">
        <w:rPr>
          <w:rFonts w:ascii="Perpetua" w:hAnsi="Perpetua"/>
          <w:i/>
        </w:rPr>
        <w:t>dummy</w:t>
      </w:r>
      <w:r w:rsidR="003275EC">
        <w:rPr>
          <w:rFonts w:ascii="Perpetua" w:hAnsi="Perpetua"/>
        </w:rPr>
        <w:t xml:space="preserve"> relativa ao Cluster 1 em (2) e o PIB </w:t>
      </w:r>
      <w:proofErr w:type="gramStart"/>
      <w:r w:rsidR="00BF6760" w:rsidRPr="00BF6760">
        <w:rPr>
          <w:rFonts w:ascii="Perpetua" w:hAnsi="Perpetua"/>
          <w:i/>
        </w:rPr>
        <w:t>per capita</w:t>
      </w:r>
      <w:proofErr w:type="gramEnd"/>
      <w:r w:rsidR="003275EC">
        <w:rPr>
          <w:rFonts w:ascii="Perpetua" w:hAnsi="Perpetua"/>
        </w:rPr>
        <w:t xml:space="preserve"> em (3), todas as variáveis explicativas mantêm o mesmo sinal que em (1) e relações estatisticamente significativas – embora algumas variáveis passem a ser significativas apenas com um grau de confiança entre 90</w:t>
      </w:r>
      <w:r w:rsidR="00E54747">
        <w:rPr>
          <w:rFonts w:ascii="Perpetua" w:hAnsi="Perpetua"/>
        </w:rPr>
        <w:t>%</w:t>
      </w:r>
      <w:r w:rsidR="003275EC">
        <w:rPr>
          <w:rFonts w:ascii="Perpetua" w:hAnsi="Perpetua"/>
        </w:rPr>
        <w:t xml:space="preserve"> e 95%. </w:t>
      </w:r>
    </w:p>
    <w:p w:rsidR="000F61D4" w:rsidRDefault="000F61D4" w:rsidP="00F72F49">
      <w:pPr>
        <w:spacing w:line="360" w:lineRule="auto"/>
        <w:jc w:val="both"/>
        <w:rPr>
          <w:rFonts w:ascii="Perpetua" w:hAnsi="Perpetua"/>
        </w:rPr>
      </w:pPr>
    </w:p>
    <w:p w:rsidR="00F72F49" w:rsidRDefault="006C6659" w:rsidP="00F72F49">
      <w:pPr>
        <w:spacing w:line="360" w:lineRule="auto"/>
        <w:jc w:val="both"/>
        <w:rPr>
          <w:rFonts w:ascii="Perpetua" w:hAnsi="Perpetua"/>
        </w:rPr>
      </w:pPr>
      <w:r>
        <w:rPr>
          <w:rFonts w:ascii="Perpetua" w:hAnsi="Perpetua"/>
        </w:rPr>
        <w:t xml:space="preserve">A análise de </w:t>
      </w:r>
      <w:r w:rsidRPr="006C6659">
        <w:rPr>
          <w:rFonts w:ascii="Perpetua" w:hAnsi="Perpetua"/>
          <w:i/>
        </w:rPr>
        <w:t>clusters</w:t>
      </w:r>
      <w:r>
        <w:rPr>
          <w:rFonts w:ascii="Perpetua" w:hAnsi="Perpetua"/>
        </w:rPr>
        <w:t xml:space="preserve"> efectuada na secção anterior permitiu dividir os 211 tribunais de competência genérica analisados em </w:t>
      </w:r>
      <w:r w:rsidR="007F1308">
        <w:rPr>
          <w:rFonts w:ascii="Perpetua" w:hAnsi="Perpetua"/>
        </w:rPr>
        <w:t>três</w:t>
      </w:r>
      <w:r>
        <w:rPr>
          <w:rFonts w:ascii="Perpetua" w:hAnsi="Perpetua"/>
        </w:rPr>
        <w:t xml:space="preserve"> grupos homogéneos de tribunais, de acordo com o perfil da litigância resolvida. </w:t>
      </w:r>
      <w:r w:rsidR="00F72F49">
        <w:rPr>
          <w:rFonts w:ascii="Perpetua" w:hAnsi="Perpetua"/>
        </w:rPr>
        <w:t>De modo a testar a robustez dos resultados obtidos</w:t>
      </w:r>
      <w:r>
        <w:rPr>
          <w:rFonts w:ascii="Perpetua" w:hAnsi="Perpetua"/>
        </w:rPr>
        <w:t xml:space="preserve"> na estimação da equação 1</w:t>
      </w:r>
      <w:r w:rsidR="006216D5">
        <w:rPr>
          <w:rFonts w:ascii="Perpetua" w:hAnsi="Perpetua"/>
        </w:rPr>
        <w:t xml:space="preserve">, </w:t>
      </w:r>
      <w:r w:rsidR="00847A35">
        <w:rPr>
          <w:rFonts w:ascii="Perpetua" w:hAnsi="Perpetua"/>
        </w:rPr>
        <w:t xml:space="preserve">foi </w:t>
      </w:r>
      <w:r w:rsidR="00FC5401">
        <w:rPr>
          <w:rFonts w:ascii="Perpetua" w:hAnsi="Perpetua"/>
        </w:rPr>
        <w:t xml:space="preserve">ainda </w:t>
      </w:r>
      <w:r w:rsidR="00847A35">
        <w:rPr>
          <w:rFonts w:ascii="Perpetua" w:hAnsi="Perpetua"/>
        </w:rPr>
        <w:t>estimada a</w:t>
      </w:r>
      <w:r w:rsidR="006216D5">
        <w:rPr>
          <w:rFonts w:ascii="Perpetua" w:hAnsi="Perpetua"/>
        </w:rPr>
        <w:t xml:space="preserve"> </w:t>
      </w:r>
      <w:r w:rsidR="00F72F49">
        <w:rPr>
          <w:rFonts w:ascii="Perpetua" w:hAnsi="Perpetua"/>
        </w:rPr>
        <w:t xml:space="preserve">equação 2 para </w:t>
      </w:r>
      <w:r w:rsidR="006216D5">
        <w:rPr>
          <w:rFonts w:ascii="Perpetua" w:hAnsi="Perpetua"/>
        </w:rPr>
        <w:t xml:space="preserve">os </w:t>
      </w:r>
      <w:r w:rsidR="00E54747">
        <w:rPr>
          <w:rFonts w:ascii="Perpetua" w:hAnsi="Perpetua"/>
        </w:rPr>
        <w:t>C</w:t>
      </w:r>
      <w:r w:rsidR="006216D5" w:rsidRPr="00E54747">
        <w:rPr>
          <w:rFonts w:ascii="Perpetua" w:hAnsi="Perpetua"/>
        </w:rPr>
        <w:t>luster</w:t>
      </w:r>
      <w:r w:rsidR="00847A35" w:rsidRPr="00E54747">
        <w:rPr>
          <w:rFonts w:ascii="Perpetua" w:hAnsi="Perpetua"/>
        </w:rPr>
        <w:t>s</w:t>
      </w:r>
      <w:r w:rsidR="006216D5">
        <w:rPr>
          <w:rFonts w:ascii="Perpetua" w:hAnsi="Perpetua"/>
        </w:rPr>
        <w:t xml:space="preserve"> 1, 2 e 3</w:t>
      </w:r>
      <w:r w:rsidR="00847A35">
        <w:rPr>
          <w:rFonts w:ascii="Perpetua" w:hAnsi="Perpetua"/>
        </w:rPr>
        <w:t xml:space="preserve"> – correspondentes</w:t>
      </w:r>
      <w:r w:rsidR="00F72F49">
        <w:rPr>
          <w:rFonts w:ascii="Perpetua" w:hAnsi="Perpetua"/>
        </w:rPr>
        <w:t xml:space="preserve"> </w:t>
      </w:r>
      <w:r w:rsidR="00847A35">
        <w:rPr>
          <w:rFonts w:ascii="Perpetua" w:hAnsi="Perpetua"/>
        </w:rPr>
        <w:t xml:space="preserve">às estimações </w:t>
      </w:r>
      <w:r w:rsidR="000F4036">
        <w:rPr>
          <w:rFonts w:ascii="Perpetua" w:hAnsi="Perpetua"/>
        </w:rPr>
        <w:t>(</w:t>
      </w:r>
      <w:r w:rsidR="00847A35">
        <w:rPr>
          <w:rFonts w:ascii="Perpetua" w:hAnsi="Perpetua"/>
        </w:rPr>
        <w:t>4</w:t>
      </w:r>
      <w:r w:rsidR="000F4036">
        <w:rPr>
          <w:rFonts w:ascii="Perpetua" w:hAnsi="Perpetua"/>
        </w:rPr>
        <w:t>)</w:t>
      </w:r>
      <w:r w:rsidR="00847A35">
        <w:rPr>
          <w:rFonts w:ascii="Perpetua" w:hAnsi="Perpetua"/>
        </w:rPr>
        <w:t>,</w:t>
      </w:r>
      <w:r w:rsidR="000F4036">
        <w:rPr>
          <w:rFonts w:ascii="Perpetua" w:hAnsi="Perpetua"/>
        </w:rPr>
        <w:t xml:space="preserve"> (</w:t>
      </w:r>
      <w:r w:rsidR="00847A35">
        <w:rPr>
          <w:rFonts w:ascii="Perpetua" w:hAnsi="Perpetua"/>
        </w:rPr>
        <w:t>5</w:t>
      </w:r>
      <w:r w:rsidR="000F4036">
        <w:rPr>
          <w:rFonts w:ascii="Perpetua" w:hAnsi="Perpetua"/>
        </w:rPr>
        <w:t>)</w:t>
      </w:r>
      <w:r w:rsidR="00847A35">
        <w:rPr>
          <w:rFonts w:ascii="Perpetua" w:hAnsi="Perpetua"/>
        </w:rPr>
        <w:t xml:space="preserve"> e </w:t>
      </w:r>
      <w:r w:rsidR="000F4036">
        <w:rPr>
          <w:rFonts w:ascii="Perpetua" w:hAnsi="Perpetua"/>
        </w:rPr>
        <w:t>(</w:t>
      </w:r>
      <w:r w:rsidR="00847A35">
        <w:rPr>
          <w:rFonts w:ascii="Perpetua" w:hAnsi="Perpetua"/>
        </w:rPr>
        <w:t>6</w:t>
      </w:r>
      <w:r w:rsidR="000F4036">
        <w:rPr>
          <w:rFonts w:ascii="Perpetua" w:hAnsi="Perpetua"/>
        </w:rPr>
        <w:t>)</w:t>
      </w:r>
      <w:r w:rsidR="00847A35">
        <w:rPr>
          <w:rFonts w:ascii="Perpetua" w:hAnsi="Perpetua"/>
        </w:rPr>
        <w:t xml:space="preserve">, respectivamente. </w:t>
      </w:r>
      <w:r w:rsidR="00F72F49">
        <w:rPr>
          <w:rFonts w:ascii="Perpetua" w:hAnsi="Perpetua"/>
        </w:rPr>
        <w:t xml:space="preserve">A equação 2 é </w:t>
      </w:r>
      <w:r>
        <w:rPr>
          <w:rFonts w:ascii="Perpetua" w:hAnsi="Perpetua"/>
        </w:rPr>
        <w:t xml:space="preserve">igual </w:t>
      </w:r>
      <w:r w:rsidR="00F72F49">
        <w:rPr>
          <w:rFonts w:ascii="Perpetua" w:hAnsi="Perpetua"/>
        </w:rPr>
        <w:t>à equação 1, com excepção da</w:t>
      </w:r>
      <w:r w:rsidR="00D912E2">
        <w:rPr>
          <w:rFonts w:ascii="Perpetua" w:hAnsi="Perpetua"/>
        </w:rPr>
        <w:t xml:space="preserve"> exclusão da</w:t>
      </w:r>
      <w:r w:rsidR="00F72F49">
        <w:rPr>
          <w:rFonts w:ascii="Perpetua" w:hAnsi="Perpetua"/>
        </w:rPr>
        <w:t xml:space="preserve">s variáveis </w:t>
      </w:r>
      <w:r w:rsidR="00F72F49" w:rsidRPr="00847A35">
        <w:rPr>
          <w:rFonts w:ascii="Perpetua" w:hAnsi="Perpetua"/>
          <w:i/>
        </w:rPr>
        <w:t>dummy</w:t>
      </w:r>
      <w:r w:rsidR="00F72F49">
        <w:rPr>
          <w:rFonts w:ascii="Perpetua" w:hAnsi="Perpetua"/>
        </w:rPr>
        <w:t xml:space="preserve"> do </w:t>
      </w:r>
      <w:r w:rsidR="00F72F49" w:rsidRPr="00847A35">
        <w:rPr>
          <w:rFonts w:ascii="Perpetua" w:hAnsi="Perpetua"/>
          <w:i/>
        </w:rPr>
        <w:t>case mix</w:t>
      </w:r>
      <w:r w:rsidR="00F72F49">
        <w:rPr>
          <w:rFonts w:ascii="Perpetua" w:hAnsi="Perpetua"/>
        </w:rPr>
        <w:t xml:space="preserve">, visto que os tribunais presentes </w:t>
      </w:r>
      <w:r w:rsidR="00847A35">
        <w:rPr>
          <w:rFonts w:ascii="Perpetua" w:hAnsi="Perpetua"/>
        </w:rPr>
        <w:t xml:space="preserve">em cada </w:t>
      </w:r>
      <w:r w:rsidR="00847A35" w:rsidRPr="000F4036">
        <w:rPr>
          <w:rFonts w:ascii="Perpetua" w:hAnsi="Perpetua"/>
          <w:i/>
        </w:rPr>
        <w:t>cluster</w:t>
      </w:r>
      <w:r w:rsidR="00847A35">
        <w:rPr>
          <w:rFonts w:ascii="Perpetua" w:hAnsi="Perpetua"/>
        </w:rPr>
        <w:t xml:space="preserve"> são, por construção, </w:t>
      </w:r>
      <w:r w:rsidR="00F72F49">
        <w:rPr>
          <w:rFonts w:ascii="Perpetua" w:hAnsi="Perpetua"/>
        </w:rPr>
        <w:t xml:space="preserve">homogéneos quanto ao </w:t>
      </w:r>
      <w:r w:rsidR="00847A35">
        <w:rPr>
          <w:rFonts w:ascii="Perpetua" w:hAnsi="Perpetua"/>
        </w:rPr>
        <w:t>perfil de litigância resolvido</w:t>
      </w:r>
      <w:r w:rsidR="00F72F49">
        <w:rPr>
          <w:rFonts w:ascii="Perpetua" w:hAnsi="Perpetua"/>
        </w:rPr>
        <w:t xml:space="preserve">.  </w:t>
      </w:r>
    </w:p>
    <w:p w:rsidR="00F72F49" w:rsidRDefault="00F72F49" w:rsidP="00F72F49">
      <w:pPr>
        <w:spacing w:line="360" w:lineRule="auto"/>
        <w:jc w:val="both"/>
        <w:rPr>
          <w:rFonts w:ascii="Perpetua" w:hAnsi="Perpetua"/>
        </w:rPr>
      </w:pPr>
    </w:p>
    <w:p w:rsidR="00F72F49" w:rsidRPr="005D2136" w:rsidRDefault="00F72F49" w:rsidP="00F72F49">
      <w:pPr>
        <w:spacing w:line="360" w:lineRule="auto"/>
        <w:jc w:val="both"/>
        <w:rPr>
          <w:rFonts w:ascii="Perpetua" w:hAnsi="Perpetua"/>
          <w:b/>
          <w:sz w:val="22"/>
          <w:szCs w:val="22"/>
        </w:rPr>
      </w:pPr>
      <w:r w:rsidRPr="005D2136">
        <w:rPr>
          <w:rFonts w:ascii="Perpetua" w:hAnsi="Perpetua"/>
          <w:b/>
          <w:sz w:val="22"/>
          <w:szCs w:val="22"/>
        </w:rPr>
        <w:t>Eq</w:t>
      </w:r>
      <w:r w:rsidR="005D2136" w:rsidRPr="005D2136">
        <w:rPr>
          <w:rFonts w:ascii="Perpetua" w:hAnsi="Perpetua"/>
          <w:b/>
          <w:sz w:val="22"/>
          <w:szCs w:val="22"/>
        </w:rPr>
        <w:t>uação</w:t>
      </w:r>
      <w:r w:rsidRPr="005D2136">
        <w:rPr>
          <w:rFonts w:ascii="Perpetua" w:hAnsi="Perpetua"/>
          <w:b/>
          <w:sz w:val="22"/>
          <w:szCs w:val="22"/>
        </w:rPr>
        <w:t xml:space="preserve"> 2:</w:t>
      </w:r>
    </w:p>
    <w:p w:rsidR="00F72F49" w:rsidRPr="006576FE" w:rsidRDefault="00F72F49" w:rsidP="00F72F49">
      <w:pPr>
        <w:spacing w:line="360" w:lineRule="auto"/>
        <w:jc w:val="both"/>
        <w:rPr>
          <w:rFonts w:ascii="Perpetua" w:hAnsi="Perpetua"/>
          <w:b/>
        </w:rPr>
      </w:pPr>
    </w:p>
    <w:p w:rsidR="00F72F49" w:rsidRDefault="0048473F" w:rsidP="00F72F49">
      <w:pPr>
        <w:spacing w:line="360" w:lineRule="auto"/>
        <w:jc w:val="both"/>
        <w:rPr>
          <w:rFonts w:ascii="Perpetua" w:hAnsi="Perpetua"/>
        </w:rPr>
      </w:pPr>
      <m:oMathPara>
        <m:oMath>
          <m:func>
            <m:funcPr>
              <m:ctrlPr>
                <w:rPr>
                  <w:rFonts w:ascii="Cambria Math" w:hAnsi="Cambria Math"/>
                  <w:i/>
                  <w:sz w:val="22"/>
                  <w:szCs w:val="22"/>
                </w:rPr>
              </m:ctrlPr>
            </m:funcPr>
            <m:fName>
              <m:r>
                <m:rPr>
                  <m:sty m:val="p"/>
                </m:rPr>
                <w:rPr>
                  <w:rFonts w:ascii="Cambria Math" w:hAnsi="Cambria Math"/>
                  <w:sz w:val="22"/>
                  <w:szCs w:val="22"/>
                </w:rPr>
                <m:t>ln</m:t>
              </m:r>
            </m:fName>
            <m:e>
              <m:r>
                <w:rPr>
                  <w:rFonts w:ascii="Cambria Math" w:hAnsi="Cambria Math"/>
                  <w:sz w:val="22"/>
                  <w:szCs w:val="22"/>
                </w:rPr>
                <m:t>Produtividade</m:t>
              </m:r>
            </m:e>
          </m:func>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0</m:t>
              </m:r>
            </m:sub>
          </m:sSub>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1</m:t>
              </m:r>
            </m:sub>
          </m:sSub>
          <m:r>
            <w:rPr>
              <w:rFonts w:ascii="Cambria Math" w:hAnsi="Cambria Math"/>
              <w:sz w:val="22"/>
              <w:szCs w:val="22"/>
            </w:rPr>
            <m:t>.Carga +</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2</m:t>
              </m:r>
            </m:sub>
          </m:sSub>
          <m:r>
            <w:rPr>
              <w:rFonts w:ascii="Cambria Math" w:hAnsi="Cambria Math"/>
              <w:sz w:val="22"/>
              <w:szCs w:val="22"/>
            </w:rPr>
            <m:t xml:space="preserve">. </m:t>
          </m:r>
          <m:sSup>
            <m:sSupPr>
              <m:ctrlPr>
                <w:rPr>
                  <w:rFonts w:ascii="Cambria Math" w:hAnsi="Cambria Math"/>
                  <w:i/>
                  <w:sz w:val="22"/>
                  <w:szCs w:val="22"/>
                </w:rPr>
              </m:ctrlPr>
            </m:sSupPr>
            <m:e>
              <m:r>
                <w:rPr>
                  <w:rFonts w:ascii="Cambria Math" w:hAnsi="Cambria Math"/>
                  <w:sz w:val="22"/>
                  <w:szCs w:val="22"/>
                </w:rPr>
                <m:t>Carga</m:t>
              </m:r>
            </m:e>
            <m:sup>
              <m:r>
                <w:rPr>
                  <w:rFonts w:ascii="Cambria Math" w:hAnsi="Cambria Math"/>
                  <w:sz w:val="22"/>
                  <w:szCs w:val="22"/>
                </w:rPr>
                <m:t>2</m:t>
              </m:r>
            </m:sup>
          </m:sSup>
          <m:r>
            <w:rPr>
              <w:rFonts w:ascii="Cambria Math" w:hAnsi="Cambria Math"/>
              <w:sz w:val="22"/>
              <w:szCs w:val="22"/>
            </w:rPr>
            <m:t>+</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5</m:t>
              </m:r>
            </m:sub>
          </m:sSub>
          <m:r>
            <w:rPr>
              <w:rFonts w:ascii="Cambria Math" w:hAnsi="Cambria Math"/>
              <w:sz w:val="22"/>
              <w:szCs w:val="22"/>
            </w:rPr>
            <m:t>.Advogados+</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6</m:t>
              </m:r>
            </m:sub>
          </m:sSub>
          <m:r>
            <w:rPr>
              <w:rFonts w:ascii="Cambria Math" w:hAnsi="Cambria Math"/>
              <w:sz w:val="22"/>
              <w:szCs w:val="22"/>
            </w:rPr>
            <m:t>.Solicitadores+</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7</m:t>
              </m:r>
            </m:sub>
          </m:sSub>
          <m:r>
            <w:rPr>
              <w:rFonts w:ascii="Cambria Math" w:hAnsi="Cambria Math"/>
              <w:sz w:val="22"/>
              <w:szCs w:val="22"/>
            </w:rPr>
            <m:t>.Funcionários+</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8</m:t>
              </m:r>
            </m:sub>
          </m:sSub>
          <m:r>
            <w:rPr>
              <w:rFonts w:ascii="Cambria Math" w:hAnsi="Cambria Math"/>
              <w:sz w:val="22"/>
              <w:szCs w:val="22"/>
            </w:rPr>
            <m:t>.PIBpc+</m:t>
          </m:r>
          <m:sSub>
            <m:sSubPr>
              <m:ctrlPr>
                <w:rPr>
                  <w:rFonts w:ascii="Cambria Math" w:hAnsi="Cambria Math"/>
                  <w:i/>
                  <w:sz w:val="22"/>
                  <w:szCs w:val="22"/>
                </w:rPr>
              </m:ctrlPr>
            </m:sSubPr>
            <m:e>
              <m:r>
                <w:rPr>
                  <w:rFonts w:ascii="Cambria Math" w:hAnsi="Cambria Math"/>
                  <w:sz w:val="22"/>
                  <w:szCs w:val="22"/>
                </w:rPr>
                <m:t>β</m:t>
              </m:r>
            </m:e>
            <m:sub>
              <m:r>
                <w:rPr>
                  <w:rFonts w:ascii="Cambria Math" w:hAnsi="Cambria Math"/>
                  <w:sz w:val="22"/>
                  <w:szCs w:val="22"/>
                </w:rPr>
                <m:t>9</m:t>
              </m:r>
            </m:sub>
          </m:sSub>
          <m:r>
            <w:rPr>
              <w:rFonts w:ascii="Cambria Math" w:hAnsi="Cambria Math"/>
              <w:sz w:val="22"/>
              <w:szCs w:val="22"/>
            </w:rPr>
            <m:t>.DensidadePopulacional+e</m:t>
          </m:r>
        </m:oMath>
      </m:oMathPara>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Os resultados da estimação da equação 2 </w:t>
      </w:r>
      <w:r w:rsidR="00847A35">
        <w:rPr>
          <w:rFonts w:ascii="Perpetua" w:hAnsi="Perpetua"/>
        </w:rPr>
        <w:t xml:space="preserve">apresentados nos Quadros 5.13 e 5.14 </w:t>
      </w:r>
      <w:r w:rsidR="00114491">
        <w:rPr>
          <w:rFonts w:ascii="Perpetua" w:hAnsi="Perpetua"/>
        </w:rPr>
        <w:t xml:space="preserve">confirmam </w:t>
      </w:r>
      <w:r w:rsidR="00847A35">
        <w:rPr>
          <w:rFonts w:ascii="Perpetua" w:hAnsi="Perpetua"/>
        </w:rPr>
        <w:t>que</w:t>
      </w:r>
      <w:r w:rsidR="00D912E2">
        <w:rPr>
          <w:rFonts w:ascii="Perpetua" w:hAnsi="Perpetua"/>
        </w:rPr>
        <w:t xml:space="preserve"> </w:t>
      </w:r>
      <w:r w:rsidR="00114491">
        <w:rPr>
          <w:rFonts w:ascii="Perpetua" w:hAnsi="Perpetua"/>
        </w:rPr>
        <w:t>a carga judicial e o coeficiente de funcionários judiciais por magistrado judicial</w:t>
      </w:r>
      <w:r w:rsidR="00847A35">
        <w:rPr>
          <w:rFonts w:ascii="Perpetua" w:hAnsi="Perpetua"/>
        </w:rPr>
        <w:t xml:space="preserve"> </w:t>
      </w:r>
      <w:r w:rsidR="00114491">
        <w:rPr>
          <w:rFonts w:ascii="Perpetua" w:hAnsi="Perpetua"/>
        </w:rPr>
        <w:t xml:space="preserve">são os principais factores explicativos dos diferenciais de produtividade judicial observados – ambas as variáveis são estatisticamente significativas em (4), (5) e (6) e com o sinal esperado. </w:t>
      </w:r>
      <w:r w:rsidR="000F4036">
        <w:rPr>
          <w:rFonts w:ascii="Perpetua" w:hAnsi="Perpetua"/>
        </w:rPr>
        <w:t>A qualidade do ajustamento revela-se também bastante elevada. Porém, n</w:t>
      </w:r>
      <w:r w:rsidR="00114491">
        <w:rPr>
          <w:rFonts w:ascii="Perpetua" w:hAnsi="Perpetua"/>
        </w:rPr>
        <w:t xml:space="preserve">enhuma das restantes variáveis </w:t>
      </w:r>
      <w:r>
        <w:rPr>
          <w:rFonts w:ascii="Perpetua" w:hAnsi="Perpetua"/>
        </w:rPr>
        <w:t>exógenas mant</w:t>
      </w:r>
      <w:r w:rsidR="00114491">
        <w:rPr>
          <w:rFonts w:ascii="Perpetua" w:hAnsi="Perpetua"/>
        </w:rPr>
        <w:t>é</w:t>
      </w:r>
      <w:r>
        <w:rPr>
          <w:rFonts w:ascii="Perpetua" w:hAnsi="Perpetua"/>
        </w:rPr>
        <w:t xml:space="preserve">m o sinal da relação </w:t>
      </w:r>
      <w:r w:rsidR="009974F0">
        <w:rPr>
          <w:rFonts w:ascii="Perpetua" w:hAnsi="Perpetua"/>
        </w:rPr>
        <w:t>com</w:t>
      </w:r>
      <w:r>
        <w:rPr>
          <w:rFonts w:ascii="Perpetua" w:hAnsi="Perpetua"/>
        </w:rPr>
        <w:t xml:space="preserve"> a variável endógena e </w:t>
      </w:r>
      <w:r w:rsidR="009974F0">
        <w:rPr>
          <w:rFonts w:ascii="Perpetua" w:hAnsi="Perpetua"/>
        </w:rPr>
        <w:t>os</w:t>
      </w:r>
      <w:r>
        <w:rPr>
          <w:rFonts w:ascii="Perpetua" w:hAnsi="Perpetua"/>
        </w:rPr>
        <w:t xml:space="preserve"> níveis de confiança estatística elevados </w:t>
      </w:r>
      <w:r w:rsidR="009974F0">
        <w:rPr>
          <w:rFonts w:ascii="Perpetua" w:hAnsi="Perpetua"/>
        </w:rPr>
        <w:t xml:space="preserve">para as três estimações da equação 2 simultaneamente. </w:t>
      </w:r>
    </w:p>
    <w:p w:rsidR="00F72F49" w:rsidRDefault="00F72F49" w:rsidP="00847A35"/>
    <w:p w:rsidR="00F72F49" w:rsidRPr="00847A35" w:rsidRDefault="00847A35" w:rsidP="00847A35">
      <w:pPr>
        <w:pStyle w:val="Caption"/>
        <w:jc w:val="center"/>
        <w:rPr>
          <w:rFonts w:ascii="Perpetua" w:hAnsi="Perpetua"/>
        </w:rPr>
      </w:pPr>
      <w:bookmarkStart w:id="135" w:name="_Toc215081953"/>
      <w:r w:rsidRPr="00847A35">
        <w:rPr>
          <w:rFonts w:ascii="Perpetua" w:hAnsi="Perpetua"/>
        </w:rPr>
        <w:t xml:space="preserve">Quadro </w:t>
      </w:r>
      <w:r w:rsidR="0048473F" w:rsidRPr="00847A35">
        <w:rPr>
          <w:rFonts w:ascii="Perpetua" w:hAnsi="Perpetua"/>
        </w:rPr>
        <w:fldChar w:fldCharType="begin"/>
      </w:r>
      <w:r w:rsidRPr="00847A35">
        <w:rPr>
          <w:rFonts w:ascii="Perpetua" w:hAnsi="Perpetua"/>
        </w:rPr>
        <w:instrText xml:space="preserve"> STYLEREF 1 \s </w:instrText>
      </w:r>
      <w:r w:rsidR="0048473F" w:rsidRPr="00847A35">
        <w:rPr>
          <w:rFonts w:ascii="Perpetua" w:hAnsi="Perpetua"/>
        </w:rPr>
        <w:fldChar w:fldCharType="separate"/>
      </w:r>
      <w:r w:rsidR="00FF37B9">
        <w:rPr>
          <w:rFonts w:ascii="Perpetua" w:hAnsi="Perpetua"/>
          <w:noProof/>
        </w:rPr>
        <w:t>5</w:t>
      </w:r>
      <w:r w:rsidR="0048473F" w:rsidRPr="00847A35">
        <w:rPr>
          <w:rFonts w:ascii="Perpetua" w:hAnsi="Perpetua"/>
        </w:rPr>
        <w:fldChar w:fldCharType="end"/>
      </w:r>
      <w:r w:rsidRPr="00847A35">
        <w:rPr>
          <w:rFonts w:ascii="Perpetua" w:hAnsi="Perpetua"/>
        </w:rPr>
        <w:t>.</w:t>
      </w:r>
      <w:r w:rsidR="0048473F" w:rsidRPr="00847A35">
        <w:rPr>
          <w:rFonts w:ascii="Perpetua" w:hAnsi="Perpetua"/>
        </w:rPr>
        <w:fldChar w:fldCharType="begin"/>
      </w:r>
      <w:r w:rsidRPr="00847A35">
        <w:rPr>
          <w:rFonts w:ascii="Perpetua" w:hAnsi="Perpetua"/>
        </w:rPr>
        <w:instrText xml:space="preserve"> SEQ Quadro \* ARABIC \s 1 </w:instrText>
      </w:r>
      <w:r w:rsidR="0048473F" w:rsidRPr="00847A35">
        <w:rPr>
          <w:rFonts w:ascii="Perpetua" w:hAnsi="Perpetua"/>
        </w:rPr>
        <w:fldChar w:fldCharType="separate"/>
      </w:r>
      <w:r w:rsidR="00FF37B9">
        <w:rPr>
          <w:rFonts w:ascii="Perpetua" w:hAnsi="Perpetua"/>
          <w:noProof/>
        </w:rPr>
        <w:t>13</w:t>
      </w:r>
      <w:r w:rsidR="0048473F" w:rsidRPr="00847A35">
        <w:rPr>
          <w:rFonts w:ascii="Perpetua" w:hAnsi="Perpetua"/>
        </w:rPr>
        <w:fldChar w:fldCharType="end"/>
      </w:r>
      <w:r w:rsidR="00F72F49" w:rsidRPr="00847A35">
        <w:rPr>
          <w:rFonts w:ascii="Perpetua" w:hAnsi="Perpetua"/>
        </w:rPr>
        <w:t xml:space="preserve"> – </w:t>
      </w:r>
      <w:r w:rsidRPr="003042EF">
        <w:rPr>
          <w:rFonts w:ascii="Perpetua" w:hAnsi="Perpetua"/>
        </w:rPr>
        <w:t xml:space="preserve">Resultados das estimações </w:t>
      </w:r>
      <w:r>
        <w:rPr>
          <w:rFonts w:ascii="Perpetua" w:hAnsi="Perpetua"/>
        </w:rPr>
        <w:t xml:space="preserve">econométricas </w:t>
      </w:r>
      <w:r w:rsidRPr="003042EF">
        <w:rPr>
          <w:rFonts w:ascii="Perpetua" w:hAnsi="Perpetua"/>
        </w:rPr>
        <w:t xml:space="preserve">da Equação </w:t>
      </w:r>
      <w:r>
        <w:rPr>
          <w:rFonts w:ascii="Perpetua" w:hAnsi="Perpetua"/>
        </w:rPr>
        <w:t>2</w:t>
      </w:r>
      <w:bookmarkEnd w:id="135"/>
    </w:p>
    <w:p w:rsidR="00F72F49" w:rsidRPr="00C74DB2" w:rsidRDefault="00F72F49" w:rsidP="00F72F49"/>
    <w:tbl>
      <w:tblPr>
        <w:tblW w:w="0" w:type="auto"/>
        <w:jc w:val="center"/>
        <w:tblInd w:w="55" w:type="dxa"/>
        <w:tblCellMar>
          <w:left w:w="70" w:type="dxa"/>
          <w:right w:w="70" w:type="dxa"/>
        </w:tblCellMar>
        <w:tblLook w:val="04A0"/>
      </w:tblPr>
      <w:tblGrid>
        <w:gridCol w:w="1999"/>
        <w:gridCol w:w="909"/>
        <w:gridCol w:w="708"/>
        <w:gridCol w:w="579"/>
        <w:gridCol w:w="909"/>
        <w:gridCol w:w="709"/>
        <w:gridCol w:w="579"/>
        <w:gridCol w:w="909"/>
        <w:gridCol w:w="709"/>
        <w:gridCol w:w="579"/>
      </w:tblGrid>
      <w:tr w:rsidR="00847A35" w:rsidRPr="00847A35" w:rsidTr="000F4036">
        <w:trPr>
          <w:trHeight w:val="555"/>
          <w:jc w:val="center"/>
        </w:trPr>
        <w:tc>
          <w:tcPr>
            <w:tcW w:w="0" w:type="auto"/>
            <w:tcBorders>
              <w:top w:val="nil"/>
              <w:left w:val="nil"/>
              <w:bottom w:val="single" w:sz="4" w:space="0" w:color="auto"/>
              <w:right w:val="single" w:sz="4" w:space="0" w:color="auto"/>
            </w:tcBorders>
            <w:shd w:val="clear" w:color="000000" w:fill="FFFFFF"/>
            <w:noWrap/>
            <w:vAlign w:val="bottom"/>
          </w:tcPr>
          <w:p w:rsidR="00847A35" w:rsidRPr="00847A35" w:rsidRDefault="00847A35" w:rsidP="00847A35">
            <w:pPr>
              <w:rPr>
                <w:rFonts w:ascii="Perpetua" w:hAnsi="Perpetua"/>
                <w:color w:val="000000"/>
                <w:sz w:val="18"/>
                <w:szCs w:val="18"/>
              </w:rPr>
            </w:pPr>
            <w:r w:rsidRPr="00847A35">
              <w:rPr>
                <w:rFonts w:ascii="Perpetua" w:hAnsi="Perpetua"/>
                <w:color w:val="000000"/>
                <w:sz w:val="18"/>
                <w:szCs w:val="18"/>
              </w:rPr>
              <w:t> </w:t>
            </w:r>
          </w:p>
        </w:tc>
        <w:tc>
          <w:tcPr>
            <w:tcW w:w="0" w:type="auto"/>
            <w:gridSpan w:val="3"/>
            <w:tcBorders>
              <w:top w:val="nil"/>
              <w:left w:val="nil"/>
              <w:bottom w:val="single" w:sz="4" w:space="0" w:color="auto"/>
              <w:right w:val="single" w:sz="4" w:space="0" w:color="auto"/>
            </w:tcBorders>
            <w:shd w:val="clear" w:color="000000" w:fill="FFFFFF"/>
            <w:vAlign w:val="center"/>
          </w:tcPr>
          <w:p w:rsid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Cluster 1</w:t>
            </w:r>
          </w:p>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(4)</w:t>
            </w:r>
          </w:p>
        </w:tc>
        <w:tc>
          <w:tcPr>
            <w:tcW w:w="0" w:type="auto"/>
            <w:gridSpan w:val="3"/>
            <w:tcBorders>
              <w:top w:val="nil"/>
              <w:left w:val="nil"/>
              <w:bottom w:val="single" w:sz="4" w:space="0" w:color="auto"/>
              <w:right w:val="single" w:sz="4" w:space="0" w:color="auto"/>
            </w:tcBorders>
            <w:shd w:val="clear" w:color="000000" w:fill="FFFFFF"/>
            <w:vAlign w:val="center"/>
          </w:tcPr>
          <w:p w:rsid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Cluster 2</w:t>
            </w:r>
          </w:p>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(5)</w:t>
            </w:r>
          </w:p>
        </w:tc>
        <w:tc>
          <w:tcPr>
            <w:tcW w:w="0" w:type="auto"/>
            <w:gridSpan w:val="3"/>
            <w:tcBorders>
              <w:top w:val="nil"/>
              <w:left w:val="nil"/>
              <w:bottom w:val="single" w:sz="4" w:space="0" w:color="auto"/>
            </w:tcBorders>
            <w:shd w:val="clear" w:color="000000" w:fill="FFFFFF"/>
            <w:vAlign w:val="center"/>
          </w:tcPr>
          <w:p w:rsid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Cluster 3</w:t>
            </w:r>
          </w:p>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(6)</w:t>
            </w:r>
          </w:p>
        </w:tc>
      </w:tr>
      <w:tr w:rsidR="00847A35" w:rsidRPr="00847A35" w:rsidTr="005D2136">
        <w:trPr>
          <w:trHeight w:val="64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 </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P - value</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P - value</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P - value</w:t>
            </w:r>
          </w:p>
        </w:tc>
        <w:tc>
          <w:tcPr>
            <w:tcW w:w="0" w:type="auto"/>
            <w:tcBorders>
              <w:top w:val="nil"/>
              <w:left w:val="nil"/>
              <w:bottom w:val="single" w:sz="4" w:space="0" w:color="auto"/>
              <w:right w:val="nil"/>
            </w:tcBorders>
            <w:shd w:val="clear" w:color="000000" w:fill="FFFFFF"/>
            <w:vAlign w:val="center"/>
          </w:tcPr>
          <w:p w:rsidR="00847A35" w:rsidRPr="00847A35" w:rsidRDefault="00847A35" w:rsidP="00847A35">
            <w:pPr>
              <w:jc w:val="center"/>
              <w:rPr>
                <w:rFonts w:ascii="Perpetua" w:hAnsi="Perpetua"/>
                <w:b/>
                <w:bCs/>
                <w:color w:val="000000"/>
                <w:sz w:val="18"/>
                <w:szCs w:val="18"/>
              </w:rPr>
            </w:pPr>
            <w:r w:rsidRPr="00847A35">
              <w:rPr>
                <w:rFonts w:ascii="Perpetua" w:hAnsi="Perpetua"/>
                <w:b/>
                <w:bCs/>
                <w:color w:val="000000"/>
                <w:sz w:val="18"/>
                <w:szCs w:val="18"/>
              </w:rPr>
              <w:t>Beta</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Carga judicial</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0,0018102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1,941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0,0011133</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0,031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1,242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0,0015253</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1,691</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(Carga judicial) ^2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-5,05E-07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-1,385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-2,26E-07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0,161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-0,636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-4,11E-07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-1,200</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Advogados</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-0,0023627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0,530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-0,027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-0,0171244</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0,228</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-0,161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-0,0112939</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0,002</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-0,112</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Solicitadores</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0,0224727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0,266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0,035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-0,0865883</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0,034</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-0,176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-0,028027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0,005</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-0,097</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 xml:space="preserve">Funcionários </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0,0614675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0,300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0,0608123</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0,035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0,305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0,0753781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0,398</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 xml:space="preserve">PIB </w:t>
            </w:r>
            <w:proofErr w:type="gramStart"/>
            <w:r w:rsidR="00BF6760" w:rsidRPr="00BF6760">
              <w:rPr>
                <w:rFonts w:ascii="Perpetua" w:hAnsi="Perpetua"/>
                <w:b/>
                <w:bCs/>
                <w:i/>
                <w:color w:val="000000"/>
                <w:sz w:val="18"/>
                <w:szCs w:val="18"/>
              </w:rPr>
              <w:t>per capita</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-2,48E-06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0,811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-0,011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3,63E-05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0,059</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0,146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0,0000141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0,065</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0,068</w:t>
            </w:r>
          </w:p>
        </w:tc>
      </w:tr>
      <w:tr w:rsidR="00847A35" w:rsidRPr="00847A35" w:rsidTr="005D2136">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Densidade populacional</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0,0000986</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0,013</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0,112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0,0001025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0,040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0,091</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0,0000488</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0,330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0,037</w:t>
            </w:r>
          </w:p>
        </w:tc>
      </w:tr>
      <w:tr w:rsidR="00847A35" w:rsidRPr="00847A35" w:rsidTr="000F4036">
        <w:trPr>
          <w:trHeight w:val="329"/>
          <w:jc w:val="center"/>
        </w:trPr>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Constante</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4,297878</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4,334346</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4,348124</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nil"/>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w:t>
            </w:r>
          </w:p>
        </w:tc>
      </w:tr>
    </w:tbl>
    <w:p w:rsidR="000F4036" w:rsidRDefault="000F4036" w:rsidP="002F233D">
      <w:pPr>
        <w:spacing w:line="360" w:lineRule="auto"/>
        <w:jc w:val="center"/>
        <w:rPr>
          <w:rFonts w:ascii="Perpetua" w:hAnsi="Perpetua"/>
          <w:sz w:val="18"/>
          <w:szCs w:val="18"/>
        </w:rPr>
      </w:pPr>
    </w:p>
    <w:p w:rsidR="002F233D"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E54747" w:rsidRPr="00F45260" w:rsidRDefault="00E54747" w:rsidP="002F233D">
      <w:pPr>
        <w:spacing w:line="360" w:lineRule="auto"/>
        <w:jc w:val="center"/>
        <w:rPr>
          <w:rFonts w:ascii="Perpetua" w:hAnsi="Perpetua"/>
          <w:sz w:val="18"/>
          <w:szCs w:val="18"/>
        </w:rPr>
      </w:pPr>
    </w:p>
    <w:p w:rsidR="00847A35" w:rsidRPr="00847A35" w:rsidRDefault="00847A35" w:rsidP="00847A35">
      <w:pPr>
        <w:pStyle w:val="Caption"/>
        <w:jc w:val="center"/>
        <w:rPr>
          <w:rFonts w:ascii="Perpetua" w:hAnsi="Perpetua"/>
        </w:rPr>
      </w:pPr>
      <w:bookmarkStart w:id="136" w:name="_Toc215081954"/>
      <w:r w:rsidRPr="00847A35">
        <w:rPr>
          <w:rFonts w:ascii="Perpetua" w:hAnsi="Perpetua"/>
        </w:rPr>
        <w:t xml:space="preserve">Quadro </w:t>
      </w:r>
      <w:r w:rsidR="0048473F" w:rsidRPr="00847A35">
        <w:rPr>
          <w:rFonts w:ascii="Perpetua" w:hAnsi="Perpetua"/>
        </w:rPr>
        <w:fldChar w:fldCharType="begin"/>
      </w:r>
      <w:r w:rsidRPr="00847A35">
        <w:rPr>
          <w:rFonts w:ascii="Perpetua" w:hAnsi="Perpetua"/>
        </w:rPr>
        <w:instrText xml:space="preserve"> STYLEREF 1 \s </w:instrText>
      </w:r>
      <w:r w:rsidR="0048473F" w:rsidRPr="00847A35">
        <w:rPr>
          <w:rFonts w:ascii="Perpetua" w:hAnsi="Perpetua"/>
        </w:rPr>
        <w:fldChar w:fldCharType="separate"/>
      </w:r>
      <w:r w:rsidR="00FF37B9">
        <w:rPr>
          <w:rFonts w:ascii="Perpetua" w:hAnsi="Perpetua"/>
          <w:noProof/>
        </w:rPr>
        <w:t>5</w:t>
      </w:r>
      <w:r w:rsidR="0048473F" w:rsidRPr="00847A35">
        <w:rPr>
          <w:rFonts w:ascii="Perpetua" w:hAnsi="Perpetua"/>
        </w:rPr>
        <w:fldChar w:fldCharType="end"/>
      </w:r>
      <w:r w:rsidRPr="00847A35">
        <w:rPr>
          <w:rFonts w:ascii="Perpetua" w:hAnsi="Perpetua"/>
        </w:rPr>
        <w:t>.</w:t>
      </w:r>
      <w:r w:rsidR="0048473F" w:rsidRPr="00847A35">
        <w:rPr>
          <w:rFonts w:ascii="Perpetua" w:hAnsi="Perpetua"/>
        </w:rPr>
        <w:fldChar w:fldCharType="begin"/>
      </w:r>
      <w:r w:rsidRPr="00847A35">
        <w:rPr>
          <w:rFonts w:ascii="Perpetua" w:hAnsi="Perpetua"/>
        </w:rPr>
        <w:instrText xml:space="preserve"> SEQ Quadro \* ARABIC \s 1 </w:instrText>
      </w:r>
      <w:r w:rsidR="0048473F" w:rsidRPr="00847A35">
        <w:rPr>
          <w:rFonts w:ascii="Perpetua" w:hAnsi="Perpetua"/>
        </w:rPr>
        <w:fldChar w:fldCharType="separate"/>
      </w:r>
      <w:r w:rsidR="00FF37B9">
        <w:rPr>
          <w:rFonts w:ascii="Perpetua" w:hAnsi="Perpetua"/>
          <w:noProof/>
        </w:rPr>
        <w:t>14</w:t>
      </w:r>
      <w:r w:rsidR="0048473F" w:rsidRPr="00847A35">
        <w:rPr>
          <w:rFonts w:ascii="Perpetua" w:hAnsi="Perpetua"/>
        </w:rPr>
        <w:fldChar w:fldCharType="end"/>
      </w:r>
      <w:r w:rsidRPr="00847A35">
        <w:rPr>
          <w:rFonts w:ascii="Perpetua" w:hAnsi="Perpetua"/>
        </w:rPr>
        <w:t xml:space="preserve"> – </w:t>
      </w:r>
      <w:r w:rsidRPr="003042EF">
        <w:rPr>
          <w:rFonts w:ascii="Perpetua" w:hAnsi="Perpetua"/>
        </w:rPr>
        <w:t xml:space="preserve">Resultados das estimações </w:t>
      </w:r>
      <w:r>
        <w:rPr>
          <w:rFonts w:ascii="Perpetua" w:hAnsi="Perpetua"/>
        </w:rPr>
        <w:t xml:space="preserve">econométricas </w:t>
      </w:r>
      <w:r w:rsidRPr="003042EF">
        <w:rPr>
          <w:rFonts w:ascii="Perpetua" w:hAnsi="Perpetua"/>
        </w:rPr>
        <w:t xml:space="preserve">da Equação </w:t>
      </w:r>
      <w:r>
        <w:rPr>
          <w:rFonts w:ascii="Perpetua" w:hAnsi="Perpetua"/>
        </w:rPr>
        <w:t>2 (continuação)</w:t>
      </w:r>
      <w:bookmarkEnd w:id="136"/>
    </w:p>
    <w:p w:rsidR="000F61D4" w:rsidRDefault="000F61D4" w:rsidP="00F72F49">
      <w:pPr>
        <w:spacing w:line="360" w:lineRule="auto"/>
        <w:jc w:val="both"/>
        <w:rPr>
          <w:rFonts w:ascii="Perpetua" w:hAnsi="Perpetua"/>
        </w:rPr>
      </w:pPr>
    </w:p>
    <w:tbl>
      <w:tblPr>
        <w:tblW w:w="0" w:type="auto"/>
        <w:jc w:val="center"/>
        <w:tblInd w:w="55" w:type="dxa"/>
        <w:tblCellMar>
          <w:left w:w="70" w:type="dxa"/>
          <w:right w:w="70" w:type="dxa"/>
        </w:tblCellMar>
        <w:tblLook w:val="04A0"/>
      </w:tblPr>
      <w:tblGrid>
        <w:gridCol w:w="2371"/>
        <w:gridCol w:w="523"/>
        <w:gridCol w:w="523"/>
        <w:gridCol w:w="523"/>
      </w:tblGrid>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 </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b/>
                <w:bCs/>
                <w:color w:val="000000"/>
                <w:sz w:val="18"/>
                <w:szCs w:val="18"/>
              </w:rPr>
            </w:pPr>
            <w:r>
              <w:rPr>
                <w:rFonts w:ascii="Perpetua" w:hAnsi="Perpetua"/>
                <w:b/>
                <w:bCs/>
                <w:color w:val="000000"/>
                <w:sz w:val="18"/>
                <w:szCs w:val="18"/>
              </w:rPr>
              <w:t>(</w:t>
            </w:r>
            <w:r w:rsidRPr="00847A35">
              <w:rPr>
                <w:rFonts w:ascii="Perpetua" w:hAnsi="Perpetua"/>
                <w:b/>
                <w:bCs/>
                <w:color w:val="000000"/>
                <w:sz w:val="18"/>
                <w:szCs w:val="18"/>
              </w:rPr>
              <w:t>4</w:t>
            </w:r>
            <w:r>
              <w:rPr>
                <w:rFonts w:ascii="Perpetua" w:hAnsi="Perpetua"/>
                <w:b/>
                <w:bCs/>
                <w:color w:val="000000"/>
                <w:sz w:val="18"/>
                <w:szCs w:val="18"/>
              </w:rPr>
              <w:t>)</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b/>
                <w:bCs/>
                <w:color w:val="000000"/>
                <w:sz w:val="18"/>
                <w:szCs w:val="18"/>
              </w:rPr>
            </w:pPr>
            <w:r>
              <w:rPr>
                <w:rFonts w:ascii="Perpetua" w:hAnsi="Perpetua"/>
                <w:b/>
                <w:bCs/>
                <w:color w:val="000000"/>
                <w:sz w:val="18"/>
                <w:szCs w:val="18"/>
              </w:rPr>
              <w:t>(</w:t>
            </w:r>
            <w:r w:rsidRPr="00847A35">
              <w:rPr>
                <w:rFonts w:ascii="Perpetua" w:hAnsi="Perpetua"/>
                <w:b/>
                <w:bCs/>
                <w:color w:val="000000"/>
                <w:sz w:val="18"/>
                <w:szCs w:val="18"/>
              </w:rPr>
              <w:t>5</w:t>
            </w:r>
            <w:r>
              <w:rPr>
                <w:rFonts w:ascii="Perpetua" w:hAnsi="Perpetua"/>
                <w:b/>
                <w:bCs/>
                <w:color w:val="000000"/>
                <w:sz w:val="18"/>
                <w:szCs w:val="18"/>
              </w:rPr>
              <w:t>)</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b/>
                <w:bCs/>
                <w:color w:val="000000"/>
                <w:sz w:val="18"/>
                <w:szCs w:val="18"/>
              </w:rPr>
            </w:pPr>
            <w:r>
              <w:rPr>
                <w:rFonts w:ascii="Perpetua" w:hAnsi="Perpetua"/>
                <w:b/>
                <w:bCs/>
                <w:color w:val="000000"/>
                <w:sz w:val="18"/>
                <w:szCs w:val="18"/>
              </w:rPr>
              <w:t>(</w:t>
            </w:r>
            <w:r w:rsidRPr="00847A35">
              <w:rPr>
                <w:rFonts w:ascii="Perpetua" w:hAnsi="Perpetua"/>
                <w:b/>
                <w:bCs/>
                <w:color w:val="000000"/>
                <w:sz w:val="18"/>
                <w:szCs w:val="18"/>
              </w:rPr>
              <w:t>6</w:t>
            </w:r>
            <w:r>
              <w:rPr>
                <w:rFonts w:ascii="Perpetua" w:hAnsi="Perpetua"/>
                <w:b/>
                <w:bCs/>
                <w:color w:val="000000"/>
                <w:sz w:val="18"/>
                <w:szCs w:val="18"/>
              </w:rPr>
              <w:t>)</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N</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74</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31</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106</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Aderência global (</w:t>
            </w:r>
            <w:proofErr w:type="gramStart"/>
            <w:r w:rsidRPr="00847A35">
              <w:rPr>
                <w:rFonts w:ascii="Perpetua" w:hAnsi="Perpetua"/>
                <w:b/>
                <w:bCs/>
                <w:color w:val="000000"/>
                <w:sz w:val="18"/>
                <w:szCs w:val="18"/>
              </w:rPr>
              <w:t>Prob &gt;</w:t>
            </w:r>
            <w:proofErr w:type="gramEnd"/>
            <w:r w:rsidRPr="00847A35">
              <w:rPr>
                <w:rFonts w:ascii="Perpetua" w:hAnsi="Perpetua"/>
                <w:b/>
                <w:bCs/>
                <w:color w:val="000000"/>
                <w:sz w:val="18"/>
                <w:szCs w:val="18"/>
              </w:rPr>
              <w:t xml:space="preserve"> F)</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0,000</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R2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0,935</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0,835</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0,858</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R2 ajustado</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0,928</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0,785</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0,848</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Breusch-Pagan (</w:t>
            </w:r>
            <w:proofErr w:type="gramStart"/>
            <w:r w:rsidRPr="00847A35">
              <w:rPr>
                <w:rFonts w:ascii="Perpetua" w:hAnsi="Perpetua"/>
                <w:b/>
                <w:bCs/>
                <w:color w:val="000000"/>
                <w:sz w:val="18"/>
                <w:szCs w:val="18"/>
              </w:rPr>
              <w:t>Prob &gt;</w:t>
            </w:r>
            <w:proofErr w:type="gramEnd"/>
            <w:r w:rsidRPr="00847A35">
              <w:rPr>
                <w:rFonts w:ascii="Perpetua" w:hAnsi="Perpetua"/>
                <w:b/>
                <w:bCs/>
                <w:color w:val="000000"/>
                <w:sz w:val="18"/>
                <w:szCs w:val="18"/>
              </w:rPr>
              <w:t xml:space="preserve"> Chi2)</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0,858</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0,590</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0,418</w:t>
            </w:r>
          </w:p>
        </w:tc>
      </w:tr>
      <w:tr w:rsidR="00847A35" w:rsidRPr="00847A35" w:rsidTr="00847A35">
        <w:trPr>
          <w:trHeight w:val="510"/>
          <w:jc w:val="center"/>
        </w:trPr>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Ramsey (</w:t>
            </w:r>
            <w:proofErr w:type="gramStart"/>
            <w:r w:rsidRPr="00847A35">
              <w:rPr>
                <w:rFonts w:ascii="Perpetua" w:hAnsi="Perpetua"/>
                <w:b/>
                <w:bCs/>
                <w:color w:val="000000"/>
                <w:sz w:val="18"/>
                <w:szCs w:val="18"/>
              </w:rPr>
              <w:t>Prob &gt;</w:t>
            </w:r>
            <w:proofErr w:type="gramEnd"/>
            <w:r w:rsidRPr="00847A35">
              <w:rPr>
                <w:rFonts w:ascii="Perpetua" w:hAnsi="Perpetua"/>
                <w:b/>
                <w:bCs/>
                <w:color w:val="000000"/>
                <w:sz w:val="18"/>
                <w:szCs w:val="18"/>
              </w:rPr>
              <w:t xml:space="preserve"> F)</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0,007</w:t>
            </w:r>
          </w:p>
        </w:tc>
        <w:tc>
          <w:tcPr>
            <w:tcW w:w="0" w:type="auto"/>
            <w:tcBorders>
              <w:top w:val="nil"/>
              <w:left w:val="nil"/>
              <w:bottom w:val="single" w:sz="4" w:space="0" w:color="auto"/>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0,783</w:t>
            </w:r>
          </w:p>
        </w:tc>
        <w:tc>
          <w:tcPr>
            <w:tcW w:w="0" w:type="auto"/>
            <w:tcBorders>
              <w:top w:val="nil"/>
              <w:left w:val="nil"/>
              <w:bottom w:val="single" w:sz="4" w:space="0" w:color="auto"/>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0,066</w:t>
            </w:r>
          </w:p>
        </w:tc>
      </w:tr>
      <w:tr w:rsidR="00847A35" w:rsidRPr="00847A35" w:rsidTr="00847A35">
        <w:trPr>
          <w:trHeight w:val="510"/>
          <w:jc w:val="center"/>
        </w:trPr>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rPr>
                <w:rFonts w:ascii="Perpetua" w:hAnsi="Perpetua"/>
                <w:b/>
                <w:bCs/>
                <w:color w:val="000000"/>
                <w:sz w:val="18"/>
                <w:szCs w:val="18"/>
              </w:rPr>
            </w:pPr>
            <w:r w:rsidRPr="00847A35">
              <w:rPr>
                <w:rFonts w:ascii="Perpetua" w:hAnsi="Perpetua"/>
                <w:b/>
                <w:bCs/>
                <w:color w:val="000000"/>
                <w:sz w:val="18"/>
                <w:szCs w:val="18"/>
              </w:rPr>
              <w:t>VIF médio</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2,152</w:t>
            </w:r>
          </w:p>
        </w:tc>
        <w:tc>
          <w:tcPr>
            <w:tcW w:w="0" w:type="auto"/>
            <w:tcBorders>
              <w:top w:val="nil"/>
              <w:left w:val="nil"/>
              <w:bottom w:val="nil"/>
              <w:right w:val="single" w:sz="4" w:space="0" w:color="auto"/>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1,988</w:t>
            </w:r>
          </w:p>
        </w:tc>
        <w:tc>
          <w:tcPr>
            <w:tcW w:w="0" w:type="auto"/>
            <w:tcBorders>
              <w:top w:val="nil"/>
              <w:left w:val="nil"/>
              <w:bottom w:val="nil"/>
              <w:right w:val="nil"/>
            </w:tcBorders>
            <w:shd w:val="clear" w:color="000000" w:fill="FFFFFF"/>
            <w:noWrap/>
            <w:vAlign w:val="center"/>
          </w:tcPr>
          <w:p w:rsidR="00847A35" w:rsidRPr="00847A35" w:rsidRDefault="00847A35" w:rsidP="00847A35">
            <w:pPr>
              <w:jc w:val="center"/>
              <w:rPr>
                <w:rFonts w:ascii="Perpetua" w:hAnsi="Perpetua"/>
                <w:color w:val="000000"/>
                <w:sz w:val="18"/>
                <w:szCs w:val="18"/>
              </w:rPr>
            </w:pPr>
            <w:r w:rsidRPr="00847A35">
              <w:rPr>
                <w:rFonts w:ascii="Perpetua" w:hAnsi="Perpetua"/>
                <w:color w:val="000000"/>
                <w:sz w:val="18"/>
                <w:szCs w:val="18"/>
              </w:rPr>
              <w:t>2,094</w:t>
            </w:r>
          </w:p>
        </w:tc>
      </w:tr>
    </w:tbl>
    <w:p w:rsidR="002F233D" w:rsidRDefault="002F233D" w:rsidP="002F233D">
      <w:pPr>
        <w:spacing w:line="360" w:lineRule="auto"/>
        <w:jc w:val="center"/>
        <w:rPr>
          <w:rFonts w:ascii="Perpetua" w:hAnsi="Perpetua"/>
          <w:sz w:val="18"/>
          <w:szCs w:val="18"/>
        </w:rPr>
      </w:pPr>
    </w:p>
    <w:p w:rsidR="002F233D" w:rsidRPr="00F45260" w:rsidRDefault="002F233D" w:rsidP="002F233D">
      <w:pPr>
        <w:spacing w:line="360" w:lineRule="auto"/>
        <w:jc w:val="center"/>
        <w:rPr>
          <w:rFonts w:ascii="Perpetua" w:hAnsi="Perpetua"/>
          <w:sz w:val="18"/>
          <w:szCs w:val="18"/>
        </w:rPr>
      </w:pPr>
      <w:r>
        <w:rPr>
          <w:rFonts w:ascii="Perpetua" w:hAnsi="Perpetua"/>
          <w:sz w:val="18"/>
          <w:szCs w:val="18"/>
        </w:rPr>
        <w:t xml:space="preserve">Fonte: Estatísticas da Justiça e cálculos próprios. </w:t>
      </w:r>
    </w:p>
    <w:p w:rsidR="00F72F49" w:rsidRDefault="00FC5401" w:rsidP="00F73C55">
      <w:pPr>
        <w:pStyle w:val="Heading2"/>
      </w:pPr>
      <w:bookmarkStart w:id="137" w:name="_Toc206652084"/>
      <w:bookmarkStart w:id="138" w:name="_Toc220484485"/>
      <w:r>
        <w:t>5</w:t>
      </w:r>
      <w:r w:rsidR="00F73C55">
        <w:t>.4</w:t>
      </w:r>
      <w:r w:rsidR="00F72F49">
        <w:t xml:space="preserve">. </w:t>
      </w:r>
      <w:r w:rsidR="00EA7F2D">
        <w:t>Principais conclusões</w:t>
      </w:r>
      <w:bookmarkEnd w:id="137"/>
      <w:bookmarkEnd w:id="138"/>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análise conjunta dos </w:t>
      </w:r>
      <w:r w:rsidRPr="00F74B34">
        <w:rPr>
          <w:rFonts w:ascii="Perpetua" w:hAnsi="Perpetua"/>
          <w:i/>
        </w:rPr>
        <w:t>outputs</w:t>
      </w:r>
      <w:r>
        <w:rPr>
          <w:rFonts w:ascii="Perpetua" w:hAnsi="Perpetua"/>
        </w:rPr>
        <w:t xml:space="preserve"> do trabalho empírico efectuado permite </w:t>
      </w:r>
      <w:r w:rsidR="00A96AE7">
        <w:rPr>
          <w:rFonts w:ascii="Perpetua" w:hAnsi="Perpetua"/>
        </w:rPr>
        <w:t>retirar</w:t>
      </w:r>
      <w:r>
        <w:rPr>
          <w:rFonts w:ascii="Perpetua" w:hAnsi="Perpetua"/>
        </w:rPr>
        <w:t xml:space="preserve"> </w:t>
      </w:r>
      <w:r w:rsidR="00674E69">
        <w:rPr>
          <w:rFonts w:ascii="Perpetua" w:hAnsi="Perpetua"/>
        </w:rPr>
        <w:t>o</w:t>
      </w:r>
      <w:r>
        <w:rPr>
          <w:rFonts w:ascii="Perpetua" w:hAnsi="Perpetua"/>
        </w:rPr>
        <w:t xml:space="preserve"> conjunto de conclusões</w:t>
      </w:r>
      <w:r w:rsidR="00D912E2">
        <w:rPr>
          <w:rFonts w:ascii="Perpetua" w:hAnsi="Perpetua"/>
        </w:rPr>
        <w:t xml:space="preserve"> </w:t>
      </w:r>
      <w:r>
        <w:rPr>
          <w:rFonts w:ascii="Perpetua" w:hAnsi="Perpetua"/>
        </w:rPr>
        <w:t>sobre a produção de serviços judiciais no sistema judicial português</w:t>
      </w:r>
      <w:r w:rsidR="00674E69">
        <w:rPr>
          <w:rFonts w:ascii="Perpetua" w:hAnsi="Perpetua"/>
        </w:rPr>
        <w:t xml:space="preserve"> que de seguida se enuncia</w:t>
      </w:r>
      <w:r>
        <w:rPr>
          <w:rFonts w:ascii="Perpetua" w:hAnsi="Perpetua"/>
        </w:rPr>
        <w:t>.</w:t>
      </w:r>
    </w:p>
    <w:p w:rsidR="00F72F49" w:rsidRDefault="00F72F49" w:rsidP="00F72F49">
      <w:pPr>
        <w:spacing w:line="360" w:lineRule="auto"/>
        <w:jc w:val="both"/>
        <w:rPr>
          <w:rFonts w:ascii="Perpetua" w:hAnsi="Perpetua"/>
        </w:rPr>
      </w:pPr>
    </w:p>
    <w:p w:rsidR="00A00C71" w:rsidRPr="004B1E5A" w:rsidRDefault="00F72F49" w:rsidP="008346A0">
      <w:pPr>
        <w:pStyle w:val="ListParagraph"/>
        <w:numPr>
          <w:ilvl w:val="0"/>
          <w:numId w:val="4"/>
        </w:numPr>
        <w:spacing w:line="360" w:lineRule="auto"/>
        <w:ind w:left="360"/>
        <w:jc w:val="both"/>
        <w:rPr>
          <w:rFonts w:ascii="Perpetua" w:hAnsi="Perpetua"/>
        </w:rPr>
      </w:pPr>
      <w:r w:rsidRPr="004B1E5A">
        <w:rPr>
          <w:rFonts w:ascii="Perpetua" w:hAnsi="Perpetua"/>
        </w:rPr>
        <w:t xml:space="preserve">A análise </w:t>
      </w:r>
      <w:r w:rsidR="009974F0" w:rsidRPr="004B1E5A">
        <w:rPr>
          <w:rFonts w:ascii="Perpetua" w:hAnsi="Perpetua"/>
        </w:rPr>
        <w:t xml:space="preserve">empírica </w:t>
      </w:r>
      <w:r w:rsidR="00B27A2D" w:rsidRPr="004B1E5A">
        <w:rPr>
          <w:rFonts w:ascii="Perpetua" w:hAnsi="Perpetua"/>
        </w:rPr>
        <w:t xml:space="preserve">efectuada </w:t>
      </w:r>
      <w:r w:rsidR="009974F0" w:rsidRPr="004B1E5A">
        <w:rPr>
          <w:rFonts w:ascii="Perpetua" w:hAnsi="Perpetua"/>
        </w:rPr>
        <w:t xml:space="preserve">com </w:t>
      </w:r>
      <w:r w:rsidR="00B27A2D" w:rsidRPr="004B1E5A">
        <w:rPr>
          <w:rFonts w:ascii="Perpetua" w:hAnsi="Perpetua"/>
        </w:rPr>
        <w:t xml:space="preserve">recurso a análise de </w:t>
      </w:r>
      <w:r w:rsidR="009974F0" w:rsidRPr="004B1E5A">
        <w:rPr>
          <w:rFonts w:ascii="Perpetua" w:hAnsi="Perpetua"/>
        </w:rPr>
        <w:t xml:space="preserve">regressão de 221 </w:t>
      </w:r>
      <w:r w:rsidRPr="004B1E5A">
        <w:rPr>
          <w:rFonts w:ascii="Perpetua" w:hAnsi="Perpetua"/>
        </w:rPr>
        <w:t xml:space="preserve">tribunais de comarca de competência genérica do sistema judicial português confirma a robustez do fenómeno da endogeneidade da produtividade judicial na produção de serviços judiciais. </w:t>
      </w:r>
      <w:r w:rsidR="00697A22" w:rsidRPr="004B1E5A">
        <w:rPr>
          <w:rFonts w:ascii="Perpetua" w:hAnsi="Perpetua"/>
        </w:rPr>
        <w:t xml:space="preserve">O efeito é positivo mas decrescente, esgotando-se para um valor da carga judicial média de 1.880 processos judiciais. </w:t>
      </w:r>
      <w:r w:rsidR="004B1E5A" w:rsidRPr="004B1E5A">
        <w:rPr>
          <w:rFonts w:ascii="Perpetua" w:hAnsi="Perpetua"/>
        </w:rPr>
        <w:t>T</w:t>
      </w:r>
      <w:r w:rsidR="00047ABC" w:rsidRPr="004B1E5A">
        <w:rPr>
          <w:rFonts w:ascii="Perpetua" w:hAnsi="Perpetua"/>
        </w:rPr>
        <w:t xml:space="preserve">endo em conta que </w:t>
      </w:r>
      <w:r w:rsidR="00B6282E" w:rsidRPr="004B1E5A">
        <w:rPr>
          <w:rFonts w:ascii="Perpetua" w:hAnsi="Perpetua"/>
        </w:rPr>
        <w:t>a verificação de um efeito positivo e estatisticamente significativo da carga judicial média na produtividade judicial média era susceptível de duas interpreta</w:t>
      </w:r>
      <w:r w:rsidR="00047ABC" w:rsidRPr="004B1E5A">
        <w:rPr>
          <w:rFonts w:ascii="Perpetua" w:hAnsi="Perpetua"/>
        </w:rPr>
        <w:t xml:space="preserve">ções qualitativamente distintas, empregaram-se estratégias empíricas que permitissem destrinçar essas </w:t>
      </w:r>
      <w:r w:rsidR="00FF3053" w:rsidRPr="004B1E5A">
        <w:rPr>
          <w:rFonts w:ascii="Perpetua" w:hAnsi="Perpetua"/>
        </w:rPr>
        <w:t>duas</w:t>
      </w:r>
      <w:r w:rsidR="00047ABC" w:rsidRPr="004B1E5A">
        <w:rPr>
          <w:rFonts w:ascii="Perpetua" w:hAnsi="Perpetua"/>
        </w:rPr>
        <w:t xml:space="preserve"> interpretações.</w:t>
      </w:r>
      <w:r w:rsidR="00B6282E" w:rsidRPr="004B1E5A">
        <w:rPr>
          <w:rFonts w:ascii="Perpetua" w:hAnsi="Perpetua"/>
        </w:rPr>
        <w:t xml:space="preserve"> Por um lado, </w:t>
      </w:r>
      <w:r w:rsidR="00047ABC" w:rsidRPr="004B1E5A">
        <w:rPr>
          <w:rFonts w:ascii="Perpetua" w:hAnsi="Perpetua"/>
        </w:rPr>
        <w:t xml:space="preserve">a correlação positiva da carga judicial média e </w:t>
      </w:r>
      <w:r w:rsidR="00674E69">
        <w:rPr>
          <w:rFonts w:ascii="Perpetua" w:hAnsi="Perpetua"/>
        </w:rPr>
        <w:t>d</w:t>
      </w:r>
      <w:r w:rsidR="00047ABC" w:rsidRPr="004B1E5A">
        <w:rPr>
          <w:rFonts w:ascii="Perpetua" w:hAnsi="Perpetua"/>
        </w:rPr>
        <w:t xml:space="preserve">a produtividade judicial média </w:t>
      </w:r>
      <w:r w:rsidR="00B6282E" w:rsidRPr="004B1E5A">
        <w:rPr>
          <w:rFonts w:ascii="Perpetua" w:hAnsi="Perpetua"/>
        </w:rPr>
        <w:t>poderia ser interpretad</w:t>
      </w:r>
      <w:r w:rsidR="00792F18" w:rsidRPr="004B1E5A">
        <w:rPr>
          <w:rFonts w:ascii="Perpetua" w:hAnsi="Perpetua"/>
        </w:rPr>
        <w:t>a</w:t>
      </w:r>
      <w:r w:rsidR="00B6282E" w:rsidRPr="004B1E5A">
        <w:rPr>
          <w:rFonts w:ascii="Perpetua" w:hAnsi="Perpetua"/>
        </w:rPr>
        <w:t xml:space="preserve"> como </w:t>
      </w:r>
      <w:r w:rsidR="00674E69">
        <w:rPr>
          <w:rFonts w:ascii="Perpetua" w:hAnsi="Perpetua"/>
        </w:rPr>
        <w:t xml:space="preserve">prova de </w:t>
      </w:r>
      <w:r w:rsidR="00B6282E" w:rsidRPr="004B1E5A">
        <w:rPr>
          <w:rFonts w:ascii="Perpetua" w:hAnsi="Perpetua"/>
        </w:rPr>
        <w:t xml:space="preserve">que </w:t>
      </w:r>
      <w:r w:rsidR="00792F18" w:rsidRPr="004B1E5A">
        <w:rPr>
          <w:rFonts w:ascii="Perpetua" w:hAnsi="Perpetua"/>
        </w:rPr>
        <w:t xml:space="preserve">alguns </w:t>
      </w:r>
      <w:r w:rsidR="00B6282E" w:rsidRPr="004B1E5A">
        <w:rPr>
          <w:rFonts w:ascii="Perpetua" w:hAnsi="Perpetua"/>
        </w:rPr>
        <w:t xml:space="preserve">tribunais </w:t>
      </w:r>
      <w:r w:rsidR="00792F18" w:rsidRPr="004B1E5A">
        <w:rPr>
          <w:rFonts w:ascii="Perpetua" w:hAnsi="Perpetua"/>
        </w:rPr>
        <w:t xml:space="preserve">têm capacidade ociosa </w:t>
      </w:r>
      <w:r w:rsidR="00792F18" w:rsidRPr="004B1E5A">
        <w:rPr>
          <w:rFonts w:ascii="Perpetua" w:hAnsi="Perpetua"/>
          <w:i/>
        </w:rPr>
        <w:t>por</w:t>
      </w:r>
      <w:r w:rsidR="00792F18" w:rsidRPr="004B1E5A">
        <w:rPr>
          <w:rFonts w:ascii="Perpetua" w:hAnsi="Perpetua"/>
        </w:rPr>
        <w:t xml:space="preserve"> </w:t>
      </w:r>
      <w:r w:rsidR="00792F18" w:rsidRPr="004B1E5A">
        <w:rPr>
          <w:rFonts w:ascii="Perpetua" w:hAnsi="Perpetua"/>
          <w:i/>
        </w:rPr>
        <w:t>falta</w:t>
      </w:r>
      <w:r w:rsidR="00792F18" w:rsidRPr="004B1E5A">
        <w:rPr>
          <w:rFonts w:ascii="Perpetua" w:hAnsi="Perpetua"/>
        </w:rPr>
        <w:t xml:space="preserve"> de procura. O</w:t>
      </w:r>
      <w:r w:rsidR="00B6282E" w:rsidRPr="004B1E5A">
        <w:rPr>
          <w:rFonts w:ascii="Perpetua" w:hAnsi="Perpetua"/>
        </w:rPr>
        <w:t xml:space="preserve">s tribunais com uma baixa carga judicial enfrentam uma restrição à sua capacidade de findar processos e, </w:t>
      </w:r>
      <w:r w:rsidR="00792F18" w:rsidRPr="004B1E5A">
        <w:rPr>
          <w:rFonts w:ascii="Perpetua" w:hAnsi="Perpetua"/>
        </w:rPr>
        <w:t>por essa via,</w:t>
      </w:r>
      <w:r w:rsidR="00B6282E" w:rsidRPr="004B1E5A">
        <w:rPr>
          <w:rFonts w:ascii="Perpetua" w:hAnsi="Perpetua"/>
        </w:rPr>
        <w:t xml:space="preserve"> de atingir um nível de produtivi</w:t>
      </w:r>
      <w:r w:rsidR="00047ABC" w:rsidRPr="004B1E5A">
        <w:rPr>
          <w:rFonts w:ascii="Perpetua" w:hAnsi="Perpetua"/>
        </w:rPr>
        <w:t>dade judicial média mais elevado</w:t>
      </w:r>
      <w:r w:rsidR="00B6282E" w:rsidRPr="004B1E5A">
        <w:rPr>
          <w:rFonts w:ascii="Perpetua" w:hAnsi="Perpetua"/>
        </w:rPr>
        <w:t>. Por outro lado, ess</w:t>
      </w:r>
      <w:r w:rsidR="00A61427">
        <w:rPr>
          <w:rFonts w:ascii="Perpetua" w:hAnsi="Perpetua"/>
        </w:rPr>
        <w:t>a</w:t>
      </w:r>
      <w:r w:rsidR="00B6282E" w:rsidRPr="004B1E5A">
        <w:rPr>
          <w:rFonts w:ascii="Perpetua" w:hAnsi="Perpetua"/>
        </w:rPr>
        <w:t xml:space="preserve"> </w:t>
      </w:r>
      <w:r w:rsidR="00047ABC" w:rsidRPr="004B1E5A">
        <w:rPr>
          <w:rFonts w:ascii="Perpetua" w:hAnsi="Perpetua"/>
        </w:rPr>
        <w:t xml:space="preserve">correlação estatística </w:t>
      </w:r>
      <w:r w:rsidR="00B6282E" w:rsidRPr="004B1E5A">
        <w:rPr>
          <w:rFonts w:ascii="Perpetua" w:hAnsi="Perpetua"/>
        </w:rPr>
        <w:t>poderia ser interpretad</w:t>
      </w:r>
      <w:r w:rsidR="00047ABC" w:rsidRPr="004B1E5A">
        <w:rPr>
          <w:rFonts w:ascii="Perpetua" w:hAnsi="Perpetua"/>
        </w:rPr>
        <w:t>a</w:t>
      </w:r>
      <w:r w:rsidR="00B6282E" w:rsidRPr="004B1E5A">
        <w:rPr>
          <w:rFonts w:ascii="Perpetua" w:hAnsi="Perpetua"/>
        </w:rPr>
        <w:t xml:space="preserve"> como </w:t>
      </w:r>
      <w:r w:rsidR="00674E69">
        <w:rPr>
          <w:rFonts w:ascii="Perpetua" w:hAnsi="Perpetua"/>
        </w:rPr>
        <w:t xml:space="preserve">prova </w:t>
      </w:r>
      <w:r w:rsidR="00B6282E" w:rsidRPr="004B1E5A">
        <w:rPr>
          <w:rFonts w:ascii="Perpetua" w:hAnsi="Perpetua"/>
        </w:rPr>
        <w:t>da hipótese da endogeneidade da produtividade judicial</w:t>
      </w:r>
      <w:r w:rsidR="00792F18" w:rsidRPr="004B1E5A">
        <w:rPr>
          <w:rFonts w:ascii="Perpetua" w:hAnsi="Perpetua"/>
        </w:rPr>
        <w:t xml:space="preserve"> tal como esta foi formulada em Beenstock </w:t>
      </w:r>
      <w:r w:rsidR="003A79EC">
        <w:rPr>
          <w:rFonts w:ascii="Perpetua" w:hAnsi="Perpetua"/>
        </w:rPr>
        <w:t>e</w:t>
      </w:r>
      <w:r w:rsidR="00792F18" w:rsidRPr="004B1E5A">
        <w:rPr>
          <w:rFonts w:ascii="Perpetua" w:hAnsi="Perpetua"/>
        </w:rPr>
        <w:t xml:space="preserve"> Haitovski (2004)</w:t>
      </w:r>
      <w:r w:rsidR="00B6282E" w:rsidRPr="004B1E5A">
        <w:rPr>
          <w:rFonts w:ascii="Perpetua" w:hAnsi="Perpetua"/>
        </w:rPr>
        <w:t>, na medida em que, mesmo para níveis elevados da carga judicial média (</w:t>
      </w:r>
      <w:r w:rsidR="00FF3053" w:rsidRPr="004B1E5A">
        <w:rPr>
          <w:rFonts w:ascii="Perpetua" w:hAnsi="Perpetua"/>
          <w:i/>
        </w:rPr>
        <w:t>i.e.</w:t>
      </w:r>
      <w:r w:rsidR="00941AEA">
        <w:rPr>
          <w:rFonts w:ascii="Perpetua" w:hAnsi="Perpetua"/>
        </w:rPr>
        <w:t xml:space="preserve">, </w:t>
      </w:r>
      <w:r w:rsidR="00B6282E" w:rsidRPr="004B1E5A">
        <w:rPr>
          <w:rFonts w:ascii="Perpetua" w:hAnsi="Perpetua"/>
        </w:rPr>
        <w:t xml:space="preserve">onde </w:t>
      </w:r>
      <w:r w:rsidR="00A61427">
        <w:rPr>
          <w:rFonts w:ascii="Perpetua" w:hAnsi="Perpetua"/>
        </w:rPr>
        <w:t>a</w:t>
      </w:r>
      <w:r w:rsidR="00B6282E" w:rsidRPr="004B1E5A">
        <w:rPr>
          <w:rFonts w:ascii="Perpetua" w:hAnsi="Perpetua"/>
        </w:rPr>
        <w:t xml:space="preserve"> questão da subutilização de recursos </w:t>
      </w:r>
      <w:r w:rsidR="00B6282E" w:rsidRPr="004B1E5A">
        <w:rPr>
          <w:rFonts w:ascii="Perpetua" w:hAnsi="Perpetua"/>
          <w:i/>
        </w:rPr>
        <w:t>por falta</w:t>
      </w:r>
      <w:r w:rsidR="00B6282E" w:rsidRPr="004B1E5A">
        <w:rPr>
          <w:rFonts w:ascii="Perpetua" w:hAnsi="Perpetua"/>
        </w:rPr>
        <w:t xml:space="preserve"> de processos para resolver não parece um</w:t>
      </w:r>
      <w:r w:rsidR="00A61427">
        <w:rPr>
          <w:rFonts w:ascii="Perpetua" w:hAnsi="Perpetua"/>
        </w:rPr>
        <w:t>a</w:t>
      </w:r>
      <w:r w:rsidR="00B6282E" w:rsidRPr="004B1E5A">
        <w:rPr>
          <w:rFonts w:ascii="Perpetua" w:hAnsi="Perpetua"/>
        </w:rPr>
        <w:t xml:space="preserve"> hipótese plausível), os tribunais com maior carga judicial observam, em média, níveis de produtividade judicial mais elevados que os tribunais que têm um</w:t>
      </w:r>
      <w:r w:rsidR="00792F18" w:rsidRPr="004B1E5A">
        <w:rPr>
          <w:rFonts w:ascii="Perpetua" w:hAnsi="Perpetua"/>
        </w:rPr>
        <w:t xml:space="preserve">a carga judicial mais reduzida. A racionalidade económica subjacente é a de que </w:t>
      </w:r>
      <w:r w:rsidR="00B6282E" w:rsidRPr="004B1E5A">
        <w:rPr>
          <w:rFonts w:ascii="Perpetua" w:hAnsi="Perpetua"/>
        </w:rPr>
        <w:t>os tribunais</w:t>
      </w:r>
      <w:r w:rsidR="00792F18" w:rsidRPr="004B1E5A">
        <w:rPr>
          <w:rFonts w:ascii="Perpetua" w:hAnsi="Perpetua"/>
        </w:rPr>
        <w:t xml:space="preserve"> –</w:t>
      </w:r>
      <w:r w:rsidR="00FF3053" w:rsidRPr="004B1E5A">
        <w:rPr>
          <w:rFonts w:ascii="Perpetua" w:hAnsi="Perpetua"/>
        </w:rPr>
        <w:t xml:space="preserve"> </w:t>
      </w:r>
      <w:r w:rsidR="00792F18" w:rsidRPr="004B1E5A">
        <w:rPr>
          <w:rFonts w:ascii="Perpetua" w:hAnsi="Perpetua"/>
        </w:rPr>
        <w:t xml:space="preserve">ou </w:t>
      </w:r>
      <w:r w:rsidR="00FF3053" w:rsidRPr="004B1E5A">
        <w:rPr>
          <w:rFonts w:ascii="Perpetua" w:hAnsi="Perpetua"/>
        </w:rPr>
        <w:t>os trabalhadores judiciais</w:t>
      </w:r>
      <w:r w:rsidR="00674E69">
        <w:rPr>
          <w:rFonts w:ascii="Perpetua" w:hAnsi="Perpetua"/>
        </w:rPr>
        <w:t xml:space="preserve"> que</w:t>
      </w:r>
      <w:r w:rsidR="00FF3053" w:rsidRPr="004B1E5A">
        <w:rPr>
          <w:rFonts w:ascii="Perpetua" w:hAnsi="Perpetua"/>
        </w:rPr>
        <w:t xml:space="preserve"> neles </w:t>
      </w:r>
      <w:r w:rsidR="00674E69">
        <w:rPr>
          <w:rFonts w:ascii="Perpetua" w:hAnsi="Perpetua"/>
        </w:rPr>
        <w:t xml:space="preserve">estão </w:t>
      </w:r>
      <w:r w:rsidR="00FF3053" w:rsidRPr="004B1E5A">
        <w:rPr>
          <w:rFonts w:ascii="Perpetua" w:hAnsi="Perpetua"/>
        </w:rPr>
        <w:t>empregados</w:t>
      </w:r>
      <w:r w:rsidR="00792F18" w:rsidRPr="004B1E5A">
        <w:rPr>
          <w:rFonts w:ascii="Perpetua" w:hAnsi="Perpetua"/>
        </w:rPr>
        <w:t xml:space="preserve"> –</w:t>
      </w:r>
      <w:r w:rsidR="00FF3053" w:rsidRPr="004B1E5A">
        <w:rPr>
          <w:rFonts w:ascii="Perpetua" w:hAnsi="Perpetua"/>
        </w:rPr>
        <w:t xml:space="preserve"> </w:t>
      </w:r>
      <w:r w:rsidR="00B6282E" w:rsidRPr="004B1E5A">
        <w:rPr>
          <w:rFonts w:ascii="Perpetua" w:hAnsi="Perpetua"/>
        </w:rPr>
        <w:t>querem evitar o crescimento das pendências processuais</w:t>
      </w:r>
      <w:r w:rsidR="00792F18" w:rsidRPr="004B1E5A">
        <w:rPr>
          <w:rFonts w:ascii="Perpetua" w:hAnsi="Perpetua"/>
        </w:rPr>
        <w:t>,</w:t>
      </w:r>
      <w:r w:rsidR="00674E69">
        <w:rPr>
          <w:rFonts w:ascii="Perpetua" w:hAnsi="Perpetua"/>
        </w:rPr>
        <w:t xml:space="preserve"> que é </w:t>
      </w:r>
      <w:r w:rsidR="00792F18" w:rsidRPr="004B1E5A">
        <w:rPr>
          <w:rFonts w:ascii="Perpetua" w:hAnsi="Perpetua"/>
        </w:rPr>
        <w:t xml:space="preserve">a principal </w:t>
      </w:r>
      <w:r w:rsidR="00B6282E" w:rsidRPr="004B1E5A">
        <w:rPr>
          <w:rFonts w:ascii="Perpetua" w:hAnsi="Perpetua"/>
        </w:rPr>
        <w:t xml:space="preserve">variável de foco na avaliação do desempenho dos tribunais. </w:t>
      </w:r>
      <w:r w:rsidR="004B1E5A">
        <w:rPr>
          <w:rFonts w:ascii="Perpetua" w:hAnsi="Perpetua"/>
        </w:rPr>
        <w:t>N</w:t>
      </w:r>
      <w:r w:rsidR="0005518B" w:rsidRPr="004B1E5A">
        <w:rPr>
          <w:rFonts w:ascii="Perpetua" w:hAnsi="Perpetua"/>
        </w:rPr>
        <w:t xml:space="preserve">as </w:t>
      </w:r>
      <w:r w:rsidR="00B6282E" w:rsidRPr="004B1E5A">
        <w:rPr>
          <w:rFonts w:ascii="Perpetua" w:hAnsi="Perpetua"/>
        </w:rPr>
        <w:t>esti</w:t>
      </w:r>
      <w:r w:rsidR="008C2B43" w:rsidRPr="004B1E5A">
        <w:rPr>
          <w:rFonts w:ascii="Perpetua" w:hAnsi="Perpetua"/>
        </w:rPr>
        <w:t>mações (1), (2), (3), (4), (5),</w:t>
      </w:r>
      <w:r w:rsidR="00B6282E" w:rsidRPr="004B1E5A">
        <w:rPr>
          <w:rFonts w:ascii="Perpetua" w:hAnsi="Perpetua"/>
        </w:rPr>
        <w:t xml:space="preserve"> (6) o efeito da carga judicial </w:t>
      </w:r>
      <w:r w:rsidR="0005518B" w:rsidRPr="004B1E5A">
        <w:rPr>
          <w:rFonts w:ascii="Perpetua" w:hAnsi="Perpetua"/>
        </w:rPr>
        <w:t xml:space="preserve">na produtividade judicial </w:t>
      </w:r>
      <w:r w:rsidR="00B6282E" w:rsidRPr="004B1E5A">
        <w:rPr>
          <w:rFonts w:ascii="Perpetua" w:hAnsi="Perpetua"/>
        </w:rPr>
        <w:t xml:space="preserve">demonstra-se </w:t>
      </w:r>
      <w:r w:rsidR="0005518B" w:rsidRPr="004B1E5A">
        <w:rPr>
          <w:rFonts w:ascii="Perpetua" w:hAnsi="Perpetua"/>
        </w:rPr>
        <w:t xml:space="preserve">positivo e </w:t>
      </w:r>
      <w:r w:rsidR="00B6282E" w:rsidRPr="004B1E5A">
        <w:rPr>
          <w:rFonts w:ascii="Perpetua" w:hAnsi="Perpetua"/>
        </w:rPr>
        <w:t>estatisticamente significativo</w:t>
      </w:r>
      <w:r w:rsidR="008C2B43">
        <w:rPr>
          <w:rStyle w:val="FootnoteReference"/>
          <w:rFonts w:ascii="Perpetua" w:hAnsi="Perpetua"/>
        </w:rPr>
        <w:footnoteReference w:id="120"/>
      </w:r>
      <w:r w:rsidR="0005518B" w:rsidRPr="004B1E5A">
        <w:rPr>
          <w:rFonts w:ascii="Perpetua" w:hAnsi="Perpetua"/>
        </w:rPr>
        <w:t xml:space="preserve">, o que reforça a robustez do resultado. No entanto, as diferenças entre as estimações efectuadas não permitem distinguir </w:t>
      </w:r>
      <w:r w:rsidR="00047ABC" w:rsidRPr="004B1E5A">
        <w:rPr>
          <w:rFonts w:ascii="Perpetua" w:hAnsi="Perpetua"/>
        </w:rPr>
        <w:t xml:space="preserve">com precisão </w:t>
      </w:r>
      <w:r w:rsidR="00BF7B9F" w:rsidRPr="004B1E5A">
        <w:rPr>
          <w:rFonts w:ascii="Perpetua" w:hAnsi="Perpetua"/>
        </w:rPr>
        <w:t xml:space="preserve">os dois tipos de </w:t>
      </w:r>
      <w:r w:rsidR="00FF3053" w:rsidRPr="004B1E5A">
        <w:rPr>
          <w:rFonts w:ascii="Perpetua" w:hAnsi="Perpetua"/>
        </w:rPr>
        <w:t>interpretações qualitativas da</w:t>
      </w:r>
      <w:r w:rsidR="00BF7B9F" w:rsidRPr="004B1E5A">
        <w:rPr>
          <w:rFonts w:ascii="Perpetua" w:hAnsi="Perpetua"/>
        </w:rPr>
        <w:t xml:space="preserve"> </w:t>
      </w:r>
      <w:r w:rsidR="00047ABC" w:rsidRPr="004B1E5A">
        <w:rPr>
          <w:rFonts w:ascii="Perpetua" w:hAnsi="Perpetua"/>
        </w:rPr>
        <w:t>cor</w:t>
      </w:r>
      <w:r w:rsidR="0005518B" w:rsidRPr="004B1E5A">
        <w:rPr>
          <w:rFonts w:ascii="Perpetua" w:hAnsi="Perpetua"/>
        </w:rPr>
        <w:t xml:space="preserve">relação </w:t>
      </w:r>
      <w:r w:rsidR="004C4E17">
        <w:rPr>
          <w:rFonts w:ascii="Perpetua" w:hAnsi="Perpetua"/>
        </w:rPr>
        <w:t xml:space="preserve">parcial </w:t>
      </w:r>
      <w:r w:rsidR="00BF7B9F" w:rsidRPr="004B1E5A">
        <w:rPr>
          <w:rFonts w:ascii="Perpetua" w:hAnsi="Perpetua"/>
        </w:rPr>
        <w:t xml:space="preserve">positiva </w:t>
      </w:r>
      <w:r w:rsidR="0005518B" w:rsidRPr="004B1E5A">
        <w:rPr>
          <w:rFonts w:ascii="Perpetua" w:hAnsi="Perpetua"/>
        </w:rPr>
        <w:t xml:space="preserve">da carga judicial </w:t>
      </w:r>
      <w:r w:rsidR="00FF3053" w:rsidRPr="004B1E5A">
        <w:rPr>
          <w:rFonts w:ascii="Perpetua" w:hAnsi="Perpetua"/>
        </w:rPr>
        <w:t xml:space="preserve">média </w:t>
      </w:r>
      <w:r w:rsidR="0005518B" w:rsidRPr="004B1E5A">
        <w:rPr>
          <w:rFonts w:ascii="Perpetua" w:hAnsi="Perpetua"/>
        </w:rPr>
        <w:t>com a produtividade judicial</w:t>
      </w:r>
      <w:r w:rsidR="00FF3053" w:rsidRPr="004B1E5A">
        <w:rPr>
          <w:rFonts w:ascii="Perpetua" w:hAnsi="Perpetua"/>
        </w:rPr>
        <w:t xml:space="preserve"> média</w:t>
      </w:r>
      <w:r w:rsidR="0005518B" w:rsidRPr="004B1E5A">
        <w:rPr>
          <w:rFonts w:ascii="Perpetua" w:hAnsi="Perpetua"/>
        </w:rPr>
        <w:t xml:space="preserve">. </w:t>
      </w:r>
      <w:r w:rsidR="00047ABC" w:rsidRPr="004B1E5A">
        <w:rPr>
          <w:rFonts w:ascii="Perpetua" w:hAnsi="Perpetua"/>
        </w:rPr>
        <w:t xml:space="preserve">Assim, de modo a distinguir </w:t>
      </w:r>
      <w:r w:rsidR="0005518B" w:rsidRPr="004B1E5A">
        <w:rPr>
          <w:rFonts w:ascii="Perpetua" w:hAnsi="Perpetua"/>
        </w:rPr>
        <w:t xml:space="preserve">essa diferença qualitativa, </w:t>
      </w:r>
      <w:r w:rsidR="00697A22" w:rsidRPr="004B1E5A">
        <w:rPr>
          <w:rFonts w:ascii="Perpetua" w:hAnsi="Perpetua"/>
        </w:rPr>
        <w:t xml:space="preserve">estimou-se a equação 1 para diferentes grupos de tribunais agrupados segundo a </w:t>
      </w:r>
      <w:r w:rsidR="00047ABC" w:rsidRPr="004B1E5A">
        <w:rPr>
          <w:rFonts w:ascii="Perpetua" w:hAnsi="Perpetua"/>
        </w:rPr>
        <w:t xml:space="preserve">dimensão da </w:t>
      </w:r>
      <w:r w:rsidR="00697A22" w:rsidRPr="004B1E5A">
        <w:rPr>
          <w:rFonts w:ascii="Perpetua" w:hAnsi="Perpetua"/>
        </w:rPr>
        <w:t>carga judicial média</w:t>
      </w:r>
      <w:r w:rsidR="00101158">
        <w:rPr>
          <w:rStyle w:val="FootnoteReference"/>
          <w:rFonts w:ascii="Perpetua" w:hAnsi="Perpetua"/>
        </w:rPr>
        <w:footnoteReference w:id="121"/>
      </w:r>
      <w:r w:rsidR="00697A22" w:rsidRPr="004B1E5A">
        <w:rPr>
          <w:rFonts w:ascii="Perpetua" w:hAnsi="Perpetua"/>
        </w:rPr>
        <w:t xml:space="preserve">. </w:t>
      </w:r>
      <w:r w:rsidR="008A252D" w:rsidRPr="004B1E5A">
        <w:rPr>
          <w:rFonts w:ascii="Perpetua" w:hAnsi="Perpetua"/>
        </w:rPr>
        <w:t xml:space="preserve">No subconjunto de tribunais com carga judicial média superior a 800 processos judiciais, o efeito da carga judicial e o quadrado da carga judicial média na produtividade judicial mantêm-se estatisticamente significativos com um grau de confiança superior a 95%. </w:t>
      </w:r>
      <w:r w:rsidR="00697A22" w:rsidRPr="004B1E5A">
        <w:rPr>
          <w:rFonts w:ascii="Perpetua" w:hAnsi="Perpetua"/>
        </w:rPr>
        <w:t>No subconjunto dos tribunais com carga judicial média superior a 1.000</w:t>
      </w:r>
      <w:r w:rsidR="00047ABC" w:rsidRPr="004B1E5A">
        <w:rPr>
          <w:rFonts w:ascii="Perpetua" w:hAnsi="Perpetua"/>
        </w:rPr>
        <w:t xml:space="preserve"> processos judiciais</w:t>
      </w:r>
      <w:r w:rsidR="00697A22" w:rsidRPr="004B1E5A">
        <w:rPr>
          <w:rFonts w:ascii="Perpetua" w:hAnsi="Perpetua"/>
        </w:rPr>
        <w:t>, a carga judicial média deixa de ser estatisticamente significativa</w:t>
      </w:r>
      <w:r w:rsidR="00BF7B9F" w:rsidRPr="004B1E5A">
        <w:rPr>
          <w:rFonts w:ascii="Perpetua" w:hAnsi="Perpetua"/>
        </w:rPr>
        <w:t xml:space="preserve"> </w:t>
      </w:r>
      <w:r w:rsidR="00674E69">
        <w:rPr>
          <w:rFonts w:ascii="Perpetua" w:hAnsi="Perpetua"/>
        </w:rPr>
        <w:t xml:space="preserve">para </w:t>
      </w:r>
      <w:r w:rsidR="00BF7B9F" w:rsidRPr="004B1E5A">
        <w:rPr>
          <w:rFonts w:ascii="Perpetua" w:hAnsi="Perpetua"/>
        </w:rPr>
        <w:t>um grau de confiança de 95% (mantém</w:t>
      </w:r>
      <w:r w:rsidR="00047ABC" w:rsidRPr="004B1E5A">
        <w:rPr>
          <w:rFonts w:ascii="Perpetua" w:hAnsi="Perpetua"/>
        </w:rPr>
        <w:t>-se</w:t>
      </w:r>
      <w:r w:rsidR="00BF7B9F" w:rsidRPr="004B1E5A">
        <w:rPr>
          <w:rFonts w:ascii="Perpetua" w:hAnsi="Perpetua"/>
        </w:rPr>
        <w:t>, contudo, significativa c</w:t>
      </w:r>
      <w:r w:rsidR="008A252D" w:rsidRPr="004B1E5A">
        <w:rPr>
          <w:rFonts w:ascii="Perpetua" w:hAnsi="Perpetua"/>
        </w:rPr>
        <w:t xml:space="preserve">om um grau de confiança de 90%) e o quadrado da carga judicial média deixa de ser estatisticamente significativo. </w:t>
      </w:r>
      <w:r w:rsidR="00697A22" w:rsidRPr="004B1E5A">
        <w:rPr>
          <w:rFonts w:ascii="Perpetua" w:hAnsi="Perpetua"/>
        </w:rPr>
        <w:t>Como seria expectável, nos subgrupos de tribunais definidos com base numa carga judicial média baixa (</w:t>
      </w:r>
      <w:r w:rsidR="009B346E" w:rsidRPr="004B1E5A">
        <w:rPr>
          <w:rFonts w:ascii="Perpetua" w:hAnsi="Perpetua"/>
          <w:i/>
        </w:rPr>
        <w:t>v</w:t>
      </w:r>
      <w:r w:rsidR="004E5D3A" w:rsidRPr="004B1E5A">
        <w:rPr>
          <w:rFonts w:ascii="Perpetua" w:hAnsi="Perpetua"/>
          <w:i/>
        </w:rPr>
        <w:t>.g.</w:t>
      </w:r>
      <w:r w:rsidR="00E96C72">
        <w:rPr>
          <w:rFonts w:ascii="Perpetua" w:hAnsi="Perpetua"/>
        </w:rPr>
        <w:t xml:space="preserve">, </w:t>
      </w:r>
      <w:r w:rsidR="008A252D" w:rsidRPr="004B1E5A">
        <w:rPr>
          <w:rFonts w:ascii="Perpetua" w:hAnsi="Perpetua"/>
        </w:rPr>
        <w:t>inferior 8</w:t>
      </w:r>
      <w:r w:rsidR="00697A22" w:rsidRPr="004B1E5A">
        <w:rPr>
          <w:rFonts w:ascii="Perpetua" w:hAnsi="Perpetua"/>
        </w:rPr>
        <w:t xml:space="preserve">00 processos) o efeito da carga judicial na produtividade judicial é positivo e estatisticamente significativo. </w:t>
      </w:r>
      <w:r w:rsidR="003C1B6C" w:rsidRPr="004B1E5A">
        <w:rPr>
          <w:rFonts w:ascii="Perpetua" w:hAnsi="Perpetua"/>
        </w:rPr>
        <w:t>Apesar dos</w:t>
      </w:r>
      <w:r w:rsidR="00697A22" w:rsidRPr="004B1E5A">
        <w:rPr>
          <w:rFonts w:ascii="Perpetua" w:hAnsi="Perpetua"/>
        </w:rPr>
        <w:t xml:space="preserve"> </w:t>
      </w:r>
      <w:r w:rsidR="003C1B6C" w:rsidRPr="004B1E5A">
        <w:rPr>
          <w:rFonts w:ascii="Perpetua" w:hAnsi="Perpetua"/>
        </w:rPr>
        <w:t>limites do modelo empírico e</w:t>
      </w:r>
      <w:r w:rsidR="00697A22" w:rsidRPr="004B1E5A">
        <w:rPr>
          <w:rFonts w:ascii="Perpetua" w:hAnsi="Perpetua"/>
        </w:rPr>
        <w:t xml:space="preserve">m </w:t>
      </w:r>
      <w:r w:rsidR="003C1B6C" w:rsidRPr="004B1E5A">
        <w:rPr>
          <w:rFonts w:ascii="Perpetua" w:hAnsi="Perpetua"/>
        </w:rPr>
        <w:t xml:space="preserve">distinguir os dois tipos de interpretação do efeito positivo da carga judicial média, </w:t>
      </w:r>
      <w:r w:rsidR="00047ABC" w:rsidRPr="004B1E5A">
        <w:rPr>
          <w:rFonts w:ascii="Perpetua" w:hAnsi="Perpetua"/>
        </w:rPr>
        <w:t xml:space="preserve">nomeadamente </w:t>
      </w:r>
      <w:r w:rsidR="009B346E" w:rsidRPr="004B1E5A">
        <w:rPr>
          <w:rFonts w:ascii="Perpetua" w:hAnsi="Perpetua"/>
        </w:rPr>
        <w:t xml:space="preserve">a sua incapacidade para aferir qual </w:t>
      </w:r>
      <w:r w:rsidR="00047ABC" w:rsidRPr="004B1E5A">
        <w:rPr>
          <w:rFonts w:ascii="Perpetua" w:hAnsi="Perpetua"/>
        </w:rPr>
        <w:t xml:space="preserve">o valor da carga judicial a partir do qual </w:t>
      </w:r>
      <w:r w:rsidR="00A61427">
        <w:rPr>
          <w:rFonts w:ascii="Perpetua" w:hAnsi="Perpetua"/>
        </w:rPr>
        <w:t xml:space="preserve">a </w:t>
      </w:r>
      <w:r w:rsidR="00047ABC" w:rsidRPr="004B1E5A">
        <w:rPr>
          <w:rFonts w:ascii="Perpetua" w:hAnsi="Perpetua"/>
        </w:rPr>
        <w:t xml:space="preserve">interpretação da subutilização de recursos humanos deixa de ser plausível e o aumento da produtividade judicial média devido </w:t>
      </w:r>
      <w:r w:rsidR="008A252D" w:rsidRPr="004B1E5A">
        <w:rPr>
          <w:rFonts w:ascii="Perpetua" w:hAnsi="Perpetua"/>
        </w:rPr>
        <w:t>a uma</w:t>
      </w:r>
      <w:r w:rsidR="00047ABC" w:rsidRPr="004B1E5A">
        <w:rPr>
          <w:rFonts w:ascii="Perpetua" w:hAnsi="Perpetua"/>
        </w:rPr>
        <w:t xml:space="preserve"> carga judicial </w:t>
      </w:r>
      <w:r w:rsidR="008A252D" w:rsidRPr="004B1E5A">
        <w:rPr>
          <w:rFonts w:ascii="Perpetua" w:hAnsi="Perpetua"/>
        </w:rPr>
        <w:t xml:space="preserve">média </w:t>
      </w:r>
      <w:r w:rsidR="00047ABC" w:rsidRPr="004B1E5A">
        <w:rPr>
          <w:rFonts w:ascii="Perpetua" w:hAnsi="Perpetua"/>
        </w:rPr>
        <w:t>elevada entr</w:t>
      </w:r>
      <w:r w:rsidR="00FF3053" w:rsidRPr="004B1E5A">
        <w:rPr>
          <w:rFonts w:ascii="Perpetua" w:hAnsi="Perpetua"/>
        </w:rPr>
        <w:t>a</w:t>
      </w:r>
      <w:r w:rsidR="00047ABC" w:rsidRPr="004B1E5A">
        <w:rPr>
          <w:rFonts w:ascii="Perpetua" w:hAnsi="Perpetua"/>
        </w:rPr>
        <w:t xml:space="preserve"> em acç</w:t>
      </w:r>
      <w:r w:rsidR="001A74AF" w:rsidRPr="004B1E5A">
        <w:rPr>
          <w:rFonts w:ascii="Perpetua" w:hAnsi="Perpetua"/>
        </w:rPr>
        <w:t xml:space="preserve">ão, </w:t>
      </w:r>
      <w:r w:rsidR="003C1B6C" w:rsidRPr="004B1E5A">
        <w:rPr>
          <w:rFonts w:ascii="Perpetua" w:hAnsi="Perpetua"/>
        </w:rPr>
        <w:t xml:space="preserve">os resultados das estimações efectuadas parecem suportar a tese </w:t>
      </w:r>
      <w:r w:rsidR="001A74AF" w:rsidRPr="004B1E5A">
        <w:rPr>
          <w:rFonts w:ascii="Perpetua" w:hAnsi="Perpetua"/>
        </w:rPr>
        <w:t xml:space="preserve">de </w:t>
      </w:r>
      <w:r w:rsidR="003C1B6C" w:rsidRPr="004B1E5A">
        <w:rPr>
          <w:rFonts w:ascii="Perpetua" w:hAnsi="Perpetua"/>
        </w:rPr>
        <w:t xml:space="preserve">que ambos os efeitos qualitativos </w:t>
      </w:r>
      <w:r w:rsidR="001A74AF" w:rsidRPr="004B1E5A">
        <w:rPr>
          <w:rFonts w:ascii="Perpetua" w:hAnsi="Perpetua"/>
        </w:rPr>
        <w:t xml:space="preserve">da </w:t>
      </w:r>
      <w:r w:rsidR="003C1B6C" w:rsidRPr="004B1E5A">
        <w:rPr>
          <w:rFonts w:ascii="Perpetua" w:hAnsi="Perpetua"/>
        </w:rPr>
        <w:t>carga judicial na produtividade judicial se encontram presentes no sistema judicial português</w:t>
      </w:r>
      <w:r w:rsidR="00047ABC" w:rsidRPr="004B1E5A">
        <w:rPr>
          <w:rFonts w:ascii="Perpetua" w:hAnsi="Perpetua"/>
        </w:rPr>
        <w:t>.</w:t>
      </w:r>
      <w:r w:rsidR="00BF7B9F" w:rsidRPr="004B1E5A">
        <w:rPr>
          <w:rFonts w:ascii="Perpetua" w:hAnsi="Perpetua"/>
        </w:rPr>
        <w:t xml:space="preserve"> </w:t>
      </w:r>
    </w:p>
    <w:p w:rsidR="00F72F49" w:rsidRPr="00B10928" w:rsidRDefault="00A00C71" w:rsidP="00A00C71">
      <w:pPr>
        <w:pStyle w:val="ListParagraph"/>
        <w:spacing w:line="360" w:lineRule="auto"/>
        <w:ind w:left="360"/>
        <w:jc w:val="both"/>
        <w:rPr>
          <w:rFonts w:ascii="Perpetua" w:hAnsi="Perpetua"/>
        </w:rPr>
      </w:pPr>
      <w:r>
        <w:rPr>
          <w:rFonts w:ascii="Perpetua" w:hAnsi="Perpetua"/>
        </w:rPr>
        <w:t xml:space="preserve">   </w:t>
      </w:r>
    </w:p>
    <w:p w:rsidR="00F72F49" w:rsidRDefault="00F72F49" w:rsidP="00F72F49">
      <w:pPr>
        <w:pStyle w:val="ListParagraph"/>
        <w:numPr>
          <w:ilvl w:val="0"/>
          <w:numId w:val="4"/>
        </w:numPr>
        <w:spacing w:line="360" w:lineRule="auto"/>
        <w:ind w:left="360"/>
        <w:jc w:val="both"/>
        <w:rPr>
          <w:rFonts w:ascii="Perpetua" w:hAnsi="Perpetua"/>
        </w:rPr>
      </w:pPr>
      <w:r w:rsidRPr="00B10928">
        <w:rPr>
          <w:rFonts w:ascii="Perpetua" w:hAnsi="Perpetua"/>
        </w:rPr>
        <w:t>A</w:t>
      </w:r>
      <w:r w:rsidRPr="00BC2A5F">
        <w:rPr>
          <w:rFonts w:ascii="Perpetua" w:hAnsi="Perpetua"/>
        </w:rPr>
        <w:t xml:space="preserve"> produtividade dos magistrados judiciais é aparentemente autónoma da </w:t>
      </w:r>
      <w:r w:rsidRPr="00BC2A5F">
        <w:rPr>
          <w:rFonts w:ascii="Perpetua" w:hAnsi="Perpetua"/>
          <w:i/>
        </w:rPr>
        <w:t>produtividade</w:t>
      </w:r>
      <w:r w:rsidRPr="00BC2A5F">
        <w:rPr>
          <w:rFonts w:ascii="Perpetua" w:hAnsi="Perpetua"/>
        </w:rPr>
        <w:t xml:space="preserve"> dos funcionários judiciais e da </w:t>
      </w:r>
      <w:r w:rsidRPr="00B41A39">
        <w:rPr>
          <w:rFonts w:ascii="Perpetua" w:hAnsi="Perpetua"/>
          <w:i/>
        </w:rPr>
        <w:t>produtividade</w:t>
      </w:r>
      <w:r w:rsidRPr="00BC2A5F">
        <w:rPr>
          <w:rFonts w:ascii="Perpetua" w:hAnsi="Perpetua"/>
        </w:rPr>
        <w:t xml:space="preserve"> dos magistrados do M.P</w:t>
      </w:r>
      <w:r w:rsidR="00674E69">
        <w:rPr>
          <w:rFonts w:ascii="Perpetua" w:hAnsi="Perpetua"/>
        </w:rPr>
        <w:t>.</w:t>
      </w:r>
      <w:r w:rsidRPr="00BC2A5F">
        <w:rPr>
          <w:rFonts w:ascii="Perpetua" w:hAnsi="Perpetua"/>
        </w:rPr>
        <w:t xml:space="preserve">, quando estas são definidas como o </w:t>
      </w:r>
      <w:r w:rsidR="00A2767C" w:rsidRPr="00BC2A5F">
        <w:rPr>
          <w:rFonts w:ascii="Perpetua" w:hAnsi="Perpetua"/>
        </w:rPr>
        <w:t>número</w:t>
      </w:r>
      <w:r w:rsidRPr="00BC2A5F">
        <w:rPr>
          <w:rFonts w:ascii="Perpetua" w:hAnsi="Perpetua"/>
        </w:rPr>
        <w:t xml:space="preserve"> médio de injunções findas por funcionário judicial e o </w:t>
      </w:r>
      <w:r w:rsidR="00A2767C" w:rsidRPr="00BC2A5F">
        <w:rPr>
          <w:rFonts w:ascii="Perpetua" w:hAnsi="Perpetua"/>
        </w:rPr>
        <w:t>número</w:t>
      </w:r>
      <w:r w:rsidRPr="00BC2A5F">
        <w:rPr>
          <w:rFonts w:ascii="Perpetua" w:hAnsi="Perpetua"/>
        </w:rPr>
        <w:t xml:space="preserve"> médio de inquéritos findos por magistrado do M.P., respectivamente. Quando incluídas nas equações estimadas com o objectivo de controlar o efeito na produtividade judicial da maior afectação de trabalho de magistrados do M.P</w:t>
      </w:r>
      <w:r w:rsidR="00B332ED">
        <w:rPr>
          <w:rFonts w:ascii="Perpetua" w:hAnsi="Perpetua"/>
        </w:rPr>
        <w:t>.</w:t>
      </w:r>
      <w:r w:rsidRPr="00BC2A5F">
        <w:rPr>
          <w:rFonts w:ascii="Perpetua" w:hAnsi="Perpetua"/>
        </w:rPr>
        <w:t xml:space="preserve"> e dos funcionários judiciais a tarefas que não se reproduziriam num aumento da produtividade judicial, as variáveis «inquéritos findos por magistrado do M.P» e «injunções findas por funcionário judicial» não se demonstraram estatisticamente significativas. Empregamos o termo </w:t>
      </w:r>
      <w:r w:rsidRPr="00BC2A5F">
        <w:rPr>
          <w:rFonts w:ascii="Perpetua" w:hAnsi="Perpetua"/>
          <w:i/>
        </w:rPr>
        <w:t>produtividade</w:t>
      </w:r>
      <w:r w:rsidRPr="00BC2A5F">
        <w:rPr>
          <w:rFonts w:ascii="Perpetua" w:hAnsi="Perpetua"/>
        </w:rPr>
        <w:t xml:space="preserve"> dos M.P</w:t>
      </w:r>
      <w:r w:rsidR="00B332ED">
        <w:rPr>
          <w:rFonts w:ascii="Perpetua" w:hAnsi="Perpetua"/>
        </w:rPr>
        <w:t>.</w:t>
      </w:r>
      <w:r w:rsidRPr="00BC2A5F">
        <w:rPr>
          <w:rFonts w:ascii="Perpetua" w:hAnsi="Perpetua"/>
        </w:rPr>
        <w:t xml:space="preserve"> e </w:t>
      </w:r>
      <w:r w:rsidRPr="00BC2A5F">
        <w:rPr>
          <w:rFonts w:ascii="Perpetua" w:hAnsi="Perpetua"/>
          <w:i/>
        </w:rPr>
        <w:t>produtividade</w:t>
      </w:r>
      <w:r w:rsidRPr="00BC2A5F">
        <w:rPr>
          <w:rFonts w:ascii="Perpetua" w:hAnsi="Perpetua"/>
        </w:rPr>
        <w:t xml:space="preserve"> dos funcionários judiciais por falta de um termo menos inexacto, pois a verdadeira produtividade dos magistrados do M.P. e dos funcionários judiciais</w:t>
      </w:r>
      <w:r w:rsidR="008932FB">
        <w:rPr>
          <w:rFonts w:ascii="Perpetua" w:hAnsi="Perpetua"/>
        </w:rPr>
        <w:t xml:space="preserve"> de cada tribunal está contida/</w:t>
      </w:r>
      <w:r w:rsidRPr="00BC2A5F">
        <w:rPr>
          <w:rFonts w:ascii="Perpetua" w:hAnsi="Perpetua"/>
        </w:rPr>
        <w:t xml:space="preserve">reflectida na produtividade dos magistrados judiciais, visto que o trabalho de funcionários e magistrados do M.P. afecta a quantidade </w:t>
      </w:r>
      <w:r w:rsidR="00A61427">
        <w:rPr>
          <w:rFonts w:ascii="Perpetua" w:hAnsi="Perpetua"/>
        </w:rPr>
        <w:t xml:space="preserve">de </w:t>
      </w:r>
      <w:r w:rsidRPr="00BC2A5F">
        <w:rPr>
          <w:rFonts w:ascii="Perpetua" w:hAnsi="Perpetua"/>
        </w:rPr>
        <w:t xml:space="preserve">processos findos por magistrado judicial nos tribunais, na medida em que estas categorias de trabalhadores judiciais participam directamente na resolução de determinadas categorias de processos judiciais. Nas regressões efectuadas, ambas as variáveis demonstraram ter o sinal esperado, negativo, sinalizando a existência de um </w:t>
      </w:r>
      <w:r w:rsidRPr="00BC2A5F">
        <w:rPr>
          <w:rFonts w:ascii="Perpetua" w:hAnsi="Perpetua"/>
          <w:i/>
        </w:rPr>
        <w:t>trade-off</w:t>
      </w:r>
      <w:r w:rsidRPr="00BC2A5F">
        <w:rPr>
          <w:rFonts w:ascii="Perpetua" w:hAnsi="Perpetua"/>
        </w:rPr>
        <w:t xml:space="preserve"> do trabalho dos funcionários e dos magistrados do M.P. entre resolução de injunções e inquéritos, respectivamente, e a resolução de processos judiciais. Porém, as relações entre essas variáveis e a produtividade judicial não se demonstraram estatisticamente significativas, o que </w:t>
      </w:r>
      <w:r w:rsidR="008346A0" w:rsidRPr="00BC2A5F">
        <w:rPr>
          <w:rFonts w:ascii="Perpetua" w:hAnsi="Perpetua"/>
        </w:rPr>
        <w:t>parece resultar</w:t>
      </w:r>
      <w:r w:rsidR="00BC2A5F">
        <w:rPr>
          <w:rFonts w:ascii="Perpetua" w:hAnsi="Perpetua"/>
        </w:rPr>
        <w:t>,</w:t>
      </w:r>
      <w:r w:rsidR="008346A0" w:rsidRPr="00BC2A5F">
        <w:rPr>
          <w:rFonts w:ascii="Perpetua" w:hAnsi="Perpetua"/>
        </w:rPr>
        <w:t xml:space="preserve"> </w:t>
      </w:r>
      <w:r w:rsidR="00BC2A5F" w:rsidRPr="00BC2A5F">
        <w:rPr>
          <w:rFonts w:ascii="Perpetua" w:hAnsi="Perpetua"/>
        </w:rPr>
        <w:t xml:space="preserve">no caso da </w:t>
      </w:r>
      <w:r w:rsidR="00BC2A5F" w:rsidRPr="00BC2A5F">
        <w:rPr>
          <w:rFonts w:ascii="Perpetua" w:hAnsi="Perpetua"/>
          <w:i/>
        </w:rPr>
        <w:t>produtividade</w:t>
      </w:r>
      <w:r w:rsidR="00BC2A5F" w:rsidRPr="00BC2A5F">
        <w:rPr>
          <w:rFonts w:ascii="Perpetua" w:hAnsi="Perpetua"/>
        </w:rPr>
        <w:t xml:space="preserve"> dos funcionários judiciais</w:t>
      </w:r>
      <w:r w:rsidR="00BC2A5F">
        <w:rPr>
          <w:rFonts w:ascii="Perpetua" w:hAnsi="Perpetua"/>
        </w:rPr>
        <w:t>,</w:t>
      </w:r>
      <w:r w:rsidR="00BC2A5F" w:rsidRPr="00BC2A5F">
        <w:rPr>
          <w:rFonts w:ascii="Perpetua" w:hAnsi="Perpetua"/>
        </w:rPr>
        <w:t xml:space="preserve"> </w:t>
      </w:r>
      <w:r w:rsidR="00BC2A5F">
        <w:rPr>
          <w:rFonts w:ascii="Perpetua" w:hAnsi="Perpetua"/>
        </w:rPr>
        <w:t>dos baixos valores tomados pela variável e</w:t>
      </w:r>
      <w:r w:rsidR="008346A0" w:rsidRPr="00BC2A5F">
        <w:rPr>
          <w:rFonts w:ascii="Perpetua" w:hAnsi="Perpetua"/>
        </w:rPr>
        <w:t xml:space="preserve">, </w:t>
      </w:r>
      <w:r w:rsidR="00BC2A5F" w:rsidRPr="00BC2A5F">
        <w:rPr>
          <w:rFonts w:ascii="Perpetua" w:hAnsi="Perpetua"/>
        </w:rPr>
        <w:t>no caso dos magistrados do M.P.</w:t>
      </w:r>
      <w:r w:rsidR="008346A0" w:rsidRPr="00BC2A5F">
        <w:rPr>
          <w:rFonts w:ascii="Perpetua" w:hAnsi="Perpetua"/>
        </w:rPr>
        <w:t>, d</w:t>
      </w:r>
      <w:r w:rsidR="00E96C72">
        <w:rPr>
          <w:rFonts w:ascii="Perpetua" w:hAnsi="Perpetua"/>
        </w:rPr>
        <w:t xml:space="preserve">e </w:t>
      </w:r>
      <w:r w:rsidR="008346A0" w:rsidRPr="00BC2A5F">
        <w:rPr>
          <w:rFonts w:ascii="Perpetua" w:hAnsi="Perpetua"/>
        </w:rPr>
        <w:t xml:space="preserve">a restrição associada a esse potencial </w:t>
      </w:r>
      <w:r w:rsidR="008346A0" w:rsidRPr="00BC2A5F">
        <w:rPr>
          <w:rFonts w:ascii="Perpetua" w:hAnsi="Perpetua"/>
          <w:i/>
        </w:rPr>
        <w:t>trade-off</w:t>
      </w:r>
      <w:r w:rsidR="008346A0" w:rsidRPr="00BC2A5F">
        <w:rPr>
          <w:rFonts w:ascii="Perpetua" w:hAnsi="Perpetua"/>
        </w:rPr>
        <w:t xml:space="preserve"> não estar activa</w:t>
      </w:r>
      <w:r w:rsidR="00BC2A5F">
        <w:rPr>
          <w:rFonts w:ascii="Perpetua" w:hAnsi="Perpetua"/>
        </w:rPr>
        <w:t xml:space="preserve"> </w:t>
      </w:r>
      <w:r w:rsidR="00BC2A5F" w:rsidRPr="00BC2A5F">
        <w:rPr>
          <w:rFonts w:ascii="Perpetua" w:hAnsi="Perpetua"/>
        </w:rPr>
        <w:t xml:space="preserve">– </w:t>
      </w:r>
      <w:r w:rsidRPr="00BC2A5F">
        <w:rPr>
          <w:rFonts w:ascii="Perpetua" w:hAnsi="Perpetua"/>
        </w:rPr>
        <w:t xml:space="preserve">ou seja, </w:t>
      </w:r>
      <w:r w:rsidR="00BC2A5F" w:rsidRPr="00BC2A5F">
        <w:rPr>
          <w:rFonts w:ascii="Perpetua" w:hAnsi="Perpetua"/>
        </w:rPr>
        <w:t xml:space="preserve">indicando </w:t>
      </w:r>
      <w:r w:rsidRPr="00BC2A5F">
        <w:rPr>
          <w:rFonts w:ascii="Perpetua" w:hAnsi="Perpetua"/>
        </w:rPr>
        <w:t xml:space="preserve">que </w:t>
      </w:r>
      <w:r w:rsidR="00BC2A5F">
        <w:rPr>
          <w:rFonts w:ascii="Perpetua" w:hAnsi="Perpetua"/>
        </w:rPr>
        <w:t xml:space="preserve">poderá </w:t>
      </w:r>
      <w:r w:rsidRPr="00BC2A5F">
        <w:rPr>
          <w:rFonts w:ascii="Perpetua" w:hAnsi="Perpetua"/>
        </w:rPr>
        <w:t>h</w:t>
      </w:r>
      <w:r w:rsidR="00BC2A5F">
        <w:rPr>
          <w:rFonts w:ascii="Perpetua" w:hAnsi="Perpetua"/>
        </w:rPr>
        <w:t>aver</w:t>
      </w:r>
      <w:r w:rsidRPr="00BC2A5F">
        <w:rPr>
          <w:rFonts w:ascii="Perpetua" w:hAnsi="Perpetua"/>
        </w:rPr>
        <w:t xml:space="preserve"> </w:t>
      </w:r>
      <w:r w:rsidR="00BC2A5F" w:rsidRPr="00BC2A5F">
        <w:rPr>
          <w:rFonts w:ascii="Perpetua" w:hAnsi="Perpetua"/>
        </w:rPr>
        <w:t xml:space="preserve">capacidade </w:t>
      </w:r>
      <w:r w:rsidR="00BC2A5F">
        <w:rPr>
          <w:rFonts w:ascii="Perpetua" w:hAnsi="Perpetua"/>
        </w:rPr>
        <w:t>sub</w:t>
      </w:r>
      <w:r w:rsidR="00BC2A5F" w:rsidRPr="00BC2A5F">
        <w:rPr>
          <w:rFonts w:ascii="Perpetua" w:hAnsi="Perpetua"/>
        </w:rPr>
        <w:t xml:space="preserve">utilizada nos </w:t>
      </w:r>
      <w:r w:rsidRPr="00BC2A5F">
        <w:rPr>
          <w:rFonts w:ascii="Perpetua" w:hAnsi="Perpetua"/>
        </w:rPr>
        <w:t xml:space="preserve">tribunais </w:t>
      </w:r>
      <w:r w:rsidR="00BC2A5F" w:rsidRPr="00BC2A5F">
        <w:rPr>
          <w:rFonts w:ascii="Perpetua" w:hAnsi="Perpetua"/>
        </w:rPr>
        <w:t xml:space="preserve">no </w:t>
      </w:r>
      <w:r w:rsidRPr="00BC2A5F">
        <w:rPr>
          <w:rFonts w:ascii="Perpetua" w:hAnsi="Perpetua"/>
        </w:rPr>
        <w:t xml:space="preserve">que </w:t>
      </w:r>
      <w:r w:rsidR="00BC2A5F" w:rsidRPr="00BC2A5F">
        <w:rPr>
          <w:rFonts w:ascii="Perpetua" w:hAnsi="Perpetua"/>
        </w:rPr>
        <w:t xml:space="preserve">respeita ao trabalho dos magistrados do M.P. </w:t>
      </w:r>
    </w:p>
    <w:p w:rsidR="00BC2A5F" w:rsidRDefault="00BC2A5F" w:rsidP="00BC2A5F">
      <w:pPr>
        <w:pStyle w:val="ListParagraph"/>
        <w:spacing w:line="360" w:lineRule="auto"/>
        <w:ind w:left="360"/>
        <w:jc w:val="both"/>
        <w:rPr>
          <w:rFonts w:ascii="Perpetua" w:hAnsi="Perpetua"/>
        </w:rPr>
      </w:pPr>
    </w:p>
    <w:p w:rsidR="00F72F49" w:rsidRDefault="00F72F49" w:rsidP="00F72F49">
      <w:pPr>
        <w:pStyle w:val="ListParagraph"/>
        <w:numPr>
          <w:ilvl w:val="0"/>
          <w:numId w:val="4"/>
        </w:numPr>
        <w:spacing w:line="360" w:lineRule="auto"/>
        <w:ind w:left="360"/>
        <w:jc w:val="both"/>
        <w:rPr>
          <w:rFonts w:ascii="Perpetua" w:hAnsi="Perpetua"/>
        </w:rPr>
      </w:pPr>
      <w:r>
        <w:rPr>
          <w:rFonts w:ascii="Perpetua" w:hAnsi="Perpetua"/>
        </w:rPr>
        <w:t xml:space="preserve">Os tribunais que apresentam um rácio mais elevado de funcionários judiciais por magistrado judicial têm, em média, uma produtividade judicial média mais elevada. </w:t>
      </w:r>
      <w:r w:rsidR="00BC2A5F">
        <w:rPr>
          <w:rFonts w:ascii="Perpetua" w:hAnsi="Perpetua"/>
        </w:rPr>
        <w:t>Esta constatação empírica resulta, provavelmente, do facto d</w:t>
      </w:r>
      <w:r w:rsidR="00E96C72">
        <w:rPr>
          <w:rFonts w:ascii="Perpetua" w:hAnsi="Perpetua"/>
        </w:rPr>
        <w:t xml:space="preserve">e </w:t>
      </w:r>
      <w:r w:rsidR="00E85769">
        <w:rPr>
          <w:rFonts w:ascii="Perpetua" w:hAnsi="Perpetua"/>
        </w:rPr>
        <w:t xml:space="preserve">a variável </w:t>
      </w:r>
      <w:r w:rsidR="00BC2A5F">
        <w:rPr>
          <w:rFonts w:ascii="Perpetua" w:hAnsi="Perpetua"/>
        </w:rPr>
        <w:t>relativ</w:t>
      </w:r>
      <w:r w:rsidR="00E85769">
        <w:rPr>
          <w:rFonts w:ascii="Perpetua" w:hAnsi="Perpetua"/>
        </w:rPr>
        <w:t>a</w:t>
      </w:r>
      <w:r w:rsidR="00BC2A5F">
        <w:rPr>
          <w:rFonts w:ascii="Perpetua" w:hAnsi="Perpetua"/>
        </w:rPr>
        <w:t xml:space="preserve"> a</w:t>
      </w:r>
      <w:r w:rsidR="00E85769">
        <w:rPr>
          <w:rFonts w:ascii="Perpetua" w:hAnsi="Perpetua"/>
        </w:rPr>
        <w:t>o número de</w:t>
      </w:r>
      <w:r w:rsidR="00BC2A5F">
        <w:rPr>
          <w:rFonts w:ascii="Perpetua" w:hAnsi="Perpetua"/>
        </w:rPr>
        <w:t xml:space="preserve"> funcionários judiciais </w:t>
      </w:r>
      <w:r w:rsidR="00E85769">
        <w:rPr>
          <w:rFonts w:ascii="Perpetua" w:hAnsi="Perpetua"/>
        </w:rPr>
        <w:t xml:space="preserve">por tribunal </w:t>
      </w:r>
      <w:r w:rsidR="00BC2A5F">
        <w:rPr>
          <w:rFonts w:ascii="Perpetua" w:hAnsi="Perpetua"/>
        </w:rPr>
        <w:t>inclu</w:t>
      </w:r>
      <w:r w:rsidR="00E85769">
        <w:rPr>
          <w:rFonts w:ascii="Perpetua" w:hAnsi="Perpetua"/>
        </w:rPr>
        <w:t xml:space="preserve">ir os </w:t>
      </w:r>
      <w:r w:rsidR="00BC2A5F">
        <w:rPr>
          <w:rFonts w:ascii="Perpetua" w:hAnsi="Perpetua"/>
        </w:rPr>
        <w:t>funcionários judiciais afectos a todos os serviços do tribunal (judicial, comum e do M.P.)</w:t>
      </w:r>
      <w:r>
        <w:rPr>
          <w:rStyle w:val="FootnoteReference"/>
          <w:rFonts w:ascii="Perpetua" w:hAnsi="Perpetua"/>
        </w:rPr>
        <w:footnoteReference w:id="122"/>
      </w:r>
      <w:r w:rsidR="00BC2A5F">
        <w:rPr>
          <w:rFonts w:ascii="Perpetua" w:hAnsi="Perpetua"/>
        </w:rPr>
        <w:t xml:space="preserve">. Se </w:t>
      </w:r>
      <w:r w:rsidR="00641166">
        <w:rPr>
          <w:rFonts w:ascii="Perpetua" w:hAnsi="Perpetua"/>
        </w:rPr>
        <w:t xml:space="preserve">se </w:t>
      </w:r>
      <w:r w:rsidR="00BC2A5F">
        <w:rPr>
          <w:rFonts w:ascii="Perpetua" w:hAnsi="Perpetua"/>
        </w:rPr>
        <w:t>a</w:t>
      </w:r>
      <w:r w:rsidR="00E85769">
        <w:rPr>
          <w:rFonts w:ascii="Perpetua" w:hAnsi="Perpetua"/>
        </w:rPr>
        <w:t>ceit</w:t>
      </w:r>
      <w:r w:rsidR="00641166">
        <w:rPr>
          <w:rFonts w:ascii="Perpetua" w:hAnsi="Perpetua"/>
        </w:rPr>
        <w:t xml:space="preserve">ar como </w:t>
      </w:r>
      <w:r w:rsidR="00E85769">
        <w:rPr>
          <w:rFonts w:ascii="Perpetua" w:hAnsi="Perpetua"/>
        </w:rPr>
        <w:t>verdadeira a hipótese de que a</w:t>
      </w:r>
      <w:r w:rsidR="00BC2A5F">
        <w:rPr>
          <w:rFonts w:ascii="Perpetua" w:hAnsi="Perpetua"/>
        </w:rPr>
        <w:t xml:space="preserve"> afectação </w:t>
      </w:r>
      <w:r w:rsidR="00E85769">
        <w:rPr>
          <w:rFonts w:ascii="Perpetua" w:hAnsi="Perpetua"/>
        </w:rPr>
        <w:t xml:space="preserve">de funcionários judiciais aos serviços dos tribunais é feita em função do número de magistrados judiciais e do M.P., então um coeficiente de funcionários judiciais por magistrado mais elevado </w:t>
      </w:r>
      <w:r w:rsidR="00641166">
        <w:rPr>
          <w:rFonts w:ascii="Perpetua" w:hAnsi="Perpetua"/>
        </w:rPr>
        <w:t xml:space="preserve">deveria </w:t>
      </w:r>
      <w:r w:rsidR="00E85769">
        <w:rPr>
          <w:rFonts w:ascii="Perpetua" w:hAnsi="Perpetua"/>
        </w:rPr>
        <w:t>reflect</w:t>
      </w:r>
      <w:r w:rsidR="00641166">
        <w:rPr>
          <w:rFonts w:ascii="Perpetua" w:hAnsi="Perpetua"/>
        </w:rPr>
        <w:t>ir</w:t>
      </w:r>
      <w:r w:rsidR="00E85769">
        <w:rPr>
          <w:rFonts w:ascii="Perpetua" w:hAnsi="Perpetua"/>
        </w:rPr>
        <w:t xml:space="preserve"> um serviço do M.P. mais numeroso</w:t>
      </w:r>
      <w:r w:rsidR="00641166">
        <w:rPr>
          <w:rFonts w:ascii="Perpetua" w:hAnsi="Perpetua"/>
        </w:rPr>
        <w:t xml:space="preserve"> (não apenas em termos de funcionários</w:t>
      </w:r>
      <w:r w:rsidR="000D46E5">
        <w:rPr>
          <w:rFonts w:ascii="Perpetua" w:hAnsi="Perpetua"/>
        </w:rPr>
        <w:t xml:space="preserve"> judiciais</w:t>
      </w:r>
      <w:r w:rsidR="00641166">
        <w:rPr>
          <w:rFonts w:ascii="Perpetua" w:hAnsi="Perpetua"/>
        </w:rPr>
        <w:t>, mas também em termos de magistrados do M.P.)</w:t>
      </w:r>
      <w:r w:rsidR="00E85769">
        <w:rPr>
          <w:rFonts w:ascii="Perpetua" w:hAnsi="Perpetua"/>
        </w:rPr>
        <w:t xml:space="preserve">. </w:t>
      </w:r>
      <w:r w:rsidR="00641166">
        <w:rPr>
          <w:rFonts w:ascii="Perpetua" w:hAnsi="Perpetua"/>
        </w:rPr>
        <w:t xml:space="preserve">De acordo com esta conjectura concluir-se-ia que um tribunal com um serviço do M.P. </w:t>
      </w:r>
      <w:r w:rsidR="001A74AF">
        <w:rPr>
          <w:rFonts w:ascii="Perpetua" w:hAnsi="Perpetua"/>
        </w:rPr>
        <w:t xml:space="preserve">relativamente mais numeroso </w:t>
      </w:r>
      <w:r w:rsidR="00641166">
        <w:rPr>
          <w:rFonts w:ascii="Perpetua" w:hAnsi="Perpetua"/>
        </w:rPr>
        <w:t xml:space="preserve">teria, em média, uma produtividade judicial média mais elevada. </w:t>
      </w:r>
      <w:r w:rsidR="00E85769">
        <w:rPr>
          <w:rFonts w:ascii="Perpetua" w:hAnsi="Perpetua"/>
        </w:rPr>
        <w:t>No entanto, a dispersão do rácio magistrados do M.P. por magistrado judicial é muito reduzida</w:t>
      </w:r>
      <w:r w:rsidR="00641166">
        <w:rPr>
          <w:rFonts w:ascii="Perpetua" w:hAnsi="Perpetua"/>
        </w:rPr>
        <w:t>, o que parece contrariar essa hipótese e a dedução que dela decorre.</w:t>
      </w:r>
      <w:r w:rsidR="00E85769">
        <w:rPr>
          <w:rFonts w:ascii="Perpetua" w:hAnsi="Perpetua"/>
        </w:rPr>
        <w:t xml:space="preserve"> </w:t>
      </w:r>
      <w:r w:rsidR="00641166">
        <w:rPr>
          <w:rFonts w:ascii="Perpetua" w:hAnsi="Perpetua"/>
        </w:rPr>
        <w:t xml:space="preserve">Em alternativa, admitindo que o </w:t>
      </w:r>
      <w:r w:rsidR="00641166" w:rsidRPr="00641166">
        <w:rPr>
          <w:rFonts w:ascii="Perpetua" w:hAnsi="Perpetua"/>
          <w:i/>
        </w:rPr>
        <w:t>input</w:t>
      </w:r>
      <w:r w:rsidR="00641166">
        <w:rPr>
          <w:rFonts w:ascii="Perpetua" w:hAnsi="Perpetua"/>
        </w:rPr>
        <w:t xml:space="preserve"> no processo produtivo dos funcionários judiciais, independentemente do serviço do tribunal a que estão afectos, é igual, os resultados da</w:t>
      </w:r>
      <w:r>
        <w:rPr>
          <w:rFonts w:ascii="Perpetua" w:hAnsi="Perpetua"/>
        </w:rPr>
        <w:t xml:space="preserve"> análise de regressão indica</w:t>
      </w:r>
      <w:r w:rsidR="00641166">
        <w:rPr>
          <w:rFonts w:ascii="Perpetua" w:hAnsi="Perpetua"/>
        </w:rPr>
        <w:t>m</w:t>
      </w:r>
      <w:r>
        <w:rPr>
          <w:rFonts w:ascii="Perpetua" w:hAnsi="Perpetua"/>
        </w:rPr>
        <w:t xml:space="preserve"> que </w:t>
      </w:r>
      <w:r w:rsidR="00641166">
        <w:rPr>
          <w:rFonts w:ascii="Perpetua" w:hAnsi="Perpetua"/>
        </w:rPr>
        <w:t>o</w:t>
      </w:r>
      <w:r>
        <w:rPr>
          <w:rFonts w:ascii="Perpetua" w:hAnsi="Perpetua"/>
        </w:rPr>
        <w:t xml:space="preserve"> rácio </w:t>
      </w:r>
      <w:r w:rsidR="00641166">
        <w:rPr>
          <w:rFonts w:ascii="Perpetua" w:hAnsi="Perpetua"/>
        </w:rPr>
        <w:t xml:space="preserve">de </w:t>
      </w:r>
      <w:r>
        <w:rPr>
          <w:rFonts w:ascii="Perpetua" w:hAnsi="Perpetua"/>
        </w:rPr>
        <w:t>funcionários por magistrado judicial</w:t>
      </w:r>
      <w:r w:rsidR="00641166">
        <w:rPr>
          <w:rFonts w:ascii="Perpetua" w:hAnsi="Perpetua"/>
        </w:rPr>
        <w:t xml:space="preserve"> aumenta a produtividade</w:t>
      </w:r>
      <w:r>
        <w:rPr>
          <w:rFonts w:ascii="Perpetua" w:hAnsi="Perpetua"/>
        </w:rPr>
        <w:t xml:space="preserve"> </w:t>
      </w:r>
      <w:r w:rsidR="000D46E5">
        <w:rPr>
          <w:rFonts w:ascii="Perpetua" w:hAnsi="Perpetua"/>
        </w:rPr>
        <w:t>judicial e que</w:t>
      </w:r>
      <w:r>
        <w:rPr>
          <w:rFonts w:ascii="Perpetua" w:hAnsi="Perpetua"/>
        </w:rPr>
        <w:t>, a seguir à carga judicial</w:t>
      </w:r>
      <w:r w:rsidR="00A00C71">
        <w:rPr>
          <w:rFonts w:ascii="Perpetua" w:hAnsi="Perpetua"/>
        </w:rPr>
        <w:t xml:space="preserve"> média</w:t>
      </w:r>
      <w:r>
        <w:rPr>
          <w:rFonts w:ascii="Perpetua" w:hAnsi="Perpetua"/>
        </w:rPr>
        <w:t xml:space="preserve">, </w:t>
      </w:r>
      <w:r w:rsidR="000D46E5">
        <w:rPr>
          <w:rFonts w:ascii="Perpetua" w:hAnsi="Perpetua"/>
        </w:rPr>
        <w:t xml:space="preserve">é </w:t>
      </w:r>
      <w:r>
        <w:rPr>
          <w:rFonts w:ascii="Perpetua" w:hAnsi="Perpetua"/>
        </w:rPr>
        <w:t xml:space="preserve">o factor que mais contribui para a produtividade judicial média do tribunal. </w:t>
      </w:r>
      <w:r w:rsidR="00641166">
        <w:rPr>
          <w:rFonts w:ascii="Perpetua" w:hAnsi="Perpetua"/>
        </w:rPr>
        <w:t>Aceitando es</w:t>
      </w:r>
      <w:r>
        <w:rPr>
          <w:rFonts w:ascii="Perpetua" w:hAnsi="Perpetua"/>
        </w:rPr>
        <w:t xml:space="preserve">ta </w:t>
      </w:r>
      <w:r w:rsidR="000D46E5">
        <w:rPr>
          <w:rFonts w:ascii="Perpetua" w:hAnsi="Perpetua"/>
        </w:rPr>
        <w:t>hipótese</w:t>
      </w:r>
      <w:r w:rsidR="00641166">
        <w:rPr>
          <w:rFonts w:ascii="Perpetua" w:hAnsi="Perpetua"/>
        </w:rPr>
        <w:t xml:space="preserve">, a </w:t>
      </w:r>
      <w:r>
        <w:rPr>
          <w:rFonts w:ascii="Perpetua" w:hAnsi="Perpetua"/>
        </w:rPr>
        <w:t xml:space="preserve">conclusão </w:t>
      </w:r>
      <w:r w:rsidR="001E5B3A">
        <w:rPr>
          <w:rFonts w:ascii="Perpetua" w:hAnsi="Perpetua"/>
        </w:rPr>
        <w:t xml:space="preserve">da análise empírica </w:t>
      </w:r>
      <w:r>
        <w:rPr>
          <w:rFonts w:ascii="Perpetua" w:hAnsi="Perpetua"/>
        </w:rPr>
        <w:t xml:space="preserve">vem confirmar a existência de algum grau de substituibilidade na utilização de trabalho dos funcionários e dos magistrados judiciais na resolução de processos judiciais. </w:t>
      </w:r>
    </w:p>
    <w:p w:rsidR="00F72F49" w:rsidRDefault="00F72F49" w:rsidP="00F72F49">
      <w:pPr>
        <w:spacing w:line="360" w:lineRule="auto"/>
        <w:jc w:val="both"/>
        <w:rPr>
          <w:rFonts w:ascii="Perpetua" w:hAnsi="Perpetua"/>
        </w:rPr>
      </w:pPr>
    </w:p>
    <w:p w:rsidR="00223784" w:rsidRDefault="00F72F49" w:rsidP="00F72F49">
      <w:pPr>
        <w:pStyle w:val="ListParagraph"/>
        <w:numPr>
          <w:ilvl w:val="0"/>
          <w:numId w:val="4"/>
        </w:numPr>
        <w:spacing w:line="360" w:lineRule="auto"/>
        <w:ind w:left="360"/>
        <w:jc w:val="both"/>
        <w:rPr>
          <w:rFonts w:ascii="Perpetua" w:hAnsi="Perpetua"/>
        </w:rPr>
      </w:pPr>
      <w:r w:rsidRPr="00223784">
        <w:rPr>
          <w:rFonts w:ascii="Perpetua" w:hAnsi="Perpetua"/>
        </w:rPr>
        <w:t xml:space="preserve">A análise preliminar dos dados estatísticos permitiu também identificar uma relação </w:t>
      </w:r>
      <w:r w:rsidR="00313C4C" w:rsidRPr="00223784">
        <w:rPr>
          <w:rFonts w:ascii="Perpetua" w:hAnsi="Perpetua"/>
        </w:rPr>
        <w:t xml:space="preserve">estatística </w:t>
      </w:r>
      <w:r w:rsidRPr="00223784">
        <w:rPr>
          <w:rFonts w:ascii="Perpetua" w:hAnsi="Perpetua"/>
        </w:rPr>
        <w:t xml:space="preserve">negativa entre o </w:t>
      </w:r>
      <w:r w:rsidR="00A2767C" w:rsidRPr="00223784">
        <w:rPr>
          <w:rFonts w:ascii="Perpetua" w:hAnsi="Perpetua"/>
        </w:rPr>
        <w:t>número</w:t>
      </w:r>
      <w:r w:rsidRPr="00223784">
        <w:rPr>
          <w:rFonts w:ascii="Perpetua" w:hAnsi="Perpetua"/>
        </w:rPr>
        <w:t xml:space="preserve"> de magistrados judiciais e o rácio de funcionários judiciais por magistrado judicial. Em linha com o que </w:t>
      </w:r>
      <w:r w:rsidR="00313C4C" w:rsidRPr="00223784">
        <w:rPr>
          <w:rFonts w:ascii="Perpetua" w:hAnsi="Perpetua"/>
        </w:rPr>
        <w:t xml:space="preserve">foi dito </w:t>
      </w:r>
      <w:r w:rsidRPr="00223784">
        <w:rPr>
          <w:rFonts w:ascii="Perpetua" w:hAnsi="Perpetua"/>
        </w:rPr>
        <w:t xml:space="preserve">no parágrafo anterior, a estimação da equação 1 com a variável </w:t>
      </w:r>
      <w:r w:rsidR="000D290D" w:rsidRPr="00223784">
        <w:rPr>
          <w:rFonts w:ascii="Perpetua" w:hAnsi="Perpetua"/>
        </w:rPr>
        <w:t>«</w:t>
      </w:r>
      <w:r w:rsidR="00A2767C" w:rsidRPr="00223784">
        <w:rPr>
          <w:rFonts w:ascii="Perpetua" w:hAnsi="Perpetua"/>
        </w:rPr>
        <w:t>número</w:t>
      </w:r>
      <w:r w:rsidRPr="00223784">
        <w:rPr>
          <w:rFonts w:ascii="Perpetua" w:hAnsi="Perpetua"/>
        </w:rPr>
        <w:t xml:space="preserve"> de magistrados judiciais</w:t>
      </w:r>
      <w:r w:rsidR="000D290D" w:rsidRPr="00223784">
        <w:rPr>
          <w:rFonts w:ascii="Perpetua" w:hAnsi="Perpetua"/>
        </w:rPr>
        <w:t>» no lugar da variável</w:t>
      </w:r>
      <w:r w:rsidRPr="00223784">
        <w:rPr>
          <w:rFonts w:ascii="Perpetua" w:hAnsi="Perpetua"/>
        </w:rPr>
        <w:t xml:space="preserve"> </w:t>
      </w:r>
      <w:r w:rsidR="000D290D" w:rsidRPr="00223784">
        <w:rPr>
          <w:rFonts w:ascii="Perpetua" w:hAnsi="Perpetua"/>
        </w:rPr>
        <w:t>«</w:t>
      </w:r>
      <w:r w:rsidRPr="00223784">
        <w:rPr>
          <w:rFonts w:ascii="Perpetua" w:hAnsi="Perpetua"/>
        </w:rPr>
        <w:t>rácio funcionários</w:t>
      </w:r>
      <w:r w:rsidR="00313C4C" w:rsidRPr="00223784">
        <w:rPr>
          <w:rFonts w:ascii="Perpetua" w:hAnsi="Perpetua"/>
        </w:rPr>
        <w:t xml:space="preserve"> judiciais por magistrado judicial</w:t>
      </w:r>
      <w:r w:rsidR="000D290D" w:rsidRPr="00223784">
        <w:rPr>
          <w:rFonts w:ascii="Perpetua" w:hAnsi="Perpetua"/>
        </w:rPr>
        <w:t>»</w:t>
      </w:r>
      <w:r w:rsidRPr="00223784">
        <w:rPr>
          <w:rFonts w:ascii="Perpetua" w:hAnsi="Perpetua"/>
        </w:rPr>
        <w:t>, resulta numa relação negativa entre a escala dos tribunais e a produtividade judicial média. Porém, não é possível concluir quanto à existência de deseconomias de escala na provisão de serviços judiciais, visto que</w:t>
      </w:r>
      <w:r w:rsidR="000D290D" w:rsidRPr="00223784">
        <w:rPr>
          <w:rFonts w:ascii="Perpetua" w:hAnsi="Perpetua"/>
        </w:rPr>
        <w:t>,</w:t>
      </w:r>
      <w:r w:rsidRPr="00223784">
        <w:rPr>
          <w:rFonts w:ascii="Perpetua" w:hAnsi="Perpetua"/>
        </w:rPr>
        <w:t xml:space="preserve"> quando ambas as variáveis</w:t>
      </w:r>
      <w:r w:rsidR="00313C4C" w:rsidRPr="00223784">
        <w:rPr>
          <w:rFonts w:ascii="Perpetua" w:hAnsi="Perpetua"/>
        </w:rPr>
        <w:t xml:space="preserve"> são incluídas na regressão</w:t>
      </w:r>
      <w:r w:rsidRPr="00223784">
        <w:rPr>
          <w:rFonts w:ascii="Perpetua" w:hAnsi="Perpetua"/>
        </w:rPr>
        <w:t>, a variável de escala do tribunal</w:t>
      </w:r>
      <w:r w:rsidR="00FB2239">
        <w:rPr>
          <w:rFonts w:ascii="Perpetua" w:hAnsi="Perpetua"/>
        </w:rPr>
        <w:t>, apesar do sinal do coeficiente se manter negativo,</w:t>
      </w:r>
      <w:r w:rsidRPr="00223784">
        <w:rPr>
          <w:rFonts w:ascii="Perpetua" w:hAnsi="Perpetua"/>
        </w:rPr>
        <w:t xml:space="preserve"> deixa de ser </w:t>
      </w:r>
      <w:r w:rsidR="00FB2239">
        <w:rPr>
          <w:rFonts w:ascii="Perpetua" w:hAnsi="Perpetua"/>
        </w:rPr>
        <w:t xml:space="preserve">estatisticamente </w:t>
      </w:r>
      <w:r w:rsidRPr="00223784">
        <w:rPr>
          <w:rFonts w:ascii="Perpetua" w:hAnsi="Perpetua"/>
        </w:rPr>
        <w:t xml:space="preserve">significativa. </w:t>
      </w:r>
      <w:r w:rsidR="00313C4C" w:rsidRPr="00223784">
        <w:rPr>
          <w:rFonts w:ascii="Perpetua" w:hAnsi="Perpetua"/>
        </w:rPr>
        <w:t>Ou seja, c</w:t>
      </w:r>
      <w:r w:rsidRPr="00223784">
        <w:rPr>
          <w:rFonts w:ascii="Perpetua" w:hAnsi="Perpetua"/>
        </w:rPr>
        <w:t xml:space="preserve">ontrolando o efeito da redução do rácio de funcionários por magistrado judicial resultante do aumento da dimensão do tribunal (medida pelo número de magistrados judiciais afectos ao tribunal), não há </w:t>
      </w:r>
      <w:r w:rsidR="00E96C72">
        <w:rPr>
          <w:rFonts w:ascii="Perpetua" w:hAnsi="Perpetua"/>
        </w:rPr>
        <w:t>provas</w:t>
      </w:r>
      <w:r w:rsidRPr="00223784">
        <w:rPr>
          <w:rFonts w:ascii="Perpetua" w:hAnsi="Perpetua"/>
        </w:rPr>
        <w:t xml:space="preserve"> estatística</w:t>
      </w:r>
      <w:r w:rsidR="00E96C72">
        <w:rPr>
          <w:rFonts w:ascii="Perpetua" w:hAnsi="Perpetua"/>
        </w:rPr>
        <w:t>s</w:t>
      </w:r>
      <w:r w:rsidRPr="00223784">
        <w:rPr>
          <w:rFonts w:ascii="Perpetua" w:hAnsi="Perpetua"/>
        </w:rPr>
        <w:t xml:space="preserve"> de efeitos de escala na produtividade judicial média</w:t>
      </w:r>
      <w:r w:rsidR="00223784" w:rsidRPr="00223784">
        <w:rPr>
          <w:rFonts w:ascii="Perpetua" w:hAnsi="Perpetua"/>
        </w:rPr>
        <w:t>, embora o sinal da relação seja coerente com a previsão teórica de que há deseconomias de escala na provisão de serviços judiciais no sistema judicial português</w:t>
      </w:r>
      <w:r w:rsidRPr="00223784">
        <w:rPr>
          <w:rFonts w:ascii="Perpetua" w:hAnsi="Perpetua"/>
        </w:rPr>
        <w:t xml:space="preserve">. </w:t>
      </w:r>
      <w:r w:rsidR="00223784" w:rsidRPr="00223784">
        <w:rPr>
          <w:rFonts w:ascii="Perpetua" w:hAnsi="Perpetua"/>
        </w:rPr>
        <w:t>Os</w:t>
      </w:r>
      <w:r w:rsidR="00A1402B" w:rsidRPr="00223784">
        <w:rPr>
          <w:rFonts w:ascii="Perpetua" w:hAnsi="Perpetua"/>
        </w:rPr>
        <w:t xml:space="preserve"> testes estatísticos efectu</w:t>
      </w:r>
      <w:r w:rsidR="00223784" w:rsidRPr="00223784">
        <w:rPr>
          <w:rFonts w:ascii="Perpetua" w:hAnsi="Perpetua"/>
        </w:rPr>
        <w:t>a</w:t>
      </w:r>
      <w:r w:rsidR="00A1402B" w:rsidRPr="00223784">
        <w:rPr>
          <w:rFonts w:ascii="Perpetua" w:hAnsi="Perpetua"/>
        </w:rPr>
        <w:t xml:space="preserve">dos em subconjuntos de tribunais com carga judicial média elevada </w:t>
      </w:r>
      <w:r w:rsidR="000D46E5" w:rsidRPr="00223784">
        <w:rPr>
          <w:rFonts w:ascii="Perpetua" w:hAnsi="Perpetua"/>
        </w:rPr>
        <w:t>(superior a 800 e 1.000 processos</w:t>
      </w:r>
      <w:r w:rsidR="00A1402B" w:rsidRPr="00223784">
        <w:rPr>
          <w:rFonts w:ascii="Perpetua" w:hAnsi="Perpetua"/>
        </w:rPr>
        <w:t xml:space="preserve"> judiciais</w:t>
      </w:r>
      <w:r w:rsidR="000D46E5" w:rsidRPr="00223784">
        <w:rPr>
          <w:rFonts w:ascii="Perpetua" w:hAnsi="Perpetua"/>
        </w:rPr>
        <w:t>)</w:t>
      </w:r>
      <w:r w:rsidR="00223784" w:rsidRPr="00223784">
        <w:rPr>
          <w:rFonts w:ascii="Perpetua" w:hAnsi="Perpetua"/>
        </w:rPr>
        <w:t xml:space="preserve"> confirmam as conclusões das regressões (1) a (6).</w:t>
      </w:r>
    </w:p>
    <w:p w:rsidR="00F72F49" w:rsidRPr="00FA206C" w:rsidRDefault="00223784" w:rsidP="00223784">
      <w:pPr>
        <w:pStyle w:val="ListParagraph"/>
        <w:spacing w:line="360" w:lineRule="auto"/>
        <w:ind w:left="360"/>
        <w:jc w:val="both"/>
        <w:rPr>
          <w:rFonts w:ascii="Perpetua" w:hAnsi="Perpetua"/>
        </w:rPr>
      </w:pPr>
      <w:r w:rsidRPr="00223784">
        <w:rPr>
          <w:rFonts w:ascii="Perpetua" w:hAnsi="Perpetua"/>
        </w:rPr>
        <w:t xml:space="preserve"> </w:t>
      </w:r>
    </w:p>
    <w:p w:rsidR="00F72F49" w:rsidRDefault="00F72F49" w:rsidP="00F72F49">
      <w:pPr>
        <w:pStyle w:val="ListParagraph"/>
        <w:numPr>
          <w:ilvl w:val="0"/>
          <w:numId w:val="4"/>
        </w:numPr>
        <w:spacing w:line="360" w:lineRule="auto"/>
        <w:ind w:left="360"/>
        <w:jc w:val="both"/>
        <w:rPr>
          <w:rFonts w:ascii="Perpetua" w:hAnsi="Perpetua"/>
        </w:rPr>
      </w:pPr>
      <w:r w:rsidRPr="00702C70">
        <w:rPr>
          <w:rFonts w:ascii="Perpetua" w:hAnsi="Perpetua"/>
        </w:rPr>
        <w:t xml:space="preserve">A partição da amostra em </w:t>
      </w:r>
      <w:r w:rsidR="00B332ED">
        <w:rPr>
          <w:rFonts w:ascii="Perpetua" w:hAnsi="Perpetua"/>
        </w:rPr>
        <w:t>três</w:t>
      </w:r>
      <w:r w:rsidRPr="00702C70">
        <w:rPr>
          <w:rFonts w:ascii="Perpetua" w:hAnsi="Perpetua"/>
        </w:rPr>
        <w:t xml:space="preserve"> </w:t>
      </w:r>
      <w:r w:rsidR="005E4978" w:rsidRPr="00200032">
        <w:rPr>
          <w:rFonts w:ascii="Perpetua" w:hAnsi="Perpetua"/>
          <w:i/>
        </w:rPr>
        <w:t>clusters</w:t>
      </w:r>
      <w:r w:rsidRPr="00702C70">
        <w:rPr>
          <w:rFonts w:ascii="Perpetua" w:hAnsi="Perpetua"/>
        </w:rPr>
        <w:t xml:space="preserve"> em função da homogeneidade do </w:t>
      </w:r>
      <w:r w:rsidRPr="00927CE0">
        <w:rPr>
          <w:rFonts w:ascii="Perpetua" w:hAnsi="Perpetua"/>
          <w:i/>
        </w:rPr>
        <w:t>case mix</w:t>
      </w:r>
      <w:r w:rsidRPr="00702C70">
        <w:rPr>
          <w:rFonts w:ascii="Perpetua" w:hAnsi="Perpetua"/>
        </w:rPr>
        <w:t xml:space="preserve"> dos tribunais </w:t>
      </w:r>
      <w:r w:rsidR="00313C4C">
        <w:rPr>
          <w:rFonts w:ascii="Perpetua" w:hAnsi="Perpetua"/>
        </w:rPr>
        <w:t xml:space="preserve">analisados </w:t>
      </w:r>
      <w:r w:rsidRPr="00702C70">
        <w:rPr>
          <w:rFonts w:ascii="Perpetua" w:hAnsi="Perpetua"/>
        </w:rPr>
        <w:t xml:space="preserve">permitiu traçar um perfil normal, ou comum, de </w:t>
      </w:r>
      <w:r w:rsidRPr="00927CE0">
        <w:rPr>
          <w:rFonts w:ascii="Perpetua" w:hAnsi="Perpetua"/>
          <w:i/>
        </w:rPr>
        <w:t>case mix</w:t>
      </w:r>
      <w:r w:rsidRPr="00702C70">
        <w:rPr>
          <w:rFonts w:ascii="Perpetua" w:hAnsi="Perpetua"/>
        </w:rPr>
        <w:t xml:space="preserve"> dos tribunais de competência genérica, c</w:t>
      </w:r>
      <w:r w:rsidR="00927CE0">
        <w:rPr>
          <w:rFonts w:ascii="Perpetua" w:hAnsi="Perpetua"/>
        </w:rPr>
        <w:t>aracterizado por uma percentagem</w:t>
      </w:r>
      <w:r w:rsidRPr="00702C70">
        <w:rPr>
          <w:rFonts w:ascii="Perpetua" w:hAnsi="Perpetua"/>
        </w:rPr>
        <w:t xml:space="preserve"> </w:t>
      </w:r>
      <w:r w:rsidR="00927CE0" w:rsidRPr="00702C70">
        <w:rPr>
          <w:rFonts w:ascii="Perpetua" w:hAnsi="Perpetua"/>
        </w:rPr>
        <w:t xml:space="preserve">de processos cíveis </w:t>
      </w:r>
      <w:r w:rsidRPr="00702C70">
        <w:rPr>
          <w:rFonts w:ascii="Perpetua" w:hAnsi="Perpetua"/>
        </w:rPr>
        <w:t xml:space="preserve">em torno dos 60% e </w:t>
      </w:r>
      <w:r w:rsidR="00927CE0">
        <w:rPr>
          <w:rFonts w:ascii="Perpetua" w:hAnsi="Perpetua"/>
        </w:rPr>
        <w:t xml:space="preserve">de </w:t>
      </w:r>
      <w:r w:rsidR="00927CE0" w:rsidRPr="00702C70">
        <w:rPr>
          <w:rFonts w:ascii="Perpetua" w:hAnsi="Perpetua"/>
        </w:rPr>
        <w:t xml:space="preserve">processos penais </w:t>
      </w:r>
      <w:r w:rsidRPr="00702C70">
        <w:rPr>
          <w:rFonts w:ascii="Perpetua" w:hAnsi="Perpetua"/>
        </w:rPr>
        <w:t xml:space="preserve">em torno dos 30%. A análise de </w:t>
      </w:r>
      <w:r w:rsidR="005E4978" w:rsidRPr="00E96C72">
        <w:rPr>
          <w:rFonts w:ascii="Perpetua" w:hAnsi="Perpetua"/>
          <w:i/>
        </w:rPr>
        <w:t>clusters</w:t>
      </w:r>
      <w:r w:rsidRPr="00702C70">
        <w:rPr>
          <w:rFonts w:ascii="Perpetua" w:hAnsi="Perpetua"/>
        </w:rPr>
        <w:t xml:space="preserve"> efectuada n</w:t>
      </w:r>
      <w:r w:rsidR="00927CE0">
        <w:rPr>
          <w:rFonts w:ascii="Perpetua" w:hAnsi="Perpetua"/>
        </w:rPr>
        <w:t>a</w:t>
      </w:r>
      <w:r w:rsidRPr="00702C70">
        <w:rPr>
          <w:rFonts w:ascii="Perpetua" w:hAnsi="Perpetua"/>
        </w:rPr>
        <w:t xml:space="preserve"> </w:t>
      </w:r>
      <w:r w:rsidR="00927CE0">
        <w:rPr>
          <w:rFonts w:ascii="Perpetua" w:hAnsi="Perpetua"/>
        </w:rPr>
        <w:t>secção 5.</w:t>
      </w:r>
      <w:r w:rsidRPr="00702C70">
        <w:rPr>
          <w:rFonts w:ascii="Perpetua" w:hAnsi="Perpetua"/>
        </w:rPr>
        <w:t>2</w:t>
      </w:r>
      <w:r w:rsidR="00927CE0">
        <w:rPr>
          <w:rFonts w:ascii="Perpetua" w:hAnsi="Perpetua"/>
        </w:rPr>
        <w:t>. permitiu</w:t>
      </w:r>
      <w:r w:rsidR="00200032">
        <w:rPr>
          <w:rFonts w:ascii="Perpetua" w:hAnsi="Perpetua"/>
        </w:rPr>
        <w:t xml:space="preserve"> verificar que, para o efeito do</w:t>
      </w:r>
      <w:r w:rsidRPr="00702C70">
        <w:rPr>
          <w:rFonts w:ascii="Perpetua" w:hAnsi="Perpetua"/>
        </w:rPr>
        <w:t xml:space="preserve"> controlo </w:t>
      </w:r>
      <w:r w:rsidR="00E96C72">
        <w:rPr>
          <w:rFonts w:ascii="Perpetua" w:hAnsi="Perpetua"/>
        </w:rPr>
        <w:t xml:space="preserve">da </w:t>
      </w:r>
      <w:r w:rsidRPr="00702C70">
        <w:rPr>
          <w:rFonts w:ascii="Perpetua" w:hAnsi="Perpetua"/>
        </w:rPr>
        <w:t xml:space="preserve">heterogeneidade do </w:t>
      </w:r>
      <w:r w:rsidRPr="00927CE0">
        <w:rPr>
          <w:rFonts w:ascii="Perpetua" w:hAnsi="Perpetua"/>
          <w:i/>
        </w:rPr>
        <w:t>case mix</w:t>
      </w:r>
      <w:r w:rsidRPr="00702C70">
        <w:rPr>
          <w:rFonts w:ascii="Perpetua" w:hAnsi="Perpetua"/>
        </w:rPr>
        <w:t xml:space="preserve"> dos tribunais, os critérios de agregação </w:t>
      </w:r>
      <w:r w:rsidR="00E96C72">
        <w:rPr>
          <w:rFonts w:ascii="Perpetua" w:hAnsi="Perpetua"/>
        </w:rPr>
        <w:t>«</w:t>
      </w:r>
      <w:r w:rsidRPr="00702C70">
        <w:rPr>
          <w:rFonts w:ascii="Perpetua" w:hAnsi="Perpetua"/>
        </w:rPr>
        <w:t>forma processual</w:t>
      </w:r>
      <w:r w:rsidR="00E96C72">
        <w:rPr>
          <w:rFonts w:ascii="Perpetua" w:hAnsi="Perpetua"/>
        </w:rPr>
        <w:t>»</w:t>
      </w:r>
      <w:r w:rsidRPr="00702C70">
        <w:rPr>
          <w:rFonts w:ascii="Perpetua" w:hAnsi="Perpetua"/>
        </w:rPr>
        <w:t xml:space="preserve">, </w:t>
      </w:r>
      <w:r w:rsidR="00E96C72">
        <w:rPr>
          <w:rFonts w:ascii="Perpetua" w:hAnsi="Perpetua"/>
        </w:rPr>
        <w:t>«</w:t>
      </w:r>
      <w:r w:rsidRPr="00702C70">
        <w:rPr>
          <w:rFonts w:ascii="Perpetua" w:hAnsi="Perpetua"/>
        </w:rPr>
        <w:t>termo do processo</w:t>
      </w:r>
      <w:r w:rsidR="00E96C72">
        <w:rPr>
          <w:rFonts w:ascii="Perpetua" w:hAnsi="Perpetua"/>
        </w:rPr>
        <w:t>»</w:t>
      </w:r>
      <w:r w:rsidRPr="00702C70">
        <w:rPr>
          <w:rFonts w:ascii="Perpetua" w:hAnsi="Perpetua"/>
        </w:rPr>
        <w:t xml:space="preserve"> e </w:t>
      </w:r>
      <w:r w:rsidR="00E96C72">
        <w:rPr>
          <w:rFonts w:ascii="Perpetua" w:hAnsi="Perpetua"/>
        </w:rPr>
        <w:t>«</w:t>
      </w:r>
      <w:r w:rsidRPr="00702C70">
        <w:rPr>
          <w:rFonts w:ascii="Perpetua" w:hAnsi="Perpetua"/>
        </w:rPr>
        <w:t>forma proces</w:t>
      </w:r>
      <w:r>
        <w:rPr>
          <w:rFonts w:ascii="Perpetua" w:hAnsi="Perpetua"/>
        </w:rPr>
        <w:t>sual</w:t>
      </w:r>
      <w:r w:rsidR="00E96C72">
        <w:rPr>
          <w:rFonts w:ascii="Perpetua" w:hAnsi="Perpetua"/>
        </w:rPr>
        <w:t>»</w:t>
      </w:r>
      <w:r>
        <w:rPr>
          <w:rFonts w:ascii="Perpetua" w:hAnsi="Perpetua"/>
        </w:rPr>
        <w:t xml:space="preserve"> são negligenciáveis, pois a</w:t>
      </w:r>
      <w:r w:rsidRPr="00702C70">
        <w:rPr>
          <w:rFonts w:ascii="Perpetua" w:hAnsi="Perpetua"/>
        </w:rPr>
        <w:t xml:space="preserve"> estrutura de correlações entre as categorias de diferentes critérios de agregação de processos findos</w:t>
      </w:r>
      <w:r>
        <w:rPr>
          <w:rFonts w:ascii="Perpetua" w:hAnsi="Perpetua"/>
        </w:rPr>
        <w:t xml:space="preserve"> é bastante </w:t>
      </w:r>
      <w:r w:rsidRPr="00702C70">
        <w:rPr>
          <w:rFonts w:ascii="Perpetua" w:hAnsi="Perpetua"/>
        </w:rPr>
        <w:t xml:space="preserve">elevada. A introdução de variáveis </w:t>
      </w:r>
      <w:r w:rsidRPr="00927CE0">
        <w:rPr>
          <w:rFonts w:ascii="Perpetua" w:hAnsi="Perpetua"/>
          <w:i/>
        </w:rPr>
        <w:t>dumm</w:t>
      </w:r>
      <w:r w:rsidR="00313C4C">
        <w:rPr>
          <w:rFonts w:ascii="Perpetua" w:hAnsi="Perpetua"/>
          <w:i/>
        </w:rPr>
        <w:t>y</w:t>
      </w:r>
      <w:r w:rsidRPr="00702C70">
        <w:rPr>
          <w:rFonts w:ascii="Perpetua" w:hAnsi="Perpetua"/>
        </w:rPr>
        <w:t xml:space="preserve"> que reflectissem a heterogeneidade do </w:t>
      </w:r>
      <w:r w:rsidRPr="00927CE0">
        <w:rPr>
          <w:rFonts w:ascii="Perpetua" w:hAnsi="Perpetua"/>
          <w:i/>
        </w:rPr>
        <w:t>case mix</w:t>
      </w:r>
      <w:r w:rsidRPr="00702C70">
        <w:rPr>
          <w:rFonts w:ascii="Perpetua" w:hAnsi="Perpetua"/>
        </w:rPr>
        <w:t xml:space="preserve"> </w:t>
      </w:r>
      <w:r w:rsidR="00927CE0">
        <w:rPr>
          <w:rFonts w:ascii="Perpetua" w:hAnsi="Perpetua"/>
        </w:rPr>
        <w:t xml:space="preserve">demonstraram ainda </w:t>
      </w:r>
      <w:r w:rsidRPr="00702C70">
        <w:rPr>
          <w:rFonts w:ascii="Perpetua" w:hAnsi="Perpetua"/>
        </w:rPr>
        <w:t xml:space="preserve">que os processos penais e tutelares penalizam a produtividade judicial média face aos processos cíveis, ou seja, </w:t>
      </w:r>
      <w:r>
        <w:rPr>
          <w:rFonts w:ascii="Perpetua" w:hAnsi="Perpetua"/>
        </w:rPr>
        <w:t xml:space="preserve">que </w:t>
      </w:r>
      <w:r w:rsidRPr="00702C70">
        <w:rPr>
          <w:rFonts w:ascii="Perpetua" w:hAnsi="Perpetua"/>
        </w:rPr>
        <w:t>os processos penais e tutelares são, em média, mais exigentes em termos de trabalho judicial que os processos cíveis.</w:t>
      </w:r>
    </w:p>
    <w:p w:rsidR="00F72F49" w:rsidRPr="00702C70" w:rsidRDefault="00F72F49" w:rsidP="00F72F49">
      <w:pPr>
        <w:pStyle w:val="ListParagraph"/>
        <w:rPr>
          <w:rFonts w:ascii="Perpetua" w:hAnsi="Perpetua"/>
        </w:rPr>
      </w:pPr>
    </w:p>
    <w:p w:rsidR="00A17588" w:rsidRDefault="00F72F49" w:rsidP="00F72F49">
      <w:pPr>
        <w:pStyle w:val="ListParagraph"/>
        <w:numPr>
          <w:ilvl w:val="0"/>
          <w:numId w:val="4"/>
        </w:numPr>
        <w:spacing w:line="360" w:lineRule="auto"/>
        <w:ind w:left="360"/>
        <w:jc w:val="both"/>
        <w:rPr>
          <w:rFonts w:ascii="Perpetua" w:hAnsi="Perpetua"/>
        </w:rPr>
      </w:pPr>
      <w:r w:rsidRPr="008424E5">
        <w:rPr>
          <w:rFonts w:ascii="Perpetua" w:hAnsi="Perpetua"/>
        </w:rPr>
        <w:t xml:space="preserve">Não há evidência estatística de que os tribunais de comarca com juízos de competência especializada cível e criminal sejam, em média, mais produtivos que os restantes tribunais. </w:t>
      </w:r>
      <w:r>
        <w:rPr>
          <w:rFonts w:ascii="Perpetua" w:hAnsi="Perpetua"/>
        </w:rPr>
        <w:t>E</w:t>
      </w:r>
      <w:r w:rsidRPr="008424E5">
        <w:rPr>
          <w:rFonts w:ascii="Perpetua" w:hAnsi="Perpetua"/>
        </w:rPr>
        <w:t xml:space="preserve">mbora não seja estatisticamente significativo, o coeficiente da variável </w:t>
      </w:r>
      <w:r w:rsidRPr="00927CE0">
        <w:rPr>
          <w:rFonts w:ascii="Perpetua" w:hAnsi="Perpetua"/>
          <w:i/>
        </w:rPr>
        <w:t>dummy</w:t>
      </w:r>
      <w:r w:rsidRPr="008424E5">
        <w:rPr>
          <w:rFonts w:ascii="Perpetua" w:hAnsi="Perpetua"/>
        </w:rPr>
        <w:t xml:space="preserve"> re</w:t>
      </w:r>
      <w:r w:rsidR="00E96C72">
        <w:rPr>
          <w:rFonts w:ascii="Perpetua" w:hAnsi="Perpetua"/>
        </w:rPr>
        <w:t>lativa</w:t>
      </w:r>
      <w:r w:rsidRPr="008424E5">
        <w:rPr>
          <w:rFonts w:ascii="Perpetua" w:hAnsi="Perpetua"/>
        </w:rPr>
        <w:t xml:space="preserve"> a estes tribunais assume um valor negativo. Uma forma alternativa de avaliar a presença de economias ou deseconomias de </w:t>
      </w:r>
      <w:r w:rsidR="00313C4C">
        <w:rPr>
          <w:rFonts w:ascii="Perpetua" w:hAnsi="Perpetua"/>
        </w:rPr>
        <w:t xml:space="preserve">gama </w:t>
      </w:r>
      <w:r w:rsidRPr="008424E5">
        <w:rPr>
          <w:rFonts w:ascii="Perpetua" w:hAnsi="Perpetua"/>
        </w:rPr>
        <w:t xml:space="preserve">na produção de serviços judiciais </w:t>
      </w:r>
      <w:r w:rsidR="00313C4C">
        <w:rPr>
          <w:rFonts w:ascii="Perpetua" w:hAnsi="Perpetua"/>
        </w:rPr>
        <w:t>consiste na análise do efeito da</w:t>
      </w:r>
      <w:r w:rsidRPr="008424E5">
        <w:rPr>
          <w:rFonts w:ascii="Perpetua" w:hAnsi="Perpetua"/>
        </w:rPr>
        <w:t xml:space="preserve"> maior heterogeneidade do </w:t>
      </w:r>
      <w:r w:rsidRPr="00927CE0">
        <w:rPr>
          <w:rFonts w:ascii="Perpetua" w:hAnsi="Perpetua"/>
          <w:i/>
        </w:rPr>
        <w:t>case mix</w:t>
      </w:r>
      <w:r w:rsidRPr="008424E5">
        <w:rPr>
          <w:rFonts w:ascii="Perpetua" w:hAnsi="Perpetua"/>
        </w:rPr>
        <w:t xml:space="preserve"> (definida com uma distribuição mais </w:t>
      </w:r>
      <w:r w:rsidR="00313C4C">
        <w:rPr>
          <w:rFonts w:ascii="Perpetua" w:hAnsi="Perpetua"/>
        </w:rPr>
        <w:t>uniforme</w:t>
      </w:r>
      <w:r w:rsidRPr="008424E5">
        <w:rPr>
          <w:rFonts w:ascii="Perpetua" w:hAnsi="Perpetua"/>
        </w:rPr>
        <w:t xml:space="preserve"> das percentagens de processos findos pertencentes às quatro áreas processuais</w:t>
      </w:r>
      <w:r>
        <w:rPr>
          <w:rFonts w:ascii="Perpetua" w:hAnsi="Perpetua"/>
        </w:rPr>
        <w:t>)</w:t>
      </w:r>
      <w:r w:rsidR="00927CE0">
        <w:rPr>
          <w:rFonts w:ascii="Perpetua" w:hAnsi="Perpetua"/>
        </w:rPr>
        <w:t xml:space="preserve"> na produtividade judicial média. O </w:t>
      </w:r>
      <w:r w:rsidR="00313C4C" w:rsidRPr="00313C4C">
        <w:rPr>
          <w:rFonts w:ascii="Perpetua" w:hAnsi="Perpetua"/>
        </w:rPr>
        <w:t>Cluster</w:t>
      </w:r>
      <w:r w:rsidR="00313C4C">
        <w:rPr>
          <w:rFonts w:ascii="Perpetua" w:hAnsi="Perpetua"/>
          <w:i/>
        </w:rPr>
        <w:t xml:space="preserve"> </w:t>
      </w:r>
      <w:r w:rsidRPr="008424E5">
        <w:rPr>
          <w:rFonts w:ascii="Perpetua" w:hAnsi="Perpetua"/>
        </w:rPr>
        <w:t xml:space="preserve">1 é o mais homogéneo, seguido pelo </w:t>
      </w:r>
      <w:r w:rsidR="00313C4C" w:rsidRPr="00313C4C">
        <w:rPr>
          <w:rFonts w:ascii="Perpetua" w:hAnsi="Perpetua"/>
        </w:rPr>
        <w:t>Cluster</w:t>
      </w:r>
      <w:r w:rsidR="00313C4C">
        <w:rPr>
          <w:rFonts w:ascii="Perpetua" w:hAnsi="Perpetua"/>
          <w:i/>
        </w:rPr>
        <w:t xml:space="preserve"> </w:t>
      </w:r>
      <w:r w:rsidRPr="00313C4C">
        <w:rPr>
          <w:rFonts w:ascii="Perpetua" w:hAnsi="Perpetua"/>
        </w:rPr>
        <w:t>2</w:t>
      </w:r>
      <w:r>
        <w:rPr>
          <w:rFonts w:ascii="Perpetua" w:hAnsi="Perpetua"/>
        </w:rPr>
        <w:t xml:space="preserve"> e, por fim</w:t>
      </w:r>
      <w:r w:rsidRPr="008424E5">
        <w:rPr>
          <w:rFonts w:ascii="Perpetua" w:hAnsi="Perpetua"/>
        </w:rPr>
        <w:t xml:space="preserve">, </w:t>
      </w:r>
      <w:r>
        <w:rPr>
          <w:rFonts w:ascii="Perpetua" w:hAnsi="Perpetua"/>
        </w:rPr>
        <w:t xml:space="preserve">pelo </w:t>
      </w:r>
      <w:r w:rsidR="00313C4C">
        <w:rPr>
          <w:rFonts w:ascii="Perpetua" w:hAnsi="Perpetua"/>
        </w:rPr>
        <w:t>C</w:t>
      </w:r>
      <w:r w:rsidRPr="00313C4C">
        <w:rPr>
          <w:rFonts w:ascii="Perpetua" w:hAnsi="Perpetua"/>
        </w:rPr>
        <w:t>luster 3</w:t>
      </w:r>
      <w:r>
        <w:rPr>
          <w:rFonts w:ascii="Perpetua" w:hAnsi="Perpetua"/>
        </w:rPr>
        <w:t>, que apresenta</w:t>
      </w:r>
      <w:r w:rsidRPr="008424E5">
        <w:rPr>
          <w:rFonts w:ascii="Perpetua" w:hAnsi="Perpetua"/>
        </w:rPr>
        <w:t xml:space="preserve"> </w:t>
      </w:r>
      <w:r>
        <w:rPr>
          <w:rFonts w:ascii="Perpetua" w:hAnsi="Perpetua"/>
        </w:rPr>
        <w:t>percentagens iguais de processos cíveis e penais.</w:t>
      </w:r>
      <w:r w:rsidRPr="008424E5">
        <w:rPr>
          <w:rFonts w:ascii="Perpetua" w:hAnsi="Perpetua"/>
        </w:rPr>
        <w:t xml:space="preserve"> </w:t>
      </w:r>
      <w:r w:rsidR="00200032">
        <w:rPr>
          <w:rFonts w:ascii="Perpetua" w:hAnsi="Perpetua"/>
        </w:rPr>
        <w:t>Uma vez que a m</w:t>
      </w:r>
      <w:r w:rsidR="00E96C72">
        <w:rPr>
          <w:rFonts w:ascii="Perpetua" w:hAnsi="Perpetua"/>
        </w:rPr>
        <w:t>edida</w:t>
      </w:r>
      <w:r w:rsidR="00200032">
        <w:rPr>
          <w:rFonts w:ascii="Perpetua" w:hAnsi="Perpetua"/>
        </w:rPr>
        <w:t xml:space="preserve"> da produtividade judicial média dos tribunais do Cluster 1 é mais elevada que a média da produtividade judicial média dos tribunais do Cluster 2, que, por sua vez, é superior à média produtividade judicial média do Cluster 3</w:t>
      </w:r>
      <w:r w:rsidR="00200032">
        <w:rPr>
          <w:rStyle w:val="FootnoteReference"/>
          <w:rFonts w:ascii="Perpetua" w:hAnsi="Perpetua"/>
        </w:rPr>
        <w:footnoteReference w:id="123"/>
      </w:r>
      <w:r w:rsidR="00200032">
        <w:rPr>
          <w:rFonts w:ascii="Perpetua" w:hAnsi="Perpetua"/>
        </w:rPr>
        <w:t>, esta relação poderia ser interpretada como uma indicação da r</w:t>
      </w:r>
      <w:r w:rsidRPr="008424E5">
        <w:rPr>
          <w:rFonts w:ascii="Perpetua" w:hAnsi="Perpetua"/>
        </w:rPr>
        <w:t xml:space="preserve">elação positiva entre </w:t>
      </w:r>
      <w:r w:rsidR="00200032">
        <w:rPr>
          <w:rFonts w:ascii="Perpetua" w:hAnsi="Perpetua"/>
        </w:rPr>
        <w:t xml:space="preserve">a </w:t>
      </w:r>
      <w:r w:rsidRPr="008424E5">
        <w:rPr>
          <w:rFonts w:ascii="Perpetua" w:hAnsi="Perpetua"/>
        </w:rPr>
        <w:t xml:space="preserve">especialização </w:t>
      </w:r>
      <w:r w:rsidR="00200032">
        <w:rPr>
          <w:rFonts w:ascii="Perpetua" w:hAnsi="Perpetua"/>
        </w:rPr>
        <w:t xml:space="preserve">do tribunal </w:t>
      </w:r>
      <w:r w:rsidRPr="008424E5">
        <w:rPr>
          <w:rFonts w:ascii="Perpetua" w:hAnsi="Perpetua"/>
        </w:rPr>
        <w:t xml:space="preserve">e </w:t>
      </w:r>
      <w:r w:rsidR="00200032">
        <w:rPr>
          <w:rFonts w:ascii="Perpetua" w:hAnsi="Perpetua"/>
        </w:rPr>
        <w:t xml:space="preserve">a </w:t>
      </w:r>
      <w:r w:rsidRPr="008424E5">
        <w:rPr>
          <w:rFonts w:ascii="Perpetua" w:hAnsi="Perpetua"/>
        </w:rPr>
        <w:t>produtividade judicial média</w:t>
      </w:r>
      <w:r w:rsidR="00200032">
        <w:rPr>
          <w:rFonts w:ascii="Perpetua" w:hAnsi="Perpetua"/>
        </w:rPr>
        <w:t>. No entanto, não é possível separar essa interpretação</w:t>
      </w:r>
      <w:r w:rsidRPr="008424E5">
        <w:rPr>
          <w:rFonts w:ascii="Perpetua" w:hAnsi="Perpetua"/>
        </w:rPr>
        <w:t xml:space="preserve"> </w:t>
      </w:r>
      <w:r w:rsidR="00200032">
        <w:rPr>
          <w:rFonts w:ascii="Perpetua" w:hAnsi="Perpetua"/>
        </w:rPr>
        <w:t xml:space="preserve">da </w:t>
      </w:r>
      <w:r w:rsidRPr="008424E5">
        <w:rPr>
          <w:rFonts w:ascii="Perpetua" w:hAnsi="Perpetua"/>
        </w:rPr>
        <w:t>interpretação do efeito do tipo de serviços produzidos pelo tribunal</w:t>
      </w:r>
      <w:r>
        <w:rPr>
          <w:rFonts w:ascii="Perpetua" w:hAnsi="Perpetua"/>
        </w:rPr>
        <w:t xml:space="preserve"> </w:t>
      </w:r>
      <w:r w:rsidR="00A17588">
        <w:rPr>
          <w:rFonts w:ascii="Perpetua" w:hAnsi="Perpetua"/>
        </w:rPr>
        <w:t xml:space="preserve">na produtividade judicial média </w:t>
      </w:r>
      <w:r>
        <w:rPr>
          <w:rFonts w:ascii="Perpetua" w:hAnsi="Perpetua"/>
        </w:rPr>
        <w:t>efectu</w:t>
      </w:r>
      <w:r w:rsidR="00A17588">
        <w:rPr>
          <w:rFonts w:ascii="Perpetua" w:hAnsi="Perpetua"/>
        </w:rPr>
        <w:t xml:space="preserve">ada </w:t>
      </w:r>
      <w:r>
        <w:rPr>
          <w:rFonts w:ascii="Perpetua" w:hAnsi="Perpetua"/>
        </w:rPr>
        <w:t xml:space="preserve">no </w:t>
      </w:r>
      <w:r w:rsidRPr="008424E5">
        <w:rPr>
          <w:rFonts w:ascii="Perpetua" w:hAnsi="Perpetua"/>
        </w:rPr>
        <w:t>ponto anterior</w:t>
      </w:r>
      <w:r>
        <w:rPr>
          <w:rFonts w:ascii="Perpetua" w:hAnsi="Perpetua"/>
        </w:rPr>
        <w:t>, cuja plausibilidade é bastante mais elevada.</w:t>
      </w:r>
      <w:r w:rsidRPr="008424E5">
        <w:rPr>
          <w:rFonts w:ascii="Perpetua" w:hAnsi="Perpetua"/>
        </w:rPr>
        <w:t xml:space="preserve"> </w:t>
      </w:r>
      <w:r>
        <w:rPr>
          <w:rFonts w:ascii="Perpetua" w:hAnsi="Perpetua"/>
        </w:rPr>
        <w:t xml:space="preserve">Para testar a hipótese de </w:t>
      </w:r>
      <w:r w:rsidR="00313C4C">
        <w:rPr>
          <w:rFonts w:ascii="Perpetua" w:hAnsi="Perpetua"/>
        </w:rPr>
        <w:t>des</w:t>
      </w:r>
      <w:r>
        <w:rPr>
          <w:rFonts w:ascii="Perpetua" w:hAnsi="Perpetua"/>
        </w:rPr>
        <w:t xml:space="preserve">economias de </w:t>
      </w:r>
      <w:r w:rsidR="00313C4C">
        <w:rPr>
          <w:rFonts w:ascii="Perpetua" w:hAnsi="Perpetua"/>
        </w:rPr>
        <w:t xml:space="preserve">gama seria importante incluir no conjunto dos tribunais analisados os tribunais de </w:t>
      </w:r>
      <w:r>
        <w:rPr>
          <w:rFonts w:ascii="Perpetua" w:hAnsi="Perpetua"/>
        </w:rPr>
        <w:t>competência específica nas áreas cível e penal.</w:t>
      </w:r>
    </w:p>
    <w:p w:rsidR="00F72F49" w:rsidRPr="008424E5" w:rsidRDefault="00F72F49" w:rsidP="00A17588">
      <w:pPr>
        <w:pStyle w:val="ListParagraph"/>
        <w:spacing w:line="360" w:lineRule="auto"/>
        <w:ind w:left="360"/>
        <w:jc w:val="both"/>
        <w:rPr>
          <w:rFonts w:ascii="Perpetua" w:hAnsi="Perpetua"/>
        </w:rPr>
      </w:pPr>
      <w:r>
        <w:rPr>
          <w:rFonts w:ascii="Perpetua" w:hAnsi="Perpetua"/>
        </w:rPr>
        <w:t xml:space="preserve"> </w:t>
      </w:r>
    </w:p>
    <w:p w:rsidR="00F72F49" w:rsidRDefault="00F72F49" w:rsidP="00F72F49">
      <w:pPr>
        <w:pStyle w:val="ListParagraph"/>
        <w:numPr>
          <w:ilvl w:val="0"/>
          <w:numId w:val="4"/>
        </w:numPr>
        <w:spacing w:line="360" w:lineRule="auto"/>
        <w:ind w:left="360"/>
        <w:jc w:val="both"/>
        <w:rPr>
          <w:rFonts w:ascii="Perpetua" w:hAnsi="Perpetua"/>
        </w:rPr>
      </w:pPr>
      <w:r w:rsidRPr="003E0216">
        <w:rPr>
          <w:rFonts w:ascii="Perpetua" w:hAnsi="Perpetua"/>
        </w:rPr>
        <w:t>A produtividade judicial média dos tribunais é negativamente afectada pelo rácio de solicitadores por magistrado judicial e pelo rácio de advogados por magistrado judicial</w:t>
      </w:r>
      <w:r w:rsidR="00313C4C">
        <w:rPr>
          <w:rFonts w:ascii="Perpetua" w:hAnsi="Perpetua"/>
        </w:rPr>
        <w:t>,</w:t>
      </w:r>
      <w:r w:rsidRPr="003E0216">
        <w:rPr>
          <w:rFonts w:ascii="Perpetua" w:hAnsi="Perpetua"/>
        </w:rPr>
        <w:t xml:space="preserve"> observado</w:t>
      </w:r>
      <w:r w:rsidR="00313C4C">
        <w:rPr>
          <w:rFonts w:ascii="Perpetua" w:hAnsi="Perpetua"/>
        </w:rPr>
        <w:t xml:space="preserve">s </w:t>
      </w:r>
      <w:r w:rsidRPr="003E0216">
        <w:rPr>
          <w:rFonts w:ascii="Perpetua" w:hAnsi="Perpetua"/>
        </w:rPr>
        <w:t xml:space="preserve">no círculo judicial onde o tribunal está instalado. </w:t>
      </w:r>
      <w:r>
        <w:rPr>
          <w:rFonts w:ascii="Perpetua" w:hAnsi="Perpetua"/>
        </w:rPr>
        <w:t>Apesar d</w:t>
      </w:r>
      <w:r w:rsidR="00A44A7C">
        <w:rPr>
          <w:rFonts w:ascii="Perpetua" w:hAnsi="Perpetua"/>
        </w:rPr>
        <w:t>e alguma</w:t>
      </w:r>
      <w:r>
        <w:rPr>
          <w:rFonts w:ascii="Perpetua" w:hAnsi="Perpetua"/>
        </w:rPr>
        <w:t xml:space="preserve"> robustez estatística </w:t>
      </w:r>
      <w:r w:rsidR="00A44A7C">
        <w:rPr>
          <w:rFonts w:ascii="Perpetua" w:hAnsi="Perpetua"/>
        </w:rPr>
        <w:t>dos</w:t>
      </w:r>
      <w:r>
        <w:rPr>
          <w:rFonts w:ascii="Perpetua" w:hAnsi="Perpetua"/>
        </w:rPr>
        <w:t xml:space="preserve"> resultados</w:t>
      </w:r>
      <w:r w:rsidR="00927CE0">
        <w:rPr>
          <w:rStyle w:val="FootnoteReference"/>
          <w:rFonts w:ascii="Perpetua" w:hAnsi="Perpetua"/>
        </w:rPr>
        <w:footnoteReference w:id="124"/>
      </w:r>
      <w:r>
        <w:rPr>
          <w:rFonts w:ascii="Perpetua" w:hAnsi="Perpetua"/>
        </w:rPr>
        <w:t xml:space="preserve">, </w:t>
      </w:r>
      <w:r w:rsidR="00A44A7C">
        <w:rPr>
          <w:rFonts w:ascii="Perpetua" w:hAnsi="Perpetua"/>
        </w:rPr>
        <w:t xml:space="preserve">não foi possível </w:t>
      </w:r>
      <w:r w:rsidRPr="003E0216">
        <w:rPr>
          <w:rFonts w:ascii="Perpetua" w:hAnsi="Perpetua"/>
        </w:rPr>
        <w:t xml:space="preserve">desenvolver uma teoria </w:t>
      </w:r>
      <w:r>
        <w:rPr>
          <w:rFonts w:ascii="Perpetua" w:hAnsi="Perpetua"/>
        </w:rPr>
        <w:t xml:space="preserve">causal que explique satisfatoriamente </w:t>
      </w:r>
      <w:r w:rsidRPr="003E0216">
        <w:rPr>
          <w:rFonts w:ascii="Perpetua" w:hAnsi="Perpetua"/>
        </w:rPr>
        <w:t xml:space="preserve">estes resultados. </w:t>
      </w:r>
      <w:r w:rsidR="00B332ED">
        <w:rPr>
          <w:rFonts w:ascii="Perpetua" w:hAnsi="Perpetua"/>
        </w:rPr>
        <w:t xml:space="preserve">Porém, </w:t>
      </w:r>
      <w:r w:rsidRPr="003E0216">
        <w:rPr>
          <w:rFonts w:ascii="Perpetua" w:hAnsi="Perpetua"/>
        </w:rPr>
        <w:t>o</w:t>
      </w:r>
      <w:r w:rsidR="00A17588">
        <w:rPr>
          <w:rFonts w:ascii="Perpetua" w:hAnsi="Perpetua"/>
        </w:rPr>
        <w:t xml:space="preserve"> facto do efeito de </w:t>
      </w:r>
      <w:r>
        <w:rPr>
          <w:rFonts w:ascii="Perpetua" w:hAnsi="Perpetua"/>
        </w:rPr>
        <w:t>amba</w:t>
      </w:r>
      <w:r w:rsidRPr="003E0216">
        <w:rPr>
          <w:rFonts w:ascii="Perpetua" w:hAnsi="Perpetua"/>
        </w:rPr>
        <w:t xml:space="preserve">s as variáveis na produtividade judicial média se revelar consistentemente negativo em </w:t>
      </w:r>
      <w:r w:rsidR="00986CF7">
        <w:rPr>
          <w:rFonts w:ascii="Perpetua" w:hAnsi="Perpetua"/>
        </w:rPr>
        <w:t xml:space="preserve">quase </w:t>
      </w:r>
      <w:r w:rsidRPr="003E0216">
        <w:rPr>
          <w:rFonts w:ascii="Perpetua" w:hAnsi="Perpetua"/>
        </w:rPr>
        <w:t>todas as estimações efectu</w:t>
      </w:r>
      <w:r w:rsidR="00986CF7">
        <w:rPr>
          <w:rFonts w:ascii="Perpetua" w:hAnsi="Perpetua"/>
        </w:rPr>
        <w:t>adas</w:t>
      </w:r>
      <w:r w:rsidR="00986CF7">
        <w:rPr>
          <w:rStyle w:val="FootnoteReference"/>
          <w:rFonts w:ascii="Perpetua" w:hAnsi="Perpetua"/>
        </w:rPr>
        <w:footnoteReference w:id="125"/>
      </w:r>
      <w:r w:rsidRPr="003E0216">
        <w:rPr>
          <w:rFonts w:ascii="Perpetua" w:hAnsi="Perpetua"/>
        </w:rPr>
        <w:t xml:space="preserve"> indica que não se trata de uma relação espúria. Pese embora a importância relativa da</w:t>
      </w:r>
      <w:r w:rsidR="00E96C72">
        <w:rPr>
          <w:rFonts w:ascii="Perpetua" w:hAnsi="Perpetua"/>
        </w:rPr>
        <w:t>s</w:t>
      </w:r>
      <w:r w:rsidRPr="003E0216">
        <w:rPr>
          <w:rFonts w:ascii="Perpetua" w:hAnsi="Perpetua"/>
        </w:rPr>
        <w:t xml:space="preserve"> oferta</w:t>
      </w:r>
      <w:r w:rsidR="00E96C72">
        <w:rPr>
          <w:rFonts w:ascii="Perpetua" w:hAnsi="Perpetua"/>
        </w:rPr>
        <w:t>s</w:t>
      </w:r>
      <w:r w:rsidRPr="003E0216">
        <w:rPr>
          <w:rFonts w:ascii="Perpetua" w:hAnsi="Perpetua"/>
        </w:rPr>
        <w:t xml:space="preserve"> </w:t>
      </w:r>
      <w:r w:rsidR="00E96C72">
        <w:rPr>
          <w:rFonts w:ascii="Perpetua" w:hAnsi="Perpetua"/>
        </w:rPr>
        <w:t xml:space="preserve">de consultoria e procuradoria </w:t>
      </w:r>
      <w:r w:rsidRPr="003E0216">
        <w:rPr>
          <w:rFonts w:ascii="Perpetua" w:hAnsi="Perpetua"/>
        </w:rPr>
        <w:t xml:space="preserve">jurídica na produtividade judicial média ser baixa em relação a factores como a carga judicial, o rácio de funcionários por magistrado judicial e as variáveis de </w:t>
      </w:r>
      <w:r w:rsidRPr="00C253AC">
        <w:rPr>
          <w:rFonts w:ascii="Perpetua" w:hAnsi="Perpetua"/>
          <w:i/>
        </w:rPr>
        <w:t>case mix</w:t>
      </w:r>
      <w:r w:rsidRPr="003E0216">
        <w:rPr>
          <w:rFonts w:ascii="Perpetua" w:hAnsi="Perpetua"/>
        </w:rPr>
        <w:t>, uma interpretação possível dessa relação é</w:t>
      </w:r>
      <w:r w:rsidR="00F655AB">
        <w:rPr>
          <w:rFonts w:ascii="Perpetua" w:hAnsi="Perpetua"/>
        </w:rPr>
        <w:t xml:space="preserve"> a de ser</w:t>
      </w:r>
      <w:r w:rsidRPr="003E0216">
        <w:rPr>
          <w:rFonts w:ascii="Perpetua" w:hAnsi="Perpetua"/>
        </w:rPr>
        <w:t xml:space="preserve"> ela </w:t>
      </w:r>
      <w:r>
        <w:rPr>
          <w:rFonts w:ascii="Perpetua" w:hAnsi="Perpetua"/>
        </w:rPr>
        <w:t xml:space="preserve">indicativa </w:t>
      </w:r>
      <w:r w:rsidRPr="003E0216">
        <w:rPr>
          <w:rFonts w:ascii="Perpetua" w:hAnsi="Perpetua"/>
        </w:rPr>
        <w:t xml:space="preserve">do grau de formalidade no relacionamento entre os vários agentes que </w:t>
      </w:r>
      <w:r w:rsidR="00F655AB">
        <w:rPr>
          <w:rFonts w:ascii="Perpetua" w:hAnsi="Perpetua"/>
        </w:rPr>
        <w:t>p</w:t>
      </w:r>
      <w:r w:rsidRPr="003E0216">
        <w:rPr>
          <w:rFonts w:ascii="Perpetua" w:hAnsi="Perpetua"/>
        </w:rPr>
        <w:t xml:space="preserve">articipam directamente na resolução de processos judicias. Embora de forma mais ténue, a associação entre o crescimento da oferta de </w:t>
      </w:r>
      <w:r w:rsidR="00F655AB">
        <w:rPr>
          <w:rFonts w:ascii="Perpetua" w:hAnsi="Perpetua"/>
        </w:rPr>
        <w:t>procuradoria e consultoria jurídicas</w:t>
      </w:r>
      <w:r w:rsidRPr="003E0216">
        <w:rPr>
          <w:rFonts w:ascii="Perpetua" w:hAnsi="Perpetua"/>
        </w:rPr>
        <w:t xml:space="preserve"> está também presente na análise de estatística descritiva da evolução agregada da 1.ª instância do sistema judicial.</w:t>
      </w:r>
      <w:r>
        <w:rPr>
          <w:rFonts w:ascii="Perpetua" w:hAnsi="Perpetua"/>
        </w:rPr>
        <w:t xml:space="preserve"> A baixa qualidade destas variáveis enquanto </w:t>
      </w:r>
      <w:r w:rsidRPr="00C253AC">
        <w:rPr>
          <w:rFonts w:ascii="Perpetua" w:hAnsi="Perpetua"/>
          <w:i/>
        </w:rPr>
        <w:t>proxies</w:t>
      </w:r>
      <w:r>
        <w:rPr>
          <w:rFonts w:ascii="Perpetua" w:hAnsi="Perpetua"/>
        </w:rPr>
        <w:t xml:space="preserve"> do grau de formalidade </w:t>
      </w:r>
      <w:r w:rsidR="00F655AB">
        <w:rPr>
          <w:rFonts w:ascii="Perpetua" w:hAnsi="Perpetua"/>
        </w:rPr>
        <w:t>não permite</w:t>
      </w:r>
      <w:r w:rsidR="00A17588">
        <w:rPr>
          <w:rFonts w:ascii="Perpetua" w:hAnsi="Perpetua"/>
        </w:rPr>
        <w:t>,</w:t>
      </w:r>
      <w:r>
        <w:rPr>
          <w:rFonts w:ascii="Perpetua" w:hAnsi="Perpetua"/>
        </w:rPr>
        <w:t xml:space="preserve"> contudo</w:t>
      </w:r>
      <w:r w:rsidR="00A17588">
        <w:rPr>
          <w:rFonts w:ascii="Perpetua" w:hAnsi="Perpetua"/>
        </w:rPr>
        <w:t>,</w:t>
      </w:r>
      <w:r>
        <w:rPr>
          <w:rFonts w:ascii="Perpetua" w:hAnsi="Perpetua"/>
        </w:rPr>
        <w:t xml:space="preserve"> que se </w:t>
      </w:r>
      <w:r w:rsidR="00F655AB">
        <w:rPr>
          <w:rFonts w:ascii="Perpetua" w:hAnsi="Perpetua"/>
        </w:rPr>
        <w:t>considere</w:t>
      </w:r>
      <w:r>
        <w:rPr>
          <w:rFonts w:ascii="Perpetua" w:hAnsi="Perpetua"/>
        </w:rPr>
        <w:t xml:space="preserve"> o efeito negativo do grau de formalidade na produtividade judicial média como um resultado empiricamente verificado na pr</w:t>
      </w:r>
      <w:r w:rsidR="00A17588">
        <w:rPr>
          <w:rFonts w:ascii="Perpetua" w:hAnsi="Perpetua"/>
        </w:rPr>
        <w:t>odução de serviços judiciais.</w:t>
      </w:r>
    </w:p>
    <w:p w:rsidR="00F72F49" w:rsidRPr="003E0216" w:rsidRDefault="00F72F49" w:rsidP="00F72F49">
      <w:pPr>
        <w:pStyle w:val="ListParagraph"/>
        <w:spacing w:line="360" w:lineRule="auto"/>
        <w:ind w:left="360"/>
        <w:jc w:val="both"/>
        <w:rPr>
          <w:rFonts w:ascii="Perpetua" w:hAnsi="Perpetua"/>
        </w:rPr>
      </w:pPr>
    </w:p>
    <w:p w:rsidR="00F72F49" w:rsidRDefault="00C253AC" w:rsidP="00F72F49">
      <w:pPr>
        <w:pStyle w:val="ListParagraph"/>
        <w:numPr>
          <w:ilvl w:val="0"/>
          <w:numId w:val="4"/>
        </w:numPr>
        <w:spacing w:line="360" w:lineRule="auto"/>
        <w:ind w:left="360"/>
        <w:jc w:val="both"/>
        <w:rPr>
          <w:rFonts w:ascii="Perpetua" w:hAnsi="Perpetua"/>
        </w:rPr>
      </w:pPr>
      <w:r>
        <w:rPr>
          <w:rFonts w:ascii="Perpetua" w:hAnsi="Perpetua"/>
        </w:rPr>
        <w:t xml:space="preserve">Os resultados das análises de regressão indicam que a </w:t>
      </w:r>
      <w:r w:rsidR="00BB22CA">
        <w:rPr>
          <w:rFonts w:ascii="Perpetua" w:hAnsi="Perpetua"/>
        </w:rPr>
        <w:t xml:space="preserve">eficiência </w:t>
      </w:r>
      <w:r>
        <w:rPr>
          <w:rFonts w:ascii="Perpetua" w:hAnsi="Perpetua"/>
        </w:rPr>
        <w:t>p</w:t>
      </w:r>
      <w:r w:rsidR="00F72F49" w:rsidRPr="00103B36">
        <w:rPr>
          <w:rFonts w:ascii="Perpetua" w:hAnsi="Perpetua"/>
        </w:rPr>
        <w:t>rodu</w:t>
      </w:r>
      <w:r w:rsidR="00BB22CA">
        <w:rPr>
          <w:rFonts w:ascii="Perpetua" w:hAnsi="Perpetua"/>
        </w:rPr>
        <w:t xml:space="preserve">tiva dos tribunais é </w:t>
      </w:r>
      <w:r w:rsidR="00F72F49" w:rsidRPr="00103B36">
        <w:rPr>
          <w:rFonts w:ascii="Perpetua" w:hAnsi="Perpetua"/>
        </w:rPr>
        <w:t xml:space="preserve">positivamente afectada pelo grau de desenvolvimento económico da área territorial onde o tribunal está instalado, medido pelo PIB </w:t>
      </w:r>
      <w:proofErr w:type="gramStart"/>
      <w:r w:rsidR="00BF6760" w:rsidRPr="00BF6760">
        <w:rPr>
          <w:rFonts w:ascii="Perpetua" w:hAnsi="Perpetua"/>
          <w:i/>
        </w:rPr>
        <w:t>per capita</w:t>
      </w:r>
      <w:proofErr w:type="gramEnd"/>
      <w:r w:rsidR="00F72F49" w:rsidRPr="00103B36">
        <w:rPr>
          <w:rFonts w:ascii="Perpetua" w:hAnsi="Perpetua"/>
        </w:rPr>
        <w:t xml:space="preserve"> da NUT III à qual a comarca do tribunal pertence. Esta </w:t>
      </w:r>
      <w:r w:rsidR="00A17588">
        <w:rPr>
          <w:rFonts w:ascii="Perpetua" w:hAnsi="Perpetua"/>
        </w:rPr>
        <w:t>cor</w:t>
      </w:r>
      <w:r w:rsidR="00F72F49" w:rsidRPr="00103B36">
        <w:rPr>
          <w:rFonts w:ascii="Perpetua" w:hAnsi="Perpetua"/>
        </w:rPr>
        <w:t xml:space="preserve">relação estatística conforma-se com a visão do processo de resolução de serviços judiciais </w:t>
      </w:r>
      <w:r w:rsidR="00A17588">
        <w:rPr>
          <w:rFonts w:ascii="Perpetua" w:hAnsi="Perpetua"/>
        </w:rPr>
        <w:t>enquanto consumidor de</w:t>
      </w:r>
      <w:r w:rsidR="00F72F49" w:rsidRPr="00103B36">
        <w:rPr>
          <w:rFonts w:ascii="Perpetua" w:hAnsi="Perpetua"/>
        </w:rPr>
        <w:t xml:space="preserve"> um conjunto de serviços auxiliares (infra-estruturas de comunicação, transportes e expedição, tecnologia</w:t>
      </w:r>
      <w:r w:rsidR="008932FB">
        <w:rPr>
          <w:rFonts w:ascii="Perpetua" w:hAnsi="Perpetua"/>
        </w:rPr>
        <w:t>,</w:t>
      </w:r>
      <w:r w:rsidR="00F72F49" w:rsidRPr="00103B36">
        <w:rPr>
          <w:rFonts w:ascii="Perpetua" w:hAnsi="Perpetua"/>
        </w:rPr>
        <w:t xml:space="preserve"> etc.)</w:t>
      </w:r>
      <w:r w:rsidR="00A17588">
        <w:rPr>
          <w:rFonts w:ascii="Perpetua" w:hAnsi="Perpetua"/>
        </w:rPr>
        <w:t>,</w:t>
      </w:r>
      <w:r w:rsidR="00F72F49" w:rsidRPr="00103B36">
        <w:rPr>
          <w:rFonts w:ascii="Perpetua" w:hAnsi="Perpetua"/>
        </w:rPr>
        <w:t xml:space="preserve"> cuja </w:t>
      </w:r>
      <w:r w:rsidR="00BB22CA">
        <w:rPr>
          <w:rFonts w:ascii="Perpetua" w:hAnsi="Perpetua"/>
        </w:rPr>
        <w:t xml:space="preserve">maior </w:t>
      </w:r>
      <w:r w:rsidR="00F72F49" w:rsidRPr="00103B36">
        <w:rPr>
          <w:rFonts w:ascii="Perpetua" w:hAnsi="Perpetua"/>
        </w:rPr>
        <w:t xml:space="preserve">disponibilidade está presumivelmente associada com uma maior rendimento </w:t>
      </w:r>
      <w:proofErr w:type="gramStart"/>
      <w:r w:rsidR="00BF6760" w:rsidRPr="00BF6760">
        <w:rPr>
          <w:rFonts w:ascii="Perpetua" w:hAnsi="Perpetua"/>
          <w:i/>
        </w:rPr>
        <w:t>per capita</w:t>
      </w:r>
      <w:proofErr w:type="gramEnd"/>
      <w:r w:rsidR="00F72F49" w:rsidRPr="00103B36">
        <w:rPr>
          <w:rFonts w:ascii="Perpetua" w:hAnsi="Perpetua"/>
        </w:rPr>
        <w:t xml:space="preserve">. O efeito do PIB </w:t>
      </w:r>
      <w:proofErr w:type="gramStart"/>
      <w:r w:rsidR="00BF6760" w:rsidRPr="00BF6760">
        <w:rPr>
          <w:rFonts w:ascii="Perpetua" w:hAnsi="Perpetua"/>
          <w:i/>
        </w:rPr>
        <w:t>per capita</w:t>
      </w:r>
      <w:proofErr w:type="gramEnd"/>
      <w:r w:rsidR="00F72F49" w:rsidRPr="00103B36">
        <w:rPr>
          <w:rFonts w:ascii="Perpetua" w:hAnsi="Perpetua"/>
        </w:rPr>
        <w:t xml:space="preserve"> revela</w:t>
      </w:r>
      <w:r>
        <w:rPr>
          <w:rFonts w:ascii="Perpetua" w:hAnsi="Perpetua"/>
        </w:rPr>
        <w:t>-se</w:t>
      </w:r>
      <w:r w:rsidR="00F72F49" w:rsidRPr="00103B36">
        <w:rPr>
          <w:rFonts w:ascii="Perpetua" w:hAnsi="Perpetua"/>
        </w:rPr>
        <w:t xml:space="preserve"> estatisticamente significativo a 5% </w:t>
      </w:r>
      <w:r>
        <w:rPr>
          <w:rFonts w:ascii="Perpetua" w:hAnsi="Perpetua"/>
        </w:rPr>
        <w:t xml:space="preserve">ou 10% </w:t>
      </w:r>
      <w:r w:rsidR="00F72F49" w:rsidRPr="00103B36">
        <w:rPr>
          <w:rFonts w:ascii="Perpetua" w:hAnsi="Perpetua"/>
        </w:rPr>
        <w:t>em todas as estimações efectuadas,</w:t>
      </w:r>
      <w:r>
        <w:rPr>
          <w:rFonts w:ascii="Perpetua" w:hAnsi="Perpetua"/>
        </w:rPr>
        <w:t xml:space="preserve"> com excepção da equação 2 estimada com o </w:t>
      </w:r>
      <w:r w:rsidRPr="00F26E0A">
        <w:rPr>
          <w:rFonts w:ascii="Perpetua" w:hAnsi="Perpetua"/>
        </w:rPr>
        <w:t>Cluster</w:t>
      </w:r>
      <w:r>
        <w:rPr>
          <w:rFonts w:ascii="Perpetua" w:hAnsi="Perpetua"/>
        </w:rPr>
        <w:t xml:space="preserve"> 1</w:t>
      </w:r>
      <w:r w:rsidR="00F655AB">
        <w:rPr>
          <w:rFonts w:ascii="Perpetua" w:hAnsi="Perpetua"/>
        </w:rPr>
        <w:t xml:space="preserve"> </w:t>
      </w:r>
      <w:r w:rsidR="00916EC9">
        <w:rPr>
          <w:rFonts w:ascii="Perpetua" w:hAnsi="Perpetua"/>
        </w:rPr>
        <w:t>e da equação 1 estimada para tribunais com carga judicial média inferior a 800 processos</w:t>
      </w:r>
      <w:r w:rsidR="00F72F49" w:rsidRPr="00103B36">
        <w:rPr>
          <w:rFonts w:ascii="Perpetua" w:hAnsi="Perpetua"/>
        </w:rPr>
        <w:t>. No entanto, é preciso ter em conta que a medida estatística utilizada está calculada para a NUT III; provavelmente</w:t>
      </w:r>
      <w:r w:rsidR="00F655AB">
        <w:rPr>
          <w:rFonts w:ascii="Perpetua" w:hAnsi="Perpetua"/>
        </w:rPr>
        <w:t>,</w:t>
      </w:r>
      <w:r w:rsidR="00F72F49" w:rsidRPr="00103B36">
        <w:rPr>
          <w:rFonts w:ascii="Perpetua" w:hAnsi="Perpetua"/>
        </w:rPr>
        <w:t xml:space="preserve"> a utilização de uma medida desagregada por comarca permitiria estabelecer uma relação estatística mais significativa. </w:t>
      </w:r>
      <w:r w:rsidR="004C4E17">
        <w:rPr>
          <w:rFonts w:ascii="Perpetua" w:hAnsi="Perpetua"/>
        </w:rPr>
        <w:t>A perda de significância para</w:t>
      </w:r>
      <w:r w:rsidR="00A17588">
        <w:rPr>
          <w:rFonts w:ascii="Perpetua" w:hAnsi="Perpetua"/>
        </w:rPr>
        <w:t xml:space="preserve"> o</w:t>
      </w:r>
      <w:r w:rsidR="00F72F49" w:rsidRPr="00103B36">
        <w:rPr>
          <w:rFonts w:ascii="Perpetua" w:hAnsi="Perpetua"/>
        </w:rPr>
        <w:t xml:space="preserve">s </w:t>
      </w:r>
      <w:r w:rsidR="00A17588">
        <w:rPr>
          <w:rFonts w:ascii="Perpetua" w:hAnsi="Perpetua"/>
        </w:rPr>
        <w:t xml:space="preserve">subconjuntos de tribunais </w:t>
      </w:r>
      <w:r w:rsidR="00F72F49" w:rsidRPr="00103B36">
        <w:rPr>
          <w:rFonts w:ascii="Perpetua" w:hAnsi="Perpetua"/>
        </w:rPr>
        <w:t>parece resultar sobretudo da perda variância da variável explicativa.</w:t>
      </w:r>
      <w:r w:rsidR="00F72F49">
        <w:rPr>
          <w:rFonts w:ascii="Perpetua" w:hAnsi="Perpetua"/>
        </w:rPr>
        <w:t xml:space="preserve"> </w:t>
      </w:r>
    </w:p>
    <w:p w:rsidR="00F72F49" w:rsidRDefault="00F72F49" w:rsidP="00F72F49">
      <w:pPr>
        <w:pStyle w:val="ListParagraph"/>
        <w:spacing w:line="360" w:lineRule="auto"/>
        <w:ind w:left="360"/>
        <w:jc w:val="both"/>
        <w:rPr>
          <w:rFonts w:ascii="Perpetua" w:hAnsi="Perpetua"/>
        </w:rPr>
      </w:pPr>
    </w:p>
    <w:p w:rsidR="00F72F49" w:rsidRDefault="00F72F49" w:rsidP="00F72F49">
      <w:pPr>
        <w:pStyle w:val="ListParagraph"/>
        <w:numPr>
          <w:ilvl w:val="0"/>
          <w:numId w:val="4"/>
        </w:numPr>
        <w:spacing w:line="360" w:lineRule="auto"/>
        <w:ind w:left="360"/>
        <w:jc w:val="both"/>
        <w:rPr>
          <w:rFonts w:ascii="Perpetua" w:hAnsi="Perpetua"/>
        </w:rPr>
      </w:pPr>
      <w:r w:rsidRPr="00FA206C">
        <w:rPr>
          <w:rFonts w:ascii="Perpetua" w:hAnsi="Perpetua"/>
        </w:rPr>
        <w:t xml:space="preserve">Ao contrário do PIB </w:t>
      </w:r>
      <w:proofErr w:type="gramStart"/>
      <w:r w:rsidR="00BF6760" w:rsidRPr="00BF6760">
        <w:rPr>
          <w:rFonts w:ascii="Perpetua" w:hAnsi="Perpetua"/>
          <w:i/>
        </w:rPr>
        <w:t>per capita</w:t>
      </w:r>
      <w:proofErr w:type="gramEnd"/>
      <w:r w:rsidRPr="00FA206C">
        <w:rPr>
          <w:rFonts w:ascii="Perpetua" w:hAnsi="Perpetua"/>
        </w:rPr>
        <w:t xml:space="preserve">, a outra medida </w:t>
      </w:r>
      <w:r w:rsidR="00C253AC">
        <w:rPr>
          <w:rFonts w:ascii="Perpetua" w:hAnsi="Perpetua"/>
        </w:rPr>
        <w:t xml:space="preserve">utilizada </w:t>
      </w:r>
      <w:r w:rsidRPr="00FA206C">
        <w:rPr>
          <w:rFonts w:ascii="Perpetua" w:hAnsi="Perpetua"/>
        </w:rPr>
        <w:t>para testar o efeito da qualidade socioeconómica do local onde o tribunal está instalado na produtividade judicial média, o índice de poder de compra da comarca, relevou-se es</w:t>
      </w:r>
      <w:r w:rsidR="00F655AB">
        <w:rPr>
          <w:rFonts w:ascii="Perpetua" w:hAnsi="Perpetua"/>
        </w:rPr>
        <w:t>tatisticamente não significativo</w:t>
      </w:r>
      <w:r w:rsidRPr="00FA206C">
        <w:rPr>
          <w:rFonts w:ascii="Perpetua" w:hAnsi="Perpetua"/>
        </w:rPr>
        <w:t xml:space="preserve"> e com um sinal negativo</w:t>
      </w:r>
      <w:r w:rsidR="00C253AC">
        <w:rPr>
          <w:rFonts w:ascii="Perpetua" w:hAnsi="Perpetua"/>
        </w:rPr>
        <w:t xml:space="preserve"> na maior parte das regressões efectu</w:t>
      </w:r>
      <w:r w:rsidR="00F26E0A">
        <w:rPr>
          <w:rFonts w:ascii="Perpetua" w:hAnsi="Perpetua"/>
        </w:rPr>
        <w:t>a</w:t>
      </w:r>
      <w:r w:rsidR="00C253AC">
        <w:rPr>
          <w:rFonts w:ascii="Perpetua" w:hAnsi="Perpetua"/>
        </w:rPr>
        <w:t>das</w:t>
      </w:r>
      <w:r w:rsidRPr="00FA206C">
        <w:rPr>
          <w:rFonts w:ascii="Perpetua" w:hAnsi="Perpetua"/>
        </w:rPr>
        <w:t>. Apesar d</w:t>
      </w:r>
      <w:r w:rsidR="00F655AB">
        <w:rPr>
          <w:rFonts w:ascii="Perpetua" w:hAnsi="Perpetua"/>
        </w:rPr>
        <w:t xml:space="preserve">e </w:t>
      </w:r>
      <w:r w:rsidRPr="00FA206C">
        <w:rPr>
          <w:rFonts w:ascii="Perpetua" w:hAnsi="Perpetua"/>
        </w:rPr>
        <w:t xml:space="preserve">o grau de correlação entre o PIB </w:t>
      </w:r>
      <w:proofErr w:type="gramStart"/>
      <w:r w:rsidR="00BF6760" w:rsidRPr="00BF6760">
        <w:rPr>
          <w:rFonts w:ascii="Perpetua" w:hAnsi="Perpetua"/>
          <w:i/>
        </w:rPr>
        <w:t>per capita</w:t>
      </w:r>
      <w:proofErr w:type="gramEnd"/>
      <w:r w:rsidRPr="00FA206C">
        <w:rPr>
          <w:rFonts w:ascii="Perpetua" w:hAnsi="Perpetua"/>
        </w:rPr>
        <w:t xml:space="preserve"> e o índice de poder de compra da comarca ser elevado (cerca de 60%)</w:t>
      </w:r>
      <w:r w:rsidR="00916EC9">
        <w:rPr>
          <w:rStyle w:val="FootnoteReference"/>
          <w:rFonts w:ascii="Perpetua" w:hAnsi="Perpetua"/>
        </w:rPr>
        <w:footnoteReference w:id="126"/>
      </w:r>
      <w:r w:rsidRPr="00FA206C">
        <w:rPr>
          <w:rFonts w:ascii="Perpetua" w:hAnsi="Perpetua"/>
        </w:rPr>
        <w:t xml:space="preserve">, as várias especificações do modelo econométrico </w:t>
      </w:r>
      <w:r w:rsidR="00F8134B">
        <w:rPr>
          <w:rFonts w:ascii="Perpetua" w:hAnsi="Perpetua"/>
        </w:rPr>
        <w:t xml:space="preserve">indiciam a </w:t>
      </w:r>
      <w:r w:rsidRPr="00FA206C">
        <w:rPr>
          <w:rFonts w:ascii="Perpetua" w:hAnsi="Perpetua"/>
        </w:rPr>
        <w:t>existência de uma relação negativa e não significativa entre a produtividade judicial e o poder de compra dos habitantes da comarca onde o tribunal está instalado</w:t>
      </w:r>
      <w:r w:rsidR="00F8134B">
        <w:rPr>
          <w:rStyle w:val="FootnoteReference"/>
          <w:rFonts w:ascii="Perpetua" w:hAnsi="Perpetua"/>
        </w:rPr>
        <w:footnoteReference w:id="127"/>
      </w:r>
      <w:r w:rsidRPr="00FA206C">
        <w:rPr>
          <w:rFonts w:ascii="Perpetua" w:hAnsi="Perpetua"/>
        </w:rPr>
        <w:t xml:space="preserve">. Uma possível interpretação </w:t>
      </w:r>
      <w:r w:rsidR="00916EC9">
        <w:rPr>
          <w:rFonts w:ascii="Perpetua" w:hAnsi="Perpetua"/>
        </w:rPr>
        <w:t xml:space="preserve">do sentido da relação estatística </w:t>
      </w:r>
      <w:r w:rsidRPr="00FA206C">
        <w:rPr>
          <w:rFonts w:ascii="Perpetua" w:hAnsi="Perpetua"/>
        </w:rPr>
        <w:t xml:space="preserve">é tomar o índice de poder de compra como uma medida da procura por tutela judicial e não como uma medida da qualidade do ambiente económico da comarca onde o tribunal está instalado. </w:t>
      </w:r>
      <w:r w:rsidR="00A17588">
        <w:rPr>
          <w:rFonts w:ascii="Perpetua" w:hAnsi="Perpetua"/>
        </w:rPr>
        <w:t xml:space="preserve">Considerando </w:t>
      </w:r>
      <w:r w:rsidRPr="00FA206C">
        <w:rPr>
          <w:rFonts w:ascii="Perpetua" w:hAnsi="Perpetua"/>
        </w:rPr>
        <w:t xml:space="preserve">a litigância (ou a defesa dos interesses e direitos individuais ou colectivos) </w:t>
      </w:r>
      <w:r w:rsidR="00A17588">
        <w:rPr>
          <w:rFonts w:ascii="Perpetua" w:hAnsi="Perpetua"/>
        </w:rPr>
        <w:t xml:space="preserve">como </w:t>
      </w:r>
      <w:r w:rsidRPr="00FA206C">
        <w:rPr>
          <w:rFonts w:ascii="Perpetua" w:hAnsi="Perpetua"/>
        </w:rPr>
        <w:t xml:space="preserve">um bem normal, isto é, cuja disponibilidade de pagamento aumenta com o rendimento, </w:t>
      </w:r>
      <w:r w:rsidR="00A17588">
        <w:rPr>
          <w:rFonts w:ascii="Perpetua" w:hAnsi="Perpetua"/>
        </w:rPr>
        <w:t>seria expectável q</w:t>
      </w:r>
      <w:r w:rsidRPr="00FA206C">
        <w:rPr>
          <w:rFonts w:ascii="Perpetua" w:hAnsi="Perpetua"/>
        </w:rPr>
        <w:t>ue a produtividade judicial média decres</w:t>
      </w:r>
      <w:r w:rsidR="00A17588">
        <w:rPr>
          <w:rFonts w:ascii="Perpetua" w:hAnsi="Perpetua"/>
        </w:rPr>
        <w:t>cesse</w:t>
      </w:r>
      <w:r w:rsidRPr="00FA206C">
        <w:rPr>
          <w:rFonts w:ascii="Perpetua" w:hAnsi="Perpetua"/>
        </w:rPr>
        <w:t xml:space="preserve"> com a procura de tutela judicial – os processos demorarão, em média, mais tempo a ser resolvidos nas comarcas onde a disponibilidade temporal e financeira para litigar for mais elevada.</w:t>
      </w:r>
      <w:r>
        <w:rPr>
          <w:rFonts w:ascii="Perpetua" w:hAnsi="Perpetua"/>
        </w:rPr>
        <w:t xml:space="preserve"> </w:t>
      </w:r>
      <w:r w:rsidR="00916EC9">
        <w:rPr>
          <w:rFonts w:ascii="Perpetua" w:hAnsi="Perpetua"/>
        </w:rPr>
        <w:t>Em conclusão, os resultados estatísticos indicam que o poder</w:t>
      </w:r>
      <w:r>
        <w:rPr>
          <w:rFonts w:ascii="Perpetua" w:hAnsi="Perpetua"/>
        </w:rPr>
        <w:t xml:space="preserve"> de compra das populações onde o tribunal está instalado não afect</w:t>
      </w:r>
      <w:r w:rsidR="00916EC9">
        <w:rPr>
          <w:rFonts w:ascii="Perpetua" w:hAnsi="Perpetua"/>
        </w:rPr>
        <w:t>a</w:t>
      </w:r>
      <w:r>
        <w:rPr>
          <w:rFonts w:ascii="Perpetua" w:hAnsi="Perpetua"/>
        </w:rPr>
        <w:t xml:space="preserve"> a produtividade judicial média</w:t>
      </w:r>
      <w:r w:rsidR="00916EC9">
        <w:rPr>
          <w:rFonts w:ascii="Perpetua" w:hAnsi="Perpetua"/>
        </w:rPr>
        <w:t xml:space="preserve"> dos tribunais</w:t>
      </w:r>
      <w:r>
        <w:rPr>
          <w:rFonts w:ascii="Perpetua" w:hAnsi="Perpetua"/>
        </w:rPr>
        <w:t>.</w:t>
      </w:r>
    </w:p>
    <w:p w:rsidR="00F72F49" w:rsidRDefault="00F72F49" w:rsidP="00F72F49">
      <w:pPr>
        <w:pStyle w:val="ListParagraph"/>
        <w:spacing w:line="360" w:lineRule="auto"/>
        <w:ind w:left="360"/>
        <w:jc w:val="both"/>
        <w:rPr>
          <w:rFonts w:ascii="Perpetua" w:hAnsi="Perpetua"/>
        </w:rPr>
      </w:pPr>
    </w:p>
    <w:p w:rsidR="00F72F49" w:rsidRPr="00916EC9" w:rsidRDefault="00F72F49" w:rsidP="00F72F49">
      <w:pPr>
        <w:pStyle w:val="ListParagraph"/>
        <w:numPr>
          <w:ilvl w:val="0"/>
          <w:numId w:val="4"/>
        </w:numPr>
        <w:spacing w:line="360" w:lineRule="auto"/>
        <w:ind w:left="360"/>
        <w:jc w:val="both"/>
        <w:rPr>
          <w:rFonts w:ascii="Perpetua" w:hAnsi="Perpetua"/>
        </w:rPr>
      </w:pPr>
      <w:r w:rsidRPr="00916EC9">
        <w:rPr>
          <w:rFonts w:ascii="Perpetua" w:hAnsi="Perpetua"/>
        </w:rPr>
        <w:t xml:space="preserve">A densidade populacional foi outra variável </w:t>
      </w:r>
      <w:r w:rsidR="00C253AC" w:rsidRPr="00916EC9">
        <w:rPr>
          <w:rFonts w:ascii="Perpetua" w:hAnsi="Perpetua"/>
        </w:rPr>
        <w:t xml:space="preserve">introduzida nas regressões para </w:t>
      </w:r>
      <w:r w:rsidRPr="00916EC9">
        <w:rPr>
          <w:rFonts w:ascii="Perpetua" w:hAnsi="Perpetua"/>
        </w:rPr>
        <w:t xml:space="preserve">caracterizar a comarca onde o tribunal estava instalado e </w:t>
      </w:r>
      <w:r w:rsidR="00916EC9" w:rsidRPr="00916EC9">
        <w:rPr>
          <w:rFonts w:ascii="Perpetua" w:hAnsi="Perpetua"/>
        </w:rPr>
        <w:t>testar o</w:t>
      </w:r>
      <w:r w:rsidRPr="00916EC9">
        <w:rPr>
          <w:rFonts w:ascii="Perpetua" w:hAnsi="Perpetua"/>
        </w:rPr>
        <w:t xml:space="preserve"> efeito dessa característica na produtividade judicial média. Como </w:t>
      </w:r>
      <w:r w:rsidR="00A17588" w:rsidRPr="00916EC9">
        <w:rPr>
          <w:rFonts w:ascii="Perpetua" w:hAnsi="Perpetua"/>
        </w:rPr>
        <w:t>se argumento</w:t>
      </w:r>
      <w:r w:rsidR="00916EC9" w:rsidRPr="00916EC9">
        <w:rPr>
          <w:rFonts w:ascii="Perpetua" w:hAnsi="Perpetua"/>
        </w:rPr>
        <w:t>u</w:t>
      </w:r>
      <w:r w:rsidR="00A17588" w:rsidRPr="00916EC9">
        <w:rPr>
          <w:rFonts w:ascii="Perpetua" w:hAnsi="Perpetua"/>
        </w:rPr>
        <w:t xml:space="preserve"> na secção </w:t>
      </w:r>
      <w:r w:rsidR="00384EC7" w:rsidRPr="00916EC9">
        <w:rPr>
          <w:rFonts w:ascii="Perpetua" w:hAnsi="Perpetua"/>
        </w:rPr>
        <w:t>4.2.</w:t>
      </w:r>
      <w:r w:rsidRPr="00916EC9">
        <w:rPr>
          <w:rFonts w:ascii="Perpetua" w:hAnsi="Perpetua"/>
        </w:rPr>
        <w:t xml:space="preserve">, para além das condições do tribunal e dos trabalhadores judiciais, a resolução de processos judiciais é um processo que depende, numa medida não negligenciável, de agentes exteriores aos tribunais, como os </w:t>
      </w:r>
      <w:r w:rsidR="008932FB">
        <w:rPr>
          <w:rFonts w:ascii="Perpetua" w:hAnsi="Perpetua"/>
        </w:rPr>
        <w:t>advogados, os autores/exequentes/queixosos, os réus/executados/</w:t>
      </w:r>
      <w:r w:rsidRPr="00916EC9">
        <w:rPr>
          <w:rFonts w:ascii="Perpetua" w:hAnsi="Perpetua"/>
        </w:rPr>
        <w:t>arguidos, os solicitadores, os peritos e serviços do estado</w:t>
      </w:r>
      <w:r w:rsidR="008932FB">
        <w:rPr>
          <w:rFonts w:ascii="Perpetua" w:hAnsi="Perpetua"/>
        </w:rPr>
        <w:t>,</w:t>
      </w:r>
      <w:r w:rsidRPr="00916EC9">
        <w:rPr>
          <w:rFonts w:ascii="Perpetua" w:hAnsi="Perpetua"/>
        </w:rPr>
        <w:t xml:space="preserve"> etc. A </w:t>
      </w:r>
      <w:r w:rsidR="00F26E0A" w:rsidRPr="00916EC9">
        <w:rPr>
          <w:rFonts w:ascii="Perpetua" w:hAnsi="Perpetua"/>
        </w:rPr>
        <w:t xml:space="preserve">eficiência </w:t>
      </w:r>
      <w:r w:rsidRPr="00916EC9">
        <w:rPr>
          <w:rFonts w:ascii="Perpetua" w:hAnsi="Perpetua"/>
        </w:rPr>
        <w:t xml:space="preserve">dessa comunicação pode ser </w:t>
      </w:r>
      <w:r w:rsidR="00F26E0A" w:rsidRPr="00916EC9">
        <w:rPr>
          <w:rFonts w:ascii="Perpetua" w:hAnsi="Perpetua"/>
        </w:rPr>
        <w:t xml:space="preserve">medida indirectamente </w:t>
      </w:r>
      <w:r w:rsidRPr="00916EC9">
        <w:rPr>
          <w:rFonts w:ascii="Perpetua" w:hAnsi="Perpetua"/>
        </w:rPr>
        <w:t xml:space="preserve">pela densidade populacional da comarca onde o tribunal está instalado. É importante ter em conta que </w:t>
      </w:r>
      <w:r w:rsidR="00BB22CA">
        <w:rPr>
          <w:rFonts w:ascii="Perpetua" w:hAnsi="Perpetua"/>
        </w:rPr>
        <w:t xml:space="preserve">o conjunto de tribunais considerado </w:t>
      </w:r>
      <w:r w:rsidRPr="00916EC9">
        <w:rPr>
          <w:rFonts w:ascii="Perpetua" w:hAnsi="Perpetua"/>
        </w:rPr>
        <w:t xml:space="preserve">não inclui os grandes centros urbanos, onde o efeito da densidade populacional poderá ser facilmente anulado pela dimensão do grau de urbanidade, que </w:t>
      </w:r>
      <w:r w:rsidR="00F26E0A" w:rsidRPr="00916EC9">
        <w:rPr>
          <w:rFonts w:ascii="Perpetua" w:hAnsi="Perpetua"/>
        </w:rPr>
        <w:t>tenderá a</w:t>
      </w:r>
      <w:r w:rsidRPr="00916EC9">
        <w:rPr>
          <w:rFonts w:ascii="Perpetua" w:hAnsi="Perpetua"/>
        </w:rPr>
        <w:t xml:space="preserve"> formalizar e estabelecer relações de anonimato entre os diversos agentes que participam na resolução de um processo judicial. As estimações efectuadas revelam um efeito positivo e </w:t>
      </w:r>
      <w:r w:rsidR="00916EC9" w:rsidRPr="00916EC9">
        <w:rPr>
          <w:rFonts w:ascii="Perpetua" w:hAnsi="Perpetua"/>
        </w:rPr>
        <w:t xml:space="preserve">estatisticamente </w:t>
      </w:r>
      <w:r w:rsidRPr="00916EC9">
        <w:rPr>
          <w:rFonts w:ascii="Perpetua" w:hAnsi="Perpetua"/>
        </w:rPr>
        <w:t>significativo da densidade populacional na produtividade judicial média dos tribuna</w:t>
      </w:r>
      <w:r w:rsidR="00384EC7" w:rsidRPr="00916EC9">
        <w:rPr>
          <w:rFonts w:ascii="Perpetua" w:hAnsi="Perpetua"/>
        </w:rPr>
        <w:t xml:space="preserve">is, o que vai </w:t>
      </w:r>
      <w:r w:rsidR="00BA6C26">
        <w:rPr>
          <w:rFonts w:ascii="Perpetua" w:hAnsi="Perpetua"/>
        </w:rPr>
        <w:t xml:space="preserve">ao </w:t>
      </w:r>
      <w:r w:rsidR="00384EC7" w:rsidRPr="00916EC9">
        <w:rPr>
          <w:rFonts w:ascii="Perpetua" w:hAnsi="Perpetua"/>
        </w:rPr>
        <w:t xml:space="preserve">encontro </w:t>
      </w:r>
      <w:r w:rsidR="00BA6C26">
        <w:rPr>
          <w:rFonts w:ascii="Perpetua" w:hAnsi="Perpetua"/>
        </w:rPr>
        <w:t>d</w:t>
      </w:r>
      <w:r w:rsidR="00384EC7" w:rsidRPr="00916EC9">
        <w:rPr>
          <w:rFonts w:ascii="Perpetua" w:hAnsi="Perpetua"/>
        </w:rPr>
        <w:t>o</w:t>
      </w:r>
      <w:r w:rsidRPr="00916EC9">
        <w:rPr>
          <w:rFonts w:ascii="Perpetua" w:hAnsi="Perpetua"/>
        </w:rPr>
        <w:t xml:space="preserve"> </w:t>
      </w:r>
      <w:r w:rsidR="00384EC7" w:rsidRPr="00916EC9">
        <w:rPr>
          <w:rFonts w:ascii="Perpetua" w:hAnsi="Perpetua"/>
        </w:rPr>
        <w:t xml:space="preserve">efeito </w:t>
      </w:r>
      <w:r w:rsidRPr="00916EC9">
        <w:rPr>
          <w:rFonts w:ascii="Perpetua" w:hAnsi="Perpetua"/>
        </w:rPr>
        <w:t>prev</w:t>
      </w:r>
      <w:r w:rsidR="00C253AC" w:rsidRPr="00916EC9">
        <w:rPr>
          <w:rFonts w:ascii="Perpetua" w:hAnsi="Perpetua"/>
        </w:rPr>
        <w:t>isto</w:t>
      </w:r>
      <w:r w:rsidRPr="00916EC9">
        <w:rPr>
          <w:rFonts w:ascii="Perpetua" w:hAnsi="Perpetua"/>
        </w:rPr>
        <w:t xml:space="preserve">. </w:t>
      </w:r>
    </w:p>
    <w:p w:rsidR="00785FBD" w:rsidRDefault="00785FBD"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927CE0" w:rsidRDefault="00927CE0" w:rsidP="00F72F49">
      <w:pPr>
        <w:spacing w:line="360" w:lineRule="auto"/>
        <w:jc w:val="both"/>
        <w:rPr>
          <w:rFonts w:ascii="Perpetua" w:hAnsi="Perpetua"/>
        </w:rPr>
      </w:pPr>
    </w:p>
    <w:p w:rsidR="00384EC7" w:rsidRDefault="00384EC7" w:rsidP="00F72F49">
      <w:pPr>
        <w:spacing w:line="360" w:lineRule="auto"/>
        <w:jc w:val="both"/>
        <w:rPr>
          <w:rFonts w:ascii="Perpetua" w:hAnsi="Perpetua"/>
        </w:rPr>
      </w:pPr>
    </w:p>
    <w:p w:rsidR="00384EC7" w:rsidRDefault="00384EC7"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B332ED" w:rsidRDefault="00B332ED" w:rsidP="00F72F49">
      <w:pPr>
        <w:spacing w:line="360" w:lineRule="auto"/>
        <w:jc w:val="both"/>
        <w:rPr>
          <w:rFonts w:ascii="Perpetua" w:hAnsi="Perpetua"/>
        </w:rPr>
      </w:pPr>
    </w:p>
    <w:p w:rsidR="00F72F49" w:rsidRPr="00F72F49" w:rsidRDefault="00F72F49" w:rsidP="00F73C55">
      <w:pPr>
        <w:pStyle w:val="Heading1"/>
      </w:pPr>
      <w:bookmarkStart w:id="139" w:name="_Toc206652085"/>
      <w:bookmarkStart w:id="140" w:name="_Toc220484486"/>
      <w:r w:rsidRPr="00F72F49">
        <w:t>Conclus</w:t>
      </w:r>
      <w:bookmarkEnd w:id="139"/>
      <w:r w:rsidR="006A02A0">
        <w:t>ões</w:t>
      </w:r>
      <w:bookmarkEnd w:id="140"/>
    </w:p>
    <w:p w:rsidR="00F72F49" w:rsidRDefault="00F72F49" w:rsidP="0012598B">
      <w:pPr>
        <w:spacing w:line="360" w:lineRule="auto"/>
        <w:jc w:val="both"/>
        <w:rPr>
          <w:rFonts w:ascii="Perpetua" w:hAnsi="Perpetua"/>
        </w:rPr>
      </w:pPr>
    </w:p>
    <w:p w:rsidR="00A74873" w:rsidRDefault="00A74873" w:rsidP="00A74873">
      <w:pPr>
        <w:pStyle w:val="Heading2"/>
      </w:pPr>
      <w:bookmarkStart w:id="141" w:name="_Toc220484487"/>
      <w:r>
        <w:t>6.1. Introdução</w:t>
      </w:r>
      <w:bookmarkEnd w:id="141"/>
    </w:p>
    <w:p w:rsidR="00A74873" w:rsidRDefault="00A74873" w:rsidP="00D00790">
      <w:pPr>
        <w:spacing w:line="360" w:lineRule="auto"/>
        <w:jc w:val="both"/>
        <w:rPr>
          <w:rFonts w:ascii="Perpetua" w:hAnsi="Perpetua"/>
        </w:rPr>
      </w:pPr>
    </w:p>
    <w:p w:rsidR="0007289A" w:rsidRDefault="001B41BD" w:rsidP="00FB2239">
      <w:pPr>
        <w:spacing w:line="360" w:lineRule="auto"/>
        <w:jc w:val="both"/>
        <w:rPr>
          <w:rFonts w:ascii="Perpetua" w:hAnsi="Perpetua"/>
        </w:rPr>
      </w:pPr>
      <w:r>
        <w:rPr>
          <w:rFonts w:ascii="Perpetua" w:hAnsi="Perpetua"/>
        </w:rPr>
        <w:t>E</w:t>
      </w:r>
      <w:r w:rsidR="0007289A">
        <w:rPr>
          <w:rFonts w:ascii="Perpetua" w:hAnsi="Perpetua"/>
        </w:rPr>
        <w:t xml:space="preserve">ste trabalho pretendia dar resposta a duas constatações: </w:t>
      </w:r>
      <w:r>
        <w:rPr>
          <w:rFonts w:ascii="Perpetua" w:hAnsi="Perpetua"/>
        </w:rPr>
        <w:t xml:space="preserve">i) </w:t>
      </w:r>
      <w:r w:rsidR="0007289A">
        <w:rPr>
          <w:rFonts w:ascii="Perpetua" w:hAnsi="Perpetua"/>
        </w:rPr>
        <w:t>a pouca expressão da análise económica na avaliação das políticas públicas do sistema judicial português e</w:t>
      </w:r>
      <w:r w:rsidR="00F655AB">
        <w:rPr>
          <w:rFonts w:ascii="Perpetua" w:hAnsi="Perpetua"/>
        </w:rPr>
        <w:t xml:space="preserve"> ii)</w:t>
      </w:r>
      <w:r w:rsidR="0007289A">
        <w:rPr>
          <w:rFonts w:ascii="Perpetua" w:hAnsi="Perpetua"/>
        </w:rPr>
        <w:t xml:space="preserve"> a incipiência do conhecimento empírico sobre a provisão de serviços judiciais no seio de várias literaturas da ciência económica, designadamente da Análise Económica do Direito e </w:t>
      </w:r>
      <w:r w:rsidR="00F655AB">
        <w:rPr>
          <w:rFonts w:ascii="Perpetua" w:hAnsi="Perpetua"/>
        </w:rPr>
        <w:t>d</w:t>
      </w:r>
      <w:r w:rsidR="0007289A">
        <w:rPr>
          <w:rFonts w:ascii="Perpetua" w:hAnsi="Perpetua"/>
        </w:rPr>
        <w:t xml:space="preserve">a Análise de Eficiência e Produtividade. </w:t>
      </w:r>
      <w:r>
        <w:rPr>
          <w:rFonts w:ascii="Perpetua" w:hAnsi="Perpetua"/>
        </w:rPr>
        <w:t xml:space="preserve">A resposta a essas </w:t>
      </w:r>
      <w:r w:rsidR="0007289A">
        <w:rPr>
          <w:rFonts w:ascii="Perpetua" w:hAnsi="Perpetua"/>
        </w:rPr>
        <w:t xml:space="preserve">constatações </w:t>
      </w:r>
      <w:r>
        <w:rPr>
          <w:rFonts w:ascii="Perpetua" w:hAnsi="Perpetua"/>
        </w:rPr>
        <w:t xml:space="preserve">consistiu na </w:t>
      </w:r>
      <w:r w:rsidR="0007289A">
        <w:rPr>
          <w:rFonts w:ascii="Perpetua" w:hAnsi="Perpetua"/>
        </w:rPr>
        <w:t>prossecução de</w:t>
      </w:r>
      <w:r w:rsidR="00FB2239">
        <w:rPr>
          <w:rFonts w:ascii="Perpetua" w:hAnsi="Perpetua"/>
        </w:rPr>
        <w:t xml:space="preserve"> </w:t>
      </w:r>
      <w:r w:rsidR="0012598B">
        <w:rPr>
          <w:rFonts w:ascii="Perpetua" w:hAnsi="Perpetua"/>
        </w:rPr>
        <w:t xml:space="preserve">dois </w:t>
      </w:r>
      <w:r w:rsidR="00BA6C26">
        <w:rPr>
          <w:rFonts w:ascii="Perpetua" w:hAnsi="Perpetua"/>
        </w:rPr>
        <w:t>objectivos</w:t>
      </w:r>
      <w:r w:rsidR="0012598B">
        <w:rPr>
          <w:rFonts w:ascii="Perpetua" w:hAnsi="Perpetua"/>
        </w:rPr>
        <w:t xml:space="preserve">: i) contribuir para o aumento do conhecimento científico sobre a provisão de serviços judiciais de resolução de litígios </w:t>
      </w:r>
      <w:r w:rsidR="0007289A">
        <w:rPr>
          <w:rFonts w:ascii="Perpetua" w:hAnsi="Perpetua"/>
        </w:rPr>
        <w:t>mediante a análise económica d</w:t>
      </w:r>
      <w:r w:rsidR="0012598B">
        <w:rPr>
          <w:rFonts w:ascii="Perpetua" w:hAnsi="Perpetua"/>
        </w:rPr>
        <w:t xml:space="preserve">o sistema judicial português e ii) efectuar recomendações de política pública </w:t>
      </w:r>
      <w:r w:rsidR="00023D2C">
        <w:rPr>
          <w:rFonts w:ascii="Perpetua" w:hAnsi="Perpetua"/>
        </w:rPr>
        <w:t>numa perspectiva da economia do s</w:t>
      </w:r>
      <w:r w:rsidR="007E6423">
        <w:rPr>
          <w:rFonts w:ascii="Perpetua" w:hAnsi="Perpetua"/>
        </w:rPr>
        <w:t>istema judicial</w:t>
      </w:r>
      <w:r w:rsidR="00023D2C">
        <w:rPr>
          <w:rFonts w:ascii="Perpetua" w:hAnsi="Perpetua"/>
        </w:rPr>
        <w:t xml:space="preserve">, baseando-se nos resultados da </w:t>
      </w:r>
      <w:r w:rsidR="0012598B">
        <w:rPr>
          <w:rFonts w:ascii="Perpetua" w:hAnsi="Perpetua"/>
        </w:rPr>
        <w:t>análise</w:t>
      </w:r>
      <w:r w:rsidR="00023D2C">
        <w:rPr>
          <w:rFonts w:ascii="Perpetua" w:hAnsi="Perpetua"/>
        </w:rPr>
        <w:t xml:space="preserve"> empírica </w:t>
      </w:r>
      <w:r w:rsidR="0012598B">
        <w:rPr>
          <w:rFonts w:ascii="Perpetua" w:hAnsi="Perpetua"/>
        </w:rPr>
        <w:t>efectuada</w:t>
      </w:r>
      <w:r w:rsidR="00023D2C">
        <w:rPr>
          <w:rFonts w:ascii="Perpetua" w:hAnsi="Perpetua"/>
        </w:rPr>
        <w:t>.</w:t>
      </w:r>
      <w:r w:rsidR="00E276D6">
        <w:rPr>
          <w:rFonts w:ascii="Perpetua" w:hAnsi="Perpetua"/>
        </w:rPr>
        <w:t xml:space="preserve"> </w:t>
      </w:r>
      <w:r w:rsidR="0007289A">
        <w:rPr>
          <w:rFonts w:ascii="Perpetua" w:hAnsi="Perpetua"/>
        </w:rPr>
        <w:t xml:space="preserve">Nas duas secções seguintes apresentam-se as conclusões das análises </w:t>
      </w:r>
      <w:r w:rsidR="007170E2">
        <w:rPr>
          <w:rFonts w:ascii="Perpetua" w:hAnsi="Perpetua"/>
        </w:rPr>
        <w:t xml:space="preserve">efectuadas com vista à consecução desses objectivos. </w:t>
      </w:r>
    </w:p>
    <w:p w:rsidR="007170E2" w:rsidRDefault="007170E2" w:rsidP="00FB2239">
      <w:pPr>
        <w:spacing w:line="360" w:lineRule="auto"/>
        <w:jc w:val="both"/>
        <w:rPr>
          <w:rFonts w:ascii="Perpetua" w:hAnsi="Perpetua"/>
          <w:b/>
        </w:rPr>
      </w:pPr>
    </w:p>
    <w:p w:rsidR="00FB2239" w:rsidRPr="00023D2C" w:rsidRDefault="00A74873" w:rsidP="00A74873">
      <w:pPr>
        <w:pStyle w:val="Heading2"/>
      </w:pPr>
      <w:bookmarkStart w:id="142" w:name="_Toc220484488"/>
      <w:r>
        <w:t xml:space="preserve">6.2. </w:t>
      </w:r>
      <w:r w:rsidR="00FB2239" w:rsidRPr="00023D2C">
        <w:t>A economia do sistema judicial</w:t>
      </w:r>
      <w:bookmarkEnd w:id="142"/>
    </w:p>
    <w:p w:rsidR="00FB2239" w:rsidRDefault="00FB2239" w:rsidP="00D00790">
      <w:pPr>
        <w:spacing w:line="360" w:lineRule="auto"/>
        <w:jc w:val="both"/>
        <w:rPr>
          <w:rFonts w:ascii="Perpetua" w:hAnsi="Perpetua"/>
        </w:rPr>
      </w:pPr>
    </w:p>
    <w:p w:rsidR="003307E7" w:rsidRDefault="00023D2C" w:rsidP="00D00790">
      <w:pPr>
        <w:spacing w:line="360" w:lineRule="auto"/>
        <w:jc w:val="both"/>
        <w:rPr>
          <w:rFonts w:ascii="Perpetua" w:hAnsi="Perpetua"/>
        </w:rPr>
      </w:pPr>
      <w:r>
        <w:rPr>
          <w:rFonts w:ascii="Perpetua" w:hAnsi="Perpetua"/>
        </w:rPr>
        <w:t xml:space="preserve">No que respeita ao primeiro objectivo, </w:t>
      </w:r>
      <w:r w:rsidR="007170E2">
        <w:rPr>
          <w:rFonts w:ascii="Perpetua" w:hAnsi="Perpetua"/>
        </w:rPr>
        <w:t xml:space="preserve">foi proposto </w:t>
      </w:r>
      <w:r>
        <w:rPr>
          <w:rFonts w:ascii="Perpetua" w:hAnsi="Perpetua"/>
        </w:rPr>
        <w:t>um modelo econométrico da produção de serviços judiciais no sistema judicial português</w:t>
      </w:r>
      <w:r w:rsidR="007170E2">
        <w:rPr>
          <w:rFonts w:ascii="Perpetua" w:hAnsi="Perpetua"/>
        </w:rPr>
        <w:t>,</w:t>
      </w:r>
      <w:r>
        <w:rPr>
          <w:rFonts w:ascii="Perpetua" w:hAnsi="Perpetua"/>
        </w:rPr>
        <w:t xml:space="preserve"> baseado na teoria económica e no funcionamento do</w:t>
      </w:r>
      <w:r w:rsidR="007170E2">
        <w:rPr>
          <w:rFonts w:ascii="Perpetua" w:hAnsi="Perpetua"/>
        </w:rPr>
        <w:t>s tribunais</w:t>
      </w:r>
      <w:r>
        <w:rPr>
          <w:rFonts w:ascii="Perpetua" w:hAnsi="Perpetua"/>
        </w:rPr>
        <w:t>.</w:t>
      </w:r>
      <w:r w:rsidR="007170E2">
        <w:rPr>
          <w:rFonts w:ascii="Perpetua" w:hAnsi="Perpetua"/>
        </w:rPr>
        <w:t xml:space="preserve"> </w:t>
      </w:r>
      <w:r>
        <w:rPr>
          <w:rFonts w:ascii="Perpetua" w:hAnsi="Perpetua"/>
        </w:rPr>
        <w:t>Em face das consideráveis limitações informativas encontradas,</w:t>
      </w:r>
      <w:r w:rsidR="004B1E5A">
        <w:rPr>
          <w:rFonts w:ascii="Perpetua" w:hAnsi="Perpetua"/>
        </w:rPr>
        <w:t xml:space="preserve"> particularmente </w:t>
      </w:r>
      <w:r w:rsidR="00F655AB">
        <w:rPr>
          <w:rFonts w:ascii="Perpetua" w:hAnsi="Perpetua"/>
        </w:rPr>
        <w:t>as relacionada</w:t>
      </w:r>
      <w:r w:rsidR="001B41BD">
        <w:rPr>
          <w:rFonts w:ascii="Perpetua" w:hAnsi="Perpetua"/>
        </w:rPr>
        <w:t xml:space="preserve">s com </w:t>
      </w:r>
      <w:r w:rsidR="004B1E5A">
        <w:rPr>
          <w:rFonts w:ascii="Perpetua" w:hAnsi="Perpetua"/>
        </w:rPr>
        <w:t xml:space="preserve">a medida de produtividade judicial utilizada como variável </w:t>
      </w:r>
      <w:r w:rsidR="007170E2">
        <w:rPr>
          <w:rFonts w:ascii="Perpetua" w:hAnsi="Perpetua"/>
        </w:rPr>
        <w:t>indirecta</w:t>
      </w:r>
      <w:r w:rsidR="004B1E5A">
        <w:rPr>
          <w:rFonts w:ascii="Perpetua" w:hAnsi="Perpetua"/>
        </w:rPr>
        <w:t xml:space="preserve"> da eficiência produtiva dos tribunais, </w:t>
      </w:r>
      <w:r>
        <w:rPr>
          <w:rFonts w:ascii="Perpetua" w:hAnsi="Perpetua"/>
        </w:rPr>
        <w:t xml:space="preserve">propuseram-se soluções com vista à </w:t>
      </w:r>
      <w:r w:rsidR="004B1E5A">
        <w:rPr>
          <w:rFonts w:ascii="Perpetua" w:hAnsi="Perpetua"/>
        </w:rPr>
        <w:t>limitação</w:t>
      </w:r>
      <w:r>
        <w:rPr>
          <w:rFonts w:ascii="Perpetua" w:hAnsi="Perpetua"/>
        </w:rPr>
        <w:t xml:space="preserve"> </w:t>
      </w:r>
      <w:r w:rsidR="004B1E5A">
        <w:rPr>
          <w:rFonts w:ascii="Perpetua" w:hAnsi="Perpetua"/>
        </w:rPr>
        <w:t>do défice informativo na capacidade do modelo em</w:t>
      </w:r>
      <w:r>
        <w:rPr>
          <w:rFonts w:ascii="Perpetua" w:hAnsi="Perpetua"/>
        </w:rPr>
        <w:t xml:space="preserve"> testar a validade de um conjunto de previsões teóricas e explorar as relações causais que não fossem previstas por nenhuma teoria particular. </w:t>
      </w:r>
      <w:r w:rsidR="004B1E5A">
        <w:rPr>
          <w:rFonts w:ascii="Perpetua" w:hAnsi="Perpetua"/>
        </w:rPr>
        <w:t xml:space="preserve">A deficiência informativa resultante da heterogeneidade das intensidades relativas do trabalho judicial dos processos judiciais foi limitada pela divisão do conjunto de tribunais de competência genérica em </w:t>
      </w:r>
      <w:r w:rsidR="0038553F">
        <w:rPr>
          <w:rFonts w:ascii="Perpetua" w:hAnsi="Perpetua"/>
        </w:rPr>
        <w:t>três</w:t>
      </w:r>
      <w:r w:rsidR="004B1E5A">
        <w:rPr>
          <w:rFonts w:ascii="Perpetua" w:hAnsi="Perpetua"/>
        </w:rPr>
        <w:t xml:space="preserve"> subconjuntos, sendo a divisão baseada na homogeneidade do</w:t>
      </w:r>
      <w:r w:rsidR="004B1E5A" w:rsidRPr="004B1E5A">
        <w:rPr>
          <w:rFonts w:ascii="Perpetua" w:hAnsi="Perpetua"/>
          <w:i/>
        </w:rPr>
        <w:t xml:space="preserve"> case mix</w:t>
      </w:r>
      <w:r w:rsidR="004B1E5A">
        <w:rPr>
          <w:rFonts w:ascii="Perpetua" w:hAnsi="Perpetua"/>
        </w:rPr>
        <w:t xml:space="preserve"> resolvido. As </w:t>
      </w:r>
      <w:r w:rsidR="0038553F">
        <w:rPr>
          <w:rFonts w:ascii="Perpetua" w:hAnsi="Perpetua"/>
        </w:rPr>
        <w:t>duas</w:t>
      </w:r>
      <w:r w:rsidR="004B1E5A">
        <w:rPr>
          <w:rFonts w:ascii="Perpetua" w:hAnsi="Perpetua"/>
        </w:rPr>
        <w:t xml:space="preserve"> variáveis </w:t>
      </w:r>
      <w:r w:rsidR="004B1E5A" w:rsidRPr="004B1E5A">
        <w:rPr>
          <w:rFonts w:ascii="Perpetua" w:hAnsi="Perpetua"/>
          <w:i/>
        </w:rPr>
        <w:t>dummy</w:t>
      </w:r>
      <w:r w:rsidR="004B1E5A">
        <w:rPr>
          <w:rFonts w:ascii="Perpetua" w:hAnsi="Perpetua"/>
        </w:rPr>
        <w:t xml:space="preserve"> criadas a partir da análise de </w:t>
      </w:r>
      <w:r w:rsidR="004B1E5A" w:rsidRPr="009974F0">
        <w:rPr>
          <w:rFonts w:ascii="Perpetua" w:hAnsi="Perpetua"/>
          <w:i/>
        </w:rPr>
        <w:t>clusters</w:t>
      </w:r>
      <w:r w:rsidR="004B1E5A">
        <w:rPr>
          <w:rFonts w:ascii="Perpetua" w:hAnsi="Perpetua"/>
        </w:rPr>
        <w:t xml:space="preserve"> e posteriormente incluídas nas estimações econométricas permitiram, por um lado, agregar tribunais com um perfil de litigância semelhante e, por outro, diferenciar tribunais com perfis de litigância distintos (</w:t>
      </w:r>
      <w:r w:rsidR="004B1E5A" w:rsidRPr="004E5D3A">
        <w:rPr>
          <w:rFonts w:ascii="Perpetua" w:hAnsi="Perpetua"/>
          <w:i/>
        </w:rPr>
        <w:t>i.e.</w:t>
      </w:r>
      <w:r w:rsidR="00941AEA">
        <w:rPr>
          <w:rFonts w:ascii="Perpetua" w:hAnsi="Perpetua"/>
        </w:rPr>
        <w:t xml:space="preserve">, </w:t>
      </w:r>
      <w:r w:rsidR="004B1E5A">
        <w:rPr>
          <w:rFonts w:ascii="Perpetua" w:hAnsi="Perpetua"/>
        </w:rPr>
        <w:t xml:space="preserve">quanto ao tipo de </w:t>
      </w:r>
      <w:r w:rsidR="004B1E5A" w:rsidRPr="009974F0">
        <w:rPr>
          <w:rFonts w:ascii="Perpetua" w:hAnsi="Perpetua"/>
          <w:i/>
        </w:rPr>
        <w:t>case mix</w:t>
      </w:r>
      <w:r w:rsidR="004B1E5A">
        <w:rPr>
          <w:rFonts w:ascii="Perpetua" w:hAnsi="Perpetua"/>
        </w:rPr>
        <w:t xml:space="preserve"> resolvido em 2001).</w:t>
      </w:r>
    </w:p>
    <w:p w:rsidR="003307E7" w:rsidRDefault="003307E7" w:rsidP="00D00790">
      <w:pPr>
        <w:spacing w:line="360" w:lineRule="auto"/>
        <w:jc w:val="both"/>
        <w:rPr>
          <w:rFonts w:ascii="Perpetua" w:hAnsi="Perpetua"/>
        </w:rPr>
      </w:pPr>
    </w:p>
    <w:p w:rsidR="00D00790" w:rsidRDefault="00D00790" w:rsidP="00D00790">
      <w:pPr>
        <w:spacing w:line="360" w:lineRule="auto"/>
        <w:jc w:val="both"/>
        <w:rPr>
          <w:rFonts w:ascii="Perpetua" w:hAnsi="Perpetua"/>
        </w:rPr>
      </w:pPr>
      <w:r>
        <w:rPr>
          <w:rFonts w:ascii="Perpetua" w:hAnsi="Perpetua"/>
        </w:rPr>
        <w:t xml:space="preserve">As restantes deficiências informativas da medida indirecta da eficiência produtiva dos tribunais não foram consideradas no modelo utilizado, nomeadamente a heterogeneidade da qualidade da decisão judicial dos serviços judiciais resolvidos nos tribunais e os problemas decorrentes da </w:t>
      </w:r>
      <w:r w:rsidRPr="00B10928">
        <w:rPr>
          <w:rFonts w:ascii="Perpetua" w:hAnsi="Perpetua"/>
        </w:rPr>
        <w:t xml:space="preserve">estrutura de dados </w:t>
      </w:r>
      <w:r>
        <w:rPr>
          <w:rFonts w:ascii="Perpetua" w:hAnsi="Perpetua"/>
        </w:rPr>
        <w:t xml:space="preserve">utilizada (dados seccionais anuais). O </w:t>
      </w:r>
      <w:r w:rsidRPr="00B10928">
        <w:rPr>
          <w:rFonts w:ascii="Perpetua" w:hAnsi="Perpetua"/>
        </w:rPr>
        <w:t>facto d</w:t>
      </w:r>
      <w:r w:rsidR="0038553F">
        <w:rPr>
          <w:rFonts w:ascii="Perpetua" w:hAnsi="Perpetua"/>
        </w:rPr>
        <w:t xml:space="preserve">e </w:t>
      </w:r>
      <w:r w:rsidRPr="00B10928">
        <w:rPr>
          <w:rFonts w:ascii="Perpetua" w:hAnsi="Perpetua"/>
        </w:rPr>
        <w:t>a resolução de processos judiciais ser, para uma parte significativa das categorias de processos findos, superior a um ano e d</w:t>
      </w:r>
      <w:r w:rsidR="0038553F">
        <w:rPr>
          <w:rFonts w:ascii="Perpetua" w:hAnsi="Perpetua"/>
        </w:rPr>
        <w:t xml:space="preserve">e </w:t>
      </w:r>
      <w:r w:rsidRPr="00B10928">
        <w:rPr>
          <w:rFonts w:ascii="Perpetua" w:hAnsi="Perpetua"/>
        </w:rPr>
        <w:t xml:space="preserve">os trabalhadores judiciais resolverem algumas categorias de processos judiciais de forma intermitente implica que o número de processos findos num ano seja uma medida inexacta do produto </w:t>
      </w:r>
      <w:r w:rsidR="001B41BD">
        <w:rPr>
          <w:rFonts w:ascii="Perpetua" w:hAnsi="Perpetua"/>
        </w:rPr>
        <w:t xml:space="preserve">anual efectivo </w:t>
      </w:r>
      <w:r w:rsidRPr="00B10928">
        <w:rPr>
          <w:rFonts w:ascii="Perpetua" w:hAnsi="Perpetua"/>
        </w:rPr>
        <w:t xml:space="preserve">dos tribunais. Com efeito, os tribunais podem ter efectuado trabalho sem que o número de processos judiciais </w:t>
      </w:r>
      <w:r>
        <w:rPr>
          <w:rFonts w:ascii="Perpetua" w:hAnsi="Perpetua"/>
        </w:rPr>
        <w:t xml:space="preserve">findos no ano </w:t>
      </w:r>
      <w:r w:rsidRPr="00B10928">
        <w:rPr>
          <w:rFonts w:ascii="Perpetua" w:hAnsi="Perpetua"/>
        </w:rPr>
        <w:t>tenha aumentado, poderá haver processos parcialmente resolvidos no início do ano</w:t>
      </w:r>
      <w:r>
        <w:rPr>
          <w:rFonts w:ascii="Perpetua" w:hAnsi="Perpetua"/>
        </w:rPr>
        <w:t xml:space="preserve"> e</w:t>
      </w:r>
      <w:r w:rsidR="001B41BD">
        <w:rPr>
          <w:rFonts w:ascii="Perpetua" w:hAnsi="Perpetua"/>
        </w:rPr>
        <w:t xml:space="preserve">, ainda, </w:t>
      </w:r>
      <w:r>
        <w:rPr>
          <w:rFonts w:ascii="Perpetua" w:hAnsi="Perpetua"/>
        </w:rPr>
        <w:t xml:space="preserve">os </w:t>
      </w:r>
      <w:r w:rsidRPr="00B10928">
        <w:rPr>
          <w:rFonts w:ascii="Perpetua" w:hAnsi="Perpetua"/>
        </w:rPr>
        <w:t xml:space="preserve">processos podem ser </w:t>
      </w:r>
      <w:r w:rsidR="001B41BD">
        <w:rPr>
          <w:rFonts w:ascii="Perpetua" w:hAnsi="Perpetua"/>
        </w:rPr>
        <w:t xml:space="preserve">terminados </w:t>
      </w:r>
      <w:r w:rsidRPr="00B10928">
        <w:rPr>
          <w:rFonts w:ascii="Perpetua" w:hAnsi="Perpetua"/>
        </w:rPr>
        <w:t xml:space="preserve">sem que o juiz efectue qualquer trabalho. </w:t>
      </w:r>
      <w:r>
        <w:rPr>
          <w:rFonts w:ascii="Perpetua" w:hAnsi="Perpetua"/>
        </w:rPr>
        <w:t xml:space="preserve">Apesar da pertinência destas limitações informativas, a análise efectuada neste trabalho assume que a sua distribuição é uniforme nos tribunais analisados, o que justifica que o modelo econométrico não </w:t>
      </w:r>
      <w:r w:rsidR="001B41BD">
        <w:rPr>
          <w:rFonts w:ascii="Perpetua" w:hAnsi="Perpetua"/>
        </w:rPr>
        <w:t>preveja soluções para</w:t>
      </w:r>
      <w:r>
        <w:rPr>
          <w:rFonts w:ascii="Perpetua" w:hAnsi="Perpetua"/>
        </w:rPr>
        <w:t xml:space="preserve"> essas questões.</w:t>
      </w:r>
    </w:p>
    <w:p w:rsidR="00FB2239" w:rsidRDefault="00FB2239" w:rsidP="00D00790">
      <w:pPr>
        <w:spacing w:line="360" w:lineRule="auto"/>
        <w:jc w:val="both"/>
        <w:rPr>
          <w:rFonts w:ascii="Perpetua" w:hAnsi="Perpetua"/>
        </w:rPr>
      </w:pPr>
    </w:p>
    <w:p w:rsidR="00023D2C" w:rsidRDefault="00637907" w:rsidP="00D00790">
      <w:pPr>
        <w:spacing w:line="360" w:lineRule="auto"/>
        <w:jc w:val="both"/>
        <w:rPr>
          <w:rFonts w:ascii="Perpetua" w:hAnsi="Perpetua"/>
        </w:rPr>
      </w:pPr>
      <w:r>
        <w:rPr>
          <w:rFonts w:ascii="Perpetua" w:hAnsi="Perpetua"/>
        </w:rPr>
        <w:t xml:space="preserve">As </w:t>
      </w:r>
      <w:r w:rsidR="00D00790">
        <w:rPr>
          <w:rFonts w:ascii="Perpetua" w:hAnsi="Perpetua"/>
        </w:rPr>
        <w:t>análise</w:t>
      </w:r>
      <w:r>
        <w:rPr>
          <w:rFonts w:ascii="Perpetua" w:hAnsi="Perpetua"/>
        </w:rPr>
        <w:t>s</w:t>
      </w:r>
      <w:r w:rsidR="00D00790">
        <w:rPr>
          <w:rFonts w:ascii="Perpetua" w:hAnsi="Perpetua"/>
        </w:rPr>
        <w:t xml:space="preserve"> empírica</w:t>
      </w:r>
      <w:r>
        <w:rPr>
          <w:rFonts w:ascii="Perpetua" w:hAnsi="Perpetua"/>
        </w:rPr>
        <w:t>s</w:t>
      </w:r>
      <w:r w:rsidR="00D00790">
        <w:rPr>
          <w:rFonts w:ascii="Perpetua" w:hAnsi="Perpetua"/>
        </w:rPr>
        <w:t xml:space="preserve"> efectuada</w:t>
      </w:r>
      <w:r>
        <w:rPr>
          <w:rFonts w:ascii="Perpetua" w:hAnsi="Perpetua"/>
        </w:rPr>
        <w:t>s</w:t>
      </w:r>
      <w:r w:rsidR="00D00790">
        <w:rPr>
          <w:rFonts w:ascii="Perpetua" w:hAnsi="Perpetua"/>
        </w:rPr>
        <w:t xml:space="preserve"> com recurso ao modelo econométrico proposto permitiram </w:t>
      </w:r>
      <w:r w:rsidR="00140215">
        <w:rPr>
          <w:rFonts w:ascii="Perpetua" w:hAnsi="Perpetua"/>
        </w:rPr>
        <w:t>testar um conjunto de previsões teóricas sobre a produção de serviços judiciais. A pri</w:t>
      </w:r>
      <w:r w:rsidR="00FB2239">
        <w:rPr>
          <w:rFonts w:ascii="Perpetua" w:hAnsi="Perpetua"/>
        </w:rPr>
        <w:t>ncipal conclusão</w:t>
      </w:r>
      <w:r w:rsidR="00140215">
        <w:rPr>
          <w:rFonts w:ascii="Perpetua" w:hAnsi="Perpetua"/>
        </w:rPr>
        <w:t xml:space="preserve"> obtida foi a de que o fenómeno da endogeneidade da </w:t>
      </w:r>
      <w:r w:rsidR="00D00790">
        <w:rPr>
          <w:rFonts w:ascii="Perpetua" w:hAnsi="Perpetua"/>
        </w:rPr>
        <w:t xml:space="preserve">produtividade judicial </w:t>
      </w:r>
      <w:r w:rsidR="00140215">
        <w:rPr>
          <w:rFonts w:ascii="Perpetua" w:hAnsi="Perpetua"/>
        </w:rPr>
        <w:t xml:space="preserve">se encontra presente </w:t>
      </w:r>
      <w:r w:rsidR="00D00790">
        <w:rPr>
          <w:rFonts w:ascii="Perpetua" w:hAnsi="Perpetua"/>
        </w:rPr>
        <w:t xml:space="preserve">na produção de serviços judiciais no sistema judicial português. Em termos empíricos, </w:t>
      </w:r>
      <w:r w:rsidR="00140215">
        <w:rPr>
          <w:rFonts w:ascii="Perpetua" w:hAnsi="Perpetua"/>
        </w:rPr>
        <w:t>não foi possível distinguir com precisão a</w:t>
      </w:r>
      <w:r w:rsidR="00D00790">
        <w:rPr>
          <w:rFonts w:ascii="Perpetua" w:hAnsi="Perpetua"/>
        </w:rPr>
        <w:t xml:space="preserve"> endogeneidade da p</w:t>
      </w:r>
      <w:r w:rsidR="00140215">
        <w:rPr>
          <w:rFonts w:ascii="Perpetua" w:hAnsi="Perpetua"/>
        </w:rPr>
        <w:t xml:space="preserve">rodutividade judicial resultante da existência de restrições à capacidade de findar processos em tribunais com procuras acumuladas e anuais baixas </w:t>
      </w:r>
      <w:r w:rsidR="0038553F">
        <w:rPr>
          <w:rFonts w:ascii="Perpetua" w:hAnsi="Perpetua"/>
        </w:rPr>
        <w:t>d</w:t>
      </w:r>
      <w:r w:rsidR="00140215">
        <w:rPr>
          <w:rFonts w:ascii="Perpetua" w:hAnsi="Perpetua"/>
        </w:rPr>
        <w:t xml:space="preserve">a endogeneidade da produtividade judicial tal como formulada em Beenstock </w:t>
      </w:r>
      <w:r w:rsidR="003A79EC">
        <w:rPr>
          <w:rFonts w:ascii="Perpetua" w:hAnsi="Perpetua"/>
        </w:rPr>
        <w:t>e</w:t>
      </w:r>
      <w:r w:rsidR="00140215">
        <w:rPr>
          <w:rFonts w:ascii="Perpetua" w:hAnsi="Perpetua"/>
        </w:rPr>
        <w:t xml:space="preserve"> Haitovski (2004). Porém, as conclusões da análise de estatística descritiva (correlação positiva elevada entre a carga judicial média e a produtividade judicial média ao longo do tempo na 1.ª instância do sistema judicial) e da caracterização perfunctória do quadro de incentivos dos trabalhadores judiciais (a inexistência </w:t>
      </w:r>
      <w:r w:rsidR="0069764C">
        <w:rPr>
          <w:rFonts w:ascii="Perpetua" w:hAnsi="Perpetua"/>
        </w:rPr>
        <w:t xml:space="preserve">de </w:t>
      </w:r>
      <w:r w:rsidR="00140215">
        <w:rPr>
          <w:rFonts w:ascii="Perpetua" w:hAnsi="Perpetua"/>
        </w:rPr>
        <w:t xml:space="preserve">incentivos para os trabalhadores trabalharem mais e melhor) </w:t>
      </w:r>
      <w:r w:rsidR="00223784">
        <w:rPr>
          <w:rFonts w:ascii="Perpetua" w:hAnsi="Perpetua"/>
        </w:rPr>
        <w:t xml:space="preserve">tornam a segunda interpretação também plausível. </w:t>
      </w:r>
      <w:r w:rsidR="00BB22CA">
        <w:rPr>
          <w:rFonts w:ascii="Perpetua" w:hAnsi="Perpetua"/>
        </w:rPr>
        <w:t xml:space="preserve">Assim, </w:t>
      </w:r>
      <w:r>
        <w:rPr>
          <w:rFonts w:ascii="Perpetua" w:hAnsi="Perpetua"/>
        </w:rPr>
        <w:t xml:space="preserve">há fortes razões para concluir que </w:t>
      </w:r>
      <w:r w:rsidR="00BB22CA">
        <w:rPr>
          <w:rFonts w:ascii="Perpetua" w:hAnsi="Perpetua"/>
        </w:rPr>
        <w:t xml:space="preserve">o resultado empírico mais robusto da economia do sector judicial também </w:t>
      </w:r>
      <w:r>
        <w:rPr>
          <w:rFonts w:ascii="Perpetua" w:hAnsi="Perpetua"/>
        </w:rPr>
        <w:t xml:space="preserve">se verifica </w:t>
      </w:r>
      <w:r w:rsidR="00BB22CA">
        <w:rPr>
          <w:rFonts w:ascii="Perpetua" w:hAnsi="Perpetua"/>
        </w:rPr>
        <w:t xml:space="preserve">no contexto da provisão de serviços judiciais no sistema judicial português. </w:t>
      </w:r>
      <w:r w:rsidR="00223784">
        <w:rPr>
          <w:rFonts w:ascii="Perpetua" w:hAnsi="Perpetua"/>
        </w:rPr>
        <w:t xml:space="preserve"> </w:t>
      </w:r>
    </w:p>
    <w:p w:rsidR="00223784" w:rsidRDefault="00223784" w:rsidP="00D00790">
      <w:pPr>
        <w:spacing w:line="360" w:lineRule="auto"/>
        <w:jc w:val="both"/>
        <w:rPr>
          <w:rFonts w:ascii="Perpetua" w:hAnsi="Perpetua"/>
        </w:rPr>
      </w:pPr>
    </w:p>
    <w:p w:rsidR="00223784" w:rsidRPr="00D00790" w:rsidRDefault="00FB2239" w:rsidP="00D00790">
      <w:pPr>
        <w:spacing w:line="360" w:lineRule="auto"/>
        <w:jc w:val="both"/>
        <w:rPr>
          <w:rFonts w:ascii="Perpetua" w:hAnsi="Perpetua"/>
        </w:rPr>
      </w:pPr>
      <w:r>
        <w:rPr>
          <w:rFonts w:ascii="Perpetua" w:hAnsi="Perpetua"/>
        </w:rPr>
        <w:t xml:space="preserve">Uma segunda conclusão é a de que os resultados empíricos confirmam a </w:t>
      </w:r>
      <w:r w:rsidR="00E276D6">
        <w:rPr>
          <w:rFonts w:ascii="Perpetua" w:hAnsi="Perpetua"/>
        </w:rPr>
        <w:t xml:space="preserve">caracterização </w:t>
      </w:r>
      <w:r>
        <w:rPr>
          <w:rFonts w:ascii="Perpetua" w:hAnsi="Perpetua"/>
        </w:rPr>
        <w:t xml:space="preserve">do processo produtivo dos tribunais proposta neste trabalho, </w:t>
      </w:r>
      <w:r w:rsidR="00E276D6">
        <w:rPr>
          <w:rFonts w:ascii="Perpetua" w:hAnsi="Perpetua"/>
        </w:rPr>
        <w:t>designadamente n</w:t>
      </w:r>
      <w:r w:rsidR="001B41BD">
        <w:rPr>
          <w:rFonts w:ascii="Perpetua" w:hAnsi="Perpetua"/>
        </w:rPr>
        <w:t>o</w:t>
      </w:r>
      <w:r w:rsidR="00E276D6">
        <w:rPr>
          <w:rFonts w:ascii="Perpetua" w:hAnsi="Perpetua"/>
        </w:rPr>
        <w:t xml:space="preserve"> que respeita à influência</w:t>
      </w:r>
      <w:r w:rsidR="001B41BD">
        <w:rPr>
          <w:rFonts w:ascii="Perpetua" w:hAnsi="Perpetua"/>
        </w:rPr>
        <w:t>,</w:t>
      </w:r>
      <w:r w:rsidR="00E276D6">
        <w:rPr>
          <w:rFonts w:ascii="Perpetua" w:hAnsi="Perpetua"/>
        </w:rPr>
        <w:t xml:space="preserve"> na eficiência produtiva</w:t>
      </w:r>
      <w:r w:rsidR="001B41BD">
        <w:rPr>
          <w:rFonts w:ascii="Perpetua" w:hAnsi="Perpetua"/>
        </w:rPr>
        <w:t xml:space="preserve"> dos tribunais,</w:t>
      </w:r>
      <w:r w:rsidR="00E276D6">
        <w:rPr>
          <w:rFonts w:ascii="Perpetua" w:hAnsi="Perpetua"/>
        </w:rPr>
        <w:t xml:space="preserve"> de factores exteriores ao controlo de um hipotético administrador do tribunal. O primeiro conjunto desses factores está relacionado com a dimensão da oferta de serviços jurídicos </w:t>
      </w:r>
      <w:r w:rsidR="0038553F">
        <w:rPr>
          <w:rFonts w:ascii="Perpetua" w:hAnsi="Perpetua"/>
        </w:rPr>
        <w:t>(consultoria e procuradoria)</w:t>
      </w:r>
      <w:r w:rsidR="00E276D6">
        <w:rPr>
          <w:rFonts w:ascii="Perpetua" w:hAnsi="Perpetua"/>
        </w:rPr>
        <w:t>, cujo efeito na pro</w:t>
      </w:r>
      <w:r>
        <w:rPr>
          <w:rFonts w:ascii="Perpetua" w:hAnsi="Perpetua"/>
        </w:rPr>
        <w:t>d</w:t>
      </w:r>
      <w:r w:rsidR="00E276D6">
        <w:rPr>
          <w:rFonts w:ascii="Perpetua" w:hAnsi="Perpetua"/>
        </w:rPr>
        <w:t>utividade judicial é consistentemente negativo e estatisticamente significativo nas regressões estimadas</w:t>
      </w:r>
      <w:r w:rsidR="007170E2">
        <w:rPr>
          <w:rFonts w:ascii="Perpetua" w:hAnsi="Perpetua"/>
        </w:rPr>
        <w:t>, o qu</w:t>
      </w:r>
      <w:r w:rsidR="003307E7">
        <w:rPr>
          <w:rFonts w:ascii="Perpetua" w:hAnsi="Perpetua"/>
        </w:rPr>
        <w:t>e</w:t>
      </w:r>
      <w:r w:rsidR="007170E2">
        <w:rPr>
          <w:rFonts w:ascii="Perpetua" w:hAnsi="Perpetua"/>
        </w:rPr>
        <w:t xml:space="preserve"> foi </w:t>
      </w:r>
      <w:r w:rsidR="0038553F">
        <w:rPr>
          <w:rFonts w:ascii="Perpetua" w:hAnsi="Perpetua"/>
        </w:rPr>
        <w:t xml:space="preserve">provisoriamente </w:t>
      </w:r>
      <w:r w:rsidR="007170E2">
        <w:rPr>
          <w:rFonts w:ascii="Perpetua" w:hAnsi="Perpetua"/>
        </w:rPr>
        <w:t xml:space="preserve">interpretado como </w:t>
      </w:r>
      <w:r w:rsidR="0038553F">
        <w:rPr>
          <w:rFonts w:ascii="Perpetua" w:hAnsi="Perpetua"/>
        </w:rPr>
        <w:t>prova d</w:t>
      </w:r>
      <w:r w:rsidR="007170E2">
        <w:rPr>
          <w:rFonts w:ascii="Perpetua" w:hAnsi="Perpetua"/>
        </w:rPr>
        <w:t xml:space="preserve">o efeito do grau de formalidade da relação entre esses actores do sistema judicial e o tribunal. </w:t>
      </w:r>
      <w:r w:rsidR="004D3394">
        <w:rPr>
          <w:rFonts w:ascii="Perpetua" w:hAnsi="Perpetua"/>
        </w:rPr>
        <w:t xml:space="preserve">Outro factor </w:t>
      </w:r>
      <w:r w:rsidR="0069764C">
        <w:rPr>
          <w:rFonts w:ascii="Perpetua" w:hAnsi="Perpetua"/>
        </w:rPr>
        <w:t>que</w:t>
      </w:r>
      <w:r w:rsidR="004D3394">
        <w:rPr>
          <w:rFonts w:ascii="Perpetua" w:hAnsi="Perpetua"/>
        </w:rPr>
        <w:t xml:space="preserve"> influ</w:t>
      </w:r>
      <w:r w:rsidR="0069764C">
        <w:rPr>
          <w:rFonts w:ascii="Perpetua" w:hAnsi="Perpetua"/>
        </w:rPr>
        <w:t>enci</w:t>
      </w:r>
      <w:r w:rsidR="00BA5227">
        <w:rPr>
          <w:rFonts w:ascii="Perpetua" w:hAnsi="Perpetua"/>
        </w:rPr>
        <w:t>a</w:t>
      </w:r>
      <w:r w:rsidR="004D3394">
        <w:rPr>
          <w:rFonts w:ascii="Perpetua" w:hAnsi="Perpetua"/>
        </w:rPr>
        <w:t xml:space="preserve"> a produtividade judicial </w:t>
      </w:r>
      <w:r w:rsidR="00BA5227">
        <w:rPr>
          <w:rFonts w:ascii="Perpetua" w:hAnsi="Perpetua"/>
        </w:rPr>
        <w:t xml:space="preserve">é </w:t>
      </w:r>
      <w:r w:rsidR="004D3394">
        <w:rPr>
          <w:rFonts w:ascii="Perpetua" w:hAnsi="Perpetua"/>
        </w:rPr>
        <w:t>a densidade populacional dos locais onde o tribunal está instalado, que se interpretou como evidência da contribuição da eficiência da comunicação entre os diversos actores que participam no processo de resolução judicia</w:t>
      </w:r>
      <w:r w:rsidR="0038553F">
        <w:rPr>
          <w:rFonts w:ascii="Perpetua" w:hAnsi="Perpetua"/>
        </w:rPr>
        <w:t>l (as partes em litígio,</w:t>
      </w:r>
      <w:r w:rsidR="004D3394">
        <w:rPr>
          <w:rFonts w:ascii="Perpetua" w:hAnsi="Perpetua"/>
        </w:rPr>
        <w:t xml:space="preserve"> os advogados, </w:t>
      </w:r>
      <w:r w:rsidR="0038553F">
        <w:rPr>
          <w:rFonts w:ascii="Perpetua" w:hAnsi="Perpetua"/>
        </w:rPr>
        <w:t xml:space="preserve">os solicitadores, </w:t>
      </w:r>
      <w:r w:rsidR="004D3394">
        <w:rPr>
          <w:rFonts w:ascii="Perpetua" w:hAnsi="Perpetua"/>
        </w:rPr>
        <w:t>os serviços administrativos d</w:t>
      </w:r>
      <w:r w:rsidR="0038553F">
        <w:rPr>
          <w:rFonts w:ascii="Perpetua" w:hAnsi="Perpetua"/>
        </w:rPr>
        <w:t>o Estado como os registos e notariado</w:t>
      </w:r>
      <w:r w:rsidR="008932FB">
        <w:rPr>
          <w:rFonts w:ascii="Perpetua" w:hAnsi="Perpetua"/>
        </w:rPr>
        <w:t>,</w:t>
      </w:r>
      <w:r w:rsidR="004D3394">
        <w:rPr>
          <w:rFonts w:ascii="Perpetua" w:hAnsi="Perpetua"/>
        </w:rPr>
        <w:t xml:space="preserve"> etc.) para a eficiência produtiva dos tribunais. Por fim, verificou-se que </w:t>
      </w:r>
      <w:r w:rsidR="003307E7">
        <w:rPr>
          <w:rFonts w:ascii="Perpetua" w:hAnsi="Perpetua"/>
        </w:rPr>
        <w:t>o grau de desenvolvimento económico</w:t>
      </w:r>
      <w:r w:rsidR="001B41BD">
        <w:rPr>
          <w:rFonts w:ascii="Perpetua" w:hAnsi="Perpetua"/>
        </w:rPr>
        <w:t>, medido</w:t>
      </w:r>
      <w:r w:rsidR="004D3394">
        <w:rPr>
          <w:rFonts w:ascii="Perpetua" w:hAnsi="Perpetua"/>
        </w:rPr>
        <w:t xml:space="preserve"> pelo PIB </w:t>
      </w:r>
      <w:proofErr w:type="gramStart"/>
      <w:r w:rsidR="004D3394" w:rsidRPr="004D3394">
        <w:rPr>
          <w:rFonts w:ascii="Perpetua" w:hAnsi="Perpetua"/>
          <w:i/>
        </w:rPr>
        <w:t>per capita</w:t>
      </w:r>
      <w:proofErr w:type="gramEnd"/>
      <w:r w:rsidR="004D3394">
        <w:rPr>
          <w:rFonts w:ascii="Perpetua" w:hAnsi="Perpetua"/>
        </w:rPr>
        <w:t xml:space="preserve">, que </w:t>
      </w:r>
      <w:r w:rsidR="0038553F">
        <w:rPr>
          <w:rFonts w:ascii="Perpetua" w:hAnsi="Perpetua"/>
        </w:rPr>
        <w:t>se assumiu estar</w:t>
      </w:r>
      <w:r w:rsidR="001B41BD">
        <w:rPr>
          <w:rFonts w:ascii="Perpetua" w:hAnsi="Perpetua"/>
        </w:rPr>
        <w:t xml:space="preserve"> fortemente associado </w:t>
      </w:r>
      <w:r w:rsidR="0038553F">
        <w:rPr>
          <w:rFonts w:ascii="Perpetua" w:hAnsi="Perpetua"/>
        </w:rPr>
        <w:t xml:space="preserve">à </w:t>
      </w:r>
      <w:r w:rsidR="001B41BD">
        <w:rPr>
          <w:rFonts w:ascii="Perpetua" w:hAnsi="Perpetua"/>
        </w:rPr>
        <w:t>disponibilidade de</w:t>
      </w:r>
      <w:r w:rsidR="004D3394">
        <w:rPr>
          <w:rFonts w:ascii="Perpetua" w:hAnsi="Perpetua"/>
        </w:rPr>
        <w:t xml:space="preserve"> uma rede de serviços e infra-estruturas de comunicação eficiente, contribui positivamente para a eficiência produtiva dos tribunais. </w:t>
      </w:r>
    </w:p>
    <w:p w:rsidR="00140215" w:rsidRDefault="00140215" w:rsidP="0012598B">
      <w:pPr>
        <w:spacing w:line="360" w:lineRule="auto"/>
        <w:jc w:val="both"/>
        <w:rPr>
          <w:rFonts w:ascii="Perpetua" w:hAnsi="Perpetua"/>
          <w:b/>
        </w:rPr>
      </w:pPr>
    </w:p>
    <w:p w:rsidR="008B0EDF" w:rsidRDefault="00BB22CA" w:rsidP="0012598B">
      <w:pPr>
        <w:spacing w:line="360" w:lineRule="auto"/>
        <w:jc w:val="both"/>
        <w:rPr>
          <w:rFonts w:ascii="Perpetua" w:hAnsi="Perpetua"/>
        </w:rPr>
      </w:pPr>
      <w:r>
        <w:rPr>
          <w:rFonts w:ascii="Perpetua" w:hAnsi="Perpetua"/>
        </w:rPr>
        <w:t>Os resultados das estimações econométricas efectuadas permitiram ainda verificar que, no</w:t>
      </w:r>
      <w:r w:rsidR="004E5E2C">
        <w:rPr>
          <w:rFonts w:ascii="Perpetua" w:hAnsi="Perpetua"/>
        </w:rPr>
        <w:t xml:space="preserve"> quadro dos dados </w:t>
      </w:r>
      <w:r>
        <w:rPr>
          <w:rFonts w:ascii="Perpetua" w:hAnsi="Perpetua"/>
        </w:rPr>
        <w:t>estatístico</w:t>
      </w:r>
      <w:r w:rsidR="004E5E2C">
        <w:rPr>
          <w:rFonts w:ascii="Perpetua" w:hAnsi="Perpetua"/>
        </w:rPr>
        <w:t>s existentes sobre o sistema judicial (</w:t>
      </w:r>
      <w:r w:rsidR="004E5E2C" w:rsidRPr="004E5E2C">
        <w:rPr>
          <w:rFonts w:ascii="Perpetua" w:hAnsi="Perpetua"/>
          <w:i/>
        </w:rPr>
        <w:t>i.e.</w:t>
      </w:r>
      <w:r w:rsidR="00941AEA">
        <w:rPr>
          <w:rFonts w:ascii="Perpetua" w:hAnsi="Perpetua"/>
        </w:rPr>
        <w:t xml:space="preserve">, </w:t>
      </w:r>
      <w:r w:rsidR="004E5E2C">
        <w:rPr>
          <w:rFonts w:ascii="Perpetua" w:hAnsi="Perpetua"/>
        </w:rPr>
        <w:t>nas Estatísticas da Justiça),</w:t>
      </w:r>
      <w:r>
        <w:rPr>
          <w:rFonts w:ascii="Perpetua" w:hAnsi="Perpetua"/>
        </w:rPr>
        <w:t xml:space="preserve"> a área processual é o </w:t>
      </w:r>
      <w:r w:rsidR="004E5E2C">
        <w:rPr>
          <w:rFonts w:ascii="Perpetua" w:hAnsi="Perpetua"/>
        </w:rPr>
        <w:t xml:space="preserve">principal </w:t>
      </w:r>
      <w:r>
        <w:rPr>
          <w:rFonts w:ascii="Perpetua" w:hAnsi="Perpetua"/>
        </w:rPr>
        <w:t>c</w:t>
      </w:r>
      <w:r w:rsidR="004E5E2C">
        <w:rPr>
          <w:rFonts w:ascii="Perpetua" w:hAnsi="Perpetua"/>
        </w:rPr>
        <w:t>r</w:t>
      </w:r>
      <w:r>
        <w:rPr>
          <w:rFonts w:ascii="Perpetua" w:hAnsi="Perpetua"/>
        </w:rPr>
        <w:t>i</w:t>
      </w:r>
      <w:r w:rsidR="004E5E2C">
        <w:rPr>
          <w:rFonts w:ascii="Perpetua" w:hAnsi="Perpetua"/>
        </w:rPr>
        <w:t>tério de</w:t>
      </w:r>
      <w:r>
        <w:rPr>
          <w:rFonts w:ascii="Perpetua" w:hAnsi="Perpetua"/>
        </w:rPr>
        <w:t xml:space="preserve"> </w:t>
      </w:r>
      <w:r w:rsidR="004E5E2C">
        <w:rPr>
          <w:rFonts w:ascii="Perpetua" w:hAnsi="Perpetua"/>
        </w:rPr>
        <w:t>diferenciação da intensidade relativa de trabalho dos processos judiciais findos. A análise do efeito das categorias desse critério na p</w:t>
      </w:r>
      <w:r w:rsidR="001B41BD">
        <w:rPr>
          <w:rFonts w:ascii="Perpetua" w:hAnsi="Perpetua"/>
        </w:rPr>
        <w:t>rodutividade judicial demonstrou</w:t>
      </w:r>
      <w:r w:rsidR="004E5E2C">
        <w:rPr>
          <w:rFonts w:ascii="Perpetua" w:hAnsi="Perpetua"/>
        </w:rPr>
        <w:t xml:space="preserve"> que os processos cíveis são relativamente menos intensivos em trabalho judicial que os processos penais e tutelares. </w:t>
      </w:r>
      <w:r w:rsidR="008B0EDF">
        <w:rPr>
          <w:rFonts w:ascii="Perpetua" w:hAnsi="Perpetua"/>
        </w:rPr>
        <w:t>Por último, não foi possível testar um conjunto de previsões teóricas em razão das limitações informativas encontradas e que</w:t>
      </w:r>
      <w:r w:rsidR="001B41BD">
        <w:rPr>
          <w:rFonts w:ascii="Perpetua" w:hAnsi="Perpetua"/>
        </w:rPr>
        <w:t>, de certo modo,</w:t>
      </w:r>
      <w:r w:rsidR="008B0EDF">
        <w:rPr>
          <w:rFonts w:ascii="Perpetua" w:hAnsi="Perpetua"/>
        </w:rPr>
        <w:t xml:space="preserve"> eram inesperadas. </w:t>
      </w:r>
      <w:r w:rsidR="00447101">
        <w:rPr>
          <w:rFonts w:ascii="Perpetua" w:hAnsi="Perpetua"/>
        </w:rPr>
        <w:t>Foi o caso das hipóteses da presença de deseconomias de escala na provisão de serviços judiciais e da existência de economias de especialização</w:t>
      </w:r>
      <w:r w:rsidR="009B6519">
        <w:rPr>
          <w:rFonts w:ascii="Perpetua" w:hAnsi="Perpetua"/>
        </w:rPr>
        <w:t>, que poderiam ter sido testadas com maior precisão se os dados estatísticos referentes aos recursos humanos por tribunal não apresentassem as falhas informativas encontradas</w:t>
      </w:r>
      <w:r w:rsidR="0061509A">
        <w:rPr>
          <w:rStyle w:val="FootnoteReference"/>
          <w:rFonts w:ascii="Perpetua" w:hAnsi="Perpetua"/>
        </w:rPr>
        <w:footnoteReference w:id="128"/>
      </w:r>
      <w:r w:rsidR="009B6519">
        <w:rPr>
          <w:rFonts w:ascii="Perpetua" w:hAnsi="Perpetua"/>
        </w:rPr>
        <w:t xml:space="preserve">. </w:t>
      </w:r>
    </w:p>
    <w:p w:rsidR="008B0EDF" w:rsidRDefault="008B0EDF" w:rsidP="0012598B">
      <w:pPr>
        <w:spacing w:line="360" w:lineRule="auto"/>
        <w:jc w:val="both"/>
        <w:rPr>
          <w:rFonts w:ascii="Perpetua" w:hAnsi="Perpetua"/>
        </w:rPr>
      </w:pPr>
    </w:p>
    <w:p w:rsidR="00F72F49" w:rsidRPr="00023D2C" w:rsidRDefault="00A74873" w:rsidP="00A74873">
      <w:pPr>
        <w:pStyle w:val="Heading2"/>
      </w:pPr>
      <w:bookmarkStart w:id="143" w:name="_Toc220484489"/>
      <w:r>
        <w:t xml:space="preserve">6.3. </w:t>
      </w:r>
      <w:r w:rsidR="00F26E0A" w:rsidRPr="00023D2C">
        <w:t>Recomendações de política pública</w:t>
      </w:r>
      <w:bookmarkEnd w:id="143"/>
    </w:p>
    <w:p w:rsidR="00F72F49" w:rsidRDefault="00F72F49" w:rsidP="0012598B">
      <w:pPr>
        <w:spacing w:line="360" w:lineRule="auto"/>
        <w:jc w:val="both"/>
        <w:rPr>
          <w:rFonts w:ascii="Perpetua" w:hAnsi="Perpetua"/>
        </w:rPr>
      </w:pPr>
    </w:p>
    <w:p w:rsidR="0036554A" w:rsidRDefault="008B0EDF" w:rsidP="00AF2B27">
      <w:pPr>
        <w:spacing w:line="360" w:lineRule="auto"/>
        <w:jc w:val="both"/>
        <w:rPr>
          <w:rFonts w:ascii="Perpetua" w:hAnsi="Perpetua"/>
        </w:rPr>
      </w:pPr>
      <w:r>
        <w:rPr>
          <w:rFonts w:ascii="Perpetua" w:hAnsi="Perpetua"/>
        </w:rPr>
        <w:t>A principal conclusão</w:t>
      </w:r>
      <w:r w:rsidR="00637907">
        <w:rPr>
          <w:rFonts w:ascii="Perpetua" w:hAnsi="Perpetua"/>
        </w:rPr>
        <w:t xml:space="preserve"> provisória</w:t>
      </w:r>
      <w:r>
        <w:rPr>
          <w:rFonts w:ascii="Perpetua" w:hAnsi="Perpetua"/>
        </w:rPr>
        <w:t xml:space="preserve"> deste trabalho</w:t>
      </w:r>
      <w:r w:rsidR="009A21B7">
        <w:rPr>
          <w:rFonts w:ascii="Perpetua" w:hAnsi="Perpetua"/>
        </w:rPr>
        <w:t xml:space="preserve">, </w:t>
      </w:r>
      <w:r w:rsidR="009A21B7" w:rsidRPr="009A21B7">
        <w:rPr>
          <w:rFonts w:ascii="Perpetua" w:hAnsi="Perpetua"/>
          <w:i/>
        </w:rPr>
        <w:t>i.e.</w:t>
      </w:r>
      <w:r w:rsidR="00941AEA">
        <w:rPr>
          <w:rFonts w:ascii="Perpetua" w:hAnsi="Perpetua"/>
        </w:rPr>
        <w:t xml:space="preserve">, </w:t>
      </w:r>
      <w:r w:rsidR="00447101">
        <w:rPr>
          <w:rFonts w:ascii="Perpetua" w:hAnsi="Perpetua"/>
        </w:rPr>
        <w:t xml:space="preserve">a verificação da endogeneidade da produtividade judicial na produção de serviços judiciais no sistema judicial português, tem implicações </w:t>
      </w:r>
      <w:r w:rsidR="004E1CF2">
        <w:rPr>
          <w:rFonts w:ascii="Perpetua" w:hAnsi="Perpetua"/>
        </w:rPr>
        <w:t>importantes para</w:t>
      </w:r>
      <w:r w:rsidR="00447101">
        <w:rPr>
          <w:rFonts w:ascii="Perpetua" w:hAnsi="Perpetua"/>
        </w:rPr>
        <w:t xml:space="preserve"> </w:t>
      </w:r>
      <w:r w:rsidR="004E1CF2">
        <w:rPr>
          <w:rFonts w:ascii="Perpetua" w:hAnsi="Perpetua"/>
        </w:rPr>
        <w:t xml:space="preserve">a </w:t>
      </w:r>
      <w:r w:rsidR="00447101">
        <w:rPr>
          <w:rFonts w:ascii="Perpetua" w:hAnsi="Perpetua"/>
        </w:rPr>
        <w:t>avaliação e definição das políticas públicas do sistema judicial. A proposta da revisão do mapa judiciário</w:t>
      </w:r>
      <w:r w:rsidR="00447101">
        <w:rPr>
          <w:rStyle w:val="FootnoteReference"/>
          <w:rFonts w:ascii="Perpetua" w:hAnsi="Perpetua"/>
        </w:rPr>
        <w:footnoteReference w:id="129"/>
      </w:r>
      <w:r w:rsidR="00447101">
        <w:rPr>
          <w:rFonts w:ascii="Perpetua" w:hAnsi="Perpetua"/>
        </w:rPr>
        <w:t xml:space="preserve"> adoptada recentemente </w:t>
      </w:r>
      <w:r w:rsidR="008529DD">
        <w:rPr>
          <w:rFonts w:ascii="Perpetua" w:hAnsi="Perpetua"/>
        </w:rPr>
        <w:t>de forma experimental</w:t>
      </w:r>
      <w:r w:rsidR="00233FE7">
        <w:rPr>
          <w:rFonts w:ascii="Perpetua" w:hAnsi="Perpetua"/>
        </w:rPr>
        <w:t xml:space="preserve"> </w:t>
      </w:r>
      <w:r w:rsidR="00447101">
        <w:rPr>
          <w:rFonts w:ascii="Perpetua" w:hAnsi="Perpetua"/>
        </w:rPr>
        <w:t xml:space="preserve">pelo </w:t>
      </w:r>
      <w:r w:rsidR="00797EEB">
        <w:rPr>
          <w:rFonts w:ascii="Perpetua" w:hAnsi="Perpetua"/>
        </w:rPr>
        <w:t xml:space="preserve">XVII </w:t>
      </w:r>
      <w:r w:rsidR="00447101">
        <w:rPr>
          <w:rFonts w:ascii="Perpetua" w:hAnsi="Perpetua"/>
        </w:rPr>
        <w:t xml:space="preserve">Governo </w:t>
      </w:r>
      <w:r w:rsidR="00797EEB">
        <w:rPr>
          <w:rFonts w:ascii="Perpetua" w:hAnsi="Perpetua"/>
        </w:rPr>
        <w:t>Constitucional</w:t>
      </w:r>
      <w:r w:rsidR="00233FE7">
        <w:rPr>
          <w:rFonts w:ascii="Perpetua" w:hAnsi="Perpetua"/>
        </w:rPr>
        <w:t>,</w:t>
      </w:r>
      <w:r w:rsidR="00447101">
        <w:rPr>
          <w:rFonts w:ascii="Perpetua" w:hAnsi="Perpetua"/>
        </w:rPr>
        <w:t xml:space="preserve"> </w:t>
      </w:r>
      <w:r w:rsidR="008529DD">
        <w:rPr>
          <w:rFonts w:ascii="Perpetua" w:hAnsi="Perpetua"/>
        </w:rPr>
        <w:t xml:space="preserve">embora prosseguindo objectivos distintos, </w:t>
      </w:r>
      <w:r w:rsidR="00447101">
        <w:rPr>
          <w:rFonts w:ascii="Perpetua" w:hAnsi="Perpetua"/>
        </w:rPr>
        <w:t>dá corpo</w:t>
      </w:r>
      <w:r w:rsidR="008529DD">
        <w:rPr>
          <w:rFonts w:ascii="Perpetua" w:hAnsi="Perpetua"/>
        </w:rPr>
        <w:t xml:space="preserve"> </w:t>
      </w:r>
      <w:r w:rsidR="00EB54A3">
        <w:rPr>
          <w:rFonts w:ascii="Perpetua" w:hAnsi="Perpetua"/>
        </w:rPr>
        <w:t xml:space="preserve">a uma </w:t>
      </w:r>
      <w:r w:rsidR="00447101">
        <w:rPr>
          <w:rFonts w:ascii="Perpetua" w:hAnsi="Perpetua"/>
        </w:rPr>
        <w:t>recomendação deriv</w:t>
      </w:r>
      <w:r w:rsidR="009B6519">
        <w:rPr>
          <w:rFonts w:ascii="Perpetua" w:hAnsi="Perpetua"/>
        </w:rPr>
        <w:t>ável do resultado verificado</w:t>
      </w:r>
      <w:r w:rsidR="00797EEB">
        <w:rPr>
          <w:rFonts w:ascii="Perpetua" w:hAnsi="Perpetua"/>
        </w:rPr>
        <w:t>, a saber</w:t>
      </w:r>
      <w:r w:rsidR="009B6519">
        <w:rPr>
          <w:rFonts w:ascii="Perpetua" w:hAnsi="Perpetua"/>
        </w:rPr>
        <w:t xml:space="preserve">: </w:t>
      </w:r>
      <w:r w:rsidR="00447101">
        <w:rPr>
          <w:rFonts w:ascii="Perpetua" w:hAnsi="Perpetua"/>
        </w:rPr>
        <w:t xml:space="preserve">que, num contexto onde há tribunais com </w:t>
      </w:r>
      <w:r w:rsidR="00447101" w:rsidRPr="00447101">
        <w:rPr>
          <w:rFonts w:ascii="Perpetua" w:hAnsi="Perpetua"/>
          <w:i/>
        </w:rPr>
        <w:t xml:space="preserve">falta </w:t>
      </w:r>
      <w:r w:rsidR="00447101" w:rsidRPr="00447101">
        <w:rPr>
          <w:rFonts w:ascii="Perpetua" w:hAnsi="Perpetua"/>
        </w:rPr>
        <w:t>de procura</w:t>
      </w:r>
      <w:r w:rsidR="00447101">
        <w:rPr>
          <w:rFonts w:ascii="Perpetua" w:hAnsi="Perpetua"/>
        </w:rPr>
        <w:t xml:space="preserve">, a agregação das comarcas </w:t>
      </w:r>
      <w:r w:rsidR="00233FE7">
        <w:rPr>
          <w:rFonts w:ascii="Perpetua" w:hAnsi="Perpetua"/>
        </w:rPr>
        <w:t xml:space="preserve">com um baixo nível de procura </w:t>
      </w:r>
      <w:r w:rsidR="00447101">
        <w:rPr>
          <w:rFonts w:ascii="Perpetua" w:hAnsi="Perpetua"/>
        </w:rPr>
        <w:t xml:space="preserve">permite aumentar a eficiência produtiva dos tribunais. Porém, </w:t>
      </w:r>
      <w:r w:rsidR="00233FE7">
        <w:rPr>
          <w:rFonts w:ascii="Perpetua" w:hAnsi="Perpetua"/>
        </w:rPr>
        <w:t xml:space="preserve">a verificação da endogeneidade da produtividade judicial </w:t>
      </w:r>
      <w:r w:rsidR="00F302E3">
        <w:rPr>
          <w:rFonts w:ascii="Perpetua" w:hAnsi="Perpetua"/>
        </w:rPr>
        <w:t>e</w:t>
      </w:r>
      <w:r w:rsidR="00233FE7">
        <w:rPr>
          <w:rFonts w:ascii="Perpetua" w:hAnsi="Perpetua"/>
        </w:rPr>
        <w:t xml:space="preserve">m subconjuntos de tribunais admissivelmente </w:t>
      </w:r>
      <w:r w:rsidR="00233FE7" w:rsidRPr="00233FE7">
        <w:rPr>
          <w:rFonts w:ascii="Perpetua" w:hAnsi="Perpetua"/>
          <w:i/>
        </w:rPr>
        <w:t>sob pressão</w:t>
      </w:r>
      <w:r w:rsidR="00233FE7">
        <w:rPr>
          <w:rFonts w:ascii="Perpetua" w:hAnsi="Perpetua"/>
        </w:rPr>
        <w:t xml:space="preserve"> – para utilizar o termo empregue em Antunes </w:t>
      </w:r>
      <w:r w:rsidR="00233FE7" w:rsidRPr="00233FE7">
        <w:rPr>
          <w:rFonts w:ascii="Perpetua" w:hAnsi="Perpetua"/>
          <w:i/>
        </w:rPr>
        <w:t>et al</w:t>
      </w:r>
      <w:r w:rsidR="00233FE7">
        <w:rPr>
          <w:rFonts w:ascii="Perpetua" w:hAnsi="Perpetua"/>
        </w:rPr>
        <w:t>. (200</w:t>
      </w:r>
      <w:r w:rsidR="00666595">
        <w:rPr>
          <w:rFonts w:ascii="Perpetua" w:hAnsi="Perpetua"/>
        </w:rPr>
        <w:t>7</w:t>
      </w:r>
      <w:r w:rsidR="00797EEB">
        <w:rPr>
          <w:rFonts w:ascii="Perpetua" w:hAnsi="Perpetua"/>
        </w:rPr>
        <w:t>) –</w:t>
      </w:r>
      <w:r w:rsidR="00233FE7">
        <w:rPr>
          <w:rFonts w:ascii="Perpetua" w:hAnsi="Perpetua"/>
        </w:rPr>
        <w:t xml:space="preserve"> indica que a </w:t>
      </w:r>
      <w:r w:rsidR="007A4344">
        <w:rPr>
          <w:rFonts w:ascii="Perpetua" w:hAnsi="Perpetua"/>
        </w:rPr>
        <w:t>maior parte dos tribunais não opera na sua produtividade judicial máxima</w:t>
      </w:r>
      <w:r w:rsidR="00EB54A3">
        <w:rPr>
          <w:rFonts w:ascii="Perpetua" w:hAnsi="Perpetua"/>
        </w:rPr>
        <w:t>,</w:t>
      </w:r>
      <w:r w:rsidR="007A4344">
        <w:rPr>
          <w:rFonts w:ascii="Perpetua" w:hAnsi="Perpetua"/>
        </w:rPr>
        <w:t xml:space="preserve"> em razão de um nível de carga judicial média subóptimo. O nível máximo da produtividade judicial não pode</w:t>
      </w:r>
      <w:r w:rsidR="00EB54A3">
        <w:rPr>
          <w:rFonts w:ascii="Perpetua" w:hAnsi="Perpetua"/>
        </w:rPr>
        <w:t xml:space="preserve"> </w:t>
      </w:r>
      <w:r w:rsidR="007A4344">
        <w:rPr>
          <w:rFonts w:ascii="Perpetua" w:hAnsi="Perpetua"/>
        </w:rPr>
        <w:t xml:space="preserve">ser determinado </w:t>
      </w:r>
      <w:r w:rsidR="00FB4828">
        <w:rPr>
          <w:rFonts w:ascii="Perpetua" w:hAnsi="Perpetua"/>
        </w:rPr>
        <w:t xml:space="preserve">com precisão, pois </w:t>
      </w:r>
      <w:r w:rsidR="00F302E3">
        <w:rPr>
          <w:rFonts w:ascii="Perpetua" w:hAnsi="Perpetua"/>
        </w:rPr>
        <w:t xml:space="preserve">apesar da elevada qualidade do ajustamento, o </w:t>
      </w:r>
      <w:r w:rsidR="00FB4828">
        <w:rPr>
          <w:rFonts w:ascii="Perpetua" w:hAnsi="Perpetua"/>
        </w:rPr>
        <w:t>modelo</w:t>
      </w:r>
      <w:r w:rsidR="00F302E3">
        <w:rPr>
          <w:rFonts w:ascii="Perpetua" w:hAnsi="Perpetua"/>
        </w:rPr>
        <w:t xml:space="preserve"> econométrico </w:t>
      </w:r>
      <w:r w:rsidR="00FB4828">
        <w:rPr>
          <w:rFonts w:ascii="Perpetua" w:hAnsi="Perpetua"/>
        </w:rPr>
        <w:t xml:space="preserve">tem várias falhas informativas. </w:t>
      </w:r>
      <w:r w:rsidR="0036554A">
        <w:rPr>
          <w:rFonts w:ascii="Perpetua" w:hAnsi="Perpetua"/>
        </w:rPr>
        <w:t xml:space="preserve">No entanto, o estabelecimento de metas, sob a forma de bandas de quantidade de processos judiciais, </w:t>
      </w:r>
      <w:r w:rsidR="009B6519">
        <w:rPr>
          <w:rFonts w:ascii="Perpetua" w:hAnsi="Perpetua"/>
        </w:rPr>
        <w:t xml:space="preserve">para os tribunais do sistema judicial português </w:t>
      </w:r>
      <w:r w:rsidR="0036554A">
        <w:rPr>
          <w:rFonts w:ascii="Perpetua" w:hAnsi="Perpetua"/>
        </w:rPr>
        <w:t>pode aumentar a eficiência produtiva do sistem</w:t>
      </w:r>
      <w:r w:rsidR="0061509A">
        <w:rPr>
          <w:rFonts w:ascii="Perpetua" w:hAnsi="Perpetua"/>
        </w:rPr>
        <w:t xml:space="preserve">a judicial. Mesmo no contexto das </w:t>
      </w:r>
      <w:r w:rsidR="0036554A">
        <w:rPr>
          <w:rFonts w:ascii="Perpetua" w:hAnsi="Perpetua"/>
        </w:rPr>
        <w:t xml:space="preserve">elevadas restrições informativas, a utilização dos métodos de fronteira para o estabelecimento de metas quantitativas para os tribunais tem um elevado potencial. </w:t>
      </w:r>
    </w:p>
    <w:p w:rsidR="0036554A" w:rsidRDefault="0036554A" w:rsidP="00AF2B27">
      <w:pPr>
        <w:spacing w:line="360" w:lineRule="auto"/>
        <w:jc w:val="both"/>
        <w:rPr>
          <w:rFonts w:ascii="Perpetua" w:hAnsi="Perpetua"/>
        </w:rPr>
      </w:pPr>
    </w:p>
    <w:p w:rsidR="00AF2B27" w:rsidRPr="004E1CF2" w:rsidRDefault="0036554A" w:rsidP="00BA5227">
      <w:pPr>
        <w:spacing w:line="360" w:lineRule="auto"/>
        <w:jc w:val="both"/>
        <w:rPr>
          <w:rFonts w:ascii="Perpetua" w:hAnsi="Perpetua"/>
        </w:rPr>
      </w:pPr>
      <w:r>
        <w:rPr>
          <w:rFonts w:ascii="Perpetua" w:hAnsi="Perpetua"/>
        </w:rPr>
        <w:t>A</w:t>
      </w:r>
      <w:r w:rsidR="00EB54A3">
        <w:rPr>
          <w:rFonts w:ascii="Perpetua" w:hAnsi="Perpetua"/>
        </w:rPr>
        <w:t xml:space="preserve"> </w:t>
      </w:r>
      <w:r w:rsidR="009B6519">
        <w:rPr>
          <w:rFonts w:ascii="Perpetua" w:hAnsi="Perpetua"/>
        </w:rPr>
        <w:t xml:space="preserve">verificação da </w:t>
      </w:r>
      <w:r w:rsidR="00EB54A3">
        <w:rPr>
          <w:rFonts w:ascii="Perpetua" w:hAnsi="Perpetua"/>
        </w:rPr>
        <w:t xml:space="preserve">endogeneidade da produtividade judicial </w:t>
      </w:r>
      <w:r w:rsidR="00FB4828">
        <w:rPr>
          <w:rFonts w:ascii="Perpetua" w:hAnsi="Perpetua"/>
        </w:rPr>
        <w:t>denuncia</w:t>
      </w:r>
      <w:r w:rsidR="009B6519">
        <w:rPr>
          <w:rFonts w:ascii="Perpetua" w:hAnsi="Perpetua"/>
        </w:rPr>
        <w:t>,</w:t>
      </w:r>
      <w:r w:rsidR="00FB4828">
        <w:rPr>
          <w:rFonts w:ascii="Perpetua" w:hAnsi="Perpetua"/>
        </w:rPr>
        <w:t xml:space="preserve"> </w:t>
      </w:r>
      <w:r w:rsidR="009B6519">
        <w:rPr>
          <w:rFonts w:ascii="Perpetua" w:hAnsi="Perpetua"/>
        </w:rPr>
        <w:t xml:space="preserve">também, </w:t>
      </w:r>
      <w:r w:rsidR="008529DD">
        <w:rPr>
          <w:rFonts w:ascii="Perpetua" w:hAnsi="Perpetua"/>
        </w:rPr>
        <w:t>as debilidades do actual quadro de incentivos d</w:t>
      </w:r>
      <w:r w:rsidR="00FB4828">
        <w:rPr>
          <w:rFonts w:ascii="Perpetua" w:hAnsi="Perpetua"/>
        </w:rPr>
        <w:t xml:space="preserve">a provisão de serviços </w:t>
      </w:r>
      <w:r w:rsidR="00E71552">
        <w:rPr>
          <w:rFonts w:ascii="Perpetua" w:hAnsi="Perpetua"/>
        </w:rPr>
        <w:t xml:space="preserve">públicos </w:t>
      </w:r>
      <w:r w:rsidR="00FB4828">
        <w:rPr>
          <w:rFonts w:ascii="Perpetua" w:hAnsi="Perpetua"/>
        </w:rPr>
        <w:t>de resolução judicial de litígios</w:t>
      </w:r>
      <w:r w:rsidR="0041760E">
        <w:rPr>
          <w:rStyle w:val="FootnoteReference"/>
          <w:rFonts w:ascii="Perpetua" w:hAnsi="Perpetua"/>
        </w:rPr>
        <w:footnoteReference w:id="130"/>
      </w:r>
      <w:r w:rsidR="00FB4828">
        <w:rPr>
          <w:rFonts w:ascii="Perpetua" w:hAnsi="Perpetua"/>
        </w:rPr>
        <w:t>. Para além dos problemas com os incentivos remuneratórios dos trabalhadores judiciais mencionados na secção 4.2.</w:t>
      </w:r>
      <w:r w:rsidR="00F302E3">
        <w:rPr>
          <w:rFonts w:ascii="Perpetua" w:hAnsi="Perpetua"/>
        </w:rPr>
        <w:t xml:space="preserve">, designadamente a </w:t>
      </w:r>
      <w:r w:rsidR="00AF2B27">
        <w:rPr>
          <w:rFonts w:ascii="Perpetua" w:hAnsi="Perpetua"/>
        </w:rPr>
        <w:t xml:space="preserve">rápida </w:t>
      </w:r>
      <w:r w:rsidR="008529DD">
        <w:rPr>
          <w:rFonts w:ascii="Perpetua" w:hAnsi="Perpetua"/>
        </w:rPr>
        <w:t>estagnação do perfil</w:t>
      </w:r>
      <w:r w:rsidR="00F302E3">
        <w:rPr>
          <w:rFonts w:ascii="Perpetua" w:hAnsi="Perpetua"/>
        </w:rPr>
        <w:t xml:space="preserve"> </w:t>
      </w:r>
      <w:r w:rsidR="008529DD">
        <w:rPr>
          <w:rFonts w:ascii="Perpetua" w:hAnsi="Perpetua"/>
        </w:rPr>
        <w:t xml:space="preserve">da </w:t>
      </w:r>
      <w:r w:rsidR="00F302E3">
        <w:rPr>
          <w:rFonts w:ascii="Perpetua" w:hAnsi="Perpetua"/>
        </w:rPr>
        <w:t xml:space="preserve">curva de salários </w:t>
      </w:r>
      <w:r w:rsidR="00AF2B27">
        <w:rPr>
          <w:rFonts w:ascii="Perpetua" w:hAnsi="Perpetua"/>
        </w:rPr>
        <w:t xml:space="preserve">dos magistrados </w:t>
      </w:r>
      <w:r w:rsidR="00F302E3">
        <w:rPr>
          <w:rFonts w:ascii="Perpetua" w:hAnsi="Perpetua"/>
        </w:rPr>
        <w:t xml:space="preserve">e a falta de prémios </w:t>
      </w:r>
      <w:r w:rsidR="00FB4828">
        <w:rPr>
          <w:rFonts w:ascii="Perpetua" w:hAnsi="Perpetua"/>
        </w:rPr>
        <w:t>base</w:t>
      </w:r>
      <w:r w:rsidR="00F302E3">
        <w:rPr>
          <w:rFonts w:ascii="Perpetua" w:hAnsi="Perpetua"/>
        </w:rPr>
        <w:t>ados no desem</w:t>
      </w:r>
      <w:r w:rsidR="00FB4828">
        <w:rPr>
          <w:rFonts w:ascii="Perpetua" w:hAnsi="Perpetua"/>
        </w:rPr>
        <w:t>penho</w:t>
      </w:r>
      <w:r w:rsidR="00AF2B27">
        <w:rPr>
          <w:rFonts w:ascii="Perpetua" w:hAnsi="Perpetua"/>
        </w:rPr>
        <w:t xml:space="preserve">, </w:t>
      </w:r>
      <w:r w:rsidR="00F302E3">
        <w:rPr>
          <w:rFonts w:ascii="Perpetua" w:hAnsi="Perpetua"/>
        </w:rPr>
        <w:t>o</w:t>
      </w:r>
      <w:r w:rsidR="00AF2B27">
        <w:rPr>
          <w:rFonts w:ascii="Perpetua" w:hAnsi="Perpetua"/>
        </w:rPr>
        <w:t xml:space="preserve"> actual </w:t>
      </w:r>
      <w:r w:rsidR="00F302E3">
        <w:rPr>
          <w:rFonts w:ascii="Perpetua" w:hAnsi="Perpetua"/>
        </w:rPr>
        <w:t>foco de avaliação dos tribunais</w:t>
      </w:r>
      <w:r w:rsidR="00AF2B27">
        <w:rPr>
          <w:rFonts w:ascii="Perpetua" w:hAnsi="Perpetua"/>
        </w:rPr>
        <w:t xml:space="preserve"> (</w:t>
      </w:r>
      <w:r w:rsidR="00F302E3">
        <w:rPr>
          <w:rFonts w:ascii="Perpetua" w:hAnsi="Perpetua"/>
        </w:rPr>
        <w:t>as pendências processuais</w:t>
      </w:r>
      <w:r w:rsidR="00AF2B27">
        <w:rPr>
          <w:rFonts w:ascii="Perpetua" w:hAnsi="Perpetua"/>
        </w:rPr>
        <w:t xml:space="preserve">) não é adequado para promover a eficiência produtiva dos tribunais. </w:t>
      </w:r>
      <w:r w:rsidR="008529DD">
        <w:rPr>
          <w:rFonts w:ascii="Perpetua" w:hAnsi="Perpetua"/>
        </w:rPr>
        <w:t xml:space="preserve">A </w:t>
      </w:r>
      <w:r w:rsidR="00AF2B27">
        <w:rPr>
          <w:rFonts w:ascii="Perpetua" w:hAnsi="Perpetua"/>
        </w:rPr>
        <w:t xml:space="preserve">verificação da endogeneidade da produtividade judicial recomenda que o actual enquadramento institucional (que inclui as </w:t>
      </w:r>
      <w:r w:rsidR="00AF2B27" w:rsidRPr="00AF2B27">
        <w:rPr>
          <w:rFonts w:ascii="Perpetua" w:hAnsi="Perpetua"/>
          <w:i/>
        </w:rPr>
        <w:t>instituições</w:t>
      </w:r>
      <w:r w:rsidR="00AF2B27">
        <w:rPr>
          <w:rFonts w:ascii="Perpetua" w:hAnsi="Perpetua"/>
        </w:rPr>
        <w:t xml:space="preserve"> avaliativas dos tribunais) seja sujeito a um exercício de avaliação</w:t>
      </w:r>
      <w:r w:rsidR="004E1CF2">
        <w:rPr>
          <w:rFonts w:ascii="Perpetua" w:hAnsi="Perpetua"/>
        </w:rPr>
        <w:t xml:space="preserve"> (</w:t>
      </w:r>
      <w:r w:rsidR="004E1CF2" w:rsidRPr="004E1CF2">
        <w:rPr>
          <w:rFonts w:ascii="Perpetua" w:hAnsi="Perpetua"/>
          <w:i/>
        </w:rPr>
        <w:t>i.e.</w:t>
      </w:r>
      <w:r w:rsidR="00941AEA">
        <w:rPr>
          <w:rFonts w:ascii="Perpetua" w:hAnsi="Perpetua"/>
        </w:rPr>
        <w:t xml:space="preserve">, </w:t>
      </w:r>
      <w:r w:rsidR="004E1CF2">
        <w:rPr>
          <w:rFonts w:ascii="Perpetua" w:hAnsi="Perpetua"/>
        </w:rPr>
        <w:t>que o desempenho das actuais instituições seja avaliado face aos objectivos que</w:t>
      </w:r>
      <w:r w:rsidR="00637907">
        <w:rPr>
          <w:rFonts w:ascii="Perpetua" w:hAnsi="Perpetua"/>
        </w:rPr>
        <w:t xml:space="preserve"> estas</w:t>
      </w:r>
      <w:r w:rsidR="004E1CF2">
        <w:rPr>
          <w:rFonts w:ascii="Perpetua" w:hAnsi="Perpetua"/>
        </w:rPr>
        <w:t xml:space="preserve"> pretende</w:t>
      </w:r>
      <w:r w:rsidR="00637907">
        <w:rPr>
          <w:rFonts w:ascii="Perpetua" w:hAnsi="Perpetua"/>
        </w:rPr>
        <w:t>m</w:t>
      </w:r>
      <w:r w:rsidR="004E1CF2">
        <w:rPr>
          <w:rFonts w:ascii="Perpetua" w:hAnsi="Perpetua"/>
        </w:rPr>
        <w:t xml:space="preserve"> atingir)</w:t>
      </w:r>
      <w:r w:rsidR="00AF2B27">
        <w:rPr>
          <w:rFonts w:ascii="Perpetua" w:hAnsi="Perpetua"/>
        </w:rPr>
        <w:t>. A escolha de soluções institucionais concreta</w:t>
      </w:r>
      <w:r w:rsidR="00AF2B27" w:rsidRPr="00666595">
        <w:rPr>
          <w:rFonts w:ascii="Perpetua" w:hAnsi="Perpetua"/>
        </w:rPr>
        <w:t xml:space="preserve">s </w:t>
      </w:r>
      <w:r w:rsidR="005F1383">
        <w:rPr>
          <w:rFonts w:ascii="Perpetua" w:hAnsi="Perpetua"/>
        </w:rPr>
        <w:t xml:space="preserve">para o sistema judicial português </w:t>
      </w:r>
      <w:r w:rsidR="00AF2B27">
        <w:rPr>
          <w:rFonts w:ascii="Perpetua" w:hAnsi="Perpetua"/>
        </w:rPr>
        <w:t>depende</w:t>
      </w:r>
      <w:r w:rsidR="005F1383">
        <w:rPr>
          <w:rFonts w:ascii="Perpetua" w:hAnsi="Perpetua"/>
        </w:rPr>
        <w:t>,</w:t>
      </w:r>
      <w:r w:rsidR="00AF2B27">
        <w:rPr>
          <w:rFonts w:ascii="Perpetua" w:hAnsi="Perpetua"/>
        </w:rPr>
        <w:t xml:space="preserve"> </w:t>
      </w:r>
      <w:r w:rsidR="0034382C">
        <w:rPr>
          <w:rFonts w:ascii="Perpetua" w:hAnsi="Perpetua"/>
        </w:rPr>
        <w:t>obviamente</w:t>
      </w:r>
      <w:r w:rsidR="005F1383">
        <w:rPr>
          <w:rFonts w:ascii="Perpetua" w:hAnsi="Perpetua"/>
        </w:rPr>
        <w:t>,</w:t>
      </w:r>
      <w:r w:rsidR="0034382C">
        <w:rPr>
          <w:rFonts w:ascii="Perpetua" w:hAnsi="Perpetua"/>
        </w:rPr>
        <w:t xml:space="preserve"> </w:t>
      </w:r>
      <w:r w:rsidR="00AF2B27">
        <w:rPr>
          <w:rFonts w:ascii="Perpetua" w:hAnsi="Perpetua"/>
        </w:rPr>
        <w:t xml:space="preserve">dos objectivos prosseguidos </w:t>
      </w:r>
      <w:r w:rsidR="0034382C">
        <w:rPr>
          <w:rFonts w:ascii="Perpetua" w:hAnsi="Perpetua"/>
        </w:rPr>
        <w:t>pelo sistema judicia</w:t>
      </w:r>
      <w:r w:rsidR="004E1CF2">
        <w:rPr>
          <w:rFonts w:ascii="Perpetua" w:hAnsi="Perpetua"/>
        </w:rPr>
        <w:t>l</w:t>
      </w:r>
      <w:r w:rsidR="0034382C">
        <w:rPr>
          <w:rFonts w:ascii="Perpetua" w:hAnsi="Perpetua"/>
        </w:rPr>
        <w:t>. O</w:t>
      </w:r>
      <w:r w:rsidR="004E1CF2">
        <w:rPr>
          <w:rFonts w:ascii="Perpetua" w:hAnsi="Perpetua"/>
        </w:rPr>
        <w:t xml:space="preserve"> que se defende neste trabalho é que, </w:t>
      </w:r>
      <w:r w:rsidR="0034382C">
        <w:rPr>
          <w:rFonts w:ascii="Perpetua" w:hAnsi="Perpetua"/>
        </w:rPr>
        <w:t xml:space="preserve">se a eficiência é um </w:t>
      </w:r>
      <w:r w:rsidR="00797EEB">
        <w:rPr>
          <w:rFonts w:ascii="Perpetua" w:hAnsi="Perpetua"/>
        </w:rPr>
        <w:t xml:space="preserve">dos </w:t>
      </w:r>
      <w:r w:rsidR="0034382C">
        <w:rPr>
          <w:rFonts w:ascii="Perpetua" w:hAnsi="Perpetua"/>
        </w:rPr>
        <w:t>objectivo</w:t>
      </w:r>
      <w:r w:rsidR="00797EEB">
        <w:rPr>
          <w:rFonts w:ascii="Perpetua" w:hAnsi="Perpetua"/>
        </w:rPr>
        <w:t>s</w:t>
      </w:r>
      <w:r w:rsidR="0034382C">
        <w:rPr>
          <w:rFonts w:ascii="Perpetua" w:hAnsi="Perpetua"/>
        </w:rPr>
        <w:t xml:space="preserve"> que o sistema judicial </w:t>
      </w:r>
      <w:r w:rsidR="00797EEB">
        <w:rPr>
          <w:rFonts w:ascii="Perpetua" w:hAnsi="Perpetua"/>
        </w:rPr>
        <w:t>deve prosseguir</w:t>
      </w:r>
      <w:r w:rsidR="0034382C">
        <w:rPr>
          <w:rFonts w:ascii="Perpetua" w:hAnsi="Perpetua"/>
        </w:rPr>
        <w:t xml:space="preserve">, a </w:t>
      </w:r>
      <w:r w:rsidR="00AF2B27" w:rsidRPr="00666595">
        <w:rPr>
          <w:rFonts w:ascii="Perpetua" w:hAnsi="Perpetua"/>
        </w:rPr>
        <w:t xml:space="preserve">maior aproximação do </w:t>
      </w:r>
      <w:r w:rsidR="005F1383">
        <w:rPr>
          <w:rFonts w:ascii="Perpetua" w:hAnsi="Perpetua"/>
        </w:rPr>
        <w:t xml:space="preserve">actual </w:t>
      </w:r>
      <w:r w:rsidR="00AF2B27" w:rsidRPr="00666595">
        <w:rPr>
          <w:rFonts w:ascii="Perpetua" w:hAnsi="Perpetua"/>
        </w:rPr>
        <w:t>enquadramento instituciona</w:t>
      </w:r>
      <w:r w:rsidR="004E1CF2">
        <w:rPr>
          <w:rFonts w:ascii="Perpetua" w:hAnsi="Perpetua"/>
        </w:rPr>
        <w:t>l</w:t>
      </w:r>
      <w:r w:rsidR="00AF2B27" w:rsidRPr="00666595">
        <w:rPr>
          <w:rFonts w:ascii="Perpetua" w:hAnsi="Perpetua"/>
        </w:rPr>
        <w:t xml:space="preserve"> da provisão de serviços </w:t>
      </w:r>
      <w:r w:rsidR="005F1383">
        <w:rPr>
          <w:rFonts w:ascii="Perpetua" w:hAnsi="Perpetua"/>
        </w:rPr>
        <w:t xml:space="preserve">judiciais ao enquadramento da prestação de serviços </w:t>
      </w:r>
      <w:r w:rsidR="00AF2B27" w:rsidRPr="00666595">
        <w:rPr>
          <w:rFonts w:ascii="Perpetua" w:hAnsi="Perpetua"/>
        </w:rPr>
        <w:t>privados em mercados concorrenciais</w:t>
      </w:r>
      <w:r w:rsidR="0034382C">
        <w:rPr>
          <w:rFonts w:ascii="Perpetua" w:hAnsi="Perpetua"/>
        </w:rPr>
        <w:t xml:space="preserve"> deve ser ponderad</w:t>
      </w:r>
      <w:r w:rsidR="004E1CF2">
        <w:rPr>
          <w:rFonts w:ascii="Perpetua" w:hAnsi="Perpetua"/>
        </w:rPr>
        <w:t>a</w:t>
      </w:r>
      <w:r w:rsidR="0034382C">
        <w:rPr>
          <w:rFonts w:ascii="Perpetua" w:hAnsi="Perpetua"/>
        </w:rPr>
        <w:t>.</w:t>
      </w:r>
      <w:r w:rsidR="00AF2B27" w:rsidRPr="00666595">
        <w:rPr>
          <w:rFonts w:ascii="Perpetua" w:hAnsi="Perpetua"/>
        </w:rPr>
        <w:t xml:space="preserve"> </w:t>
      </w:r>
      <w:r w:rsidR="004E1CF2">
        <w:rPr>
          <w:rFonts w:ascii="Perpetua" w:hAnsi="Perpetua"/>
        </w:rPr>
        <w:t xml:space="preserve">A discussão </w:t>
      </w:r>
      <w:r w:rsidR="00522FBB">
        <w:rPr>
          <w:rFonts w:ascii="Perpetua" w:hAnsi="Perpetua"/>
        </w:rPr>
        <w:t xml:space="preserve">actual </w:t>
      </w:r>
      <w:r w:rsidR="004E1CF2">
        <w:rPr>
          <w:rFonts w:ascii="Perpetua" w:hAnsi="Perpetua"/>
        </w:rPr>
        <w:t>das políticas públicas do sistema judicial português parece ignorar por completo os resultados obtidos nas últimas décadas nas literaturas da Economia Institucional, da</w:t>
      </w:r>
      <w:r w:rsidR="005F1383">
        <w:rPr>
          <w:rFonts w:ascii="Perpetua" w:hAnsi="Perpetua"/>
        </w:rPr>
        <w:t xml:space="preserve"> </w:t>
      </w:r>
      <w:r w:rsidR="004E1CF2">
        <w:rPr>
          <w:rFonts w:ascii="Perpetua" w:hAnsi="Perpetua"/>
        </w:rPr>
        <w:t>Escolha P</w:t>
      </w:r>
      <w:r w:rsidR="00522FBB">
        <w:rPr>
          <w:rFonts w:ascii="Perpetua" w:hAnsi="Perpetua"/>
        </w:rPr>
        <w:t xml:space="preserve">ública e da Economia Industrial </w:t>
      </w:r>
      <w:r w:rsidR="004A7A47">
        <w:rPr>
          <w:rFonts w:ascii="Perpetua" w:hAnsi="Perpetua"/>
        </w:rPr>
        <w:t xml:space="preserve">e </w:t>
      </w:r>
      <w:r w:rsidR="00522FBB">
        <w:rPr>
          <w:rFonts w:ascii="Perpetua" w:hAnsi="Perpetua"/>
        </w:rPr>
        <w:t>que são extremamente pertinentes para pensar o enquadramento da provisão de</w:t>
      </w:r>
      <w:r w:rsidR="00954D44">
        <w:rPr>
          <w:rFonts w:ascii="Perpetua" w:hAnsi="Perpetua"/>
        </w:rPr>
        <w:t xml:space="preserve"> qualquer</w:t>
      </w:r>
      <w:r w:rsidR="00522FBB">
        <w:rPr>
          <w:rFonts w:ascii="Perpetua" w:hAnsi="Perpetua"/>
        </w:rPr>
        <w:t xml:space="preserve"> serviço</w:t>
      </w:r>
      <w:r w:rsidR="004A7A47" w:rsidRPr="004A7A47">
        <w:rPr>
          <w:rFonts w:ascii="Perpetua" w:hAnsi="Perpetua"/>
        </w:rPr>
        <w:t xml:space="preserve"> </w:t>
      </w:r>
      <w:r w:rsidR="004A7A47">
        <w:rPr>
          <w:rFonts w:ascii="Perpetua" w:hAnsi="Perpetua"/>
        </w:rPr>
        <w:t>público</w:t>
      </w:r>
      <w:r w:rsidR="00522FBB">
        <w:rPr>
          <w:rFonts w:ascii="Perpetua" w:hAnsi="Perpetua"/>
        </w:rPr>
        <w:t xml:space="preserve">. </w:t>
      </w:r>
      <w:r w:rsidR="004E1CF2">
        <w:rPr>
          <w:rFonts w:ascii="Perpetua" w:hAnsi="Perpetua"/>
        </w:rPr>
        <w:t xml:space="preserve"> </w:t>
      </w:r>
    </w:p>
    <w:p w:rsidR="00AF2B27" w:rsidRDefault="00AF2B27" w:rsidP="008B0EDF">
      <w:pPr>
        <w:spacing w:line="360" w:lineRule="auto"/>
        <w:jc w:val="both"/>
        <w:rPr>
          <w:rFonts w:ascii="Perpetua" w:hAnsi="Perpetua"/>
        </w:rPr>
      </w:pPr>
    </w:p>
    <w:p w:rsidR="00300CAC" w:rsidRDefault="009B6519" w:rsidP="008B0EDF">
      <w:pPr>
        <w:spacing w:line="360" w:lineRule="auto"/>
        <w:jc w:val="both"/>
        <w:rPr>
          <w:rFonts w:ascii="Perpetua" w:hAnsi="Perpetua"/>
        </w:rPr>
      </w:pPr>
      <w:r>
        <w:rPr>
          <w:rFonts w:ascii="Perpetua" w:hAnsi="Perpetua"/>
        </w:rPr>
        <w:t>Por último, a</w:t>
      </w:r>
      <w:r w:rsidR="00EB54A3">
        <w:rPr>
          <w:rFonts w:ascii="Perpetua" w:hAnsi="Perpetua"/>
        </w:rPr>
        <w:t xml:space="preserve"> verificação da endogeneidade da produtividade judicial </w:t>
      </w:r>
      <w:r w:rsidR="00F302E3">
        <w:rPr>
          <w:rFonts w:ascii="Perpetua" w:hAnsi="Perpetua"/>
        </w:rPr>
        <w:t xml:space="preserve">permite </w:t>
      </w:r>
      <w:r w:rsidR="00666595">
        <w:rPr>
          <w:rFonts w:ascii="Perpetua" w:hAnsi="Perpetua"/>
        </w:rPr>
        <w:t xml:space="preserve">avaliar criticamente </w:t>
      </w:r>
      <w:r w:rsidR="00F302E3">
        <w:rPr>
          <w:rFonts w:ascii="Perpetua" w:hAnsi="Perpetua"/>
        </w:rPr>
        <w:t>as políticas de descongestionamento</w:t>
      </w:r>
      <w:r w:rsidR="00797EEB">
        <w:rPr>
          <w:rFonts w:ascii="Perpetua" w:hAnsi="Perpetua"/>
        </w:rPr>
        <w:t xml:space="preserve"> dos tribunais prosseguidas por</w:t>
      </w:r>
      <w:r w:rsidR="00F302E3">
        <w:rPr>
          <w:rFonts w:ascii="Perpetua" w:hAnsi="Perpetua"/>
        </w:rPr>
        <w:t xml:space="preserve"> </w:t>
      </w:r>
      <w:r w:rsidR="00797EEB">
        <w:rPr>
          <w:rFonts w:ascii="Perpetua" w:hAnsi="Perpetua"/>
        </w:rPr>
        <w:t>vários g</w:t>
      </w:r>
      <w:r w:rsidR="00F302E3">
        <w:rPr>
          <w:rFonts w:ascii="Perpetua" w:hAnsi="Perpetua"/>
        </w:rPr>
        <w:t>overno</w:t>
      </w:r>
      <w:r w:rsidR="00797EEB">
        <w:rPr>
          <w:rFonts w:ascii="Perpetua" w:hAnsi="Perpetua"/>
        </w:rPr>
        <w:t>s portugue</w:t>
      </w:r>
      <w:r w:rsidR="00F302E3">
        <w:rPr>
          <w:rFonts w:ascii="Perpetua" w:hAnsi="Perpetua"/>
        </w:rPr>
        <w:t>s</w:t>
      </w:r>
      <w:r w:rsidR="00797EEB">
        <w:rPr>
          <w:rFonts w:ascii="Perpetua" w:hAnsi="Perpetua"/>
        </w:rPr>
        <w:t>es</w:t>
      </w:r>
      <w:r w:rsidR="006B11DD">
        <w:rPr>
          <w:rFonts w:ascii="Perpetua" w:hAnsi="Perpetua"/>
        </w:rPr>
        <w:t>, particularmente as medidas que visam uma redução da procura dos tribunais. Apesar das consequências dessas medidas</w:t>
      </w:r>
      <w:r w:rsidR="0061509A">
        <w:rPr>
          <w:rFonts w:ascii="Perpetua" w:hAnsi="Perpetua"/>
        </w:rPr>
        <w:t>,</w:t>
      </w:r>
      <w:r w:rsidR="006B11DD">
        <w:rPr>
          <w:rFonts w:ascii="Perpetua" w:hAnsi="Perpetua"/>
        </w:rPr>
        <w:t xml:space="preserve"> em termos de bem-estar social</w:t>
      </w:r>
      <w:r w:rsidR="0061509A">
        <w:rPr>
          <w:rFonts w:ascii="Perpetua" w:hAnsi="Perpetua"/>
        </w:rPr>
        <w:t>,</w:t>
      </w:r>
      <w:r w:rsidR="006B11DD">
        <w:rPr>
          <w:rFonts w:ascii="Perpetua" w:hAnsi="Perpetua"/>
        </w:rPr>
        <w:t xml:space="preserve"> só poderem ser aferidas através de exercícios de avaliação de impacto normativo, n</w:t>
      </w:r>
      <w:r w:rsidR="00666595">
        <w:rPr>
          <w:rFonts w:ascii="Perpetua" w:hAnsi="Perpetua"/>
        </w:rPr>
        <w:t xml:space="preserve">o actual quadro da produção de serviços judiciais, uma redução da procura judicial que não seja acompanhada por um aumento dos objectivos </w:t>
      </w:r>
      <w:r w:rsidR="008529DD">
        <w:rPr>
          <w:rFonts w:ascii="Perpetua" w:hAnsi="Perpetua"/>
        </w:rPr>
        <w:t xml:space="preserve">quantitativos </w:t>
      </w:r>
      <w:r w:rsidR="00666595">
        <w:rPr>
          <w:rFonts w:ascii="Perpetua" w:hAnsi="Perpetua"/>
        </w:rPr>
        <w:t>d</w:t>
      </w:r>
      <w:r w:rsidR="008529DD">
        <w:rPr>
          <w:rFonts w:ascii="Perpetua" w:hAnsi="Perpetua"/>
        </w:rPr>
        <w:t xml:space="preserve">os tribunais em termos de </w:t>
      </w:r>
      <w:r w:rsidR="00666595">
        <w:rPr>
          <w:rFonts w:ascii="Perpetua" w:hAnsi="Perpetua"/>
        </w:rPr>
        <w:t xml:space="preserve">provisão de serviços judiciais </w:t>
      </w:r>
      <w:r w:rsidR="00EB54A3">
        <w:rPr>
          <w:rFonts w:ascii="Perpetua" w:hAnsi="Perpetua"/>
        </w:rPr>
        <w:t>te</w:t>
      </w:r>
      <w:r w:rsidR="0036554A">
        <w:rPr>
          <w:rFonts w:ascii="Perpetua" w:hAnsi="Perpetua"/>
        </w:rPr>
        <w:t>rá</w:t>
      </w:r>
      <w:r w:rsidR="0036554A" w:rsidRPr="0036554A">
        <w:rPr>
          <w:rFonts w:ascii="Perpetua" w:hAnsi="Perpetua"/>
        </w:rPr>
        <w:t xml:space="preserve"> </w:t>
      </w:r>
      <w:r w:rsidR="0036554A">
        <w:rPr>
          <w:rFonts w:ascii="Perpetua" w:hAnsi="Perpetua"/>
        </w:rPr>
        <w:t>como consequência</w:t>
      </w:r>
      <w:r w:rsidR="00797EEB">
        <w:rPr>
          <w:rFonts w:ascii="Perpetua" w:hAnsi="Perpetua"/>
        </w:rPr>
        <w:t xml:space="preserve"> </w:t>
      </w:r>
      <w:r w:rsidR="0036554A">
        <w:rPr>
          <w:rFonts w:ascii="Perpetua" w:hAnsi="Perpetua"/>
        </w:rPr>
        <w:t xml:space="preserve">uma redução da </w:t>
      </w:r>
      <w:r w:rsidR="00666595">
        <w:rPr>
          <w:rFonts w:ascii="Perpetua" w:hAnsi="Perpetua"/>
        </w:rPr>
        <w:t xml:space="preserve">eficiência produtiva dos tribunais. </w:t>
      </w:r>
    </w:p>
    <w:p w:rsidR="00300CAC" w:rsidRDefault="00300CAC" w:rsidP="008B0EDF">
      <w:pPr>
        <w:spacing w:line="360" w:lineRule="auto"/>
        <w:jc w:val="both"/>
        <w:rPr>
          <w:rFonts w:ascii="Perpetua" w:hAnsi="Perpetua"/>
        </w:rPr>
      </w:pPr>
    </w:p>
    <w:p w:rsidR="00B11067" w:rsidRDefault="00F34B1F" w:rsidP="000652C8">
      <w:pPr>
        <w:spacing w:line="360" w:lineRule="auto"/>
        <w:jc w:val="both"/>
        <w:rPr>
          <w:rFonts w:ascii="Perpetua" w:hAnsi="Perpetua"/>
        </w:rPr>
      </w:pPr>
      <w:r>
        <w:rPr>
          <w:rFonts w:ascii="Perpetua" w:hAnsi="Perpetua"/>
        </w:rPr>
        <w:t xml:space="preserve">A última </w:t>
      </w:r>
      <w:r w:rsidR="00EB54A3">
        <w:rPr>
          <w:rFonts w:ascii="Perpetua" w:hAnsi="Perpetua"/>
        </w:rPr>
        <w:t xml:space="preserve">recomendação </w:t>
      </w:r>
      <w:r w:rsidR="00B11067">
        <w:rPr>
          <w:rFonts w:ascii="Perpetua" w:hAnsi="Perpetua"/>
        </w:rPr>
        <w:t xml:space="preserve">que se fará neste trabalho </w:t>
      </w:r>
      <w:r w:rsidR="00D06D31">
        <w:rPr>
          <w:rFonts w:ascii="Perpetua" w:hAnsi="Perpetua"/>
        </w:rPr>
        <w:t>prende-se</w:t>
      </w:r>
      <w:r w:rsidR="00B11067">
        <w:rPr>
          <w:rFonts w:ascii="Perpetua" w:hAnsi="Perpetua"/>
        </w:rPr>
        <w:t>, compreensivelmente,</w:t>
      </w:r>
      <w:r>
        <w:rPr>
          <w:rFonts w:ascii="Perpetua" w:hAnsi="Perpetua"/>
        </w:rPr>
        <w:t xml:space="preserve"> </w:t>
      </w:r>
      <w:r w:rsidR="00D06D31">
        <w:rPr>
          <w:rFonts w:ascii="Perpetua" w:hAnsi="Perpetua"/>
        </w:rPr>
        <w:t>com a</w:t>
      </w:r>
      <w:r>
        <w:rPr>
          <w:rFonts w:ascii="Perpetua" w:hAnsi="Perpetua"/>
        </w:rPr>
        <w:t xml:space="preserve"> base informativa existente para avaliar a provisão de serviços judiciais no sistema judicial português, em especial os dados produzidos pelas Estatísticas da Justiça. Como resultou da análise efectuada ao longo do trabalho, </w:t>
      </w:r>
      <w:r w:rsidR="000652C8">
        <w:rPr>
          <w:rFonts w:ascii="Perpetua" w:hAnsi="Perpetua"/>
        </w:rPr>
        <w:t xml:space="preserve">a base informativa das Estatísticas da Justiça é insuficiente para </w:t>
      </w:r>
      <w:r w:rsidR="0041760E">
        <w:rPr>
          <w:rFonts w:ascii="Perpetua" w:hAnsi="Perpetua"/>
        </w:rPr>
        <w:t>realizar uma análise económica completa da produção de serviços judiciais</w:t>
      </w:r>
      <w:r w:rsidR="00B11067">
        <w:rPr>
          <w:rFonts w:ascii="Perpetua" w:hAnsi="Perpetua"/>
        </w:rPr>
        <w:t>:</w:t>
      </w:r>
      <w:r w:rsidR="0041760E">
        <w:rPr>
          <w:rFonts w:ascii="Perpetua" w:hAnsi="Perpetua"/>
        </w:rPr>
        <w:t xml:space="preserve"> não há dados sobre a gestão financeira e material dos tribunais</w:t>
      </w:r>
      <w:r w:rsidR="00B11067">
        <w:rPr>
          <w:rFonts w:ascii="Perpetua" w:hAnsi="Perpetua"/>
        </w:rPr>
        <w:t xml:space="preserve"> nem</w:t>
      </w:r>
      <w:r w:rsidR="0041760E">
        <w:rPr>
          <w:rFonts w:ascii="Perpetua" w:hAnsi="Perpetua"/>
        </w:rPr>
        <w:t xml:space="preserve"> sobre as características dos recursos humanos afectos a cada tribunal. </w:t>
      </w:r>
      <w:r w:rsidR="00B11067">
        <w:rPr>
          <w:rFonts w:ascii="Perpetua" w:hAnsi="Perpetua"/>
        </w:rPr>
        <w:t xml:space="preserve">Acresce que a qualidade de </w:t>
      </w:r>
      <w:r w:rsidR="004A7A47">
        <w:rPr>
          <w:rFonts w:ascii="Perpetua" w:hAnsi="Perpetua"/>
        </w:rPr>
        <w:t>parte dos</w:t>
      </w:r>
      <w:r w:rsidR="00B11067">
        <w:rPr>
          <w:rFonts w:ascii="Perpetua" w:hAnsi="Perpetua"/>
        </w:rPr>
        <w:t xml:space="preserve"> dados estatísticos está longe de ser a melhor</w:t>
      </w:r>
      <w:r w:rsidR="00D06D31">
        <w:rPr>
          <w:rFonts w:ascii="Perpetua" w:hAnsi="Perpetua"/>
        </w:rPr>
        <w:t>:</w:t>
      </w:r>
      <w:r w:rsidR="00B11067">
        <w:rPr>
          <w:rFonts w:ascii="Perpetua" w:hAnsi="Perpetua"/>
        </w:rPr>
        <w:t xml:space="preserve"> por exemplo</w:t>
      </w:r>
      <w:r w:rsidR="00D06D31">
        <w:rPr>
          <w:rFonts w:ascii="Perpetua" w:hAnsi="Perpetua"/>
        </w:rPr>
        <w:t>,</w:t>
      </w:r>
      <w:r w:rsidR="00B11067">
        <w:rPr>
          <w:rFonts w:ascii="Perpetua" w:hAnsi="Perpetua"/>
        </w:rPr>
        <w:t xml:space="preserve"> os da</w:t>
      </w:r>
      <w:r>
        <w:rPr>
          <w:rFonts w:ascii="Perpetua" w:hAnsi="Perpetua"/>
        </w:rPr>
        <w:t>dos</w:t>
      </w:r>
      <w:r w:rsidR="00B11067">
        <w:rPr>
          <w:rFonts w:ascii="Perpetua" w:hAnsi="Perpetua"/>
        </w:rPr>
        <w:t xml:space="preserve"> relativos aos</w:t>
      </w:r>
      <w:r>
        <w:rPr>
          <w:rFonts w:ascii="Perpetua" w:hAnsi="Perpetua"/>
        </w:rPr>
        <w:t xml:space="preserve"> recursos humanos dos tribunais</w:t>
      </w:r>
      <w:r w:rsidR="00B11067">
        <w:rPr>
          <w:rFonts w:ascii="Perpetua" w:hAnsi="Perpetua"/>
        </w:rPr>
        <w:t xml:space="preserve"> de competênc</w:t>
      </w:r>
      <w:r w:rsidR="006B11DD">
        <w:rPr>
          <w:rFonts w:ascii="Perpetua" w:hAnsi="Perpetua"/>
        </w:rPr>
        <w:t>ia específica estão incompletos, não é possível verificar com precisão premissas empíricas sobre o funcionamento do sistema judicial, tais como o funcionamento dos tribunais com coeficientes fixos de trabalhadores judiciais por magistrado judicial</w:t>
      </w:r>
      <w:r w:rsidR="0061509A">
        <w:rPr>
          <w:rFonts w:ascii="Perpetua" w:hAnsi="Perpetua"/>
        </w:rPr>
        <w:t xml:space="preserve">. </w:t>
      </w:r>
      <w:r w:rsidR="00F42EA9">
        <w:rPr>
          <w:rFonts w:ascii="Perpetua" w:hAnsi="Perpetua"/>
        </w:rPr>
        <w:t>C</w:t>
      </w:r>
      <w:r w:rsidR="00B11067">
        <w:rPr>
          <w:rFonts w:ascii="Perpetua" w:hAnsi="Perpetua"/>
        </w:rPr>
        <w:t>omo se refere com maior detalhe no Anexo</w:t>
      </w:r>
      <w:r w:rsidR="00D06D31">
        <w:rPr>
          <w:rFonts w:ascii="Perpetua" w:hAnsi="Perpetua"/>
        </w:rPr>
        <w:t xml:space="preserve"> </w:t>
      </w:r>
      <w:r w:rsidR="00B11067">
        <w:rPr>
          <w:rFonts w:ascii="Perpetua" w:hAnsi="Perpetua"/>
        </w:rPr>
        <w:t>–</w:t>
      </w:r>
      <w:r w:rsidR="00D06D31">
        <w:rPr>
          <w:rFonts w:ascii="Perpetua" w:hAnsi="Perpetua"/>
        </w:rPr>
        <w:t xml:space="preserve"> </w:t>
      </w:r>
      <w:r w:rsidR="00B11067">
        <w:rPr>
          <w:rFonts w:ascii="Perpetua" w:hAnsi="Perpetua"/>
        </w:rPr>
        <w:t>Dados estatísticos</w:t>
      </w:r>
      <w:r w:rsidR="00F42EA9">
        <w:rPr>
          <w:rFonts w:ascii="Perpetua" w:hAnsi="Perpetua"/>
        </w:rPr>
        <w:t>,</w:t>
      </w:r>
      <w:r w:rsidR="00B11067">
        <w:rPr>
          <w:rFonts w:ascii="Perpetua" w:hAnsi="Perpetua"/>
        </w:rPr>
        <w:t xml:space="preserve"> </w:t>
      </w:r>
      <w:r w:rsidR="00F42EA9">
        <w:rPr>
          <w:rFonts w:ascii="Perpetua" w:hAnsi="Perpetua"/>
        </w:rPr>
        <w:t>as Estatísticas da Justiça</w:t>
      </w:r>
      <w:r w:rsidR="00B11067">
        <w:rPr>
          <w:rFonts w:ascii="Perpetua" w:hAnsi="Perpetua"/>
        </w:rPr>
        <w:t xml:space="preserve"> </w:t>
      </w:r>
      <w:r w:rsidR="00F42EA9">
        <w:rPr>
          <w:rFonts w:ascii="Perpetua" w:hAnsi="Perpetua"/>
        </w:rPr>
        <w:t>for</w:t>
      </w:r>
      <w:r w:rsidR="00D06D31">
        <w:rPr>
          <w:rFonts w:ascii="Perpetua" w:hAnsi="Perpetua"/>
        </w:rPr>
        <w:t>a</w:t>
      </w:r>
      <w:r w:rsidR="00F42EA9">
        <w:rPr>
          <w:rFonts w:ascii="Perpetua" w:hAnsi="Perpetua"/>
        </w:rPr>
        <w:t xml:space="preserve">m recentemente sujeitas a uma alteração da estrutura de recolha, armazenamento e disponibilização </w:t>
      </w:r>
      <w:r w:rsidR="007D00E8">
        <w:rPr>
          <w:rFonts w:ascii="Perpetua" w:hAnsi="Perpetua"/>
        </w:rPr>
        <w:t>dos dados com o objectivo de melhorar a actual base informativa e o seu acesso pelos interessados. A despeito das melhorias que foram introduzidas, há um longo caminho a percorr</w:t>
      </w:r>
      <w:r w:rsidR="009B6519">
        <w:rPr>
          <w:rFonts w:ascii="Perpetua" w:hAnsi="Perpetua"/>
        </w:rPr>
        <w:t>er no sentido da adaptação das E</w:t>
      </w:r>
      <w:r w:rsidR="007D00E8">
        <w:rPr>
          <w:rFonts w:ascii="Perpetua" w:hAnsi="Perpetua"/>
        </w:rPr>
        <w:t>statísticas da Justiça às necessidades informativas da gestão e avaliação dos tribunais. A convicção do autor deste trabalho é que o actual sistema de estatísticas dev</w:t>
      </w:r>
      <w:r w:rsidR="00D06D31">
        <w:rPr>
          <w:rFonts w:ascii="Perpetua" w:hAnsi="Perpetua"/>
        </w:rPr>
        <w:t>er</w:t>
      </w:r>
      <w:r w:rsidR="007D00E8">
        <w:rPr>
          <w:rFonts w:ascii="Perpetua" w:hAnsi="Perpetua"/>
        </w:rPr>
        <w:t>ia ser simplificado (</w:t>
      </w:r>
      <w:r w:rsidR="007D00E8" w:rsidRPr="007D00E8">
        <w:rPr>
          <w:rFonts w:ascii="Perpetua" w:hAnsi="Perpetua"/>
          <w:i/>
        </w:rPr>
        <w:t>v.g.</w:t>
      </w:r>
      <w:r w:rsidR="00D06D31">
        <w:rPr>
          <w:rFonts w:ascii="Perpetua" w:hAnsi="Perpetua"/>
        </w:rPr>
        <w:t xml:space="preserve">, </w:t>
      </w:r>
      <w:r w:rsidR="007D00E8">
        <w:rPr>
          <w:rFonts w:ascii="Perpetua" w:hAnsi="Perpetua"/>
        </w:rPr>
        <w:t>diminui</w:t>
      </w:r>
      <w:r w:rsidR="00D06D31">
        <w:rPr>
          <w:rFonts w:ascii="Perpetua" w:hAnsi="Perpetua"/>
        </w:rPr>
        <w:t>ndo</w:t>
      </w:r>
      <w:r w:rsidR="007D00E8">
        <w:rPr>
          <w:rFonts w:ascii="Perpetua" w:hAnsi="Perpetua"/>
        </w:rPr>
        <w:t xml:space="preserve"> os critérios de agregação e as respectivas categorias) e que, em face da </w:t>
      </w:r>
      <w:r w:rsidR="00F42EA9">
        <w:rPr>
          <w:rFonts w:ascii="Perpetua" w:hAnsi="Perpetua"/>
        </w:rPr>
        <w:t>complexidade da actividade dos tribunais e</w:t>
      </w:r>
      <w:r w:rsidR="00B11067">
        <w:rPr>
          <w:rFonts w:ascii="Perpetua" w:hAnsi="Perpetua"/>
        </w:rPr>
        <w:t xml:space="preserve"> das </w:t>
      </w:r>
      <w:r w:rsidR="00F42EA9">
        <w:rPr>
          <w:rFonts w:ascii="Perpetua" w:hAnsi="Perpetua"/>
        </w:rPr>
        <w:t>respectivas e</w:t>
      </w:r>
      <w:r w:rsidR="00B11067">
        <w:rPr>
          <w:rFonts w:ascii="Perpetua" w:hAnsi="Perpetua"/>
        </w:rPr>
        <w:t>statísticas</w:t>
      </w:r>
      <w:r w:rsidR="00F42EA9">
        <w:rPr>
          <w:rFonts w:ascii="Perpetua" w:hAnsi="Perpetua"/>
        </w:rPr>
        <w:t>,</w:t>
      </w:r>
      <w:r w:rsidR="00B11067">
        <w:rPr>
          <w:rFonts w:ascii="Perpetua" w:hAnsi="Perpetua"/>
        </w:rPr>
        <w:t xml:space="preserve"> </w:t>
      </w:r>
      <w:r w:rsidR="007D00E8">
        <w:rPr>
          <w:rFonts w:ascii="Perpetua" w:hAnsi="Perpetua"/>
        </w:rPr>
        <w:t>dev</w:t>
      </w:r>
      <w:r w:rsidR="00D06D31">
        <w:rPr>
          <w:rFonts w:ascii="Perpetua" w:hAnsi="Perpetua"/>
        </w:rPr>
        <w:t>er</w:t>
      </w:r>
      <w:r w:rsidR="007D00E8">
        <w:rPr>
          <w:rFonts w:ascii="Perpetua" w:hAnsi="Perpetua"/>
        </w:rPr>
        <w:t xml:space="preserve">iam ser publicados </w:t>
      </w:r>
      <w:r w:rsidR="00B11067">
        <w:rPr>
          <w:rFonts w:ascii="Perpetua" w:hAnsi="Perpetua"/>
        </w:rPr>
        <w:t>do</w:t>
      </w:r>
      <w:r w:rsidR="00F42EA9">
        <w:rPr>
          <w:rFonts w:ascii="Perpetua" w:hAnsi="Perpetua"/>
        </w:rPr>
        <w:t>cumentos metodológicos que expliquem as especificidades dos dados</w:t>
      </w:r>
      <w:r w:rsidR="007D00E8">
        <w:rPr>
          <w:rFonts w:ascii="Perpetua" w:hAnsi="Perpetua"/>
        </w:rPr>
        <w:t xml:space="preserve">. Sem um esforço no sentido de tornar as Estatísticas da Justiça mais </w:t>
      </w:r>
      <w:r w:rsidR="00D06D31">
        <w:rPr>
          <w:rFonts w:ascii="Perpetua" w:hAnsi="Perpetua"/>
        </w:rPr>
        <w:t xml:space="preserve">inteligíveis, </w:t>
      </w:r>
      <w:r w:rsidR="007D00E8">
        <w:rPr>
          <w:rFonts w:ascii="Perpetua" w:hAnsi="Perpetua"/>
        </w:rPr>
        <w:t xml:space="preserve">a investigação sobre a </w:t>
      </w:r>
      <w:r w:rsidR="00F42EA9">
        <w:rPr>
          <w:rFonts w:ascii="Perpetua" w:hAnsi="Perpetua"/>
        </w:rPr>
        <w:t>produção de serviços judiciais no sistema</w:t>
      </w:r>
      <w:r w:rsidR="00D95A62">
        <w:rPr>
          <w:rFonts w:ascii="Perpetua" w:hAnsi="Perpetua"/>
        </w:rPr>
        <w:t xml:space="preserve"> judicial</w:t>
      </w:r>
      <w:r w:rsidR="00F42EA9">
        <w:rPr>
          <w:rFonts w:ascii="Perpetua" w:hAnsi="Perpetua"/>
        </w:rPr>
        <w:t xml:space="preserve"> português</w:t>
      </w:r>
      <w:r w:rsidR="007D00E8">
        <w:rPr>
          <w:rFonts w:ascii="Perpetua" w:hAnsi="Perpetua"/>
        </w:rPr>
        <w:t xml:space="preserve"> não irá certamente avançar ao ritmo desejado</w:t>
      </w:r>
      <w:r w:rsidR="00021DA8">
        <w:rPr>
          <w:rFonts w:ascii="Perpetua" w:hAnsi="Perpetua"/>
        </w:rPr>
        <w:t xml:space="preserve"> nem</w:t>
      </w:r>
      <w:r w:rsidR="00D06D31">
        <w:rPr>
          <w:rFonts w:ascii="Perpetua" w:hAnsi="Perpetua"/>
        </w:rPr>
        <w:t xml:space="preserve">, em consequência disso, </w:t>
      </w:r>
      <w:r w:rsidR="00021DA8">
        <w:rPr>
          <w:rFonts w:ascii="Perpetua" w:hAnsi="Perpetua"/>
        </w:rPr>
        <w:t xml:space="preserve">a qualidade das políticas públicas do sistema judicial. </w:t>
      </w:r>
      <w:r w:rsidR="00F42EA9">
        <w:rPr>
          <w:rFonts w:ascii="Perpetua" w:hAnsi="Perpetua"/>
        </w:rPr>
        <w:t xml:space="preserve">  </w:t>
      </w:r>
    </w:p>
    <w:p w:rsidR="00233FE7" w:rsidRDefault="00233FE7" w:rsidP="0012598B">
      <w:pPr>
        <w:spacing w:line="360" w:lineRule="auto"/>
        <w:jc w:val="both"/>
        <w:rPr>
          <w:rFonts w:ascii="Perpetua" w:hAnsi="Perpetua"/>
        </w:rPr>
      </w:pPr>
    </w:p>
    <w:p w:rsidR="0041760E" w:rsidRDefault="0041760E" w:rsidP="0012598B">
      <w:pPr>
        <w:spacing w:line="360" w:lineRule="auto"/>
        <w:jc w:val="both"/>
        <w:rPr>
          <w:rFonts w:ascii="Perpetua" w:hAnsi="Perpetua"/>
        </w:rPr>
      </w:pPr>
    </w:p>
    <w:p w:rsidR="00E763E1" w:rsidRPr="004E5E2C" w:rsidRDefault="00E763E1" w:rsidP="00954D44">
      <w:pPr>
        <w:spacing w:line="360" w:lineRule="auto"/>
        <w:jc w:val="both"/>
        <w:rPr>
          <w:rFonts w:ascii="Perpetua" w:hAnsi="Perpetua"/>
        </w:rPr>
      </w:pPr>
      <w:r>
        <w:rPr>
          <w:rFonts w:ascii="Perpetua" w:hAnsi="Perpetua"/>
        </w:rPr>
        <w:t>Como nota final deste trabalho, apontam-se alguns caminhos de investigação futura na economia do sector judicial. A análise económica do sector da Justiça, em geral, e do sistema judicial, em particular, está ainda nos seus primórdios. Este trabalho representou um pequeno esforço no sentido da aplicação da teoria económica, e alguns dos seus instrumentos, à provisão de serviços judiciais, dando especial atenção às características e às limitações da base informativa existente para levar a cabo esse trabalho. O conjunto de oportunidades da investigação futura neste domínio é muito vasto, mas há áreas que, por razões pragmáticas, são prioritárias. No nosso entender, a primeira prioridade é o desenvolvimento de um modelo econométrico mais completo, o que passa pela colmatação das actuais limitações informativas à medição do produto do trabalho dos tribunais</w:t>
      </w:r>
      <w:r w:rsidR="00E71552">
        <w:rPr>
          <w:rFonts w:ascii="Perpetua" w:hAnsi="Perpetua"/>
        </w:rPr>
        <w:t xml:space="preserve"> –</w:t>
      </w:r>
      <w:r>
        <w:rPr>
          <w:rFonts w:ascii="Perpetua" w:hAnsi="Perpetua"/>
        </w:rPr>
        <w:t xml:space="preserve"> nomeadamente a inclusão de informação sobre a </w:t>
      </w:r>
      <w:r w:rsidR="004A7A47">
        <w:rPr>
          <w:rFonts w:ascii="Perpetua" w:hAnsi="Perpetua"/>
        </w:rPr>
        <w:t>heterogeneidade das intensidades relativas do trabalho judicial</w:t>
      </w:r>
      <w:r w:rsidR="00E71552">
        <w:rPr>
          <w:rFonts w:ascii="Perpetua" w:hAnsi="Perpetua"/>
        </w:rPr>
        <w:t xml:space="preserve">, </w:t>
      </w:r>
      <w:r w:rsidR="004A7A47">
        <w:rPr>
          <w:rFonts w:ascii="Perpetua" w:hAnsi="Perpetua"/>
        </w:rPr>
        <w:t>e não apenas do tempo dos juízes</w:t>
      </w:r>
      <w:r w:rsidR="00E71552">
        <w:rPr>
          <w:rFonts w:ascii="Perpetua" w:hAnsi="Perpetua"/>
        </w:rPr>
        <w:t>,</w:t>
      </w:r>
      <w:r w:rsidR="004A7A47">
        <w:rPr>
          <w:rFonts w:ascii="Perpetua" w:hAnsi="Perpetua"/>
        </w:rPr>
        <w:t xml:space="preserve"> e a</w:t>
      </w:r>
      <w:r w:rsidR="004A7A47" w:rsidRPr="004A7A47">
        <w:rPr>
          <w:rFonts w:ascii="Perpetua" w:hAnsi="Perpetua"/>
        </w:rPr>
        <w:t xml:space="preserve"> </w:t>
      </w:r>
      <w:r>
        <w:rPr>
          <w:rFonts w:ascii="Perpetua" w:hAnsi="Perpetua"/>
        </w:rPr>
        <w:t>qualidade da decisão judicial dos processos findos</w:t>
      </w:r>
      <w:r w:rsidR="00E71552">
        <w:rPr>
          <w:rFonts w:ascii="Perpetua" w:hAnsi="Perpetua"/>
        </w:rPr>
        <w:t xml:space="preserve"> –</w:t>
      </w:r>
      <w:r w:rsidR="004A7A47">
        <w:rPr>
          <w:rFonts w:ascii="Perpetua" w:hAnsi="Perpetua"/>
        </w:rPr>
        <w:t xml:space="preserve"> e </w:t>
      </w:r>
      <w:r w:rsidR="00E71552">
        <w:rPr>
          <w:rFonts w:ascii="Perpetua" w:hAnsi="Perpetua"/>
        </w:rPr>
        <w:t>do</w:t>
      </w:r>
      <w:r w:rsidR="004A7A47">
        <w:rPr>
          <w:rFonts w:ascii="Perpetua" w:hAnsi="Perpetua"/>
        </w:rPr>
        <w:t>s factores produtivos</w:t>
      </w:r>
      <w:r>
        <w:rPr>
          <w:rFonts w:ascii="Perpetua" w:hAnsi="Perpetua"/>
        </w:rPr>
        <w:t xml:space="preserve">. Com efeito, sem um modelo econométrico mais completo qualquer conclusão menos óbvia sobre os factores explicativos da eficiência produtiva dos tribunais está fortemente condicionada pelas várias assunções que sustentam o actual modelo. Do mesmo modo, será difícil produzir, através de um modelo tão restritivo, recomendações de política pública acatáveis pelos operadores do sistema judicial. </w:t>
      </w:r>
      <w:r w:rsidR="00954D44">
        <w:rPr>
          <w:rFonts w:ascii="Perpetua" w:hAnsi="Perpetua"/>
        </w:rPr>
        <w:t xml:space="preserve">Após a constituição de </w:t>
      </w:r>
      <w:r>
        <w:rPr>
          <w:rFonts w:ascii="Perpetua" w:hAnsi="Perpetua"/>
        </w:rPr>
        <w:t>uma base informativa mais rica</w:t>
      </w:r>
      <w:r w:rsidR="00954D44">
        <w:rPr>
          <w:rFonts w:ascii="Perpetua" w:hAnsi="Perpetua"/>
        </w:rPr>
        <w:t>,</w:t>
      </w:r>
      <w:r>
        <w:rPr>
          <w:rFonts w:ascii="Perpetua" w:hAnsi="Perpetua"/>
        </w:rPr>
        <w:t xml:space="preserve"> será possível investigar seriamente as propriedades tecnológicas da produção de serviços judiciais</w:t>
      </w:r>
      <w:r w:rsidR="00954D44">
        <w:rPr>
          <w:rFonts w:ascii="Perpetua" w:hAnsi="Perpetua"/>
        </w:rPr>
        <w:t>, como a existência de economias de escala e de gama, e prever com maior rigor os efeitos de intervenções de política pública no sistema judicial</w:t>
      </w:r>
      <w:r w:rsidR="004A7A47">
        <w:rPr>
          <w:rFonts w:ascii="Perpetua" w:hAnsi="Perpetua"/>
        </w:rPr>
        <w:t>.</w:t>
      </w:r>
      <w:r>
        <w:rPr>
          <w:rFonts w:ascii="Perpetua" w:hAnsi="Perpetua"/>
        </w:rPr>
        <w:t xml:space="preserve"> </w:t>
      </w: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BA5227" w:rsidRDefault="00BA5227" w:rsidP="0012598B">
      <w:pPr>
        <w:spacing w:line="360" w:lineRule="auto"/>
        <w:jc w:val="both"/>
        <w:rPr>
          <w:rFonts w:ascii="Perpetua" w:hAnsi="Perpetua"/>
        </w:rPr>
      </w:pPr>
    </w:p>
    <w:p w:rsidR="00E71552" w:rsidRDefault="00E71552" w:rsidP="0012598B">
      <w:pPr>
        <w:spacing w:line="360" w:lineRule="auto"/>
        <w:jc w:val="both"/>
        <w:rPr>
          <w:rFonts w:ascii="Perpetua" w:hAnsi="Perpetua"/>
        </w:rPr>
      </w:pPr>
    </w:p>
    <w:p w:rsidR="009B63F1" w:rsidRPr="00FB2239" w:rsidRDefault="00D06D31" w:rsidP="009B63F1">
      <w:pPr>
        <w:pStyle w:val="Heading1"/>
      </w:pPr>
      <w:bookmarkStart w:id="144" w:name="_Toc202163258"/>
      <w:bookmarkStart w:id="145" w:name="_Toc220484490"/>
      <w:r>
        <w:t>B</w:t>
      </w:r>
      <w:r w:rsidR="009B63F1" w:rsidRPr="00D00790">
        <w:t>ibli</w:t>
      </w:r>
      <w:r>
        <w:t>ografi</w:t>
      </w:r>
      <w:r w:rsidR="009B63F1" w:rsidRPr="00FB2239">
        <w:t>a</w:t>
      </w:r>
      <w:bookmarkEnd w:id="144"/>
      <w:bookmarkEnd w:id="145"/>
    </w:p>
    <w:p w:rsidR="009B63F1" w:rsidRPr="00FB2239" w:rsidRDefault="009B63F1" w:rsidP="009B63F1">
      <w:pPr>
        <w:spacing w:line="360" w:lineRule="auto"/>
        <w:jc w:val="both"/>
        <w:rPr>
          <w:rFonts w:ascii="Perpetua" w:hAnsi="Perpetua"/>
        </w:rPr>
      </w:pPr>
    </w:p>
    <w:p w:rsidR="00255007" w:rsidRPr="00FB2239" w:rsidRDefault="00255007" w:rsidP="009B63F1">
      <w:pPr>
        <w:spacing w:line="360" w:lineRule="auto"/>
        <w:jc w:val="both"/>
        <w:rPr>
          <w:rFonts w:ascii="Perpetua" w:hAnsi="Perpetua" w:cs="Arial"/>
        </w:rPr>
      </w:pPr>
    </w:p>
    <w:p w:rsidR="009B63F1" w:rsidRPr="00B872A1" w:rsidRDefault="009B63F1" w:rsidP="009B63F1">
      <w:pPr>
        <w:spacing w:line="360" w:lineRule="auto"/>
        <w:jc w:val="both"/>
        <w:rPr>
          <w:rFonts w:ascii="Perpetua" w:hAnsi="Perpetua" w:cs="Arial"/>
        </w:rPr>
      </w:pPr>
      <w:r w:rsidRPr="007170E2">
        <w:rPr>
          <w:rFonts w:ascii="Perpetua" w:hAnsi="Perpetua" w:cs="Arial"/>
          <w:lang w:val="en-US"/>
        </w:rPr>
        <w:t xml:space="preserve">Aghion, P. (2006), ‘On Institutions and Growth’ in Institutions, </w:t>
      </w:r>
      <w:r w:rsidRPr="00254C18">
        <w:rPr>
          <w:rFonts w:ascii="Perpetua" w:hAnsi="Perpetua" w:cs="Arial"/>
          <w:lang w:val="en-GB"/>
        </w:rPr>
        <w:t>Development, and Economic Growth</w:t>
      </w:r>
      <w:r>
        <w:rPr>
          <w:rFonts w:ascii="Perpetua" w:hAnsi="Perpetua" w:cs="Arial"/>
          <w:lang w:val="en-GB"/>
        </w:rPr>
        <w:t xml:space="preserve">, </w:t>
      </w:r>
      <w:r w:rsidRPr="00254C18">
        <w:rPr>
          <w:rFonts w:ascii="Perpetua" w:hAnsi="Perpetua" w:cs="Arial"/>
          <w:lang w:val="en-GB"/>
        </w:rPr>
        <w:t>Eicher</w:t>
      </w:r>
      <w:r>
        <w:rPr>
          <w:rFonts w:ascii="Perpetua" w:hAnsi="Perpetua" w:cs="Arial"/>
          <w:lang w:val="en-GB"/>
        </w:rPr>
        <w:t xml:space="preserve">, </w:t>
      </w:r>
      <w:r w:rsidRPr="00254C18">
        <w:rPr>
          <w:rFonts w:ascii="Perpetua" w:hAnsi="Perpetua" w:cs="Arial"/>
          <w:lang w:val="en-GB"/>
        </w:rPr>
        <w:t>T</w:t>
      </w:r>
      <w:r>
        <w:rPr>
          <w:rFonts w:ascii="Perpetua" w:hAnsi="Perpetua" w:cs="Arial"/>
          <w:lang w:val="en-GB"/>
        </w:rPr>
        <w:t>. S.</w:t>
      </w:r>
      <w:r w:rsidRPr="00254C18">
        <w:rPr>
          <w:rFonts w:ascii="Perpetua" w:hAnsi="Perpetua" w:cs="Arial"/>
          <w:lang w:val="en-GB"/>
        </w:rPr>
        <w:t xml:space="preserve"> </w:t>
      </w:r>
      <w:r w:rsidR="003A79EC">
        <w:rPr>
          <w:rFonts w:ascii="Perpetua" w:hAnsi="Perpetua" w:cs="Arial"/>
          <w:lang w:val="en-GB"/>
        </w:rPr>
        <w:t>e</w:t>
      </w:r>
      <w:r w:rsidR="0008507C">
        <w:rPr>
          <w:rFonts w:ascii="Perpetua" w:hAnsi="Perpetua" w:cs="Arial"/>
          <w:lang w:val="en-GB"/>
        </w:rPr>
        <w:t xml:space="preserve"> García-Peñalosa, C. (e</w:t>
      </w:r>
      <w:r w:rsidRPr="002D34DF">
        <w:rPr>
          <w:rFonts w:ascii="Perpetua" w:hAnsi="Perpetua" w:cs="Arial"/>
          <w:lang w:val="en-GB"/>
        </w:rPr>
        <w:t>ds.)</w:t>
      </w:r>
      <w:r>
        <w:rPr>
          <w:rFonts w:ascii="Perpetua" w:hAnsi="Perpetua" w:cs="Arial"/>
          <w:lang w:val="en-GB"/>
        </w:rPr>
        <w:t xml:space="preserve"> </w:t>
      </w:r>
      <w:r w:rsidRPr="00B872A1">
        <w:rPr>
          <w:rFonts w:ascii="Perpetua" w:hAnsi="Perpetua" w:cs="Arial"/>
        </w:rPr>
        <w:t xml:space="preserve">(2006), </w:t>
      </w:r>
      <w:proofErr w:type="gramStart"/>
      <w:r w:rsidRPr="00B872A1">
        <w:rPr>
          <w:rFonts w:ascii="Perpetua" w:hAnsi="Perpetua" w:cs="Arial"/>
        </w:rPr>
        <w:t>The</w:t>
      </w:r>
      <w:proofErr w:type="gramEnd"/>
      <w:r w:rsidRPr="00B872A1">
        <w:rPr>
          <w:rFonts w:ascii="Perpetua" w:hAnsi="Perpetua" w:cs="Arial"/>
        </w:rPr>
        <w:t xml:space="preserve"> MIT Press, </w:t>
      </w:r>
      <w:smartTag w:uri="urn:schemas-microsoft-com:office:smarttags" w:element="City">
        <w:r w:rsidRPr="00B872A1">
          <w:rPr>
            <w:rFonts w:ascii="Perpetua" w:hAnsi="Perpetua" w:cs="Arial"/>
          </w:rPr>
          <w:t>Cambridge</w:t>
        </w:r>
      </w:smartTag>
      <w:r w:rsidRPr="00B872A1">
        <w:rPr>
          <w:rFonts w:ascii="Perpetua" w:hAnsi="Perpetua" w:cs="Arial"/>
        </w:rPr>
        <w:t xml:space="preserve">: </w:t>
      </w:r>
      <w:smartTag w:uri="urn:schemas-microsoft-com:office:smarttags" w:element="country-region">
        <w:smartTag w:uri="urn:schemas-microsoft-com:office:smarttags" w:element="place">
          <w:r w:rsidRPr="00B872A1">
            <w:rPr>
              <w:rFonts w:ascii="Perpetua" w:hAnsi="Perpetua" w:cs="Arial"/>
            </w:rPr>
            <w:t>USA</w:t>
          </w:r>
        </w:smartTag>
      </w:smartTag>
      <w:r w:rsidRPr="00B872A1">
        <w:rPr>
          <w:rFonts w:ascii="Perpetua" w:hAnsi="Perpetua" w:cs="Arial"/>
        </w:rPr>
        <w:t xml:space="preserve">.  </w:t>
      </w:r>
    </w:p>
    <w:p w:rsidR="009B63F1" w:rsidRPr="00B872A1" w:rsidRDefault="009B63F1" w:rsidP="009B63F1">
      <w:pPr>
        <w:spacing w:line="360" w:lineRule="auto"/>
        <w:jc w:val="both"/>
        <w:rPr>
          <w:rFonts w:ascii="Perpetua" w:hAnsi="Perpetua" w:cs="Arial"/>
        </w:rPr>
      </w:pPr>
    </w:p>
    <w:p w:rsidR="009B63F1" w:rsidRPr="005375E0" w:rsidRDefault="009B63F1" w:rsidP="009B63F1">
      <w:pPr>
        <w:spacing w:line="360" w:lineRule="auto"/>
        <w:jc w:val="both"/>
        <w:rPr>
          <w:rFonts w:ascii="Perpetua" w:hAnsi="Perpetua" w:cs="Arial"/>
        </w:rPr>
      </w:pPr>
      <w:r w:rsidRPr="00082AE5">
        <w:rPr>
          <w:rFonts w:ascii="Perpetua" w:hAnsi="Perpetua" w:cs="Arial"/>
        </w:rPr>
        <w:t>Antunes, A. P., Teixeira, J. V., Bigotte, J. F., Repolho, H. V. (2007), Proposta de revisão do mapa judiciário, Coimbra: Depar</w:t>
      </w:r>
      <w:r w:rsidRPr="005375E0">
        <w:rPr>
          <w:rFonts w:ascii="Perpetua" w:hAnsi="Perpetua" w:cs="Arial"/>
        </w:rPr>
        <w:t>tamento de Engenharia Civil, Universidade de Coimbra</w:t>
      </w:r>
      <w:r>
        <w:rPr>
          <w:rFonts w:ascii="Perpetua" w:hAnsi="Perpetua" w:cs="Arial"/>
        </w:rPr>
        <w:t>.</w:t>
      </w:r>
      <w:r w:rsidRPr="005375E0">
        <w:rPr>
          <w:rFonts w:ascii="Perpetua" w:hAnsi="Perpetua" w:cs="Arial"/>
        </w:rPr>
        <w:t xml:space="preserve"> </w:t>
      </w:r>
    </w:p>
    <w:p w:rsidR="009B63F1" w:rsidRDefault="009B63F1" w:rsidP="009B63F1">
      <w:pPr>
        <w:spacing w:line="360" w:lineRule="auto"/>
        <w:jc w:val="both"/>
        <w:rPr>
          <w:rFonts w:ascii="Perpetua" w:hAnsi="Perpetua"/>
        </w:rPr>
      </w:pPr>
    </w:p>
    <w:p w:rsidR="009B63F1" w:rsidRPr="002F557E" w:rsidRDefault="009B63F1" w:rsidP="009B63F1">
      <w:pPr>
        <w:spacing w:line="360" w:lineRule="auto"/>
        <w:jc w:val="both"/>
        <w:rPr>
          <w:rFonts w:ascii="Perpetua" w:hAnsi="Perpetua"/>
          <w:lang w:val="en-GB"/>
        </w:rPr>
      </w:pPr>
      <w:r w:rsidRPr="002F557E">
        <w:rPr>
          <w:rFonts w:ascii="Perpetua" w:hAnsi="Perpetua"/>
          <w:lang w:val="en-GB"/>
        </w:rPr>
        <w:t>Banco Mundial (1997), World Development Report 1997: The State in</w:t>
      </w:r>
      <w:r>
        <w:rPr>
          <w:rFonts w:ascii="Perpetua" w:hAnsi="Perpetua"/>
          <w:lang w:val="en-GB"/>
        </w:rPr>
        <w:t xml:space="preserve"> </w:t>
      </w:r>
      <w:r w:rsidRPr="002F557E">
        <w:rPr>
          <w:rFonts w:ascii="Perpetua" w:hAnsi="Perpetua"/>
          <w:lang w:val="en-GB"/>
        </w:rPr>
        <w:t>a</w:t>
      </w:r>
      <w:r>
        <w:rPr>
          <w:rFonts w:ascii="Perpetua" w:hAnsi="Perpetua"/>
          <w:lang w:val="en-GB"/>
        </w:rPr>
        <w:t xml:space="preserve"> </w:t>
      </w:r>
      <w:r w:rsidRPr="002F557E">
        <w:rPr>
          <w:rFonts w:ascii="Perpetua" w:hAnsi="Perpetua"/>
          <w:lang w:val="en-GB"/>
        </w:rPr>
        <w:t>Changing World</w:t>
      </w:r>
      <w:r>
        <w:rPr>
          <w:rFonts w:ascii="Perpetua" w:hAnsi="Perpetua"/>
          <w:lang w:val="en-GB"/>
        </w:rPr>
        <w:t xml:space="preserve">, </w:t>
      </w:r>
      <w:smartTag w:uri="urn:schemas-microsoft-com:office:smarttags" w:element="State">
        <w:r>
          <w:rPr>
            <w:rFonts w:ascii="Perpetua" w:hAnsi="Perpetua"/>
            <w:lang w:val="en-GB"/>
          </w:rPr>
          <w:t>Washington</w:t>
        </w:r>
      </w:smartTag>
      <w:r w:rsidR="00D34069">
        <w:rPr>
          <w:rFonts w:ascii="Perpetua" w:hAnsi="Perpetua"/>
          <w:lang w:val="en-GB"/>
        </w:rPr>
        <w:t xml:space="preserve"> D. C.</w:t>
      </w:r>
      <w:r>
        <w:rPr>
          <w:rFonts w:ascii="Perpetua" w:hAnsi="Perpetua"/>
          <w:lang w:val="en-GB"/>
        </w:rPr>
        <w:t xml:space="preserve">: World Bank </w:t>
      </w:r>
      <w:r w:rsidR="003A79EC">
        <w:rPr>
          <w:rFonts w:ascii="Perpetua" w:hAnsi="Perpetua"/>
          <w:lang w:val="en-GB"/>
        </w:rPr>
        <w:t>e</w:t>
      </w:r>
      <w:r>
        <w:rPr>
          <w:rFonts w:ascii="Perpetua" w:hAnsi="Perpetua"/>
          <w:lang w:val="en-GB"/>
        </w:rPr>
        <w:t xml:space="preserve"> </w:t>
      </w:r>
      <w:smartTag w:uri="urn:schemas-microsoft-com:office:smarttags" w:element="place">
        <w:smartTag w:uri="urn:schemas-microsoft-com:office:smarttags" w:element="PlaceName">
          <w:r>
            <w:rPr>
              <w:rFonts w:ascii="Perpetua" w:hAnsi="Perpetua"/>
              <w:lang w:val="en-GB"/>
            </w:rPr>
            <w:t>Oxford</w:t>
          </w:r>
        </w:smartTag>
        <w:r>
          <w:rPr>
            <w:rFonts w:ascii="Perpetua" w:hAnsi="Perpetua"/>
            <w:lang w:val="en-GB"/>
          </w:rPr>
          <w:t xml:space="preserve"> </w:t>
        </w:r>
        <w:smartTag w:uri="urn:schemas-microsoft-com:office:smarttags" w:element="PlaceType">
          <w:r>
            <w:rPr>
              <w:rFonts w:ascii="Perpetua" w:hAnsi="Perpetua"/>
              <w:lang w:val="en-GB"/>
            </w:rPr>
            <w:t>University</w:t>
          </w:r>
        </w:smartTag>
      </w:smartTag>
      <w:r>
        <w:rPr>
          <w:rFonts w:ascii="Perpetua" w:hAnsi="Perpetua"/>
          <w:lang w:val="en-GB"/>
        </w:rPr>
        <w:t xml:space="preserve"> Press.</w:t>
      </w:r>
    </w:p>
    <w:p w:rsidR="009B63F1" w:rsidRPr="002F557E"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Beenstock, M. </w:t>
      </w:r>
      <w:r w:rsidR="003A79EC">
        <w:rPr>
          <w:rFonts w:ascii="Perpetua" w:hAnsi="Perpetua"/>
          <w:lang w:val="en-GB"/>
        </w:rPr>
        <w:t>e</w:t>
      </w:r>
      <w:r w:rsidRPr="005375E0">
        <w:rPr>
          <w:rFonts w:ascii="Perpetua" w:hAnsi="Perpetua"/>
          <w:lang w:val="en-GB"/>
        </w:rPr>
        <w:t xml:space="preserve"> Haitovsky, J. (2004), ‘Does the appointment of judges increase the output of the judiciary?</w:t>
      </w:r>
      <w:proofErr w:type="gramStart"/>
      <w:r w:rsidRPr="005375E0">
        <w:rPr>
          <w:rFonts w:ascii="Perpetua" w:hAnsi="Perpetua"/>
          <w:lang w:val="en-GB"/>
        </w:rPr>
        <w:t>’</w:t>
      </w:r>
      <w:r>
        <w:rPr>
          <w:rFonts w:ascii="Perpetua" w:hAnsi="Perpetua"/>
          <w:lang w:val="en-GB"/>
        </w:rPr>
        <w:t>,</w:t>
      </w:r>
      <w:proofErr w:type="gramEnd"/>
      <w:r w:rsidRPr="005375E0">
        <w:rPr>
          <w:rFonts w:ascii="Perpetua" w:hAnsi="Perpetua"/>
          <w:lang w:val="en-GB"/>
        </w:rPr>
        <w:t xml:space="preserve"> </w:t>
      </w:r>
      <w:r w:rsidRPr="005375E0">
        <w:rPr>
          <w:rFonts w:ascii="Perpetua" w:hAnsi="Perpetua"/>
          <w:i/>
          <w:lang w:val="en-GB"/>
        </w:rPr>
        <w:t>International Review of Law and Economics</w:t>
      </w:r>
      <w:r w:rsidRPr="005375E0">
        <w:rPr>
          <w:rFonts w:ascii="Perpetua" w:hAnsi="Perpetua"/>
          <w:lang w:val="en-GB"/>
        </w:rPr>
        <w:t>, 24, pp.351-369.</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Pr>
          <w:rFonts w:ascii="Perpetua" w:hAnsi="Perpetua"/>
          <w:lang w:val="en-GB"/>
        </w:rPr>
        <w:t>Blank, J. L. T. (ed.) (2000), Public Provision and P</w:t>
      </w:r>
      <w:r w:rsidRPr="005375E0">
        <w:rPr>
          <w:rFonts w:ascii="Perpetua" w:hAnsi="Perpetua"/>
          <w:lang w:val="en-GB"/>
        </w:rPr>
        <w:t>e</w:t>
      </w:r>
      <w:r>
        <w:rPr>
          <w:rFonts w:ascii="Perpetua" w:hAnsi="Perpetua"/>
          <w:lang w:val="en-GB"/>
        </w:rPr>
        <w:t>rformance - Contributions from Efficiency and Productivity M</w:t>
      </w:r>
      <w:r w:rsidRPr="005375E0">
        <w:rPr>
          <w:rFonts w:ascii="Perpetua" w:hAnsi="Perpetua"/>
          <w:lang w:val="en-GB"/>
        </w:rPr>
        <w:t xml:space="preserve">easurement, </w:t>
      </w:r>
      <w:smartTag w:uri="urn:schemas-microsoft-com:office:smarttags" w:element="place">
        <w:smartTag w:uri="urn:schemas-microsoft-com:office:smarttags" w:element="City">
          <w:r w:rsidRPr="005375E0">
            <w:rPr>
              <w:rFonts w:ascii="Perpetua" w:hAnsi="Perpetua"/>
              <w:lang w:val="en-GB"/>
            </w:rPr>
            <w:t>Amsterdam</w:t>
          </w:r>
        </w:smartTag>
      </w:smartTag>
      <w:r w:rsidRPr="005375E0">
        <w:rPr>
          <w:rFonts w:ascii="Perpetua" w:hAnsi="Perpetua"/>
          <w:lang w:val="en-GB"/>
        </w:rPr>
        <w:t>: North-Holland.</w:t>
      </w:r>
    </w:p>
    <w:p w:rsidR="009B63F1"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Pr>
          <w:rFonts w:ascii="Perpetua" w:hAnsi="Perpetua"/>
          <w:lang w:val="en-GB"/>
        </w:rPr>
        <w:t>Blank, J.</w:t>
      </w:r>
      <w:r w:rsidRPr="005375E0">
        <w:rPr>
          <w:rFonts w:ascii="Perpetua" w:hAnsi="Perpetua"/>
          <w:lang w:val="en-GB"/>
        </w:rPr>
        <w:t xml:space="preserve"> L. T. </w:t>
      </w:r>
      <w:r w:rsidR="003A79EC">
        <w:rPr>
          <w:rFonts w:ascii="Perpetua" w:hAnsi="Perpetua"/>
          <w:lang w:val="en-GB"/>
        </w:rPr>
        <w:t>e</w:t>
      </w:r>
      <w:r>
        <w:rPr>
          <w:rFonts w:ascii="Perpetua" w:hAnsi="Perpetua"/>
          <w:lang w:val="en-GB"/>
        </w:rPr>
        <w:t xml:space="preserve"> Lovell, C. A. K. </w:t>
      </w:r>
      <w:r w:rsidRPr="005375E0">
        <w:rPr>
          <w:rFonts w:ascii="Perpetua" w:hAnsi="Perpetua"/>
          <w:lang w:val="en-GB"/>
        </w:rPr>
        <w:t>(2000), P</w:t>
      </w:r>
      <w:r>
        <w:rPr>
          <w:rFonts w:ascii="Perpetua" w:hAnsi="Perpetua"/>
          <w:lang w:val="en-GB"/>
        </w:rPr>
        <w:t xml:space="preserve">erformance Assessment in the Public Sector, in </w:t>
      </w:r>
      <w:r w:rsidRPr="005375E0">
        <w:rPr>
          <w:rFonts w:ascii="Perpetua" w:hAnsi="Perpetua"/>
          <w:lang w:val="en-GB"/>
        </w:rPr>
        <w:t xml:space="preserve"> </w:t>
      </w:r>
      <w:r>
        <w:rPr>
          <w:rFonts w:ascii="Perpetua" w:hAnsi="Perpetua"/>
          <w:lang w:val="en-GB"/>
        </w:rPr>
        <w:t>Blank, J. L. T. (ed.) (2000), Public Provision and P</w:t>
      </w:r>
      <w:r w:rsidRPr="005375E0">
        <w:rPr>
          <w:rFonts w:ascii="Perpetua" w:hAnsi="Perpetua"/>
          <w:lang w:val="en-GB"/>
        </w:rPr>
        <w:t>e</w:t>
      </w:r>
      <w:r>
        <w:rPr>
          <w:rFonts w:ascii="Perpetua" w:hAnsi="Perpetua"/>
          <w:lang w:val="en-GB"/>
        </w:rPr>
        <w:t>rformance - Contributions from Efficiency and Productivity M</w:t>
      </w:r>
      <w:r w:rsidRPr="005375E0">
        <w:rPr>
          <w:rFonts w:ascii="Perpetua" w:hAnsi="Perpetua"/>
          <w:lang w:val="en-GB"/>
        </w:rPr>
        <w:t>easurement, Amsterdam: North-Holland.</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fr-FR"/>
        </w:rPr>
      </w:pPr>
      <w:r w:rsidRPr="005375E0">
        <w:rPr>
          <w:rFonts w:ascii="Perpetua" w:hAnsi="Perpetua"/>
          <w:lang w:val="fr-FR"/>
        </w:rPr>
        <w:t xml:space="preserve">Breen, E. (ed.) (2002), Évaluer </w:t>
      </w:r>
      <w:smartTag w:uri="SmartTagTypeLegixLinks" w:element="LegixLinks">
        <w:smartTagPr>
          <w:attr w:name="ProductID" w:val="la Justice"/>
        </w:smartTagPr>
        <w:r w:rsidRPr="005375E0">
          <w:rPr>
            <w:rFonts w:ascii="Perpetua" w:hAnsi="Perpetua"/>
            <w:lang w:val="fr-FR"/>
          </w:rPr>
          <w:t>la Justice</w:t>
        </w:r>
      </w:smartTag>
      <w:r w:rsidRPr="005375E0">
        <w:rPr>
          <w:rFonts w:ascii="Perpetua" w:hAnsi="Perpetua"/>
          <w:lang w:val="fr-FR"/>
        </w:rPr>
        <w:t xml:space="preserve">, Droit et Justice, Collection de da </w:t>
      </w:r>
      <w:smartTag w:uri="SmartTagTypeLegixLinks" w:element="LegixLinks">
        <w:smartTagPr>
          <w:attr w:name="ProductID" w:val="La Mission"/>
        </w:smartTagPr>
        <w:r w:rsidRPr="005375E0">
          <w:rPr>
            <w:rFonts w:ascii="Perpetua" w:hAnsi="Perpetua"/>
            <w:lang w:val="fr-FR"/>
          </w:rPr>
          <w:t>La Mission</w:t>
        </w:r>
      </w:smartTag>
      <w:r w:rsidRPr="005375E0">
        <w:rPr>
          <w:rFonts w:ascii="Perpetua" w:hAnsi="Perpetua"/>
          <w:lang w:val="fr-FR"/>
        </w:rPr>
        <w:t xml:space="preserve"> de recherche «Droit et Justice», Paris: Presses Universitaires de France. </w:t>
      </w:r>
    </w:p>
    <w:p w:rsidR="009B63F1" w:rsidRPr="005375E0" w:rsidRDefault="009B63F1" w:rsidP="009B63F1">
      <w:pPr>
        <w:spacing w:line="360" w:lineRule="auto"/>
        <w:jc w:val="both"/>
        <w:rPr>
          <w:rFonts w:ascii="Perpetua" w:hAnsi="Perpetua"/>
          <w:lang w:val="fr-FR"/>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Buscaglia, E. </w:t>
      </w:r>
      <w:r w:rsidR="003A79EC">
        <w:rPr>
          <w:rFonts w:ascii="Perpetua" w:hAnsi="Perpetua"/>
          <w:lang w:val="en-GB"/>
        </w:rPr>
        <w:t>e</w:t>
      </w:r>
      <w:r w:rsidRPr="005375E0">
        <w:rPr>
          <w:rFonts w:ascii="Perpetua" w:hAnsi="Perpetua"/>
          <w:lang w:val="en-GB"/>
        </w:rPr>
        <w:t xml:space="preserve"> Dakolias, M. (1999), Comparative International Study of Court Performance Indicators – A Descriptive and Analytical Account, </w:t>
      </w:r>
      <w:smartTag w:uri="urn:schemas-microsoft-com:office:smarttags" w:element="place">
        <w:smartTag w:uri="urn:schemas-microsoft-com:office:smarttags" w:element="City">
          <w:r w:rsidRPr="005375E0">
            <w:rPr>
              <w:rFonts w:ascii="Perpetua" w:hAnsi="Perpetua"/>
              <w:lang w:val="en-GB"/>
            </w:rPr>
            <w:t>Washington</w:t>
          </w:r>
        </w:smartTag>
        <w:r w:rsidRPr="005375E0">
          <w:rPr>
            <w:rFonts w:ascii="Perpetua" w:hAnsi="Perpetua"/>
            <w:lang w:val="en-GB"/>
          </w:rPr>
          <w:t xml:space="preserve"> </w:t>
        </w:r>
        <w:smartTag w:uri="urn:schemas-microsoft-com:office:smarttags" w:element="State">
          <w:r w:rsidRPr="005375E0">
            <w:rPr>
              <w:rFonts w:ascii="Perpetua" w:hAnsi="Perpetua"/>
              <w:lang w:val="en-GB"/>
            </w:rPr>
            <w:t>D.C.</w:t>
          </w:r>
        </w:smartTag>
      </w:smartTag>
      <w:r w:rsidRPr="005375E0">
        <w:rPr>
          <w:rFonts w:ascii="Perpetua" w:hAnsi="Perpetua"/>
          <w:lang w:val="en-GB"/>
        </w:rPr>
        <w:t xml:space="preserve">: Legal and Judicial Reform Unit, Legal Department, </w:t>
      </w:r>
      <w:proofErr w:type="gramStart"/>
      <w:r w:rsidRPr="005375E0">
        <w:rPr>
          <w:rFonts w:ascii="Perpetua" w:hAnsi="Perpetua"/>
          <w:lang w:val="en-GB"/>
        </w:rPr>
        <w:t>The</w:t>
      </w:r>
      <w:proofErr w:type="gramEnd"/>
      <w:r w:rsidRPr="005375E0">
        <w:rPr>
          <w:rFonts w:ascii="Perpetua" w:hAnsi="Perpetua"/>
          <w:lang w:val="en-GB"/>
        </w:rPr>
        <w:t xml:space="preserve"> World Bank.</w:t>
      </w:r>
    </w:p>
    <w:p w:rsidR="009B63F1" w:rsidRDefault="009B63F1" w:rsidP="009B63F1">
      <w:pPr>
        <w:spacing w:line="360" w:lineRule="auto"/>
        <w:jc w:val="both"/>
        <w:rPr>
          <w:rFonts w:ascii="Perpetua" w:hAnsi="Perpetua"/>
          <w:lang w:val="en-GB"/>
        </w:rPr>
      </w:pPr>
    </w:p>
    <w:p w:rsidR="009B63F1" w:rsidRPr="00403A3A" w:rsidRDefault="009B63F1" w:rsidP="009B63F1">
      <w:pPr>
        <w:spacing w:line="360" w:lineRule="auto"/>
        <w:jc w:val="both"/>
        <w:rPr>
          <w:rFonts w:ascii="Perpetua" w:hAnsi="Perpetua"/>
        </w:rPr>
      </w:pPr>
      <w:r>
        <w:rPr>
          <w:rFonts w:ascii="Perpetua" w:hAnsi="Perpetua"/>
        </w:rPr>
        <w:t xml:space="preserve">Centeno, M. </w:t>
      </w:r>
      <w:r w:rsidR="003A79EC">
        <w:rPr>
          <w:rFonts w:ascii="Perpetua" w:hAnsi="Perpetua"/>
        </w:rPr>
        <w:t>e</w:t>
      </w:r>
      <w:r>
        <w:rPr>
          <w:rFonts w:ascii="Perpetua" w:hAnsi="Perpetua"/>
        </w:rPr>
        <w:t xml:space="preserve"> Pereira, M. C. (2005), </w:t>
      </w:r>
      <w:r w:rsidRPr="00B528A3">
        <w:rPr>
          <w:rFonts w:ascii="Perpetua" w:hAnsi="Perpetua"/>
        </w:rPr>
        <w:t>Caracterização e determinantes das remunerações na Administração Pública em Portugal</w:t>
      </w:r>
      <w:r>
        <w:rPr>
          <w:rFonts w:ascii="Perpetua" w:hAnsi="Perpetua"/>
        </w:rPr>
        <w:t>, Boletim Económico, Outono de 2005, Lisboa: Banco de Portugal.</w:t>
      </w:r>
    </w:p>
    <w:p w:rsidR="009B63F1" w:rsidRDefault="009B63F1" w:rsidP="009B63F1">
      <w:pPr>
        <w:spacing w:line="360" w:lineRule="auto"/>
        <w:jc w:val="both"/>
        <w:rPr>
          <w:rFonts w:ascii="Perpetua" w:hAnsi="Perpetua"/>
        </w:rPr>
      </w:pPr>
    </w:p>
    <w:p w:rsidR="00D83647" w:rsidRPr="005375E0" w:rsidRDefault="00D83647" w:rsidP="00D83647">
      <w:pPr>
        <w:spacing w:line="360" w:lineRule="auto"/>
        <w:jc w:val="both"/>
        <w:rPr>
          <w:rFonts w:ascii="Perpetua" w:hAnsi="Perpetua"/>
          <w:lang w:val="en-GB"/>
        </w:rPr>
      </w:pPr>
      <w:r w:rsidRPr="005375E0">
        <w:rPr>
          <w:rFonts w:ascii="Perpetua" w:hAnsi="Perpetua"/>
          <w:lang w:val="en-GB"/>
        </w:rPr>
        <w:t>CEPEJ</w:t>
      </w:r>
      <w:r>
        <w:rPr>
          <w:rFonts w:ascii="Perpetua" w:hAnsi="Perpetua"/>
          <w:lang w:val="en-GB"/>
        </w:rPr>
        <w:t xml:space="preserve"> – </w:t>
      </w:r>
      <w:r w:rsidR="00F4409C">
        <w:rPr>
          <w:rFonts w:ascii="Perpetua" w:hAnsi="Perpetua"/>
          <w:lang w:val="en-GB"/>
        </w:rPr>
        <w:t xml:space="preserve">The </w:t>
      </w:r>
      <w:r w:rsidRPr="005375E0">
        <w:rPr>
          <w:rFonts w:ascii="Perpetua" w:hAnsi="Perpetua"/>
          <w:lang w:val="en-GB"/>
        </w:rPr>
        <w:t xml:space="preserve">European Commission for the Efficiency of Justice (2006), European Judicial Systems (2004 data), </w:t>
      </w:r>
      <w:smartTag w:uri="urn:schemas-microsoft-com:office:smarttags" w:element="City">
        <w:smartTag w:uri="urn:schemas-microsoft-com:office:smarttags" w:element="place">
          <w:r w:rsidR="00F4409C">
            <w:rPr>
              <w:rFonts w:ascii="Perpetua" w:hAnsi="Perpetua"/>
              <w:lang w:val="en-GB"/>
            </w:rPr>
            <w:t>Strasbourg</w:t>
          </w:r>
        </w:smartTag>
      </w:smartTag>
      <w:r w:rsidRPr="005375E0">
        <w:rPr>
          <w:rFonts w:ascii="Perpetua" w:hAnsi="Perpetua"/>
          <w:lang w:val="en-GB"/>
        </w:rPr>
        <w:t>: Council of Europe.</w:t>
      </w:r>
    </w:p>
    <w:p w:rsidR="00D83647" w:rsidRPr="00D83647" w:rsidRDefault="00D83647" w:rsidP="009B63F1">
      <w:pPr>
        <w:spacing w:line="360" w:lineRule="auto"/>
        <w:jc w:val="both"/>
        <w:rPr>
          <w:rFonts w:ascii="Perpetua" w:hAnsi="Perpetua"/>
          <w:lang w:val="en-GB"/>
        </w:rPr>
      </w:pPr>
    </w:p>
    <w:p w:rsidR="00D83647" w:rsidRPr="005375E0" w:rsidRDefault="00D83647" w:rsidP="00D83647">
      <w:pPr>
        <w:spacing w:line="360" w:lineRule="auto"/>
        <w:jc w:val="both"/>
        <w:rPr>
          <w:rFonts w:ascii="Perpetua" w:hAnsi="Perpetua"/>
          <w:lang w:val="en-GB"/>
        </w:rPr>
      </w:pPr>
      <w:r w:rsidRPr="005375E0">
        <w:rPr>
          <w:rFonts w:ascii="Perpetua" w:hAnsi="Perpetua"/>
          <w:lang w:val="en-GB"/>
        </w:rPr>
        <w:t>CEPEJ</w:t>
      </w:r>
      <w:r>
        <w:rPr>
          <w:rFonts w:ascii="Perpetua" w:hAnsi="Perpetua"/>
          <w:lang w:val="en-GB"/>
        </w:rPr>
        <w:t xml:space="preserve"> – </w:t>
      </w:r>
      <w:r w:rsidR="00F4409C">
        <w:rPr>
          <w:rFonts w:ascii="Perpetua" w:hAnsi="Perpetua"/>
          <w:lang w:val="en-GB"/>
        </w:rPr>
        <w:t xml:space="preserve">The </w:t>
      </w:r>
      <w:r w:rsidRPr="005375E0">
        <w:rPr>
          <w:rFonts w:ascii="Perpetua" w:hAnsi="Perpetua"/>
          <w:lang w:val="en-GB"/>
        </w:rPr>
        <w:t>European Commission for the Efficiency of Justice (2006</w:t>
      </w:r>
      <w:r>
        <w:rPr>
          <w:rFonts w:ascii="Perpetua" w:hAnsi="Perpetua"/>
          <w:lang w:val="en-GB"/>
        </w:rPr>
        <w:t>a</w:t>
      </w:r>
      <w:r w:rsidRPr="005375E0">
        <w:rPr>
          <w:rFonts w:ascii="Perpetua" w:hAnsi="Perpetua"/>
          <w:lang w:val="en-GB"/>
        </w:rPr>
        <w:t xml:space="preserve">), </w:t>
      </w:r>
      <w:smartTag w:uri="urn:schemas-microsoft-com:office:smarttags" w:element="country-region">
        <w:r>
          <w:rPr>
            <w:rFonts w:ascii="Perpetua" w:hAnsi="Perpetua"/>
            <w:lang w:val="en-GB"/>
          </w:rPr>
          <w:t>Portugal</w:t>
        </w:r>
      </w:smartTag>
      <w:r>
        <w:rPr>
          <w:rFonts w:ascii="Perpetua" w:hAnsi="Perpetua"/>
          <w:lang w:val="en-GB"/>
        </w:rPr>
        <w:t xml:space="preserve"> - Answer to the Revised Scheme for Evaluating Judicial Systems</w:t>
      </w:r>
      <w:r w:rsidRPr="005375E0">
        <w:rPr>
          <w:rFonts w:ascii="Perpetua" w:hAnsi="Perpetua"/>
          <w:lang w:val="en-GB"/>
        </w:rPr>
        <w:t xml:space="preserve"> (2004 data), </w:t>
      </w:r>
      <w:smartTag w:uri="urn:schemas-microsoft-com:office:smarttags" w:element="City">
        <w:smartTag w:uri="urn:schemas-microsoft-com:office:smarttags" w:element="place">
          <w:r w:rsidR="00F4409C">
            <w:rPr>
              <w:rFonts w:ascii="Perpetua" w:hAnsi="Perpetua"/>
              <w:lang w:val="en-GB"/>
            </w:rPr>
            <w:t>Strasbourg</w:t>
          </w:r>
        </w:smartTag>
      </w:smartTag>
      <w:r w:rsidR="00F4409C" w:rsidRPr="005375E0">
        <w:rPr>
          <w:rFonts w:ascii="Perpetua" w:hAnsi="Perpetua"/>
          <w:lang w:val="en-GB"/>
        </w:rPr>
        <w:t>:</w:t>
      </w:r>
      <w:r w:rsidR="00F4409C">
        <w:rPr>
          <w:rFonts w:ascii="Perpetua" w:hAnsi="Perpetua"/>
          <w:lang w:val="en-GB"/>
        </w:rPr>
        <w:t xml:space="preserve"> Council of Europe</w:t>
      </w:r>
    </w:p>
    <w:p w:rsidR="00D83647" w:rsidRPr="00D83647" w:rsidRDefault="00D83647" w:rsidP="009B63F1">
      <w:pPr>
        <w:spacing w:line="360" w:lineRule="auto"/>
        <w:jc w:val="both"/>
        <w:rPr>
          <w:rFonts w:ascii="Perpetua" w:hAnsi="Perpetua"/>
          <w:lang w:val="en-GB"/>
        </w:rPr>
      </w:pPr>
    </w:p>
    <w:p w:rsidR="009B63F1" w:rsidRPr="00F546F3" w:rsidRDefault="009B63F1" w:rsidP="009B63F1">
      <w:pPr>
        <w:spacing w:line="360" w:lineRule="auto"/>
        <w:jc w:val="both"/>
        <w:rPr>
          <w:rFonts w:ascii="Perpetua" w:hAnsi="Perpetua"/>
          <w:lang w:val="en-GB"/>
        </w:rPr>
      </w:pPr>
      <w:proofErr w:type="gramStart"/>
      <w:r w:rsidRPr="00F546F3">
        <w:rPr>
          <w:rFonts w:ascii="Perpetua" w:hAnsi="Perpetua"/>
          <w:lang w:val="en-GB"/>
        </w:rPr>
        <w:t xml:space="preserve">Coelli, T. </w:t>
      </w:r>
      <w:r>
        <w:rPr>
          <w:rFonts w:ascii="Perpetua" w:hAnsi="Perpetua"/>
          <w:lang w:val="en-GB"/>
        </w:rPr>
        <w:t xml:space="preserve">J. </w:t>
      </w:r>
      <w:r w:rsidRPr="00F546F3">
        <w:rPr>
          <w:rFonts w:ascii="Perpetua" w:hAnsi="Perpetua"/>
          <w:lang w:val="en-GB"/>
        </w:rPr>
        <w:t xml:space="preserve">(2000), </w:t>
      </w:r>
      <w:r>
        <w:rPr>
          <w:rFonts w:ascii="Perpetua" w:hAnsi="Perpetua"/>
          <w:lang w:val="en-GB"/>
        </w:rPr>
        <w:t>‘</w:t>
      </w:r>
      <w:r w:rsidRPr="00885304">
        <w:rPr>
          <w:rFonts w:ascii="Perpetua" w:hAnsi="Perpetua"/>
          <w:lang w:val="en-GB"/>
        </w:rPr>
        <w:t>On the econometric estimation of the distance function representation of a production technology’</w:t>
      </w:r>
      <w:r>
        <w:rPr>
          <w:rFonts w:ascii="Perpetua" w:hAnsi="Perpetua"/>
          <w:lang w:val="en-GB"/>
        </w:rPr>
        <w:t xml:space="preserve">, </w:t>
      </w:r>
      <w:r w:rsidRPr="00F546F3">
        <w:rPr>
          <w:rFonts w:ascii="Perpetua" w:hAnsi="Perpetua"/>
          <w:lang w:val="en-GB"/>
        </w:rPr>
        <w:t>CORE Discussion Paper</w:t>
      </w:r>
      <w:r>
        <w:rPr>
          <w:rFonts w:ascii="Perpetua" w:hAnsi="Perpetua"/>
          <w:lang w:val="en-GB"/>
        </w:rPr>
        <w:t xml:space="preserve"> 2000/42, Université</w:t>
      </w:r>
      <w:r w:rsidRPr="00F546F3">
        <w:rPr>
          <w:rFonts w:ascii="Perpetua" w:hAnsi="Perpetua"/>
          <w:lang w:val="en-GB"/>
        </w:rPr>
        <w:t xml:space="preserve"> Catholique de Louvain</w:t>
      </w:r>
      <w:r>
        <w:rPr>
          <w:rFonts w:ascii="Perpetua" w:hAnsi="Perpetua"/>
          <w:lang w:val="en-GB"/>
        </w:rPr>
        <w:t>.</w:t>
      </w:r>
      <w:proofErr w:type="gramEnd"/>
    </w:p>
    <w:p w:rsidR="009B63F1" w:rsidRPr="00F546F3" w:rsidRDefault="009B63F1" w:rsidP="009B63F1">
      <w:pPr>
        <w:spacing w:line="360" w:lineRule="auto"/>
        <w:jc w:val="both"/>
        <w:rPr>
          <w:rFonts w:ascii="Perpetua" w:hAnsi="Perpetua"/>
          <w:lang w:val="en-GB"/>
        </w:rPr>
      </w:pPr>
    </w:p>
    <w:p w:rsidR="009B63F1" w:rsidRPr="009516D7" w:rsidRDefault="009B63F1" w:rsidP="009B63F1">
      <w:pPr>
        <w:spacing w:line="360" w:lineRule="auto"/>
        <w:jc w:val="both"/>
        <w:rPr>
          <w:rFonts w:ascii="Perpetua" w:hAnsi="Perpetua"/>
          <w:lang w:val="en-GB"/>
        </w:rPr>
      </w:pPr>
      <w:r w:rsidRPr="009516D7">
        <w:rPr>
          <w:rFonts w:ascii="Perpetua" w:hAnsi="Perpetua"/>
          <w:lang w:val="en-GB"/>
        </w:rPr>
        <w:t>Coelli, T.</w:t>
      </w:r>
      <w:r>
        <w:rPr>
          <w:rFonts w:ascii="Perpetua" w:hAnsi="Perpetua"/>
          <w:lang w:val="en-GB"/>
        </w:rPr>
        <w:t xml:space="preserve"> J.</w:t>
      </w:r>
      <w:r w:rsidRPr="009516D7">
        <w:rPr>
          <w:rFonts w:ascii="Perpetua" w:hAnsi="Perpetua"/>
          <w:lang w:val="en-GB"/>
        </w:rPr>
        <w:t>, Prasada, Rao</w:t>
      </w:r>
      <w:r>
        <w:rPr>
          <w:rFonts w:ascii="Perpetua" w:hAnsi="Perpetua"/>
          <w:lang w:val="en-GB"/>
        </w:rPr>
        <w:t xml:space="preserve"> D. S., Battese, G. (1998), </w:t>
      </w:r>
      <w:proofErr w:type="gramStart"/>
      <w:r>
        <w:rPr>
          <w:rFonts w:ascii="Perpetua" w:hAnsi="Perpetua"/>
          <w:lang w:val="en-GB"/>
        </w:rPr>
        <w:t>An</w:t>
      </w:r>
      <w:proofErr w:type="gramEnd"/>
      <w:r>
        <w:rPr>
          <w:rFonts w:ascii="Perpetua" w:hAnsi="Perpetua"/>
          <w:lang w:val="en-GB"/>
        </w:rPr>
        <w:t xml:space="preserve"> Introduction to Efficiency and Productivity A</w:t>
      </w:r>
      <w:r w:rsidRPr="009516D7">
        <w:rPr>
          <w:rFonts w:ascii="Perpetua" w:hAnsi="Perpetua"/>
          <w:lang w:val="en-GB"/>
        </w:rPr>
        <w:t xml:space="preserve">nalysis, </w:t>
      </w:r>
      <w:smartTag w:uri="urn:schemas-microsoft-com:office:smarttags" w:element="State">
        <w:smartTag w:uri="urn:schemas-microsoft-com:office:smarttags" w:element="place">
          <w:r w:rsidRPr="009516D7">
            <w:rPr>
              <w:rFonts w:ascii="Perpetua" w:hAnsi="Perpetua"/>
              <w:lang w:val="en-GB"/>
            </w:rPr>
            <w:t>Massachusetts</w:t>
          </w:r>
        </w:smartTag>
      </w:smartTag>
      <w:r w:rsidRPr="009516D7">
        <w:rPr>
          <w:rFonts w:ascii="Perpetua" w:hAnsi="Perpetua"/>
          <w:lang w:val="en-GB"/>
        </w:rPr>
        <w:t xml:space="preserve">: Kluwer Academic Publishers. </w:t>
      </w:r>
    </w:p>
    <w:p w:rsidR="009B63F1" w:rsidRDefault="009B63F1" w:rsidP="009B63F1">
      <w:pPr>
        <w:spacing w:line="360" w:lineRule="auto"/>
        <w:jc w:val="both"/>
        <w:rPr>
          <w:rFonts w:ascii="Perpetua" w:hAnsi="Perpetua"/>
          <w:lang w:val="en-GB"/>
        </w:rPr>
      </w:pPr>
    </w:p>
    <w:p w:rsidR="009B63F1" w:rsidRPr="00C842B0" w:rsidRDefault="009B63F1" w:rsidP="009B63F1">
      <w:pPr>
        <w:spacing w:line="360" w:lineRule="auto"/>
        <w:jc w:val="both"/>
        <w:rPr>
          <w:rFonts w:ascii="Perpetua" w:hAnsi="Perpetua" w:cs="Arial"/>
          <w:lang w:val="en-GB"/>
        </w:rPr>
      </w:pPr>
      <w:r w:rsidRPr="00C842B0">
        <w:rPr>
          <w:rFonts w:ascii="Perpetua" w:hAnsi="Perpetua" w:cs="Arial"/>
          <w:lang w:val="en-GB"/>
        </w:rPr>
        <w:t xml:space="preserve">Cooter, R. D. (1983), </w:t>
      </w:r>
      <w:r>
        <w:rPr>
          <w:rFonts w:ascii="Perpetua" w:hAnsi="Perpetua" w:cs="Arial"/>
          <w:lang w:val="en-GB"/>
        </w:rPr>
        <w:t>‘</w:t>
      </w:r>
      <w:proofErr w:type="gramStart"/>
      <w:r w:rsidRPr="00C842B0">
        <w:rPr>
          <w:rFonts w:ascii="Perpetua" w:hAnsi="Perpetua" w:cs="Arial"/>
          <w:lang w:val="en-GB"/>
        </w:rPr>
        <w:t>The</w:t>
      </w:r>
      <w:proofErr w:type="gramEnd"/>
      <w:r w:rsidRPr="00C842B0">
        <w:rPr>
          <w:rFonts w:ascii="Perpetua" w:hAnsi="Perpetua" w:cs="Arial"/>
          <w:lang w:val="en-GB"/>
        </w:rPr>
        <w:t xml:space="preserve"> </w:t>
      </w:r>
      <w:r w:rsidR="002E55FE">
        <w:rPr>
          <w:rFonts w:ascii="Perpetua" w:hAnsi="Perpetua" w:cs="Arial"/>
          <w:lang w:val="en-GB"/>
        </w:rPr>
        <w:t>O</w:t>
      </w:r>
      <w:r w:rsidRPr="00C842B0">
        <w:rPr>
          <w:rFonts w:ascii="Perpetua" w:hAnsi="Perpetua" w:cs="Arial"/>
          <w:lang w:val="en-GB"/>
        </w:rPr>
        <w:t xml:space="preserve">bjectives of </w:t>
      </w:r>
      <w:r w:rsidR="002E55FE">
        <w:rPr>
          <w:rFonts w:ascii="Perpetua" w:hAnsi="Perpetua" w:cs="Arial"/>
          <w:lang w:val="en-GB"/>
        </w:rPr>
        <w:t>P</w:t>
      </w:r>
      <w:r w:rsidRPr="00C842B0">
        <w:rPr>
          <w:rFonts w:ascii="Perpetua" w:hAnsi="Perpetua" w:cs="Arial"/>
          <w:lang w:val="en-GB"/>
        </w:rPr>
        <w:t xml:space="preserve">rivate and </w:t>
      </w:r>
      <w:r w:rsidR="002E55FE">
        <w:rPr>
          <w:rFonts w:ascii="Perpetua" w:hAnsi="Perpetua" w:cs="Arial"/>
          <w:lang w:val="en-GB"/>
        </w:rPr>
        <w:t>P</w:t>
      </w:r>
      <w:r w:rsidRPr="00C842B0">
        <w:rPr>
          <w:rFonts w:ascii="Perpetua" w:hAnsi="Perpetua" w:cs="Arial"/>
          <w:lang w:val="en-GB"/>
        </w:rPr>
        <w:t xml:space="preserve">ublic </w:t>
      </w:r>
      <w:r w:rsidR="002E55FE">
        <w:rPr>
          <w:rFonts w:ascii="Perpetua" w:hAnsi="Perpetua" w:cs="Arial"/>
          <w:lang w:val="en-GB"/>
        </w:rPr>
        <w:t>J</w:t>
      </w:r>
      <w:r w:rsidRPr="00C842B0">
        <w:rPr>
          <w:rFonts w:ascii="Perpetua" w:hAnsi="Perpetua" w:cs="Arial"/>
          <w:lang w:val="en-GB"/>
        </w:rPr>
        <w:t>udges</w:t>
      </w:r>
      <w:r>
        <w:rPr>
          <w:rFonts w:ascii="Perpetua" w:hAnsi="Perpetua" w:cs="Arial"/>
          <w:lang w:val="en-GB"/>
        </w:rPr>
        <w:t>’</w:t>
      </w:r>
      <w:r w:rsidRPr="00C842B0">
        <w:rPr>
          <w:rFonts w:ascii="Perpetua" w:hAnsi="Perpetua" w:cs="Arial"/>
          <w:lang w:val="en-GB"/>
        </w:rPr>
        <w:t xml:space="preserve">, </w:t>
      </w:r>
      <w:r w:rsidRPr="00C842B0">
        <w:rPr>
          <w:rFonts w:ascii="Perpetua" w:hAnsi="Perpetua" w:cs="Arial"/>
          <w:i/>
          <w:lang w:val="en-GB"/>
        </w:rPr>
        <w:t>Public Choice</w:t>
      </w:r>
      <w:r>
        <w:rPr>
          <w:rFonts w:ascii="Perpetua" w:hAnsi="Perpetua" w:cs="Arial"/>
          <w:lang w:val="en-GB"/>
        </w:rPr>
        <w:t>, 41, pp. 107-137.</w:t>
      </w:r>
    </w:p>
    <w:p w:rsidR="009B63F1" w:rsidRPr="00C842B0" w:rsidRDefault="009B63F1" w:rsidP="009B63F1">
      <w:pPr>
        <w:spacing w:line="360" w:lineRule="auto"/>
        <w:jc w:val="both"/>
        <w:rPr>
          <w:rFonts w:ascii="Perpetua" w:hAnsi="Perpetua" w:cs="Arial"/>
          <w:lang w:val="en-GB"/>
        </w:rPr>
      </w:pPr>
    </w:p>
    <w:p w:rsidR="009B63F1" w:rsidRPr="005375E0" w:rsidRDefault="009B63F1" w:rsidP="009B63F1">
      <w:pPr>
        <w:spacing w:line="360" w:lineRule="auto"/>
        <w:jc w:val="both"/>
        <w:rPr>
          <w:rFonts w:ascii="Perpetua" w:hAnsi="Perpetua" w:cs="Arial"/>
        </w:rPr>
      </w:pPr>
      <w:r w:rsidRPr="005375E0">
        <w:rPr>
          <w:rFonts w:ascii="Perpetua" w:hAnsi="Perpetua" w:cs="Arial"/>
        </w:rPr>
        <w:t xml:space="preserve">Costa, S. </w:t>
      </w:r>
      <w:r w:rsidR="003A79EC">
        <w:rPr>
          <w:rFonts w:ascii="Perpetua" w:hAnsi="Perpetua" w:cs="Arial"/>
        </w:rPr>
        <w:t>e</w:t>
      </w:r>
      <w:r w:rsidRPr="005375E0">
        <w:rPr>
          <w:rFonts w:ascii="Perpetua" w:hAnsi="Perpetua" w:cs="Arial"/>
        </w:rPr>
        <w:t xml:space="preserve"> Cunha, R. C. (2003), Organização Judiciária e Estatutos Profissionais Forenses, Coimbra: Almedina</w:t>
      </w:r>
      <w:r>
        <w:rPr>
          <w:rFonts w:ascii="Perpetua" w:hAnsi="Perpetua" w:cs="Arial"/>
        </w:rPr>
        <w:t>.</w:t>
      </w:r>
      <w:r w:rsidRPr="005375E0">
        <w:rPr>
          <w:rFonts w:ascii="Perpetua" w:hAnsi="Perpetua" w:cs="Arial"/>
        </w:rPr>
        <w:t xml:space="preserve"> </w:t>
      </w:r>
    </w:p>
    <w:p w:rsidR="009B63F1" w:rsidRPr="008553A5" w:rsidRDefault="009B63F1"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Dakolias, M. (1999), Court Performance Around the World – A comparative perspective, World Bank Technical Paper n. º 430, Washington D. C.: The World Bank.</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De Figueiredo, J. M. </w:t>
      </w:r>
      <w:r w:rsidR="003A79EC">
        <w:rPr>
          <w:rFonts w:ascii="Perpetua" w:hAnsi="Perpetua"/>
          <w:lang w:val="en-GB"/>
        </w:rPr>
        <w:t>e</w:t>
      </w:r>
      <w:r w:rsidRPr="005375E0">
        <w:rPr>
          <w:rFonts w:ascii="Perpetua" w:hAnsi="Perpetua"/>
          <w:lang w:val="en-GB"/>
        </w:rPr>
        <w:t xml:space="preserve"> Tille</w:t>
      </w:r>
      <w:r w:rsidR="002E55FE">
        <w:rPr>
          <w:rFonts w:ascii="Perpetua" w:hAnsi="Perpetua"/>
          <w:lang w:val="en-GB"/>
        </w:rPr>
        <w:t>r E. H. (1996), ‘Congressional Control of the Courts: a T</w:t>
      </w:r>
      <w:r w:rsidRPr="005375E0">
        <w:rPr>
          <w:rFonts w:ascii="Perpetua" w:hAnsi="Perpetua"/>
          <w:lang w:val="en-GB"/>
        </w:rPr>
        <w:t xml:space="preserve">heoretical and </w:t>
      </w:r>
      <w:r w:rsidR="002E55FE">
        <w:rPr>
          <w:rFonts w:ascii="Perpetua" w:hAnsi="Perpetua"/>
          <w:lang w:val="en-GB"/>
        </w:rPr>
        <w:t>Empirical Analysis of the Expansion of the J</w:t>
      </w:r>
      <w:r w:rsidRPr="005375E0">
        <w:rPr>
          <w:rFonts w:ascii="Perpetua" w:hAnsi="Perpetua"/>
          <w:lang w:val="en-GB"/>
        </w:rPr>
        <w:t xml:space="preserve">udiciary’, </w:t>
      </w:r>
      <w:r w:rsidRPr="005375E0">
        <w:rPr>
          <w:rFonts w:ascii="Perpetua" w:hAnsi="Perpetua"/>
          <w:i/>
          <w:lang w:val="en-GB"/>
        </w:rPr>
        <w:t>Journal of Law and Economics</w:t>
      </w:r>
      <w:r w:rsidRPr="005375E0">
        <w:rPr>
          <w:rFonts w:ascii="Perpetua" w:hAnsi="Perpetua"/>
          <w:lang w:val="en-GB"/>
        </w:rPr>
        <w:t xml:space="preserve">, 34, pp. 435-462.   </w:t>
      </w:r>
    </w:p>
    <w:p w:rsidR="009B63F1" w:rsidRDefault="009B63F1" w:rsidP="009B63F1">
      <w:pPr>
        <w:spacing w:line="360" w:lineRule="auto"/>
        <w:jc w:val="both"/>
        <w:rPr>
          <w:rFonts w:ascii="Perpetua" w:hAnsi="Perpetua"/>
          <w:lang w:val="en-GB"/>
        </w:rPr>
      </w:pPr>
    </w:p>
    <w:p w:rsidR="009B63F1" w:rsidRPr="004423B1" w:rsidRDefault="009B63F1" w:rsidP="009B63F1">
      <w:pPr>
        <w:spacing w:line="360" w:lineRule="auto"/>
        <w:jc w:val="both"/>
        <w:rPr>
          <w:rFonts w:ascii="Perpetua" w:hAnsi="Perpetua"/>
          <w:lang w:val="en-US"/>
        </w:rPr>
      </w:pPr>
      <w:r w:rsidRPr="004423B1">
        <w:rPr>
          <w:rFonts w:ascii="Perpetua" w:hAnsi="Perpetua"/>
          <w:lang w:val="en-US"/>
        </w:rPr>
        <w:t xml:space="preserve">Farrel, M. J. (1957), “The Measurement of Productive Efficiency”, </w:t>
      </w:r>
      <w:r w:rsidRPr="004423B1">
        <w:rPr>
          <w:rFonts w:ascii="Perpetua" w:hAnsi="Perpetua"/>
          <w:i/>
          <w:lang w:val="en-US"/>
        </w:rPr>
        <w:t>Journal of the Royal Statistical Society</w:t>
      </w:r>
      <w:r>
        <w:rPr>
          <w:rFonts w:ascii="Perpetua" w:hAnsi="Perpetua"/>
          <w:lang w:val="en-US"/>
        </w:rPr>
        <w:t xml:space="preserve">, </w:t>
      </w:r>
      <w:r w:rsidRPr="004423B1">
        <w:rPr>
          <w:rFonts w:ascii="Perpetua" w:hAnsi="Perpetua"/>
          <w:i/>
          <w:lang w:val="en-US"/>
        </w:rPr>
        <w:t>Series A</w:t>
      </w:r>
      <w:r>
        <w:rPr>
          <w:rFonts w:ascii="Perpetua" w:hAnsi="Perpetua"/>
          <w:lang w:val="en-US"/>
        </w:rPr>
        <w:t>, CXX, Part 3, 253-290.</w:t>
      </w:r>
      <w:r w:rsidRPr="004423B1">
        <w:rPr>
          <w:rFonts w:ascii="Perpetua" w:hAnsi="Perpetua"/>
          <w:lang w:val="en-US"/>
        </w:rPr>
        <w:t xml:space="preserve"> </w:t>
      </w:r>
    </w:p>
    <w:p w:rsidR="009B63F1" w:rsidRPr="004423B1" w:rsidRDefault="009B63F1" w:rsidP="009B63F1">
      <w:pPr>
        <w:spacing w:line="360" w:lineRule="auto"/>
        <w:jc w:val="both"/>
        <w:rPr>
          <w:rFonts w:ascii="Perpetua" w:hAnsi="Perpetua"/>
          <w:lang w:val="en-US"/>
        </w:rPr>
      </w:pPr>
    </w:p>
    <w:p w:rsidR="009B63F1" w:rsidRPr="005375E0" w:rsidRDefault="009B63F1" w:rsidP="009B63F1">
      <w:pPr>
        <w:spacing w:line="360" w:lineRule="auto"/>
        <w:jc w:val="both"/>
        <w:rPr>
          <w:rFonts w:ascii="Perpetua" w:hAnsi="Perpetua"/>
        </w:rPr>
      </w:pPr>
      <w:r w:rsidRPr="005375E0">
        <w:rPr>
          <w:rFonts w:ascii="Perpetua" w:hAnsi="Perpetua"/>
        </w:rPr>
        <w:t xml:space="preserve">Garoupa, N., Simões, A. M. </w:t>
      </w:r>
      <w:r w:rsidR="003A79EC">
        <w:rPr>
          <w:rFonts w:ascii="Perpetua" w:hAnsi="Perpetua"/>
        </w:rPr>
        <w:t>e</w:t>
      </w:r>
      <w:r w:rsidR="00D34069">
        <w:rPr>
          <w:rFonts w:ascii="Perpetua" w:hAnsi="Perpetua"/>
        </w:rPr>
        <w:t xml:space="preserve"> Silveira</w:t>
      </w:r>
      <w:r w:rsidRPr="005375E0">
        <w:rPr>
          <w:rFonts w:ascii="Perpetua" w:hAnsi="Perpetua"/>
        </w:rPr>
        <w:t xml:space="preserve"> V. (2006), ‘Ineficiência do </w:t>
      </w:r>
      <w:r>
        <w:rPr>
          <w:rFonts w:ascii="Perpetua" w:hAnsi="Perpetua"/>
        </w:rPr>
        <w:t>S</w:t>
      </w:r>
      <w:r w:rsidRPr="005375E0">
        <w:rPr>
          <w:rFonts w:ascii="Perpetua" w:hAnsi="Perpetua"/>
        </w:rPr>
        <w:t xml:space="preserve">istema </w:t>
      </w:r>
      <w:r>
        <w:rPr>
          <w:rFonts w:ascii="Perpetua" w:hAnsi="Perpetua"/>
        </w:rPr>
        <w:t>J</w:t>
      </w:r>
      <w:r w:rsidRPr="005375E0">
        <w:rPr>
          <w:rFonts w:ascii="Perpetua" w:hAnsi="Perpetua"/>
        </w:rPr>
        <w:t xml:space="preserve">udicial em Portugal’, </w:t>
      </w:r>
      <w:r w:rsidRPr="005375E0">
        <w:rPr>
          <w:rFonts w:ascii="Perpetua" w:hAnsi="Perpetua"/>
          <w:i/>
        </w:rPr>
        <w:t xml:space="preserve">SubJudice – Justiça </w:t>
      </w:r>
      <w:r w:rsidR="003A79EC">
        <w:rPr>
          <w:rFonts w:ascii="Perpetua" w:hAnsi="Perpetua"/>
          <w:i/>
        </w:rPr>
        <w:t>e</w:t>
      </w:r>
      <w:r w:rsidRPr="005375E0">
        <w:rPr>
          <w:rFonts w:ascii="Perpetua" w:hAnsi="Perpetua"/>
          <w:i/>
        </w:rPr>
        <w:t xml:space="preserve"> Sociedade</w:t>
      </w:r>
      <w:r w:rsidRPr="005375E0">
        <w:rPr>
          <w:rFonts w:ascii="Perpetua" w:hAnsi="Perpetua"/>
        </w:rPr>
        <w:t>, n.º 34, Jan-Mar, Coimbra: Almedina.</w:t>
      </w:r>
    </w:p>
    <w:p w:rsidR="009B63F1" w:rsidRPr="005375E0" w:rsidRDefault="009B63F1"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cs="Arial"/>
        </w:rPr>
      </w:pPr>
      <w:r w:rsidRPr="005375E0">
        <w:rPr>
          <w:rFonts w:ascii="Perpetua" w:hAnsi="Perpetua" w:cs="Arial"/>
        </w:rPr>
        <w:t>Garoupa, N.</w:t>
      </w:r>
      <w:r w:rsidR="00D34069">
        <w:rPr>
          <w:rFonts w:ascii="Perpetua" w:hAnsi="Perpetua" w:cs="Arial"/>
        </w:rPr>
        <w:t>,</w:t>
      </w:r>
      <w:r w:rsidRPr="005375E0">
        <w:rPr>
          <w:rFonts w:ascii="Perpetua" w:hAnsi="Perpetua" w:cs="Arial"/>
        </w:rPr>
        <w:t xml:space="preserve"> Garcia, S. A., Vilaça, G. V. (2007), A Justiça Cível em Portugal: </w:t>
      </w:r>
      <w:r>
        <w:rPr>
          <w:rFonts w:ascii="Perpetua" w:hAnsi="Perpetua" w:cs="Arial"/>
        </w:rPr>
        <w:t>u</w:t>
      </w:r>
      <w:r w:rsidRPr="005375E0">
        <w:rPr>
          <w:rFonts w:ascii="Perpetua" w:hAnsi="Perpetua" w:cs="Arial"/>
        </w:rPr>
        <w:t xml:space="preserve">ma perspectiva quantitativa, Lisboa: Fundação Luso-Americana para o Desenvolvimento. </w:t>
      </w:r>
    </w:p>
    <w:p w:rsidR="009B63F1" w:rsidRPr="005375E0" w:rsidRDefault="009B63F1"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Gillespie, R. W. (1976), ‘The Production of Court Services: An Analysis of Scale Effects and Other Factors’, </w:t>
      </w:r>
      <w:r w:rsidRPr="005375E0">
        <w:rPr>
          <w:rFonts w:ascii="Perpetua" w:hAnsi="Perpetua"/>
          <w:i/>
          <w:lang w:val="en-GB"/>
        </w:rPr>
        <w:t>The Journal of Legal Studies</w:t>
      </w:r>
      <w:r w:rsidRPr="005375E0">
        <w:rPr>
          <w:rFonts w:ascii="Perpetua" w:hAnsi="Perpetua"/>
          <w:lang w:val="en-GB"/>
        </w:rPr>
        <w:t>, Vol. 5, No. 2, pp. 243-265.</w:t>
      </w:r>
    </w:p>
    <w:p w:rsidR="009B63F1" w:rsidRDefault="009B63F1" w:rsidP="009B63F1">
      <w:pPr>
        <w:spacing w:line="360" w:lineRule="auto"/>
        <w:jc w:val="both"/>
        <w:rPr>
          <w:rFonts w:ascii="Perpetua" w:hAnsi="Perpetua"/>
          <w:lang w:val="en-GB"/>
        </w:rPr>
      </w:pPr>
    </w:p>
    <w:p w:rsidR="009B63F1" w:rsidRDefault="009B63F1" w:rsidP="009B63F1">
      <w:pPr>
        <w:spacing w:line="360" w:lineRule="auto"/>
        <w:jc w:val="both"/>
        <w:rPr>
          <w:rFonts w:ascii="Perpetua" w:hAnsi="Perpetua"/>
          <w:lang w:val="en-GB"/>
        </w:rPr>
      </w:pPr>
      <w:r>
        <w:rPr>
          <w:rFonts w:ascii="Perpetua" w:hAnsi="Perpetua"/>
          <w:lang w:val="en-GB"/>
        </w:rPr>
        <w:t xml:space="preserve">Heathfield, D. F. </w:t>
      </w:r>
      <w:r w:rsidR="003A79EC">
        <w:rPr>
          <w:rFonts w:ascii="Perpetua" w:hAnsi="Perpetua"/>
          <w:lang w:val="en-GB"/>
        </w:rPr>
        <w:t>e</w:t>
      </w:r>
      <w:r>
        <w:rPr>
          <w:rFonts w:ascii="Perpetua" w:hAnsi="Perpetua"/>
          <w:lang w:val="en-GB"/>
        </w:rPr>
        <w:t xml:space="preserve"> Wibe, S. (1987), </w:t>
      </w:r>
      <w:proofErr w:type="gramStart"/>
      <w:r>
        <w:rPr>
          <w:rFonts w:ascii="Perpetua" w:hAnsi="Perpetua"/>
          <w:lang w:val="en-GB"/>
        </w:rPr>
        <w:t>An</w:t>
      </w:r>
      <w:proofErr w:type="gramEnd"/>
      <w:r>
        <w:rPr>
          <w:rFonts w:ascii="Perpetua" w:hAnsi="Perpetua"/>
          <w:lang w:val="en-GB"/>
        </w:rPr>
        <w:t xml:space="preserve"> Introduction to Cost and Production Functions, </w:t>
      </w:r>
      <w:smartTag w:uri="urn:schemas-microsoft-com:office:smarttags" w:element="City">
        <w:smartTag w:uri="urn:schemas-microsoft-com:office:smarttags" w:element="place">
          <w:r>
            <w:rPr>
              <w:rFonts w:ascii="Perpetua" w:hAnsi="Perpetua"/>
              <w:lang w:val="en-GB"/>
            </w:rPr>
            <w:t>London</w:t>
          </w:r>
        </w:smartTag>
      </w:smartTag>
      <w:r>
        <w:rPr>
          <w:rFonts w:ascii="Perpetua" w:hAnsi="Perpetua"/>
          <w:lang w:val="en-GB"/>
        </w:rPr>
        <w:t>: MacMillan Education Ltd.</w:t>
      </w:r>
    </w:p>
    <w:p w:rsidR="009B63F1" w:rsidRDefault="009B63F1" w:rsidP="009B63F1">
      <w:pPr>
        <w:spacing w:line="360" w:lineRule="auto"/>
        <w:jc w:val="both"/>
        <w:rPr>
          <w:rFonts w:ascii="Perpetua" w:hAnsi="Perpetua"/>
          <w:lang w:val="en-GB"/>
        </w:rPr>
      </w:pPr>
    </w:p>
    <w:p w:rsidR="009B63F1" w:rsidRPr="00807F27" w:rsidRDefault="009B63F1" w:rsidP="009B63F1">
      <w:pPr>
        <w:spacing w:line="360" w:lineRule="auto"/>
        <w:jc w:val="both"/>
        <w:rPr>
          <w:rFonts w:ascii="Perpetua" w:hAnsi="Perpetua"/>
        </w:rPr>
      </w:pPr>
      <w:r w:rsidRPr="00807F27">
        <w:rPr>
          <w:rFonts w:ascii="Perpetua" w:hAnsi="Perpetua"/>
        </w:rPr>
        <w:t>INE</w:t>
      </w:r>
      <w:r>
        <w:rPr>
          <w:rFonts w:ascii="Perpetua" w:hAnsi="Perpetua"/>
        </w:rPr>
        <w:t xml:space="preserve"> </w:t>
      </w:r>
      <w:r w:rsidRPr="00807F27">
        <w:rPr>
          <w:rFonts w:ascii="Perpetua" w:hAnsi="Perpetua"/>
        </w:rPr>
        <w:t>(2002</w:t>
      </w:r>
      <w:r>
        <w:rPr>
          <w:rFonts w:ascii="Perpetua" w:hAnsi="Perpetua"/>
        </w:rPr>
        <w:t xml:space="preserve">), Estudo sobre o Poder de Compra Concelhio, V, Coimbra: </w:t>
      </w:r>
      <w:r w:rsidRPr="00807F27">
        <w:rPr>
          <w:rFonts w:ascii="Perpetua" w:hAnsi="Perpetua"/>
        </w:rPr>
        <w:t>Instituto Nacional de Estatística</w:t>
      </w:r>
      <w:r>
        <w:rPr>
          <w:rFonts w:ascii="Perpetua" w:hAnsi="Perpetua"/>
        </w:rPr>
        <w:t>, Direcção Regional Centro.</w:t>
      </w:r>
    </w:p>
    <w:p w:rsidR="009B63F1" w:rsidRDefault="009B63F1" w:rsidP="009B63F1">
      <w:pPr>
        <w:spacing w:line="360" w:lineRule="auto"/>
        <w:jc w:val="both"/>
        <w:rPr>
          <w:rFonts w:ascii="Perpetua" w:hAnsi="Perpetua"/>
        </w:rPr>
      </w:pPr>
    </w:p>
    <w:p w:rsidR="004B3830" w:rsidRPr="004B3830" w:rsidRDefault="004B3830" w:rsidP="009B63F1">
      <w:pPr>
        <w:spacing w:line="360" w:lineRule="auto"/>
        <w:jc w:val="both"/>
        <w:rPr>
          <w:rFonts w:ascii="Perpetua" w:hAnsi="Perpetua"/>
          <w:lang w:val="en-US"/>
        </w:rPr>
      </w:pPr>
      <w:r>
        <w:rPr>
          <w:rFonts w:ascii="Perpetua" w:hAnsi="Perpetua"/>
          <w:lang w:val="en-US"/>
        </w:rPr>
        <w:t>Kittelsen, A. C. S.</w:t>
      </w:r>
      <w:r w:rsidR="00E3551E">
        <w:rPr>
          <w:rFonts w:ascii="Perpetua" w:hAnsi="Perpetua"/>
          <w:lang w:val="en-US"/>
        </w:rPr>
        <w:t xml:space="preserve"> </w:t>
      </w:r>
      <w:r w:rsidR="003A79EC">
        <w:rPr>
          <w:rFonts w:ascii="Perpetua" w:hAnsi="Perpetua"/>
          <w:lang w:val="en-US"/>
        </w:rPr>
        <w:t>e</w:t>
      </w:r>
      <w:r>
        <w:rPr>
          <w:rFonts w:ascii="Perpetua" w:hAnsi="Perpetua"/>
          <w:lang w:val="en-US"/>
        </w:rPr>
        <w:t xml:space="preserve"> F</w:t>
      </w:r>
      <w:r w:rsidR="00CB1C6C">
        <w:rPr>
          <w:rFonts w:ascii="Perpetua" w:hAnsi="Perpetua"/>
          <w:lang w:val="en-US"/>
        </w:rPr>
        <w:t>o</w:t>
      </w:r>
      <w:r>
        <w:rPr>
          <w:rFonts w:ascii="Perpetua" w:hAnsi="Perpetua"/>
          <w:lang w:val="en-US"/>
        </w:rPr>
        <w:t>r</w:t>
      </w:r>
      <w:r w:rsidR="00614B4C">
        <w:rPr>
          <w:rFonts w:ascii="Perpetua" w:hAnsi="Perpetua"/>
          <w:lang w:val="en-US"/>
        </w:rPr>
        <w:t>sund, F.R. (1992), ‘Efficiency Analysis of Norwegian District C</w:t>
      </w:r>
      <w:r w:rsidRPr="004B3830">
        <w:rPr>
          <w:rFonts w:ascii="Perpetua" w:hAnsi="Perpetua"/>
          <w:lang w:val="en-US"/>
        </w:rPr>
        <w:t xml:space="preserve">ourts’, </w:t>
      </w:r>
      <w:r w:rsidRPr="00614B4C">
        <w:rPr>
          <w:rFonts w:ascii="Perpetua" w:hAnsi="Perpetua"/>
          <w:i/>
          <w:lang w:val="en-US"/>
        </w:rPr>
        <w:t>The Journal of Productivity Analysis</w:t>
      </w:r>
      <w:r w:rsidRPr="004B3830">
        <w:rPr>
          <w:rFonts w:ascii="Perpetua" w:hAnsi="Perpetua"/>
          <w:lang w:val="en-US"/>
        </w:rPr>
        <w:t>, vol. 3, pp. 277-306.</w:t>
      </w:r>
    </w:p>
    <w:p w:rsidR="004B3830" w:rsidRPr="004B3830" w:rsidRDefault="004B3830" w:rsidP="009B63F1">
      <w:pPr>
        <w:spacing w:line="360" w:lineRule="auto"/>
        <w:jc w:val="both"/>
        <w:rPr>
          <w:rFonts w:ascii="Perpetua" w:hAnsi="Perpetua"/>
          <w:lang w:val="en-US"/>
        </w:rPr>
      </w:pPr>
    </w:p>
    <w:p w:rsidR="009B63F1" w:rsidRPr="005375E0" w:rsidRDefault="009B63F1" w:rsidP="009B63F1">
      <w:pPr>
        <w:spacing w:line="360" w:lineRule="auto"/>
        <w:jc w:val="both"/>
        <w:rPr>
          <w:rFonts w:ascii="Perpetua" w:hAnsi="Perpetua"/>
          <w:lang w:val="en-GB"/>
        </w:rPr>
      </w:pPr>
      <w:proofErr w:type="gramStart"/>
      <w:r w:rsidRPr="005375E0">
        <w:rPr>
          <w:rFonts w:ascii="Perpetua" w:hAnsi="Perpetua"/>
          <w:lang w:val="en-GB"/>
        </w:rPr>
        <w:t>Landes, W. M.</w:t>
      </w:r>
      <w:proofErr w:type="gramEnd"/>
      <w:r w:rsidRPr="005375E0">
        <w:rPr>
          <w:rFonts w:ascii="Perpetua" w:hAnsi="Perpetua"/>
          <w:lang w:val="en-GB"/>
        </w:rPr>
        <w:t xml:space="preserve">  (1971), ‘An Economic Analysis of the Courts’, </w:t>
      </w:r>
      <w:r w:rsidRPr="005375E0">
        <w:rPr>
          <w:rFonts w:ascii="Perpetua" w:hAnsi="Perpetua"/>
          <w:i/>
          <w:lang w:val="en-GB"/>
        </w:rPr>
        <w:t>Journal of Law and Economics</w:t>
      </w:r>
      <w:r w:rsidRPr="005375E0">
        <w:rPr>
          <w:rFonts w:ascii="Perpetua" w:hAnsi="Perpetua"/>
          <w:lang w:val="en-GB"/>
        </w:rPr>
        <w:t>, Vol. 14, No. 1, pp. 61-107.</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Landes, W. M. </w:t>
      </w:r>
      <w:r w:rsidR="003A79EC">
        <w:rPr>
          <w:rFonts w:ascii="Perpetua" w:hAnsi="Perpetua"/>
          <w:lang w:val="en-GB"/>
        </w:rPr>
        <w:t>e</w:t>
      </w:r>
      <w:r w:rsidRPr="005375E0">
        <w:rPr>
          <w:rFonts w:ascii="Perpetua" w:hAnsi="Perpetua"/>
          <w:lang w:val="en-GB"/>
        </w:rPr>
        <w:t xml:space="preserve"> Posner, R. A. (1979), ‘Adjudication as a Private Good’, </w:t>
      </w:r>
      <w:r w:rsidRPr="005375E0">
        <w:rPr>
          <w:rFonts w:ascii="Perpetua" w:hAnsi="Perpetua"/>
          <w:i/>
          <w:lang w:val="en-GB"/>
        </w:rPr>
        <w:t>The Journal of Legal Studies</w:t>
      </w:r>
      <w:r w:rsidRPr="005375E0">
        <w:rPr>
          <w:rFonts w:ascii="Perpetua" w:hAnsi="Perpetua"/>
          <w:lang w:val="en-GB"/>
        </w:rPr>
        <w:t xml:space="preserve">, Vol. 8, No. 2, Private Alternatives to the Judicial Process, pp. 235-284. </w:t>
      </w:r>
    </w:p>
    <w:p w:rsidR="009B63F1" w:rsidRDefault="009B63F1" w:rsidP="009B63F1">
      <w:pPr>
        <w:spacing w:line="360" w:lineRule="auto"/>
        <w:jc w:val="both"/>
        <w:rPr>
          <w:rFonts w:ascii="Perpetua" w:hAnsi="Perpetua"/>
          <w:lang w:val="en-GB"/>
        </w:rPr>
      </w:pPr>
    </w:p>
    <w:p w:rsidR="009B63F1" w:rsidRDefault="009B63F1" w:rsidP="009B63F1">
      <w:pPr>
        <w:spacing w:line="360" w:lineRule="auto"/>
        <w:jc w:val="both"/>
        <w:rPr>
          <w:rFonts w:ascii="Perpetua" w:hAnsi="Perpetua" w:cs="Arial"/>
          <w:lang w:val="en-US"/>
        </w:rPr>
      </w:pPr>
      <w:r w:rsidRPr="002D222B">
        <w:rPr>
          <w:rFonts w:ascii="Perpetua" w:hAnsi="Perpetua" w:cs="Arial"/>
          <w:lang w:val="en-US"/>
        </w:rPr>
        <w:t>Lewin, A.</w:t>
      </w:r>
      <w:r>
        <w:rPr>
          <w:rFonts w:ascii="Perpetua" w:hAnsi="Perpetua" w:cs="Arial"/>
          <w:lang w:val="en-US"/>
        </w:rPr>
        <w:t xml:space="preserve"> Y., </w:t>
      </w:r>
      <w:r w:rsidRPr="002D222B">
        <w:rPr>
          <w:rFonts w:ascii="Perpetua" w:hAnsi="Perpetua" w:cs="Arial"/>
          <w:lang w:val="en-US"/>
        </w:rPr>
        <w:t xml:space="preserve">Morey R. </w:t>
      </w:r>
      <w:r>
        <w:rPr>
          <w:rFonts w:ascii="Perpetua" w:hAnsi="Perpetua" w:cs="Arial"/>
          <w:lang w:val="en-US"/>
        </w:rPr>
        <w:t xml:space="preserve">C. </w:t>
      </w:r>
      <w:r w:rsidR="003A79EC">
        <w:rPr>
          <w:rFonts w:ascii="Perpetua" w:hAnsi="Perpetua" w:cs="Arial"/>
          <w:lang w:val="en-US"/>
        </w:rPr>
        <w:t>e</w:t>
      </w:r>
      <w:r>
        <w:rPr>
          <w:rFonts w:ascii="Perpetua" w:hAnsi="Perpetua" w:cs="Arial"/>
          <w:lang w:val="en-US"/>
        </w:rPr>
        <w:t xml:space="preserve"> </w:t>
      </w:r>
      <w:r w:rsidRPr="002D222B">
        <w:rPr>
          <w:rFonts w:ascii="Perpetua" w:hAnsi="Perpetua" w:cs="Arial"/>
          <w:lang w:val="en-US"/>
        </w:rPr>
        <w:t>Cook, T.</w:t>
      </w:r>
      <w:r>
        <w:rPr>
          <w:rFonts w:ascii="Perpetua" w:hAnsi="Perpetua" w:cs="Arial"/>
          <w:lang w:val="en-US"/>
        </w:rPr>
        <w:t xml:space="preserve"> (1982)</w:t>
      </w:r>
      <w:r w:rsidRPr="002D222B">
        <w:rPr>
          <w:rFonts w:ascii="Perpetua" w:hAnsi="Perpetua" w:cs="Arial"/>
          <w:lang w:val="en-US"/>
        </w:rPr>
        <w:t>,</w:t>
      </w:r>
      <w:r>
        <w:rPr>
          <w:rFonts w:ascii="Perpetua" w:hAnsi="Perpetua" w:cs="Arial"/>
          <w:lang w:val="en-US"/>
        </w:rPr>
        <w:t xml:space="preserve"> ‘Evaluating the Administrative Efficiency of Courts’, </w:t>
      </w:r>
      <w:proofErr w:type="gramStart"/>
      <w:r w:rsidRPr="002D222B">
        <w:rPr>
          <w:rFonts w:ascii="Perpetua" w:hAnsi="Perpetua" w:cs="Arial"/>
          <w:i/>
          <w:lang w:val="en-US"/>
        </w:rPr>
        <w:t>The</w:t>
      </w:r>
      <w:proofErr w:type="gramEnd"/>
      <w:r w:rsidRPr="002D222B">
        <w:rPr>
          <w:rFonts w:ascii="Perpetua" w:hAnsi="Perpetua" w:cs="Arial"/>
          <w:i/>
          <w:lang w:val="en-US"/>
        </w:rPr>
        <w:t xml:space="preserve"> International Journal of Management Science</w:t>
      </w:r>
      <w:r>
        <w:rPr>
          <w:rFonts w:ascii="Perpetua" w:hAnsi="Perpetua" w:cs="Arial"/>
          <w:lang w:val="en-US"/>
        </w:rPr>
        <w:t>, 10, vol. 4, pp. 401-411.</w:t>
      </w:r>
    </w:p>
    <w:p w:rsidR="009B63F1" w:rsidRPr="002D222B" w:rsidRDefault="009B63F1" w:rsidP="009B63F1">
      <w:pPr>
        <w:spacing w:line="360" w:lineRule="auto"/>
        <w:jc w:val="both"/>
        <w:rPr>
          <w:rFonts w:ascii="Perpetua" w:hAnsi="Perpetua"/>
          <w:lang w:val="en-US"/>
        </w:rPr>
      </w:pPr>
    </w:p>
    <w:p w:rsidR="009B63F1" w:rsidRDefault="009B63F1" w:rsidP="009B63F1">
      <w:pPr>
        <w:spacing w:line="360" w:lineRule="auto"/>
        <w:jc w:val="both"/>
        <w:rPr>
          <w:rFonts w:ascii="Perpetua" w:hAnsi="Perpetua"/>
          <w:lang w:val="en-GB"/>
        </w:rPr>
      </w:pPr>
      <w:r w:rsidRPr="00FF50F5">
        <w:rPr>
          <w:rFonts w:ascii="Perpetua" w:hAnsi="Perpetua"/>
          <w:lang w:val="en-GB"/>
        </w:rPr>
        <w:t xml:space="preserve">Lovell, C. A. K. (2000), ‘Measuring </w:t>
      </w:r>
      <w:r>
        <w:rPr>
          <w:rFonts w:ascii="Perpetua" w:hAnsi="Perpetua"/>
          <w:lang w:val="en-GB"/>
        </w:rPr>
        <w:t>E</w:t>
      </w:r>
      <w:r w:rsidRPr="00FF50F5">
        <w:rPr>
          <w:rFonts w:ascii="Perpetua" w:hAnsi="Perpetua"/>
          <w:lang w:val="en-GB"/>
        </w:rPr>
        <w:t>fficiency in t</w:t>
      </w:r>
      <w:r>
        <w:rPr>
          <w:rFonts w:ascii="Perpetua" w:hAnsi="Perpetua"/>
          <w:lang w:val="en-GB"/>
        </w:rPr>
        <w:t>he Public Sector’, in Blank, J.</w:t>
      </w:r>
      <w:r w:rsidRPr="00FF50F5">
        <w:rPr>
          <w:rFonts w:ascii="Perpetua" w:hAnsi="Perpetua"/>
          <w:lang w:val="en-GB"/>
        </w:rPr>
        <w:t xml:space="preserve"> L. T. (ed.) (2000)</w:t>
      </w:r>
      <w:r>
        <w:rPr>
          <w:rFonts w:ascii="Perpetua" w:hAnsi="Perpetua"/>
          <w:lang w:val="en-GB"/>
        </w:rPr>
        <w:t>,</w:t>
      </w:r>
      <w:r w:rsidRPr="00FF50F5">
        <w:rPr>
          <w:rFonts w:ascii="Perpetua" w:hAnsi="Perpetua"/>
          <w:lang w:val="en-GB"/>
        </w:rPr>
        <w:t xml:space="preserve"> Public provision and performance - Contributions from efficiency and productivity measurement, Amsterdam: North-Holland.</w:t>
      </w:r>
    </w:p>
    <w:p w:rsidR="009B63F1" w:rsidRDefault="009B63F1" w:rsidP="009B63F1">
      <w:pPr>
        <w:spacing w:line="360" w:lineRule="auto"/>
        <w:jc w:val="both"/>
        <w:rPr>
          <w:rFonts w:ascii="Perpetua" w:hAnsi="Perpetua" w:cs="Arial"/>
          <w:lang w:val="en-GB"/>
        </w:rPr>
      </w:pPr>
    </w:p>
    <w:p w:rsidR="009B63F1" w:rsidRDefault="009B63F1" w:rsidP="009B63F1">
      <w:pPr>
        <w:spacing w:line="360" w:lineRule="auto"/>
        <w:jc w:val="both"/>
        <w:rPr>
          <w:rFonts w:ascii="Perpetua" w:hAnsi="Perpetua"/>
          <w:lang w:val="en-GB"/>
        </w:rPr>
      </w:pPr>
      <w:proofErr w:type="gramStart"/>
      <w:r>
        <w:rPr>
          <w:rFonts w:ascii="Perpetua" w:hAnsi="Perpetua"/>
          <w:lang w:val="en-GB"/>
        </w:rPr>
        <w:t xml:space="preserve">Kornhauser, L. (1999), ‘Judicial Organization and Administration’, Encyclopaedia of Law and Economics, 7100, pp. 27-44, disponível em </w:t>
      </w:r>
      <w:hyperlink r:id="rId79" w:history="1">
        <w:r w:rsidRPr="00DD260B">
          <w:rPr>
            <w:rStyle w:val="Hyperlink"/>
            <w:rFonts w:ascii="Perpetua" w:hAnsi="Perpetua"/>
            <w:lang w:val="en-GB"/>
          </w:rPr>
          <w:t>http://encyclo.findlaw.com/index.html</w:t>
        </w:r>
      </w:hyperlink>
      <w:r>
        <w:rPr>
          <w:rFonts w:ascii="Perpetua" w:hAnsi="Perpetua"/>
          <w:lang w:val="en-GB"/>
        </w:rPr>
        <w:t xml:space="preserve">, Edward Elgar </w:t>
      </w:r>
      <w:r w:rsidR="003A79EC">
        <w:rPr>
          <w:rFonts w:ascii="Perpetua" w:hAnsi="Perpetua"/>
          <w:lang w:val="en-GB"/>
        </w:rPr>
        <w:t>e</w:t>
      </w:r>
      <w:r>
        <w:rPr>
          <w:rFonts w:ascii="Perpetua" w:hAnsi="Perpetua"/>
          <w:lang w:val="en-GB"/>
        </w:rPr>
        <w:t xml:space="preserve"> </w:t>
      </w:r>
      <w:smartTag w:uri="urn:schemas-microsoft-com:office:smarttags" w:element="place">
        <w:smartTag w:uri="urn:schemas-microsoft-com:office:smarttags" w:element="PlaceType">
          <w:r>
            <w:rPr>
              <w:rFonts w:ascii="Perpetua" w:hAnsi="Perpetua"/>
              <w:lang w:val="en-GB"/>
            </w:rPr>
            <w:t>University</w:t>
          </w:r>
        </w:smartTag>
        <w:r>
          <w:rPr>
            <w:rFonts w:ascii="Perpetua" w:hAnsi="Perpetua"/>
            <w:lang w:val="en-GB"/>
          </w:rPr>
          <w:t xml:space="preserve"> of </w:t>
        </w:r>
        <w:smartTag w:uri="urn:schemas-microsoft-com:office:smarttags" w:element="PlaceName">
          <w:r>
            <w:rPr>
              <w:rFonts w:ascii="Perpetua" w:hAnsi="Perpetua"/>
              <w:lang w:val="en-GB"/>
            </w:rPr>
            <w:t>Ghent</w:t>
          </w:r>
        </w:smartTag>
      </w:smartTag>
      <w:r>
        <w:rPr>
          <w:rFonts w:ascii="Perpetua" w:hAnsi="Perpetua"/>
          <w:lang w:val="en-GB"/>
        </w:rPr>
        <w:t>.</w:t>
      </w:r>
      <w:proofErr w:type="gramEnd"/>
      <w:r>
        <w:rPr>
          <w:rFonts w:ascii="Perpetua" w:hAnsi="Perpetua"/>
          <w:lang w:val="en-GB"/>
        </w:rPr>
        <w:t xml:space="preserve"> </w:t>
      </w:r>
    </w:p>
    <w:p w:rsidR="009B63F1" w:rsidRDefault="009B63F1" w:rsidP="009B63F1">
      <w:pPr>
        <w:spacing w:line="360" w:lineRule="auto"/>
        <w:jc w:val="both"/>
        <w:rPr>
          <w:rFonts w:ascii="Perpetua" w:hAnsi="Perpetua"/>
          <w:lang w:val="en-GB"/>
        </w:rPr>
      </w:pPr>
    </w:p>
    <w:p w:rsidR="00456968" w:rsidRPr="00456968" w:rsidRDefault="00456968" w:rsidP="009B63F1">
      <w:pPr>
        <w:spacing w:line="360" w:lineRule="auto"/>
        <w:jc w:val="both"/>
        <w:rPr>
          <w:rFonts w:ascii="Perpetua" w:hAnsi="Perpetua"/>
        </w:rPr>
      </w:pPr>
      <w:r w:rsidRPr="00456968">
        <w:rPr>
          <w:rFonts w:ascii="Perpetua" w:hAnsi="Perpetua"/>
        </w:rPr>
        <w:t>Machado, M. J. (2005?), Avaliação dos Ju</w:t>
      </w:r>
      <w:r>
        <w:rPr>
          <w:rFonts w:ascii="Perpetua" w:hAnsi="Perpetua"/>
        </w:rPr>
        <w:t>ízes em Portugal, Estudos do Conselho Superior da Magistratura,</w:t>
      </w:r>
      <w:r w:rsidR="00A02985">
        <w:rPr>
          <w:rFonts w:ascii="Perpetua" w:hAnsi="Perpetua"/>
        </w:rPr>
        <w:t xml:space="preserve"> disponível em </w:t>
      </w:r>
      <w:hyperlink r:id="rId80" w:history="1">
        <w:r w:rsidRPr="00381935">
          <w:rPr>
            <w:rStyle w:val="Hyperlink"/>
            <w:rFonts w:ascii="Perpetua" w:hAnsi="Perpetua"/>
          </w:rPr>
          <w:t>http://www.conselhosuperiordamagistratura.pt/</w:t>
        </w:r>
      </w:hyperlink>
      <w:r w:rsidR="00A02985">
        <w:rPr>
          <w:rFonts w:ascii="Perpetua" w:hAnsi="Perpetua"/>
        </w:rPr>
        <w:t>.</w:t>
      </w:r>
      <w:r>
        <w:rPr>
          <w:rFonts w:ascii="Perpetua" w:hAnsi="Perpetua"/>
        </w:rPr>
        <w:t xml:space="preserve">  </w:t>
      </w:r>
    </w:p>
    <w:p w:rsidR="00456968" w:rsidRPr="00456968" w:rsidRDefault="00456968"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Messick, R. (1999), ‘</w:t>
      </w:r>
      <w:r w:rsidRPr="009B63F1">
        <w:rPr>
          <w:rFonts w:ascii="Perpetua" w:hAnsi="Perpetua"/>
          <w:lang w:val="en-GB"/>
        </w:rPr>
        <w:t>Judicial Reform and Economic Development: A Survey of the Issues’</w:t>
      </w:r>
      <w:r w:rsidRPr="005375E0">
        <w:rPr>
          <w:rFonts w:ascii="Perpetua" w:hAnsi="Perpetua"/>
          <w:lang w:val="en-GB"/>
        </w:rPr>
        <w:t xml:space="preserve">, </w:t>
      </w:r>
      <w:proofErr w:type="gramStart"/>
      <w:r w:rsidRPr="009B63F1">
        <w:rPr>
          <w:rFonts w:ascii="Perpetua" w:hAnsi="Perpetua"/>
          <w:i/>
          <w:lang w:val="en-GB"/>
        </w:rPr>
        <w:t>The</w:t>
      </w:r>
      <w:proofErr w:type="gramEnd"/>
      <w:r w:rsidRPr="009B63F1">
        <w:rPr>
          <w:rFonts w:ascii="Perpetua" w:hAnsi="Perpetua"/>
          <w:i/>
          <w:lang w:val="en-GB"/>
        </w:rPr>
        <w:t xml:space="preserve"> World Bank Research Observer</w:t>
      </w:r>
      <w:r w:rsidRPr="005375E0">
        <w:rPr>
          <w:rFonts w:ascii="Perpetua" w:hAnsi="Perpetua"/>
          <w:lang w:val="en-GB"/>
        </w:rPr>
        <w:t>, vol. 14, 1, pp. 117-136.</w:t>
      </w:r>
    </w:p>
    <w:p w:rsidR="009B63F1" w:rsidRPr="005375E0" w:rsidRDefault="009B63F1" w:rsidP="009B63F1">
      <w:pPr>
        <w:spacing w:line="360" w:lineRule="auto"/>
        <w:jc w:val="both"/>
        <w:rPr>
          <w:rFonts w:ascii="Perpetua" w:hAnsi="Perpetua"/>
          <w:lang w:val="en-GB"/>
        </w:rPr>
      </w:pPr>
    </w:p>
    <w:p w:rsidR="009B63F1" w:rsidRDefault="009B63F1" w:rsidP="009B63F1">
      <w:pPr>
        <w:spacing w:line="360" w:lineRule="auto"/>
        <w:jc w:val="both"/>
        <w:rPr>
          <w:rFonts w:ascii="Perpetua" w:hAnsi="Perpetua"/>
        </w:rPr>
      </w:pPr>
      <w:r>
        <w:rPr>
          <w:rFonts w:ascii="Perpetua" w:hAnsi="Perpetua"/>
        </w:rPr>
        <w:t>OCDE – Organização para a Cooperação e o Desenvolvimento Económico (2005), Modernising Government: The Way Forward, Paris: OCDE.</w:t>
      </w:r>
    </w:p>
    <w:p w:rsidR="009B63F1" w:rsidRDefault="009B63F1"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rPr>
      </w:pPr>
      <w:r>
        <w:rPr>
          <w:rFonts w:ascii="Perpetua" w:hAnsi="Perpetua"/>
        </w:rPr>
        <w:t xml:space="preserve">OPJP – </w:t>
      </w:r>
      <w:r w:rsidRPr="005375E0">
        <w:rPr>
          <w:rFonts w:ascii="Perpetua" w:hAnsi="Perpetua"/>
        </w:rPr>
        <w:t xml:space="preserve">Observatório Permanente da Justiça Portuguesa (2005), Os actos e os tempos dos juízes: contributos para a construção de indicadores de distribuição processual nos juízos cíveis, Coimbra: Centro de Estudos Sociais, Faculdade de Economia, Universidade de Coimbra.  </w:t>
      </w:r>
    </w:p>
    <w:p w:rsidR="009B63F1" w:rsidRPr="005375E0" w:rsidRDefault="009B63F1" w:rsidP="009B63F1">
      <w:pPr>
        <w:spacing w:line="360" w:lineRule="auto"/>
        <w:jc w:val="both"/>
        <w:rPr>
          <w:rFonts w:ascii="Perpetua" w:hAnsi="Perpetua"/>
        </w:rPr>
      </w:pPr>
    </w:p>
    <w:p w:rsidR="00B81B1B" w:rsidRDefault="00B81B1B" w:rsidP="009B63F1">
      <w:pPr>
        <w:spacing w:line="360" w:lineRule="auto"/>
        <w:jc w:val="both"/>
        <w:rPr>
          <w:rFonts w:ascii="Perpetua" w:hAnsi="Perpetua"/>
          <w:lang w:val="en-GB"/>
        </w:rPr>
      </w:pPr>
      <w:proofErr w:type="gramStart"/>
      <w:r>
        <w:rPr>
          <w:rFonts w:ascii="Perpetua" w:hAnsi="Perpetua"/>
          <w:lang w:val="en-GB"/>
        </w:rPr>
        <w:t xml:space="preserve">Pedraja-Chaparro, F. </w:t>
      </w:r>
      <w:r w:rsidR="003A79EC">
        <w:rPr>
          <w:rFonts w:ascii="Perpetua" w:hAnsi="Perpetua"/>
          <w:lang w:val="en-GB"/>
        </w:rPr>
        <w:t>e</w:t>
      </w:r>
      <w:r w:rsidRPr="00B81B1B">
        <w:rPr>
          <w:rFonts w:ascii="Perpetua" w:hAnsi="Perpetua"/>
          <w:lang w:val="en-GB"/>
        </w:rPr>
        <w:t xml:space="preserve"> Salinas-Jiménez, J. (1996), ‘An</w:t>
      </w:r>
      <w:r>
        <w:rPr>
          <w:rFonts w:ascii="Perpetua" w:hAnsi="Perpetua"/>
          <w:lang w:val="en-GB"/>
        </w:rPr>
        <w:t xml:space="preserve"> Assessment of the E</w:t>
      </w:r>
      <w:r w:rsidRPr="00B81B1B">
        <w:rPr>
          <w:rFonts w:ascii="Perpetua" w:hAnsi="Perpetua"/>
          <w:lang w:val="en-GB"/>
        </w:rPr>
        <w:t xml:space="preserve">fficiency of Spanish Courts using DEA’, </w:t>
      </w:r>
      <w:r w:rsidRPr="00B81B1B">
        <w:rPr>
          <w:rFonts w:ascii="Perpetua" w:hAnsi="Perpetua"/>
          <w:i/>
          <w:lang w:val="en-GB"/>
        </w:rPr>
        <w:t xml:space="preserve">Applied </w:t>
      </w:r>
      <w:r w:rsidR="00116029">
        <w:rPr>
          <w:rFonts w:ascii="Perpetua" w:hAnsi="Perpetua"/>
          <w:i/>
          <w:lang w:val="en-GB"/>
        </w:rPr>
        <w:t>E</w:t>
      </w:r>
      <w:r w:rsidRPr="00B81B1B">
        <w:rPr>
          <w:rFonts w:ascii="Perpetua" w:hAnsi="Perpetua"/>
          <w:i/>
          <w:lang w:val="en-GB"/>
        </w:rPr>
        <w:t>conomics</w:t>
      </w:r>
      <w:r w:rsidRPr="00B81B1B">
        <w:rPr>
          <w:rFonts w:ascii="Perpetua" w:hAnsi="Perpetua"/>
          <w:lang w:val="en-GB"/>
        </w:rPr>
        <w:t>, vol. 28, pp. 1391-1403.</w:t>
      </w:r>
      <w:proofErr w:type="gramEnd"/>
    </w:p>
    <w:p w:rsidR="00B81B1B" w:rsidRDefault="00B81B1B"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Posner, R. A. (1993), ‘What Do Judges and Justices Maximize? </w:t>
      </w:r>
      <w:proofErr w:type="gramStart"/>
      <w:r w:rsidRPr="005375E0">
        <w:rPr>
          <w:rFonts w:ascii="Perpetua" w:hAnsi="Perpetua"/>
          <w:lang w:val="en-GB"/>
        </w:rPr>
        <w:t xml:space="preserve">(The Same Thing Everybody Else Does)’, </w:t>
      </w:r>
      <w:r w:rsidRPr="005375E0">
        <w:rPr>
          <w:rFonts w:ascii="Perpetua" w:hAnsi="Perpetua"/>
          <w:i/>
          <w:lang w:val="en-GB"/>
        </w:rPr>
        <w:t>Supreme Court Economic Review</w:t>
      </w:r>
      <w:r w:rsidRPr="005375E0">
        <w:rPr>
          <w:rFonts w:ascii="Perpetua" w:hAnsi="Perpetua"/>
          <w:lang w:val="en-GB"/>
        </w:rPr>
        <w:t>, Vol. 3, pp. 1-41.</w:t>
      </w:r>
      <w:proofErr w:type="gramEnd"/>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Posner, R. A. (1996), </w:t>
      </w:r>
      <w:proofErr w:type="gramStart"/>
      <w:r w:rsidRPr="005375E0">
        <w:rPr>
          <w:rFonts w:ascii="Perpetua" w:hAnsi="Perpetua"/>
          <w:lang w:val="en-GB"/>
        </w:rPr>
        <w:t>The</w:t>
      </w:r>
      <w:proofErr w:type="gramEnd"/>
      <w:r w:rsidRPr="005375E0">
        <w:rPr>
          <w:rFonts w:ascii="Perpetua" w:hAnsi="Perpetua"/>
          <w:lang w:val="en-GB"/>
        </w:rPr>
        <w:t xml:space="preserve"> Federal Courts: Challenge and Reform, </w:t>
      </w:r>
      <w:smartTag w:uri="urn:schemas-microsoft-com:office:smarttags" w:element="City">
        <w:r w:rsidRPr="005375E0">
          <w:rPr>
            <w:rFonts w:ascii="Perpetua" w:hAnsi="Perpetua"/>
            <w:lang w:val="en-GB"/>
          </w:rPr>
          <w:t>Cambridge</w:t>
        </w:r>
      </w:smartTag>
      <w:r w:rsidRPr="005375E0">
        <w:rPr>
          <w:rFonts w:ascii="Perpetua" w:hAnsi="Perpetua"/>
          <w:lang w:val="en-GB"/>
        </w:rPr>
        <w:t xml:space="preserve">, </w:t>
      </w:r>
      <w:smartTag w:uri="urn:schemas-microsoft-com:office:smarttags" w:element="State">
        <w:r w:rsidRPr="005375E0">
          <w:rPr>
            <w:rFonts w:ascii="Perpetua" w:hAnsi="Perpetua"/>
            <w:lang w:val="en-GB"/>
          </w:rPr>
          <w:t>Massachusetts</w:t>
        </w:r>
      </w:smartTag>
      <w:r w:rsidRPr="005375E0">
        <w:rPr>
          <w:rFonts w:ascii="Perpetua" w:hAnsi="Perpetua"/>
          <w:lang w:val="en-GB"/>
        </w:rPr>
        <w:t xml:space="preserve">: </w:t>
      </w:r>
      <w:smartTag w:uri="urn:schemas-microsoft-com:office:smarttags" w:element="place">
        <w:smartTag w:uri="urn:schemas-microsoft-com:office:smarttags" w:element="PlaceName">
          <w:r w:rsidRPr="005375E0">
            <w:rPr>
              <w:rFonts w:ascii="Perpetua" w:hAnsi="Perpetua"/>
              <w:lang w:val="en-GB"/>
            </w:rPr>
            <w:t>Harvard</w:t>
          </w:r>
        </w:smartTag>
        <w:r w:rsidRPr="005375E0">
          <w:rPr>
            <w:rFonts w:ascii="Perpetua" w:hAnsi="Perpetua"/>
            <w:lang w:val="en-GB"/>
          </w:rPr>
          <w:t xml:space="preserve"> </w:t>
        </w:r>
        <w:smartTag w:uri="urn:schemas-microsoft-com:office:smarttags" w:element="PlaceType">
          <w:r w:rsidRPr="005375E0">
            <w:rPr>
              <w:rFonts w:ascii="Perpetua" w:hAnsi="Perpetua"/>
              <w:lang w:val="en-GB"/>
            </w:rPr>
            <w:t>University</w:t>
          </w:r>
        </w:smartTag>
      </w:smartTag>
      <w:r w:rsidRPr="005375E0">
        <w:rPr>
          <w:rFonts w:ascii="Perpetua" w:hAnsi="Perpetua"/>
          <w:lang w:val="en-GB"/>
        </w:rPr>
        <w:t xml:space="preserve"> Press.</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Posner, R. A. (2000), ‘Is the Ninth Circuit Too Large? A Statistical Study of Judicial Quality’,</w:t>
      </w:r>
    </w:p>
    <w:p w:rsidR="009B63F1" w:rsidRPr="005375E0" w:rsidRDefault="009B63F1" w:rsidP="009B63F1">
      <w:pPr>
        <w:spacing w:line="360" w:lineRule="auto"/>
        <w:jc w:val="both"/>
        <w:rPr>
          <w:rFonts w:ascii="Perpetua" w:hAnsi="Perpetua"/>
          <w:lang w:val="en-GB"/>
        </w:rPr>
      </w:pPr>
      <w:r w:rsidRPr="005375E0">
        <w:rPr>
          <w:rFonts w:ascii="Perpetua" w:hAnsi="Perpetua"/>
          <w:i/>
          <w:lang w:val="en-GB"/>
        </w:rPr>
        <w:t>The Journal of Legal Studies</w:t>
      </w:r>
      <w:r w:rsidRPr="005375E0">
        <w:rPr>
          <w:rFonts w:ascii="Perpetua" w:hAnsi="Perpetua"/>
          <w:lang w:val="en-GB"/>
        </w:rPr>
        <w:t>, Vol. 29, No. 2, pp. 711-719.</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 xml:space="preserve">Posner, R. A. (2005),’Judicial </w:t>
      </w:r>
      <w:r>
        <w:rPr>
          <w:rFonts w:ascii="Perpetua" w:hAnsi="Perpetua"/>
          <w:lang w:val="en-GB"/>
        </w:rPr>
        <w:t>B</w:t>
      </w:r>
      <w:r w:rsidRPr="005375E0">
        <w:rPr>
          <w:rFonts w:ascii="Perpetua" w:hAnsi="Perpetua"/>
          <w:lang w:val="en-GB"/>
        </w:rPr>
        <w:t xml:space="preserve">ehaviour and </w:t>
      </w:r>
      <w:r>
        <w:rPr>
          <w:rFonts w:ascii="Perpetua" w:hAnsi="Perpetua"/>
          <w:lang w:val="en-GB"/>
        </w:rPr>
        <w:t>performance: A</w:t>
      </w:r>
      <w:r w:rsidRPr="005375E0">
        <w:rPr>
          <w:rFonts w:ascii="Perpetua" w:hAnsi="Perpetua"/>
          <w:lang w:val="en-GB"/>
        </w:rPr>
        <w:t xml:space="preserve">n </w:t>
      </w:r>
      <w:r>
        <w:rPr>
          <w:rFonts w:ascii="Perpetua" w:hAnsi="Perpetua"/>
          <w:lang w:val="en-GB"/>
        </w:rPr>
        <w:t>E</w:t>
      </w:r>
      <w:r w:rsidRPr="005375E0">
        <w:rPr>
          <w:rFonts w:ascii="Perpetua" w:hAnsi="Perpetua"/>
          <w:lang w:val="en-GB"/>
        </w:rPr>
        <w:t xml:space="preserve">conomic </w:t>
      </w:r>
      <w:r>
        <w:rPr>
          <w:rFonts w:ascii="Perpetua" w:hAnsi="Perpetua"/>
          <w:lang w:val="en-GB"/>
        </w:rPr>
        <w:t>A</w:t>
      </w:r>
      <w:r w:rsidRPr="005375E0">
        <w:rPr>
          <w:rFonts w:ascii="Perpetua" w:hAnsi="Perpetua"/>
          <w:lang w:val="en-GB"/>
        </w:rPr>
        <w:t xml:space="preserve">pproach’, </w:t>
      </w:r>
      <w:r w:rsidRPr="005375E0">
        <w:rPr>
          <w:rFonts w:ascii="Perpetua" w:hAnsi="Perpetua"/>
          <w:i/>
          <w:lang w:val="en-GB"/>
        </w:rPr>
        <w:t>Florida State University Law Review</w:t>
      </w:r>
      <w:r w:rsidRPr="005375E0">
        <w:rPr>
          <w:rFonts w:ascii="Perpetua" w:hAnsi="Perpetua"/>
          <w:lang w:val="en-GB"/>
        </w:rPr>
        <w:t>, Symposium on Empirical Measures of Judicial Performance, n. º 32-4.</w:t>
      </w:r>
    </w:p>
    <w:p w:rsidR="009B63F1" w:rsidRPr="005375E0" w:rsidRDefault="009B63F1" w:rsidP="009B63F1">
      <w:pPr>
        <w:spacing w:line="360" w:lineRule="auto"/>
        <w:jc w:val="both"/>
        <w:rPr>
          <w:rFonts w:ascii="Perpetua" w:hAnsi="Perpetua"/>
          <w:lang w:val="en-GB"/>
        </w:rPr>
      </w:pPr>
    </w:p>
    <w:p w:rsidR="009B63F1" w:rsidRPr="005375E0" w:rsidRDefault="009B63F1" w:rsidP="009B63F1">
      <w:pPr>
        <w:spacing w:line="360" w:lineRule="auto"/>
        <w:jc w:val="both"/>
        <w:rPr>
          <w:rFonts w:ascii="Perpetua" w:hAnsi="Perpetua"/>
          <w:lang w:val="en-GB"/>
        </w:rPr>
      </w:pPr>
      <w:proofErr w:type="gramStart"/>
      <w:r>
        <w:rPr>
          <w:rFonts w:ascii="Perpetua" w:hAnsi="Perpetua"/>
          <w:lang w:val="en-GB"/>
        </w:rPr>
        <w:t>Posner, R. A. (2006</w:t>
      </w:r>
      <w:r w:rsidRPr="005375E0">
        <w:rPr>
          <w:rFonts w:ascii="Perpetua" w:hAnsi="Perpetua"/>
          <w:lang w:val="en-GB"/>
        </w:rPr>
        <w:t xml:space="preserve">), ‘A review of Steven Shavell’s </w:t>
      </w:r>
      <w:r w:rsidRPr="005375E0">
        <w:rPr>
          <w:rFonts w:ascii="Perpetua" w:hAnsi="Perpetua"/>
          <w:i/>
          <w:lang w:val="en-GB"/>
        </w:rPr>
        <w:t>Foundations of Economic Analysis of Law</w:t>
      </w:r>
      <w:r w:rsidRPr="005375E0">
        <w:rPr>
          <w:rFonts w:ascii="Perpetua" w:hAnsi="Perpetua"/>
          <w:lang w:val="en-GB"/>
        </w:rPr>
        <w:t xml:space="preserve">‘, </w:t>
      </w:r>
      <w:r w:rsidRPr="005375E0">
        <w:rPr>
          <w:rFonts w:ascii="Perpetua" w:hAnsi="Perpetua"/>
          <w:i/>
          <w:lang w:val="en-GB"/>
        </w:rPr>
        <w:t>Journal of Economic Literature</w:t>
      </w:r>
      <w:r w:rsidRPr="005375E0">
        <w:rPr>
          <w:rFonts w:ascii="Perpetua" w:hAnsi="Perpetua"/>
          <w:lang w:val="en-GB"/>
        </w:rPr>
        <w:t>, vol. 44, 2, pp. 405-414.</w:t>
      </w:r>
      <w:proofErr w:type="gramEnd"/>
    </w:p>
    <w:p w:rsidR="009B63F1" w:rsidRDefault="009B63F1" w:rsidP="009B63F1">
      <w:pPr>
        <w:spacing w:line="360" w:lineRule="auto"/>
        <w:jc w:val="both"/>
        <w:rPr>
          <w:rFonts w:ascii="Perpetua" w:hAnsi="Perpetua"/>
          <w:lang w:val="en-GB"/>
        </w:rPr>
      </w:pPr>
    </w:p>
    <w:p w:rsidR="009B63F1" w:rsidRPr="00CC17FD" w:rsidRDefault="009B63F1" w:rsidP="009B63F1">
      <w:pPr>
        <w:spacing w:line="360" w:lineRule="auto"/>
        <w:jc w:val="both"/>
        <w:rPr>
          <w:rFonts w:ascii="Perpetua" w:hAnsi="Perpetua"/>
        </w:rPr>
      </w:pPr>
      <w:r w:rsidRPr="00CC17FD">
        <w:rPr>
          <w:rFonts w:ascii="Perpetua" w:hAnsi="Perpetua"/>
        </w:rPr>
        <w:t>Ribeiro, Helena (2006), ‘A evolução da organizaç</w:t>
      </w:r>
      <w:r>
        <w:rPr>
          <w:rFonts w:ascii="Perpetua" w:hAnsi="Perpetua"/>
        </w:rPr>
        <w:t xml:space="preserve">ão judiciária em Portugal’, </w:t>
      </w:r>
      <w:r w:rsidRPr="00523754">
        <w:rPr>
          <w:rFonts w:ascii="Perpetua" w:hAnsi="Perpetua"/>
          <w:i/>
        </w:rPr>
        <w:t>in Thémis XXI</w:t>
      </w:r>
      <w:r>
        <w:rPr>
          <w:rFonts w:ascii="Perpetua" w:hAnsi="Perpetua"/>
        </w:rPr>
        <w:t>, 28 de Junho de 2006, http://www.mj.gov.pt/sections/justica-e-tribunais/organizacao-judiciaria/revisao-do-mapa.</w:t>
      </w:r>
    </w:p>
    <w:p w:rsidR="009B63F1" w:rsidRPr="00CC17FD" w:rsidRDefault="009B63F1" w:rsidP="009B63F1">
      <w:pPr>
        <w:spacing w:line="360" w:lineRule="auto"/>
        <w:jc w:val="both"/>
        <w:rPr>
          <w:rFonts w:ascii="Perpetua" w:hAnsi="Perpetua"/>
        </w:rPr>
      </w:pPr>
    </w:p>
    <w:p w:rsidR="009B63F1" w:rsidRPr="005375E0" w:rsidRDefault="009B63F1" w:rsidP="009B63F1">
      <w:pPr>
        <w:spacing w:line="360" w:lineRule="auto"/>
        <w:jc w:val="both"/>
        <w:rPr>
          <w:rFonts w:ascii="Perpetua" w:hAnsi="Perpetua"/>
          <w:lang w:val="en-GB"/>
        </w:rPr>
      </w:pPr>
      <w:r w:rsidRPr="005375E0">
        <w:rPr>
          <w:rFonts w:ascii="Perpetua" w:hAnsi="Perpetua"/>
          <w:lang w:val="en-GB"/>
        </w:rPr>
        <w:t>Sch</w:t>
      </w:r>
      <w:r>
        <w:rPr>
          <w:rFonts w:ascii="Perpetua" w:hAnsi="Perpetua"/>
          <w:lang w:val="en-GB"/>
        </w:rPr>
        <w:t>neider, M.R. (2005), ‘Judicial C</w:t>
      </w:r>
      <w:r w:rsidRPr="005375E0">
        <w:rPr>
          <w:rFonts w:ascii="Perpetua" w:hAnsi="Perpetua"/>
          <w:lang w:val="en-GB"/>
        </w:rPr>
        <w:t xml:space="preserve">areer </w:t>
      </w:r>
      <w:r>
        <w:rPr>
          <w:rFonts w:ascii="Perpetua" w:hAnsi="Perpetua"/>
          <w:lang w:val="en-GB"/>
        </w:rPr>
        <w:t>I</w:t>
      </w:r>
      <w:r w:rsidRPr="005375E0">
        <w:rPr>
          <w:rFonts w:ascii="Perpetua" w:hAnsi="Perpetua"/>
          <w:lang w:val="en-GB"/>
        </w:rPr>
        <w:t xml:space="preserve">ncentives and </w:t>
      </w:r>
      <w:r>
        <w:rPr>
          <w:rFonts w:ascii="Perpetua" w:hAnsi="Perpetua"/>
          <w:lang w:val="en-GB"/>
        </w:rPr>
        <w:t>C</w:t>
      </w:r>
      <w:r w:rsidRPr="005375E0">
        <w:rPr>
          <w:rFonts w:ascii="Perpetua" w:hAnsi="Perpetua"/>
          <w:lang w:val="en-GB"/>
        </w:rPr>
        <w:t xml:space="preserve">ourt </w:t>
      </w:r>
      <w:r>
        <w:rPr>
          <w:rFonts w:ascii="Perpetua" w:hAnsi="Perpetua"/>
          <w:lang w:val="en-GB"/>
        </w:rPr>
        <w:t>P</w:t>
      </w:r>
      <w:r w:rsidRPr="005375E0">
        <w:rPr>
          <w:rFonts w:ascii="Perpetua" w:hAnsi="Perpetua"/>
          <w:lang w:val="en-GB"/>
        </w:rPr>
        <w:t xml:space="preserve">erformance: </w:t>
      </w:r>
      <w:r>
        <w:rPr>
          <w:rFonts w:ascii="Perpetua" w:hAnsi="Perpetua"/>
          <w:lang w:val="en-GB"/>
        </w:rPr>
        <w:t>A</w:t>
      </w:r>
      <w:r w:rsidRPr="005375E0">
        <w:rPr>
          <w:rFonts w:ascii="Perpetua" w:hAnsi="Perpetua"/>
          <w:lang w:val="en-GB"/>
        </w:rPr>
        <w:t xml:space="preserve">n </w:t>
      </w:r>
      <w:r>
        <w:rPr>
          <w:rFonts w:ascii="Perpetua" w:hAnsi="Perpetua"/>
          <w:lang w:val="en-GB"/>
        </w:rPr>
        <w:t>E</w:t>
      </w:r>
      <w:r w:rsidRPr="005375E0">
        <w:rPr>
          <w:rFonts w:ascii="Perpetua" w:hAnsi="Perpetua"/>
          <w:lang w:val="en-GB"/>
        </w:rPr>
        <w:t xml:space="preserve">mpirical </w:t>
      </w:r>
      <w:r>
        <w:rPr>
          <w:rFonts w:ascii="Perpetua" w:hAnsi="Perpetua"/>
          <w:lang w:val="en-GB"/>
        </w:rPr>
        <w:t>Study of German Labour Courts of A</w:t>
      </w:r>
      <w:r w:rsidRPr="005375E0">
        <w:rPr>
          <w:rFonts w:ascii="Perpetua" w:hAnsi="Perpetua"/>
          <w:lang w:val="en-GB"/>
        </w:rPr>
        <w:t xml:space="preserve">ppeal’, </w:t>
      </w:r>
      <w:r w:rsidRPr="005375E0">
        <w:rPr>
          <w:rFonts w:ascii="Perpetua" w:hAnsi="Perpetua"/>
          <w:i/>
          <w:lang w:val="en-GB"/>
        </w:rPr>
        <w:t>European Journal of Law and Economics</w:t>
      </w:r>
      <w:r w:rsidRPr="005375E0">
        <w:rPr>
          <w:rFonts w:ascii="Perpetua" w:hAnsi="Perpetua"/>
          <w:lang w:val="en-GB"/>
        </w:rPr>
        <w:t>, vol. 20, pp. 127-144.</w:t>
      </w:r>
    </w:p>
    <w:p w:rsidR="009B63F1" w:rsidRDefault="009B63F1" w:rsidP="009B63F1">
      <w:pPr>
        <w:rPr>
          <w:lang w:val="en-GB"/>
        </w:rPr>
      </w:pPr>
    </w:p>
    <w:p w:rsidR="009B63F1" w:rsidRDefault="009B63F1" w:rsidP="009B63F1">
      <w:pPr>
        <w:spacing w:line="360" w:lineRule="auto"/>
        <w:rPr>
          <w:rFonts w:ascii="Perpetua" w:hAnsi="Perpetua"/>
          <w:lang w:val="en-GB"/>
        </w:rPr>
      </w:pPr>
      <w:r w:rsidRPr="00226CC0">
        <w:rPr>
          <w:rFonts w:ascii="Perpetua" w:hAnsi="Perpetua"/>
          <w:lang w:val="en-GB"/>
        </w:rPr>
        <w:t>Tavares,</w:t>
      </w:r>
      <w:r>
        <w:rPr>
          <w:rFonts w:ascii="Perpetua" w:hAnsi="Perpetua"/>
          <w:lang w:val="en-GB"/>
        </w:rPr>
        <w:t xml:space="preserve"> J.</w:t>
      </w:r>
      <w:r w:rsidRPr="00226CC0">
        <w:rPr>
          <w:rFonts w:ascii="Perpetua" w:hAnsi="Perpetua"/>
          <w:lang w:val="en-GB"/>
        </w:rPr>
        <w:t xml:space="preserve"> </w:t>
      </w:r>
      <w:r>
        <w:rPr>
          <w:rFonts w:ascii="Perpetua" w:hAnsi="Perpetua"/>
          <w:lang w:val="en-GB"/>
        </w:rPr>
        <w:t>(</w:t>
      </w:r>
      <w:r w:rsidRPr="00226CC0">
        <w:rPr>
          <w:rFonts w:ascii="Perpetua" w:hAnsi="Perpetua"/>
          <w:lang w:val="en-GB"/>
        </w:rPr>
        <w:t>2004</w:t>
      </w:r>
      <w:r>
        <w:rPr>
          <w:rFonts w:ascii="Perpetua" w:hAnsi="Perpetua"/>
          <w:lang w:val="en-GB"/>
        </w:rPr>
        <w:t>)</w:t>
      </w:r>
      <w:r w:rsidRPr="00226CC0">
        <w:rPr>
          <w:rFonts w:ascii="Perpetua" w:hAnsi="Perpetua"/>
          <w:lang w:val="en-GB"/>
        </w:rPr>
        <w:t xml:space="preserve">, </w:t>
      </w:r>
      <w:r>
        <w:rPr>
          <w:rFonts w:ascii="Perpetua" w:hAnsi="Perpetua"/>
          <w:lang w:val="en-GB"/>
        </w:rPr>
        <w:t>‘</w:t>
      </w:r>
      <w:r w:rsidRPr="00226CC0">
        <w:rPr>
          <w:rFonts w:ascii="Perpetua" w:hAnsi="Perpetua"/>
          <w:lang w:val="en-GB"/>
        </w:rPr>
        <w:t xml:space="preserve">Institutions and Economic Growth in </w:t>
      </w:r>
      <w:smartTag w:uri="urn:schemas-microsoft-com:office:smarttags" w:element="place">
        <w:smartTag w:uri="urn:schemas-microsoft-com:office:smarttags" w:element="country-region">
          <w:r w:rsidRPr="00226CC0">
            <w:rPr>
              <w:rFonts w:ascii="Perpetua" w:hAnsi="Perpetua"/>
              <w:lang w:val="en-GB"/>
            </w:rPr>
            <w:t>Portugal</w:t>
          </w:r>
        </w:smartTag>
      </w:smartTag>
      <w:r w:rsidRPr="00226CC0">
        <w:rPr>
          <w:rFonts w:ascii="Perpetua" w:hAnsi="Perpetua"/>
          <w:lang w:val="en-GB"/>
        </w:rPr>
        <w:t>: A Quantitative Exploration</w:t>
      </w:r>
      <w:r>
        <w:rPr>
          <w:rFonts w:ascii="Perpetua" w:hAnsi="Perpetua"/>
          <w:lang w:val="en-GB"/>
        </w:rPr>
        <w:t>’</w:t>
      </w:r>
      <w:r w:rsidRPr="00226CC0">
        <w:rPr>
          <w:rFonts w:ascii="Perpetua" w:hAnsi="Perpetua"/>
          <w:lang w:val="en-GB"/>
        </w:rPr>
        <w:t xml:space="preserve">, </w:t>
      </w:r>
      <w:r w:rsidRPr="00226CC0">
        <w:rPr>
          <w:rFonts w:ascii="Perpetua" w:hAnsi="Perpetua"/>
          <w:i/>
          <w:lang w:val="en-GB"/>
        </w:rPr>
        <w:t>Portuguese Economic Journal</w:t>
      </w:r>
      <w:r w:rsidRPr="00226CC0">
        <w:rPr>
          <w:rFonts w:ascii="Perpetua" w:hAnsi="Perpetua"/>
          <w:lang w:val="en-GB"/>
        </w:rPr>
        <w:t>,</w:t>
      </w:r>
      <w:r>
        <w:rPr>
          <w:rFonts w:ascii="Perpetua" w:hAnsi="Perpetua"/>
          <w:lang w:val="en-GB"/>
        </w:rPr>
        <w:t xml:space="preserve"> 3, pp.</w:t>
      </w:r>
      <w:r w:rsidRPr="00226CC0">
        <w:rPr>
          <w:rFonts w:ascii="Perpetua" w:hAnsi="Perpetua"/>
          <w:lang w:val="en-GB"/>
        </w:rPr>
        <w:t xml:space="preserve"> 49-79.</w:t>
      </w:r>
    </w:p>
    <w:p w:rsidR="00116029" w:rsidRDefault="00116029" w:rsidP="009B63F1">
      <w:pPr>
        <w:spacing w:line="360" w:lineRule="auto"/>
        <w:rPr>
          <w:rFonts w:ascii="Perpetua" w:hAnsi="Perpetua"/>
          <w:lang w:val="en-GB"/>
        </w:rPr>
      </w:pPr>
    </w:p>
    <w:p w:rsidR="00116029" w:rsidRPr="00226CC0" w:rsidRDefault="00116029" w:rsidP="009B63F1">
      <w:pPr>
        <w:spacing w:line="360" w:lineRule="auto"/>
        <w:rPr>
          <w:rFonts w:ascii="Perpetua" w:hAnsi="Perpetua"/>
          <w:lang w:val="en-GB"/>
        </w:rPr>
      </w:pPr>
      <w:r>
        <w:rPr>
          <w:rFonts w:ascii="Perpetua" w:hAnsi="Perpetua"/>
          <w:lang w:val="en-GB"/>
        </w:rPr>
        <w:t xml:space="preserve">Tulkens, H. (1993), On FDH Efficiency Analysis: Some Methodological Issues and Applications to Retail Banking, Courts and Urban Transit, </w:t>
      </w:r>
      <w:proofErr w:type="gramStart"/>
      <w:r w:rsidRPr="00116029">
        <w:rPr>
          <w:rFonts w:ascii="Perpetua" w:hAnsi="Perpetua"/>
          <w:i/>
          <w:lang w:val="en-GB"/>
        </w:rPr>
        <w:t>The</w:t>
      </w:r>
      <w:proofErr w:type="gramEnd"/>
      <w:r w:rsidRPr="00116029">
        <w:rPr>
          <w:rFonts w:ascii="Perpetua" w:hAnsi="Perpetua"/>
          <w:i/>
          <w:lang w:val="en-GB"/>
        </w:rPr>
        <w:t xml:space="preserve"> Journal of Productivity Analysis</w:t>
      </w:r>
      <w:r>
        <w:rPr>
          <w:rFonts w:ascii="Perpetua" w:hAnsi="Perpetua"/>
          <w:lang w:val="en-GB"/>
        </w:rPr>
        <w:t>, 4, pp. 183-210.</w:t>
      </w:r>
    </w:p>
    <w:p w:rsidR="009B63F1" w:rsidRDefault="009B63F1" w:rsidP="009B63F1">
      <w:pPr>
        <w:spacing w:line="360" w:lineRule="auto"/>
        <w:rPr>
          <w:rFonts w:ascii="Perpetua" w:hAnsi="Perpetua"/>
          <w:lang w:val="en-GB"/>
        </w:rPr>
      </w:pPr>
    </w:p>
    <w:p w:rsidR="009B63F1" w:rsidRPr="00D179B1" w:rsidRDefault="009B63F1" w:rsidP="009B63F1">
      <w:pPr>
        <w:spacing w:line="360" w:lineRule="auto"/>
        <w:jc w:val="both"/>
        <w:rPr>
          <w:rFonts w:ascii="Perpetua" w:hAnsi="Perpetua"/>
          <w:lang w:val="en-GB"/>
        </w:rPr>
      </w:pPr>
      <w:r w:rsidRPr="00C81B32">
        <w:rPr>
          <w:rFonts w:ascii="Perpetua" w:hAnsi="Perpetua" w:cs="Arial"/>
          <w:lang w:val="en-GB"/>
        </w:rPr>
        <w:t>Ullen</w:t>
      </w:r>
      <w:r>
        <w:rPr>
          <w:rFonts w:ascii="Perpetua" w:hAnsi="Perpetua" w:cs="Arial"/>
          <w:lang w:val="en-GB"/>
        </w:rPr>
        <w:t xml:space="preserve">, T. </w:t>
      </w:r>
      <w:r w:rsidR="003A79EC">
        <w:rPr>
          <w:rFonts w:ascii="Perpetua" w:hAnsi="Perpetua" w:cs="Arial"/>
          <w:lang w:val="en-GB"/>
        </w:rPr>
        <w:t>e</w:t>
      </w:r>
      <w:r>
        <w:rPr>
          <w:rFonts w:ascii="Perpetua" w:hAnsi="Perpetua" w:cs="Arial"/>
          <w:lang w:val="en-GB"/>
        </w:rPr>
        <w:t xml:space="preserve"> Buscaglia, E. (1997), A Q</w:t>
      </w:r>
      <w:r w:rsidRPr="00C81B32">
        <w:rPr>
          <w:rFonts w:ascii="Perpetua" w:hAnsi="Perpetua" w:cs="Arial"/>
          <w:lang w:val="en-GB"/>
        </w:rPr>
        <w:t xml:space="preserve">uantitative </w:t>
      </w:r>
      <w:r>
        <w:rPr>
          <w:rFonts w:ascii="Perpetua" w:hAnsi="Perpetua" w:cs="Arial"/>
          <w:lang w:val="en-GB"/>
        </w:rPr>
        <w:t>Assessment of the Efficiency of the Judicial S</w:t>
      </w:r>
      <w:r w:rsidRPr="00C81B32">
        <w:rPr>
          <w:rFonts w:ascii="Perpetua" w:hAnsi="Perpetua" w:cs="Arial"/>
          <w:lang w:val="en-GB"/>
        </w:rPr>
        <w:t xml:space="preserve">ector in Latin America, </w:t>
      </w:r>
      <w:r w:rsidRPr="00C81B32">
        <w:rPr>
          <w:rFonts w:ascii="Perpetua" w:hAnsi="Perpetua" w:cs="Arial"/>
          <w:i/>
          <w:lang w:val="en-GB"/>
        </w:rPr>
        <w:t>International Review of Law and Economics</w:t>
      </w:r>
      <w:r w:rsidRPr="00C81B32">
        <w:rPr>
          <w:rFonts w:ascii="Perpetua" w:hAnsi="Perpetua" w:cs="Arial"/>
          <w:lang w:val="en-GB"/>
        </w:rPr>
        <w:t xml:space="preserve">, </w:t>
      </w:r>
      <w:r>
        <w:rPr>
          <w:rFonts w:ascii="Perpetua" w:hAnsi="Perpetua" w:cs="Arial"/>
          <w:lang w:val="en-GB"/>
        </w:rPr>
        <w:t xml:space="preserve">17, </w:t>
      </w:r>
      <w:r w:rsidRPr="00C81B32">
        <w:rPr>
          <w:rFonts w:ascii="Perpetua" w:hAnsi="Perpetua" w:cs="Arial"/>
          <w:lang w:val="en-GB"/>
        </w:rPr>
        <w:t>pp.</w:t>
      </w:r>
      <w:r>
        <w:rPr>
          <w:rFonts w:ascii="Perpetua" w:hAnsi="Perpetua" w:cs="Arial"/>
          <w:lang w:val="en-GB"/>
        </w:rPr>
        <w:t xml:space="preserve"> 275-291.   </w:t>
      </w:r>
    </w:p>
    <w:p w:rsidR="009B63F1" w:rsidRDefault="009B63F1" w:rsidP="009B63F1">
      <w:pPr>
        <w:spacing w:line="360" w:lineRule="auto"/>
        <w:rPr>
          <w:lang w:val="en-GB"/>
        </w:rPr>
      </w:pPr>
    </w:p>
    <w:p w:rsidR="009B63F1" w:rsidRPr="00082AE5" w:rsidRDefault="009B63F1" w:rsidP="009B63F1">
      <w:pPr>
        <w:spacing w:line="360" w:lineRule="auto"/>
        <w:jc w:val="both"/>
        <w:rPr>
          <w:lang w:val="en-GB"/>
        </w:rPr>
      </w:pPr>
      <w:r w:rsidRPr="009C5313">
        <w:rPr>
          <w:rFonts w:ascii="Perpetua" w:hAnsi="Perpetua"/>
          <w:lang w:val="en-GB"/>
        </w:rPr>
        <w:t xml:space="preserve">Webster, R., Kennedy, S. </w:t>
      </w:r>
      <w:r w:rsidR="003A79EC">
        <w:rPr>
          <w:rFonts w:ascii="Perpetua" w:hAnsi="Perpetua"/>
          <w:lang w:val="en-GB"/>
        </w:rPr>
        <w:t>e</w:t>
      </w:r>
      <w:r w:rsidRPr="009C5313">
        <w:rPr>
          <w:rFonts w:ascii="Perpetua" w:hAnsi="Perpetua"/>
          <w:lang w:val="en-GB"/>
        </w:rPr>
        <w:t xml:space="preserve"> Johnson, L. (2000), Comparing Techniques for Measuring the Efficiency of Australian Private Hospitals, in  Blank, J. L. T. (ed.) (2000), Public Provision and Performance - Contributions from Efficiency and Productivity Measurement, Amsterdam: North-Holland.</w:t>
      </w:r>
    </w:p>
    <w:p w:rsidR="009B63F1" w:rsidRPr="009B63F1" w:rsidRDefault="009B63F1" w:rsidP="00F72F49">
      <w:pPr>
        <w:spacing w:line="360" w:lineRule="auto"/>
        <w:jc w:val="both"/>
        <w:rPr>
          <w:rFonts w:ascii="Perpetua" w:hAnsi="Perpetua"/>
          <w:b/>
          <w:lang w:val="en-GB"/>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9B63F1" w:rsidRPr="009B63F1" w:rsidRDefault="009B63F1" w:rsidP="00F72F49">
      <w:pPr>
        <w:spacing w:line="360" w:lineRule="auto"/>
        <w:jc w:val="both"/>
        <w:rPr>
          <w:rFonts w:ascii="Perpetua" w:hAnsi="Perpetua"/>
          <w:b/>
          <w:lang w:val="en-US"/>
        </w:rPr>
      </w:pPr>
    </w:p>
    <w:p w:rsidR="00F73C55" w:rsidRDefault="00F73C55" w:rsidP="00F72F49">
      <w:pPr>
        <w:spacing w:line="360" w:lineRule="auto"/>
        <w:jc w:val="both"/>
        <w:rPr>
          <w:rFonts w:ascii="Perpetua" w:hAnsi="Perpetua"/>
          <w:b/>
          <w:lang w:val="en-US"/>
        </w:rPr>
      </w:pPr>
    </w:p>
    <w:p w:rsidR="0041760E" w:rsidRDefault="0041760E" w:rsidP="00F72F49">
      <w:pPr>
        <w:spacing w:line="360" w:lineRule="auto"/>
        <w:jc w:val="both"/>
        <w:rPr>
          <w:rFonts w:ascii="Perpetua" w:hAnsi="Perpetua"/>
          <w:b/>
          <w:lang w:val="en-US"/>
        </w:rPr>
      </w:pPr>
    </w:p>
    <w:p w:rsidR="0041760E" w:rsidRDefault="0041760E" w:rsidP="00F72F49">
      <w:pPr>
        <w:spacing w:line="360" w:lineRule="auto"/>
        <w:jc w:val="both"/>
        <w:rPr>
          <w:rFonts w:ascii="Perpetua" w:hAnsi="Perpetua"/>
          <w:b/>
          <w:lang w:val="en-US"/>
        </w:rPr>
      </w:pPr>
    </w:p>
    <w:p w:rsidR="0041760E" w:rsidRDefault="0041760E" w:rsidP="00F72F49">
      <w:pPr>
        <w:spacing w:line="360" w:lineRule="auto"/>
        <w:jc w:val="both"/>
        <w:rPr>
          <w:rFonts w:ascii="Perpetua" w:hAnsi="Perpetua"/>
          <w:b/>
          <w:lang w:val="en-US"/>
        </w:rPr>
      </w:pPr>
    </w:p>
    <w:p w:rsidR="00F72F49" w:rsidRPr="00BC42B6" w:rsidRDefault="00F72F49" w:rsidP="009F1342">
      <w:pPr>
        <w:pStyle w:val="Heading1"/>
      </w:pPr>
      <w:bookmarkStart w:id="146" w:name="_Toc220484491"/>
      <w:r w:rsidRPr="00BC42B6">
        <w:t xml:space="preserve">Anexo - </w:t>
      </w:r>
      <w:r w:rsidR="00F73C55">
        <w:t>D</w:t>
      </w:r>
      <w:r w:rsidRPr="00BC42B6">
        <w:t>ados estatísticos</w:t>
      </w:r>
      <w:bookmarkEnd w:id="146"/>
    </w:p>
    <w:p w:rsidR="00F72F49" w:rsidRDefault="00F72F49" w:rsidP="00F72F49">
      <w:pPr>
        <w:spacing w:line="360" w:lineRule="auto"/>
        <w:jc w:val="both"/>
        <w:rPr>
          <w:rFonts w:ascii="Perpetua" w:hAnsi="Perpetua"/>
        </w:rPr>
      </w:pPr>
    </w:p>
    <w:p w:rsidR="00F72F49" w:rsidRPr="00945B68" w:rsidRDefault="009B63F1" w:rsidP="009F1342">
      <w:pPr>
        <w:pStyle w:val="Heading2"/>
      </w:pPr>
      <w:bookmarkStart w:id="147" w:name="_Toc220484492"/>
      <w:r>
        <w:t>8</w:t>
      </w:r>
      <w:r w:rsidR="00F72F49" w:rsidRPr="00945B68">
        <w:t>.1</w:t>
      </w:r>
      <w:r w:rsidR="009F1342">
        <w:t>.</w:t>
      </w:r>
      <w:r w:rsidR="00F72F49" w:rsidRPr="00945B68">
        <w:t xml:space="preserve"> Introdução</w:t>
      </w:r>
      <w:bookmarkEnd w:id="147"/>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A realização de trabalho</w:t>
      </w:r>
      <w:r w:rsidR="004A7A47">
        <w:rPr>
          <w:rFonts w:ascii="Perpetua" w:hAnsi="Perpetua"/>
        </w:rPr>
        <w:t>s</w:t>
      </w:r>
      <w:r>
        <w:rPr>
          <w:rFonts w:ascii="Perpetua" w:hAnsi="Perpetua"/>
        </w:rPr>
        <w:t xml:space="preserve"> de investigação de natureza empírica é fortemente condicionada pelos dados estatísticos existentes </w:t>
      </w:r>
      <w:r w:rsidR="00300CAC">
        <w:rPr>
          <w:rFonts w:ascii="Perpetua" w:hAnsi="Perpetua"/>
        </w:rPr>
        <w:t>–</w:t>
      </w:r>
      <w:r>
        <w:rPr>
          <w:rFonts w:ascii="Perpetua" w:hAnsi="Perpetua"/>
        </w:rPr>
        <w:t xml:space="preserve"> e o acesso que a eles o investigador consegue ter – sobre a questão que o investigador pretende ver respondida no seu trabalho. Esta asserção geral aplica-se, talvez com maior acuidade que em muitas outras situações, ao presente trabalho. O objectivo desta nota é apresentar as especificidades e principais limitações informativas das estatísticas sobre o sistema judicial, de modo a que as nossas escolhas metodológicas </w:t>
      </w:r>
      <w:r w:rsidR="00D34069">
        <w:rPr>
          <w:rFonts w:ascii="Perpetua" w:hAnsi="Perpetua"/>
        </w:rPr>
        <w:t>fiquem</w:t>
      </w:r>
      <w:r>
        <w:rPr>
          <w:rFonts w:ascii="Perpetua" w:hAnsi="Perpetua"/>
        </w:rPr>
        <w:t xml:space="preserve"> convenientemente justificadas.</w:t>
      </w:r>
      <w:r w:rsidR="00300CAC">
        <w:rPr>
          <w:rFonts w:ascii="Perpetua" w:hAnsi="Perpetua"/>
        </w:rPr>
        <w:t xml:space="preserve"> Talvez </w:t>
      </w:r>
      <w:proofErr w:type="gramStart"/>
      <w:r w:rsidR="00300CAC">
        <w:rPr>
          <w:rFonts w:ascii="Perpetua" w:hAnsi="Perpetua"/>
        </w:rPr>
        <w:t>valha</w:t>
      </w:r>
      <w:proofErr w:type="gramEnd"/>
      <w:r w:rsidR="00300CAC">
        <w:rPr>
          <w:rFonts w:ascii="Perpetua" w:hAnsi="Perpetua"/>
        </w:rPr>
        <w:t xml:space="preserve"> a pena </w:t>
      </w:r>
      <w:proofErr w:type="gramStart"/>
      <w:r w:rsidR="00300CAC">
        <w:rPr>
          <w:rFonts w:ascii="Perpetua" w:hAnsi="Perpetua"/>
        </w:rPr>
        <w:t>começar</w:t>
      </w:r>
      <w:proofErr w:type="gramEnd"/>
      <w:r w:rsidR="00300CAC">
        <w:rPr>
          <w:rFonts w:ascii="Perpetua" w:hAnsi="Perpetua"/>
        </w:rPr>
        <w:t xml:space="preserve"> por contar um pouco da estória deste trabalho de investigação</w:t>
      </w:r>
      <w:r w:rsidR="009B6519">
        <w:rPr>
          <w:rFonts w:ascii="Perpetua" w:hAnsi="Perpetua"/>
        </w:rPr>
        <w:t xml:space="preserve">. </w:t>
      </w:r>
      <w:r>
        <w:rPr>
          <w:rFonts w:ascii="Perpetua" w:hAnsi="Perpetua"/>
        </w:rPr>
        <w:t>Inicialmente, as fontes</w:t>
      </w:r>
      <w:r w:rsidR="009B6519">
        <w:rPr>
          <w:rFonts w:ascii="Perpetua" w:hAnsi="Perpetua"/>
        </w:rPr>
        <w:t>,</w:t>
      </w:r>
      <w:r>
        <w:rPr>
          <w:rFonts w:ascii="Perpetua" w:hAnsi="Perpetua"/>
        </w:rPr>
        <w:t xml:space="preserve"> e respectivos dados</w:t>
      </w:r>
      <w:r w:rsidR="009B6519">
        <w:rPr>
          <w:rFonts w:ascii="Perpetua" w:hAnsi="Perpetua"/>
        </w:rPr>
        <w:t>,</w:t>
      </w:r>
      <w:r>
        <w:rPr>
          <w:rFonts w:ascii="Perpetua" w:hAnsi="Perpetua"/>
        </w:rPr>
        <w:t xml:space="preserve"> consultad</w:t>
      </w:r>
      <w:r w:rsidR="00300CAC">
        <w:rPr>
          <w:rFonts w:ascii="Perpetua" w:hAnsi="Perpetua"/>
        </w:rPr>
        <w:t>a</w:t>
      </w:r>
      <w:r>
        <w:rPr>
          <w:rFonts w:ascii="Perpetua" w:hAnsi="Perpetua"/>
        </w:rPr>
        <w:t xml:space="preserve">s deveriam servir para testar hipóteses sobre a produção de serviços judiciais </w:t>
      </w:r>
      <w:r w:rsidR="009B6519">
        <w:rPr>
          <w:rFonts w:ascii="Perpetua" w:hAnsi="Perpetua"/>
        </w:rPr>
        <w:t>a</w:t>
      </w:r>
      <w:r>
        <w:rPr>
          <w:rFonts w:ascii="Perpetua" w:hAnsi="Perpetua"/>
        </w:rPr>
        <w:t xml:space="preserve"> dois níveis di</w:t>
      </w:r>
      <w:r w:rsidR="009B6519">
        <w:rPr>
          <w:rFonts w:ascii="Perpetua" w:hAnsi="Perpetua"/>
        </w:rPr>
        <w:t>stintos</w:t>
      </w:r>
      <w:r>
        <w:rPr>
          <w:rFonts w:ascii="Perpetua" w:hAnsi="Perpetua"/>
        </w:rPr>
        <w:t>: ao nível agregado</w:t>
      </w:r>
      <w:r w:rsidR="00300CAC">
        <w:rPr>
          <w:rFonts w:ascii="Perpetua" w:hAnsi="Perpetua"/>
        </w:rPr>
        <w:t xml:space="preserve"> (ao nível</w:t>
      </w:r>
      <w:r>
        <w:rPr>
          <w:rFonts w:ascii="Perpetua" w:hAnsi="Perpetua"/>
        </w:rPr>
        <w:t xml:space="preserve"> da 1.ª instância do sistema judicial</w:t>
      </w:r>
      <w:r w:rsidR="00300CAC">
        <w:rPr>
          <w:rFonts w:ascii="Perpetua" w:hAnsi="Perpetua"/>
        </w:rPr>
        <w:t>)</w:t>
      </w:r>
      <w:r>
        <w:rPr>
          <w:rFonts w:ascii="Perpetua" w:hAnsi="Perpetua"/>
        </w:rPr>
        <w:t>, através de uma sucessão cronológica da produção de serviços judiciais de 1976 a 2006; e ao nível dos tribunais, mediante uma amostra em dados transversais ou em painel. A fonte informativa consultada sobre a actividade dos tribunais judiciais e do sector da Justiça em geral fo</w:t>
      </w:r>
      <w:r w:rsidR="00300CAC">
        <w:rPr>
          <w:rFonts w:ascii="Perpetua" w:hAnsi="Perpetua"/>
        </w:rPr>
        <w:t>i as</w:t>
      </w:r>
      <w:r>
        <w:rPr>
          <w:rFonts w:ascii="Perpetua" w:hAnsi="Perpetua"/>
        </w:rPr>
        <w:t xml:space="preserve"> </w:t>
      </w:r>
      <w:r w:rsidRPr="00300CAC">
        <w:rPr>
          <w:rFonts w:ascii="Perpetua" w:hAnsi="Perpetua"/>
        </w:rPr>
        <w:t>Estatísticas da Justiça</w:t>
      </w:r>
      <w:r>
        <w:rPr>
          <w:rFonts w:ascii="Perpetua" w:hAnsi="Perpetua"/>
        </w:rPr>
        <w:t>, produzidas pela Direcção-Geral da Política da Justiça (DGPJ)</w:t>
      </w:r>
      <w:r>
        <w:rPr>
          <w:rStyle w:val="FootnoteReference"/>
          <w:rFonts w:ascii="Perpetua" w:hAnsi="Perpetua"/>
        </w:rPr>
        <w:footnoteReference w:id="131"/>
      </w:r>
      <w:r>
        <w:rPr>
          <w:rFonts w:ascii="Perpetua" w:hAnsi="Perpetua"/>
        </w:rPr>
        <w:t xml:space="preserve">. </w:t>
      </w:r>
    </w:p>
    <w:p w:rsidR="00F72F49" w:rsidRDefault="00F72F49" w:rsidP="00F72F49">
      <w:pPr>
        <w:spacing w:line="360" w:lineRule="auto"/>
        <w:jc w:val="both"/>
        <w:rPr>
          <w:rFonts w:ascii="Perpetua" w:hAnsi="Perpetua"/>
        </w:rPr>
      </w:pPr>
    </w:p>
    <w:p w:rsidR="00F72F49" w:rsidRPr="00945B68" w:rsidRDefault="009B63F1" w:rsidP="009F1342">
      <w:pPr>
        <w:pStyle w:val="Heading2"/>
      </w:pPr>
      <w:bookmarkStart w:id="148" w:name="_Toc220484493"/>
      <w:r>
        <w:t>8</w:t>
      </w:r>
      <w:r w:rsidR="00F72F49" w:rsidRPr="00945B68">
        <w:t>.2</w:t>
      </w:r>
      <w:r w:rsidR="009F1342">
        <w:t>.</w:t>
      </w:r>
      <w:r w:rsidR="00F72F49" w:rsidRPr="00945B68">
        <w:t xml:space="preserve"> Dados </w:t>
      </w:r>
      <w:r w:rsidR="00F72F49">
        <w:t xml:space="preserve">de movimento processual </w:t>
      </w:r>
      <w:r w:rsidR="00F72F49" w:rsidRPr="00945B68">
        <w:t>agregados para o sistema judicial</w:t>
      </w:r>
      <w:bookmarkEnd w:id="148"/>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A intenção inicial de analisar a produção de serviços judiciais numa sucessão cronológica longa (o valor de referência habitual são 30 períodos, neste caso anos) foi abandonada em face das dificuldades encontradas para reconstituir uma série longa consistente no que respeita à metodologia de produção dos dados estatísticos. Os dados estatísticos anteriores a 1991 publicados pelo Instituto Nacional de Estatística (INE) e pelo Gabinete de Política Legislativa e Planeamento (GPLP), disponíveis nas publicações anuais das </w:t>
      </w:r>
      <w:r w:rsidRPr="00D24E71">
        <w:rPr>
          <w:rFonts w:ascii="Perpetua" w:hAnsi="Perpetua"/>
          <w:i/>
        </w:rPr>
        <w:t xml:space="preserve">Estatísticas da Justiça </w:t>
      </w:r>
      <w:r>
        <w:rPr>
          <w:rFonts w:ascii="Perpetua" w:hAnsi="Perpetua"/>
        </w:rPr>
        <w:t xml:space="preserve">e nos </w:t>
      </w:r>
      <w:r w:rsidRPr="00D24E71">
        <w:rPr>
          <w:rFonts w:ascii="Perpetua" w:hAnsi="Perpetua"/>
          <w:i/>
        </w:rPr>
        <w:t>Anuários Estatísticos</w:t>
      </w:r>
      <w:r>
        <w:rPr>
          <w:rFonts w:ascii="Perpetua" w:hAnsi="Perpetua"/>
        </w:rPr>
        <w:t xml:space="preserve"> do INE, não permitem reconstituir uma série longa consistente com uma quantidade mínima de variáveis. De 1990 para 1991, a sucessão cronológica do movimento processual (variável explicada) desde 1970 até 1990 é interrompida, sendo substituída por outra no ano seguinte sem que seja dada uma explicação metodológica que permita continuar a série de 1990 em diante. Por outro lado, outras variáveis explicativas (n</w:t>
      </w:r>
      <w:r w:rsidR="00300CAC">
        <w:rPr>
          <w:rFonts w:ascii="Perpetua" w:hAnsi="Perpetua"/>
        </w:rPr>
        <w:t xml:space="preserve">úmero </w:t>
      </w:r>
      <w:r>
        <w:rPr>
          <w:rFonts w:ascii="Perpetua" w:hAnsi="Perpetua"/>
        </w:rPr>
        <w:t>de tribunais por tipo de competência, desagregação do movimento por área processual</w:t>
      </w:r>
      <w:r w:rsidR="008932FB">
        <w:rPr>
          <w:rFonts w:ascii="Perpetua" w:hAnsi="Perpetua"/>
        </w:rPr>
        <w:t>,</w:t>
      </w:r>
      <w:r>
        <w:rPr>
          <w:rFonts w:ascii="Perpetua" w:hAnsi="Perpetua"/>
        </w:rPr>
        <w:t xml:space="preserve"> etc.) não estão isentas de problemas para a reconstituição das respectivas séries. Em suma, tanto quanto nos foi possível averiguar, não há notas metodológicas publicadas que permitam c</w:t>
      </w:r>
      <w:r w:rsidR="009B6519">
        <w:rPr>
          <w:rFonts w:ascii="Perpetua" w:hAnsi="Perpetua"/>
        </w:rPr>
        <w:t>onstrui</w:t>
      </w:r>
      <w:r>
        <w:rPr>
          <w:rFonts w:ascii="Perpetua" w:hAnsi="Perpetua"/>
        </w:rPr>
        <w:t>r uma sucessão cronológica consistente desde 1970 até 2006 para o movimento processual judicial global a partir da mesma fonte informativa. Garoupa, Simões e Silveira (2006) utilizam uma sucessão cronológica para o movimento cível para esse período, mas não indicam qual a metodologia utilizada para reconstituir a</w:t>
      </w:r>
      <w:r w:rsidRPr="002227F4">
        <w:rPr>
          <w:rFonts w:ascii="Perpetua" w:hAnsi="Perpetua"/>
        </w:rPr>
        <w:t xml:space="preserve"> </w:t>
      </w:r>
      <w:r>
        <w:rPr>
          <w:rFonts w:ascii="Perpetua" w:hAnsi="Perpetua"/>
        </w:rPr>
        <w:t>sucessão cronológica. Naturalmente, juízos de economia de tempo contribuíram para que não explorássemos esta questão até ao limite.</w:t>
      </w:r>
    </w:p>
    <w:p w:rsidR="00F72F49" w:rsidRDefault="00F72F49" w:rsidP="00F72F49">
      <w:pPr>
        <w:spacing w:line="360" w:lineRule="auto"/>
        <w:jc w:val="both"/>
        <w:rPr>
          <w:rFonts w:ascii="Perpetua" w:hAnsi="Perpetua"/>
        </w:rPr>
      </w:pPr>
      <w:r>
        <w:rPr>
          <w:rFonts w:ascii="Perpetua" w:hAnsi="Perpetua"/>
        </w:rPr>
        <w:t xml:space="preserve"> </w:t>
      </w:r>
    </w:p>
    <w:p w:rsidR="00F72F49" w:rsidRDefault="00F72F49" w:rsidP="00F72F49">
      <w:pPr>
        <w:spacing w:line="360" w:lineRule="auto"/>
        <w:jc w:val="both"/>
        <w:rPr>
          <w:rFonts w:ascii="Perpetua" w:hAnsi="Perpetua"/>
        </w:rPr>
      </w:pPr>
      <w:r>
        <w:rPr>
          <w:rFonts w:ascii="Perpetua" w:hAnsi="Perpetua"/>
        </w:rPr>
        <w:t xml:space="preserve">A partir de 2006, as Estatísticas da Justiça passaram a ser recolhidas através do h@bilus, armazenadas numa nova base de dados (Hermes) e disponibilizadas na </w:t>
      </w:r>
      <w:r w:rsidRPr="00300CAC">
        <w:rPr>
          <w:rFonts w:ascii="Perpetua" w:hAnsi="Perpetua"/>
          <w:i/>
        </w:rPr>
        <w:t>internet</w:t>
      </w:r>
      <w:r>
        <w:rPr>
          <w:rFonts w:ascii="Perpetua" w:hAnsi="Perpetua"/>
        </w:rPr>
        <w:t xml:space="preserve"> através de um interface chamado Sistema de Estatísticas da Justiça (SIEJ), substituindo o armazenamento e disponibilização através do anterior sistema</w:t>
      </w:r>
      <w:r w:rsidR="009B6519">
        <w:rPr>
          <w:rFonts w:ascii="Perpetua" w:hAnsi="Perpetua"/>
        </w:rPr>
        <w:t xml:space="preserve"> (</w:t>
      </w:r>
      <w:r>
        <w:rPr>
          <w:rFonts w:ascii="Perpetua" w:hAnsi="Perpetua"/>
        </w:rPr>
        <w:t>AS400</w:t>
      </w:r>
      <w:r w:rsidR="009B6519">
        <w:rPr>
          <w:rFonts w:ascii="Perpetua" w:hAnsi="Perpetua"/>
        </w:rPr>
        <w:t>)</w:t>
      </w:r>
      <w:r>
        <w:rPr>
          <w:rFonts w:ascii="Perpetua" w:hAnsi="Perpetua"/>
        </w:rPr>
        <w:t xml:space="preserve">. </w:t>
      </w:r>
      <w:r w:rsidR="00300CAC">
        <w:rPr>
          <w:rFonts w:ascii="Perpetua" w:hAnsi="Perpetua"/>
        </w:rPr>
        <w:t>O Hermes p</w:t>
      </w:r>
      <w:r>
        <w:rPr>
          <w:rFonts w:ascii="Perpetua" w:hAnsi="Perpetua"/>
        </w:rPr>
        <w:t xml:space="preserve">rocurou concentrar na mesma base de dados os dados recolhidos com a metodologia que vigorou de 1991 a 2006 e os dados com maior detalhe informativo permitido pelo h@bilus. O ganho informativo obtido foi aparentemente significativo, mas as vantagens potencialmente introduzidas pelo novo sistema no que respeita ao tratamento e análise estatística ainda não foram demonstradas e, para tal, muito tem contribuído a ausência de documentos públicos que expliquem detalhadamente as alterações metodológicas efectuadas. A concentração da nossa análise no período de 1991 a 2006 resulta, essencialmente, do que </w:t>
      </w:r>
      <w:r w:rsidR="00300CAC">
        <w:rPr>
          <w:rFonts w:ascii="Perpetua" w:hAnsi="Perpetua"/>
        </w:rPr>
        <w:t xml:space="preserve">foi dito </w:t>
      </w:r>
      <w:r>
        <w:rPr>
          <w:rFonts w:ascii="Perpetua" w:hAnsi="Perpetua"/>
        </w:rPr>
        <w:t xml:space="preserve">acima, sendo que o reduzido número de períodos temporais (15, em média, por variável) não permitiu que </w:t>
      </w:r>
      <w:r w:rsidR="00300CAC">
        <w:rPr>
          <w:rFonts w:ascii="Perpetua" w:hAnsi="Perpetua"/>
        </w:rPr>
        <w:t xml:space="preserve">se </w:t>
      </w:r>
      <w:r>
        <w:rPr>
          <w:rFonts w:ascii="Perpetua" w:hAnsi="Perpetua"/>
        </w:rPr>
        <w:t>realiz</w:t>
      </w:r>
      <w:r w:rsidR="00300CAC">
        <w:rPr>
          <w:rFonts w:ascii="Perpetua" w:hAnsi="Perpetua"/>
        </w:rPr>
        <w:t>a</w:t>
      </w:r>
      <w:r>
        <w:rPr>
          <w:rFonts w:ascii="Perpetua" w:hAnsi="Perpetua"/>
        </w:rPr>
        <w:t xml:space="preserve">ssem análises econométricas. </w:t>
      </w:r>
    </w:p>
    <w:p w:rsidR="00F72F49" w:rsidRDefault="00F72F49" w:rsidP="00F72F49">
      <w:pPr>
        <w:spacing w:line="360" w:lineRule="auto"/>
        <w:jc w:val="both"/>
        <w:rPr>
          <w:rFonts w:ascii="Perpetua" w:hAnsi="Perpetua"/>
        </w:rPr>
      </w:pPr>
    </w:p>
    <w:p w:rsidR="00F72F49" w:rsidRPr="00945B68" w:rsidRDefault="009B63F1" w:rsidP="009F1342">
      <w:pPr>
        <w:pStyle w:val="Heading2"/>
      </w:pPr>
      <w:bookmarkStart w:id="149" w:name="_Toc220484494"/>
      <w:r>
        <w:t>8</w:t>
      </w:r>
      <w:r w:rsidR="00F72F49" w:rsidRPr="00945B68">
        <w:t>.3</w:t>
      </w:r>
      <w:r w:rsidR="009F1342">
        <w:t>.</w:t>
      </w:r>
      <w:r w:rsidR="00F72F49" w:rsidRPr="00945B68">
        <w:t xml:space="preserve"> Dados </w:t>
      </w:r>
      <w:r w:rsidR="00F72F49">
        <w:t xml:space="preserve">do movimento processual </w:t>
      </w:r>
      <w:r w:rsidR="00F72F49" w:rsidRPr="00945B68">
        <w:t>desagregados ao nível do tribunal</w:t>
      </w:r>
      <w:bookmarkEnd w:id="149"/>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Durante o período 1991-2006</w:t>
      </w:r>
      <w:r w:rsidR="00D34069">
        <w:rPr>
          <w:rFonts w:ascii="Perpetua" w:hAnsi="Perpetua"/>
        </w:rPr>
        <w:t>,</w:t>
      </w:r>
      <w:r>
        <w:rPr>
          <w:rFonts w:ascii="Perpetua" w:hAnsi="Perpetua"/>
        </w:rPr>
        <w:t xml:space="preserve"> os dados sobre a actividade dos tribunais foram recolhidos mediante dois instrumentos de notação estatística: os </w:t>
      </w:r>
      <w:r w:rsidR="00300CAC">
        <w:rPr>
          <w:rFonts w:ascii="Perpetua" w:hAnsi="Perpetua"/>
        </w:rPr>
        <w:t>«</w:t>
      </w:r>
      <w:r w:rsidRPr="00300CAC">
        <w:rPr>
          <w:rFonts w:ascii="Perpetua" w:hAnsi="Perpetua"/>
        </w:rPr>
        <w:t>boletins de processos</w:t>
      </w:r>
      <w:r w:rsidR="00300CAC">
        <w:rPr>
          <w:rFonts w:ascii="Perpetua" w:hAnsi="Perpetua"/>
        </w:rPr>
        <w:t>»</w:t>
      </w:r>
      <w:r>
        <w:rPr>
          <w:rFonts w:ascii="Perpetua" w:hAnsi="Perpetua"/>
        </w:rPr>
        <w:t xml:space="preserve"> e os </w:t>
      </w:r>
      <w:r w:rsidR="00300CAC">
        <w:rPr>
          <w:rFonts w:ascii="Perpetua" w:hAnsi="Perpetua"/>
        </w:rPr>
        <w:t>«</w:t>
      </w:r>
      <w:r w:rsidRPr="00300CAC">
        <w:rPr>
          <w:rFonts w:ascii="Perpetua" w:hAnsi="Perpetua"/>
        </w:rPr>
        <w:t>mapas de movimento</w:t>
      </w:r>
      <w:r w:rsidR="00300CAC">
        <w:rPr>
          <w:rFonts w:ascii="Perpetua" w:hAnsi="Perpetua"/>
        </w:rPr>
        <w:t>».</w:t>
      </w:r>
      <w:r>
        <w:rPr>
          <w:rFonts w:ascii="Perpetua" w:hAnsi="Perpetua"/>
        </w:rPr>
        <w:t xml:space="preserve"> Os mapas de movimento, preenchidos por cada tribunal, e, em geral, individualizados em função da área judicial, incluem informação sobre processos entrados, findos e pendentes na respectiva área judicial. O primeiro obstáculo é o facto dos critérios de classificação dos processos movimentados serem muitas vezes divergentes entre as áreas processuais (Cível, Penal, Laboral, Laboral Penal e Tutelar). A nova base de dados associada ao SIEJ fez uma tentativa de integrar os vários critérios de agregação dos mapas das várias áreas </w:t>
      </w:r>
      <w:r w:rsidR="005D7E8C">
        <w:rPr>
          <w:rFonts w:ascii="Perpetua" w:hAnsi="Perpetua"/>
        </w:rPr>
        <w:t>processuais; n</w:t>
      </w:r>
      <w:r>
        <w:rPr>
          <w:rFonts w:ascii="Perpetua" w:hAnsi="Perpetua"/>
        </w:rPr>
        <w:t xml:space="preserve">o entanto, os problemas iniciais dos dados são inultrapassáveis, </w:t>
      </w:r>
      <w:r w:rsidR="00D34069">
        <w:rPr>
          <w:rFonts w:ascii="Perpetua" w:hAnsi="Perpetua"/>
        </w:rPr>
        <w:t xml:space="preserve">pelo que </w:t>
      </w:r>
      <w:r>
        <w:rPr>
          <w:rFonts w:ascii="Perpetua" w:hAnsi="Perpetua"/>
        </w:rPr>
        <w:t xml:space="preserve">poucos </w:t>
      </w:r>
      <w:r w:rsidRPr="00EE7DB2">
        <w:rPr>
          <w:rFonts w:ascii="Perpetua" w:hAnsi="Perpetua"/>
        </w:rPr>
        <w:t>critérios</w:t>
      </w:r>
      <w:r>
        <w:rPr>
          <w:rFonts w:ascii="Perpetua" w:hAnsi="Perpetua"/>
        </w:rPr>
        <w:t xml:space="preserve"> são verdadeiramente transversais a todas as áreas processuais. Na nossa análise considerámos quatro critérios de agregação de processos: </w:t>
      </w:r>
      <w:r w:rsidR="00300CAC">
        <w:rPr>
          <w:rFonts w:ascii="Perpetua" w:hAnsi="Perpetua"/>
        </w:rPr>
        <w:t>«</w:t>
      </w:r>
      <w:r w:rsidRPr="00300CAC">
        <w:rPr>
          <w:rFonts w:ascii="Perpetua" w:hAnsi="Perpetua"/>
        </w:rPr>
        <w:t>área processual</w:t>
      </w:r>
      <w:r w:rsidR="00300CAC">
        <w:rPr>
          <w:rFonts w:ascii="Perpetua" w:hAnsi="Perpetua"/>
        </w:rPr>
        <w:t>»</w:t>
      </w:r>
      <w:r w:rsidRPr="00300CAC">
        <w:rPr>
          <w:rFonts w:ascii="Perpetua" w:hAnsi="Perpetua"/>
        </w:rPr>
        <w:t xml:space="preserve">, </w:t>
      </w:r>
      <w:r w:rsidR="00300CAC">
        <w:rPr>
          <w:rFonts w:ascii="Perpetua" w:hAnsi="Perpetua"/>
        </w:rPr>
        <w:t>«</w:t>
      </w:r>
      <w:r w:rsidRPr="00300CAC">
        <w:rPr>
          <w:rFonts w:ascii="Perpetua" w:hAnsi="Perpetua"/>
        </w:rPr>
        <w:t>tipo de espécie de process</w:t>
      </w:r>
      <w:r w:rsidR="00300CAC">
        <w:rPr>
          <w:rFonts w:ascii="Perpetua" w:hAnsi="Perpetua"/>
        </w:rPr>
        <w:t>ual»</w:t>
      </w:r>
      <w:r w:rsidRPr="00300CAC">
        <w:rPr>
          <w:rFonts w:ascii="Perpetua" w:hAnsi="Perpetua"/>
        </w:rPr>
        <w:t xml:space="preserve">, </w:t>
      </w:r>
      <w:r w:rsidR="00300CAC">
        <w:rPr>
          <w:rFonts w:ascii="Perpetua" w:hAnsi="Perpetua"/>
        </w:rPr>
        <w:t>«</w:t>
      </w:r>
      <w:r w:rsidRPr="00300CAC">
        <w:rPr>
          <w:rFonts w:ascii="Perpetua" w:hAnsi="Perpetua"/>
        </w:rPr>
        <w:t>forma de processo</w:t>
      </w:r>
      <w:r w:rsidR="00300CAC">
        <w:rPr>
          <w:rFonts w:ascii="Perpetua" w:hAnsi="Perpetua"/>
        </w:rPr>
        <w:t>»</w:t>
      </w:r>
      <w:r w:rsidRPr="00300CAC">
        <w:rPr>
          <w:rFonts w:ascii="Perpetua" w:hAnsi="Perpetua"/>
        </w:rPr>
        <w:t xml:space="preserve"> e </w:t>
      </w:r>
      <w:r w:rsidR="00300CAC">
        <w:rPr>
          <w:rFonts w:ascii="Perpetua" w:hAnsi="Perpetua"/>
        </w:rPr>
        <w:t>«</w:t>
      </w:r>
      <w:r w:rsidRPr="00300CAC">
        <w:rPr>
          <w:rFonts w:ascii="Perpetua" w:hAnsi="Perpetua"/>
        </w:rPr>
        <w:t>termo do processo</w:t>
      </w:r>
      <w:r w:rsidR="00300CAC">
        <w:rPr>
          <w:rFonts w:ascii="Perpetua" w:hAnsi="Perpetua"/>
        </w:rPr>
        <w:t>»</w:t>
      </w:r>
      <w:r>
        <w:rPr>
          <w:rFonts w:ascii="Perpetua" w:hAnsi="Perpetua"/>
        </w:rPr>
        <w:t>.</w:t>
      </w:r>
      <w:r>
        <w:rPr>
          <w:rFonts w:ascii="Perpetua" w:hAnsi="Perpetua"/>
          <w:i/>
        </w:rPr>
        <w:t xml:space="preserve"> </w:t>
      </w:r>
      <w:r w:rsidRPr="00EE7DB2">
        <w:rPr>
          <w:rFonts w:ascii="Perpetua" w:hAnsi="Perpetua"/>
        </w:rPr>
        <w:t xml:space="preserve">A </w:t>
      </w:r>
      <w:r>
        <w:rPr>
          <w:rFonts w:ascii="Perpetua" w:hAnsi="Perpetua"/>
        </w:rPr>
        <w:t>escolha foi orientada pelo equilíbrio dos objectivos de i) diversificar as características do processo a que o critério se refere e que são potencialmente relevantes para a intensidade de trabalho judicial do processo e ii), assegurar algum grau de transversalidade dos critérios ao longo das áreas processuais (</w:t>
      </w:r>
      <w:r w:rsidR="004E5D3A" w:rsidRPr="004E5D3A">
        <w:rPr>
          <w:rFonts w:ascii="Perpetua" w:hAnsi="Perpetua"/>
          <w:i/>
        </w:rPr>
        <w:t>i.e.</w:t>
      </w:r>
      <w:r w:rsidR="00941AEA">
        <w:rPr>
          <w:rFonts w:ascii="Perpetua" w:hAnsi="Perpetua"/>
        </w:rPr>
        <w:t xml:space="preserve">, </w:t>
      </w:r>
      <w:r>
        <w:rPr>
          <w:rFonts w:ascii="Perpetua" w:hAnsi="Perpetua"/>
        </w:rPr>
        <w:t>evitar particularizar o critério), mesmo que esse desiderato nem sempre possa ser satisfeito (sobre esta questão leia-se mais abaixo)</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Relativamente às características apontadas pelos critérios de agregação</w:t>
      </w:r>
      <w:r w:rsidR="00300CAC">
        <w:rPr>
          <w:rFonts w:ascii="Perpetua" w:hAnsi="Perpetua"/>
        </w:rPr>
        <w:t xml:space="preserve"> (ver Figuras 8.1</w:t>
      </w:r>
      <w:r w:rsidR="00FD37E2">
        <w:rPr>
          <w:rFonts w:ascii="Perpetua" w:hAnsi="Perpetua"/>
        </w:rPr>
        <w:t>,</w:t>
      </w:r>
      <w:r w:rsidR="00300CAC">
        <w:rPr>
          <w:rFonts w:ascii="Perpetua" w:hAnsi="Perpetua"/>
        </w:rPr>
        <w:t xml:space="preserve"> 8.2</w:t>
      </w:r>
      <w:r w:rsidR="00FD37E2">
        <w:rPr>
          <w:rFonts w:ascii="Perpetua" w:hAnsi="Perpetua"/>
        </w:rPr>
        <w:t>, 8.3 e 8.4</w:t>
      </w:r>
      <w:r w:rsidR="00300CAC">
        <w:rPr>
          <w:rFonts w:ascii="Perpetua" w:hAnsi="Perpetua"/>
        </w:rPr>
        <w:t xml:space="preserve"> abaixo)</w:t>
      </w:r>
      <w:r>
        <w:rPr>
          <w:rFonts w:ascii="Perpetua" w:hAnsi="Perpetua"/>
        </w:rPr>
        <w:t xml:space="preserve">, temos que a área processual se refere à </w:t>
      </w:r>
      <w:r w:rsidR="005D7E8C">
        <w:rPr>
          <w:rFonts w:ascii="Perpetua" w:hAnsi="Perpetua"/>
        </w:rPr>
        <w:t>natureza jurídica das questões discutidas no processo</w:t>
      </w:r>
      <w:r w:rsidR="00FD37E2">
        <w:rPr>
          <w:rFonts w:ascii="Perpetua" w:hAnsi="Perpetua"/>
        </w:rPr>
        <w:t>,</w:t>
      </w:r>
      <w:r>
        <w:rPr>
          <w:rFonts w:ascii="Perpetua" w:hAnsi="Perpetua"/>
        </w:rPr>
        <w:t xml:space="preserve"> o tipo de espécie do processo à finalidade do processo, a forma do pr</w:t>
      </w:r>
      <w:r w:rsidR="0020785C">
        <w:rPr>
          <w:rFonts w:ascii="Perpetua" w:hAnsi="Perpetua"/>
        </w:rPr>
        <w:t>ocesso serve para distin</w:t>
      </w:r>
      <w:r w:rsidR="008932FB">
        <w:rPr>
          <w:rFonts w:ascii="Perpetua" w:hAnsi="Perpetua"/>
        </w:rPr>
        <w:t>guir as acções/</w:t>
      </w:r>
      <w:r w:rsidR="0020785C">
        <w:rPr>
          <w:rFonts w:ascii="Perpetua" w:hAnsi="Perpetua"/>
        </w:rPr>
        <w:t>processos mais simples dos mais complexos</w:t>
      </w:r>
      <w:r w:rsidRPr="007C4A36">
        <w:rPr>
          <w:rFonts w:ascii="Perpetua" w:hAnsi="Perpetua"/>
        </w:rPr>
        <w:t xml:space="preserve"> </w:t>
      </w:r>
      <w:r>
        <w:rPr>
          <w:rFonts w:ascii="Perpetua" w:hAnsi="Perpetua"/>
        </w:rPr>
        <w:t>e, por fim, o termo do processo que, como o próprio indica, se refere ao tipo procedimento que pôs termo ao processo. Os três primeiros critérios indicam o tipo de serviço prestado</w:t>
      </w:r>
      <w:r w:rsidR="00D071BF">
        <w:rPr>
          <w:rFonts w:ascii="Perpetua" w:hAnsi="Perpetua"/>
        </w:rPr>
        <w:t xml:space="preserve"> –, </w:t>
      </w:r>
      <w:r>
        <w:rPr>
          <w:rFonts w:ascii="Perpetua" w:hAnsi="Perpetua"/>
        </w:rPr>
        <w:t>não sendo imediato quais, de entre a</w:t>
      </w:r>
      <w:r w:rsidR="00D071BF">
        <w:rPr>
          <w:rFonts w:ascii="Perpetua" w:hAnsi="Perpetua"/>
        </w:rPr>
        <w:t>s categorias respectivas, consome mais</w:t>
      </w:r>
      <w:r>
        <w:rPr>
          <w:rFonts w:ascii="Perpetua" w:hAnsi="Perpetua"/>
        </w:rPr>
        <w:t xml:space="preserve"> tempo</w:t>
      </w:r>
      <w:r w:rsidR="00D071BF">
        <w:rPr>
          <w:rFonts w:ascii="Perpetua" w:hAnsi="Perpetua"/>
        </w:rPr>
        <w:t xml:space="preserve"> de trabalho judicial –</w:t>
      </w:r>
      <w:r>
        <w:rPr>
          <w:rFonts w:ascii="Perpetua" w:hAnsi="Perpetua"/>
        </w:rPr>
        <w:t>, enquanto o termo do processo é um bom indicador dos recursos consumidos pelo tribunal na resolução do processo</w:t>
      </w:r>
      <w:r w:rsidR="00D071BF">
        <w:rPr>
          <w:rFonts w:ascii="Perpetua" w:hAnsi="Perpetua"/>
        </w:rPr>
        <w:t xml:space="preserve">, </w:t>
      </w:r>
      <w:r>
        <w:rPr>
          <w:rFonts w:ascii="Perpetua" w:hAnsi="Perpetua"/>
        </w:rPr>
        <w:t xml:space="preserve">sendo esperado que um processo findo por decisão </w:t>
      </w:r>
      <w:r w:rsidR="005D7E8C">
        <w:rPr>
          <w:rFonts w:ascii="Perpetua" w:hAnsi="Perpetua"/>
        </w:rPr>
        <w:t>de fundo consuma mais recursos d</w:t>
      </w:r>
      <w:r>
        <w:rPr>
          <w:rFonts w:ascii="Perpetua" w:hAnsi="Perpetua"/>
        </w:rPr>
        <w:t>o tribunal e que, por isso, prejudique a produtividade j</w:t>
      </w:r>
      <w:r w:rsidR="00D071BF">
        <w:rPr>
          <w:rFonts w:ascii="Perpetua" w:hAnsi="Perpetua"/>
        </w:rPr>
        <w:t>udicial</w:t>
      </w:r>
      <w:r>
        <w:rPr>
          <w:rFonts w:ascii="Perpetua" w:hAnsi="Perpetua"/>
        </w:rPr>
        <w:t>.</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 xml:space="preserve">No que concerne à transversalidade dos critérios, como é visível nas figuras abaixo, certas espécies de processo são transversais a duas áreas processuais, nomeadamente as execuções, </w:t>
      </w:r>
      <w:r w:rsidR="005D7E8C">
        <w:rPr>
          <w:rFonts w:ascii="Perpetua" w:hAnsi="Perpetua"/>
        </w:rPr>
        <w:t xml:space="preserve">as </w:t>
      </w:r>
      <w:r>
        <w:rPr>
          <w:rFonts w:ascii="Perpetua" w:hAnsi="Perpetua"/>
        </w:rPr>
        <w:t xml:space="preserve">acções declarativas e </w:t>
      </w:r>
      <w:r w:rsidR="005D7E8C">
        <w:rPr>
          <w:rFonts w:ascii="Perpetua" w:hAnsi="Perpetua"/>
        </w:rPr>
        <w:t xml:space="preserve">as </w:t>
      </w:r>
      <w:r>
        <w:rPr>
          <w:rFonts w:ascii="Perpetua" w:hAnsi="Perpetua"/>
        </w:rPr>
        <w:t>acções especiais são comuns às áreas de trabalho e cível, as contra-ordenações e</w:t>
      </w:r>
      <w:r w:rsidR="005D7E8C">
        <w:rPr>
          <w:rFonts w:ascii="Perpetua" w:hAnsi="Perpetua"/>
        </w:rPr>
        <w:t xml:space="preserve"> as</w:t>
      </w:r>
      <w:r>
        <w:rPr>
          <w:rFonts w:ascii="Perpetua" w:hAnsi="Perpetua"/>
        </w:rPr>
        <w:t xml:space="preserve"> transgressões são comuns à </w:t>
      </w:r>
      <w:r w:rsidR="005D7E8C">
        <w:rPr>
          <w:rFonts w:ascii="Perpetua" w:hAnsi="Perpetua"/>
        </w:rPr>
        <w:t xml:space="preserve">área </w:t>
      </w:r>
      <w:r>
        <w:rPr>
          <w:rFonts w:ascii="Perpetua" w:hAnsi="Perpetua"/>
        </w:rPr>
        <w:t xml:space="preserve">penal e à </w:t>
      </w:r>
      <w:r w:rsidR="005D7E8C">
        <w:rPr>
          <w:rFonts w:ascii="Perpetua" w:hAnsi="Perpetua"/>
        </w:rPr>
        <w:t xml:space="preserve">área </w:t>
      </w:r>
      <w:r>
        <w:rPr>
          <w:rFonts w:ascii="Perpetua" w:hAnsi="Perpetua"/>
        </w:rPr>
        <w:t xml:space="preserve">laboral penal.   </w:t>
      </w:r>
    </w:p>
    <w:p w:rsidR="00F72F49" w:rsidRDefault="00F72F4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A501D9" w:rsidRDefault="00A501D9" w:rsidP="00F72F49">
      <w:pPr>
        <w:spacing w:line="360" w:lineRule="auto"/>
        <w:jc w:val="both"/>
        <w:rPr>
          <w:rFonts w:ascii="Perpetua" w:hAnsi="Perpetua"/>
        </w:rPr>
      </w:pPr>
    </w:p>
    <w:p w:rsidR="00F72F49" w:rsidRDefault="00F72F49" w:rsidP="00F72F49">
      <w:pPr>
        <w:spacing w:line="360" w:lineRule="auto"/>
        <w:jc w:val="center"/>
        <w:rPr>
          <w:rFonts w:ascii="Perpetua" w:hAnsi="Perpetua"/>
        </w:rPr>
      </w:pPr>
    </w:p>
    <w:p w:rsidR="00F72F49" w:rsidRDefault="00F72F49" w:rsidP="00F72F49">
      <w:pPr>
        <w:pStyle w:val="Caption"/>
        <w:keepNext/>
        <w:jc w:val="center"/>
        <w:rPr>
          <w:rFonts w:ascii="Perpetua" w:hAnsi="Perpetua"/>
        </w:rPr>
      </w:pPr>
      <w:bookmarkStart w:id="150" w:name="_Toc215081913"/>
      <w:r w:rsidRPr="00BC42B6">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1</w:t>
      </w:r>
      <w:r w:rsidR="0048473F">
        <w:rPr>
          <w:rFonts w:ascii="Perpetua" w:hAnsi="Perpetua"/>
        </w:rPr>
        <w:fldChar w:fldCharType="end"/>
      </w:r>
      <w:r>
        <w:rPr>
          <w:rFonts w:ascii="Perpetua" w:hAnsi="Perpetua"/>
        </w:rPr>
        <w:t xml:space="preserve"> – Critérios de agregação de processos Área Processual, Tipo de Espécie de Processo e Espécie do Processo e respectivas categorias</w:t>
      </w:r>
      <w:bookmarkEnd w:id="150"/>
      <w:r>
        <w:rPr>
          <w:rFonts w:ascii="Perpetua" w:hAnsi="Perpetua"/>
        </w:rPr>
        <w:t xml:space="preserve"> </w:t>
      </w:r>
    </w:p>
    <w:p w:rsidR="00F72F49" w:rsidRDefault="00F72F49" w:rsidP="00F72F49">
      <w:pPr>
        <w:spacing w:line="360" w:lineRule="auto"/>
        <w:jc w:val="center"/>
        <w:rPr>
          <w:rFonts w:ascii="Perpetua" w:hAnsi="Perpetua"/>
        </w:rPr>
      </w:pPr>
    </w:p>
    <w:tbl>
      <w:tblPr>
        <w:tblW w:w="0" w:type="auto"/>
        <w:jc w:val="center"/>
        <w:tblInd w:w="55" w:type="dxa"/>
        <w:tblCellMar>
          <w:left w:w="70" w:type="dxa"/>
          <w:right w:w="70" w:type="dxa"/>
        </w:tblCellMar>
        <w:tblLook w:val="04A0"/>
      </w:tblPr>
      <w:tblGrid>
        <w:gridCol w:w="1241"/>
        <w:gridCol w:w="1983"/>
        <w:gridCol w:w="4359"/>
      </w:tblGrid>
      <w:tr w:rsidR="00A501D9" w:rsidRPr="00A501D9" w:rsidTr="00BF6C66">
        <w:trPr>
          <w:trHeight w:val="537"/>
          <w:jc w:val="center"/>
        </w:trPr>
        <w:tc>
          <w:tcPr>
            <w:tcW w:w="1241" w:type="dxa"/>
            <w:vMerge w:val="restart"/>
            <w:tcBorders>
              <w:top w:val="single" w:sz="4" w:space="0" w:color="auto"/>
              <w:left w:val="nil"/>
              <w:bottom w:val="single" w:sz="4" w:space="0" w:color="000000"/>
              <w:right w:val="single" w:sz="4" w:space="0" w:color="auto"/>
            </w:tcBorders>
            <w:shd w:val="clear" w:color="000000" w:fill="FFFFFF"/>
            <w:vAlign w:val="center"/>
          </w:tcPr>
          <w:p w:rsidR="00A501D9" w:rsidRPr="00A501D9" w:rsidRDefault="00A501D9" w:rsidP="00A501D9">
            <w:pPr>
              <w:jc w:val="center"/>
              <w:rPr>
                <w:rFonts w:ascii="Perpetua" w:hAnsi="Perpetua"/>
                <w:color w:val="000000"/>
                <w:sz w:val="18"/>
                <w:szCs w:val="18"/>
              </w:rPr>
            </w:pPr>
            <w:r w:rsidRPr="00A501D9">
              <w:rPr>
                <w:rFonts w:ascii="Perpetua" w:hAnsi="Perpetua"/>
                <w:color w:val="000000"/>
                <w:sz w:val="18"/>
                <w:szCs w:val="18"/>
              </w:rPr>
              <w:t>Justiça Cível</w:t>
            </w:r>
          </w:p>
        </w:tc>
        <w:tc>
          <w:tcPr>
            <w:tcW w:w="1983" w:type="dxa"/>
            <w:tcBorders>
              <w:top w:val="single" w:sz="4" w:space="0" w:color="auto"/>
              <w:left w:val="nil"/>
              <w:bottom w:val="nil"/>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Acções declarativas</w:t>
            </w:r>
          </w:p>
        </w:tc>
        <w:tc>
          <w:tcPr>
            <w:tcW w:w="4359" w:type="dxa"/>
            <w:tcBorders>
              <w:top w:val="single" w:sz="4" w:space="0" w:color="auto"/>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Comum</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val="restart"/>
            <w:tcBorders>
              <w:top w:val="single" w:sz="4" w:space="0" w:color="auto"/>
              <w:left w:val="single" w:sz="4" w:space="0" w:color="auto"/>
              <w:bottom w:val="single" w:sz="4" w:space="0" w:color="000000"/>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Execuções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Execução comum</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single" w:sz="4" w:space="0" w:color="auto"/>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 xml:space="preserve">Execução comum </w:t>
            </w:r>
            <w:proofErr w:type="gramStart"/>
            <w:r w:rsidRPr="00A501D9">
              <w:rPr>
                <w:rFonts w:ascii="Perpetua" w:hAnsi="Perpetua"/>
                <w:color w:val="000000"/>
                <w:sz w:val="18"/>
                <w:szCs w:val="18"/>
              </w:rPr>
              <w:t>(&lt;</w:t>
            </w:r>
            <w:proofErr w:type="gramEnd"/>
            <w:r w:rsidRPr="00A501D9">
              <w:rPr>
                <w:rFonts w:ascii="Perpetua" w:hAnsi="Perpetua"/>
                <w:color w:val="000000"/>
                <w:sz w:val="18"/>
                <w:szCs w:val="18"/>
              </w:rPr>
              <w:t xml:space="preserve"> 15-Set-2003)</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single" w:sz="4" w:space="0" w:color="auto"/>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Execução especial</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single" w:sz="4" w:space="0" w:color="auto"/>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Execuções N.E.</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val="restart"/>
            <w:tcBorders>
              <w:top w:val="nil"/>
              <w:left w:val="single" w:sz="4" w:space="0" w:color="auto"/>
              <w:bottom w:val="single" w:sz="4" w:space="0" w:color="000000"/>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Acções especiais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Divórcios e separações</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nil"/>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Inventário</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nil"/>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8932FB" w:rsidP="00A501D9">
            <w:pPr>
              <w:ind w:firstLineChars="100" w:firstLine="180"/>
              <w:rPr>
                <w:rFonts w:ascii="Perpetua" w:hAnsi="Perpetua"/>
                <w:color w:val="000000"/>
                <w:sz w:val="18"/>
                <w:szCs w:val="18"/>
              </w:rPr>
            </w:pPr>
            <w:r>
              <w:rPr>
                <w:rFonts w:ascii="Perpetua" w:hAnsi="Perpetua"/>
                <w:color w:val="000000"/>
                <w:sz w:val="18"/>
                <w:szCs w:val="18"/>
              </w:rPr>
              <w:t>Falência/</w:t>
            </w:r>
            <w:r w:rsidR="00A501D9" w:rsidRPr="00A501D9">
              <w:rPr>
                <w:rFonts w:ascii="Perpetua" w:hAnsi="Perpetua"/>
                <w:color w:val="000000"/>
                <w:sz w:val="18"/>
                <w:szCs w:val="18"/>
              </w:rPr>
              <w:t xml:space="preserve"> Insolvência/ Recuperação de empresas em falência</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nil"/>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Outras acções especiais</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Procedimentos Cautelares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Procedimentos cautelares</w:t>
            </w:r>
          </w:p>
        </w:tc>
      </w:tr>
      <w:tr w:rsidR="00A501D9" w:rsidRPr="00A501D9" w:rsidTr="00BF6C66">
        <w:trPr>
          <w:trHeight w:val="405"/>
          <w:jc w:val="center"/>
        </w:trPr>
        <w:tc>
          <w:tcPr>
            <w:tcW w:w="1241" w:type="dxa"/>
            <w:vMerge/>
            <w:tcBorders>
              <w:top w:val="single" w:sz="4" w:space="0" w:color="auto"/>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Outros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Outros processos N.E.</w:t>
            </w:r>
          </w:p>
        </w:tc>
      </w:tr>
      <w:tr w:rsidR="00A501D9" w:rsidRPr="00A501D9" w:rsidTr="00BF6C66">
        <w:trPr>
          <w:trHeight w:val="405"/>
          <w:jc w:val="center"/>
        </w:trPr>
        <w:tc>
          <w:tcPr>
            <w:tcW w:w="1241" w:type="dxa"/>
            <w:vMerge w:val="restart"/>
            <w:tcBorders>
              <w:top w:val="nil"/>
              <w:left w:val="nil"/>
              <w:bottom w:val="single" w:sz="4" w:space="0" w:color="000000"/>
              <w:right w:val="single" w:sz="4" w:space="0" w:color="auto"/>
            </w:tcBorders>
            <w:shd w:val="clear" w:color="000000" w:fill="FFFFFF"/>
            <w:vAlign w:val="center"/>
          </w:tcPr>
          <w:p w:rsidR="00A501D9" w:rsidRPr="00A501D9" w:rsidRDefault="00A501D9" w:rsidP="00A501D9">
            <w:pPr>
              <w:jc w:val="center"/>
              <w:rPr>
                <w:rFonts w:ascii="Perpetua" w:hAnsi="Perpetua"/>
                <w:color w:val="000000"/>
                <w:sz w:val="18"/>
                <w:szCs w:val="18"/>
              </w:rPr>
            </w:pPr>
            <w:r w:rsidRPr="00A501D9">
              <w:rPr>
                <w:rFonts w:ascii="Perpetua" w:hAnsi="Perpetua"/>
                <w:color w:val="000000"/>
                <w:sz w:val="18"/>
                <w:szCs w:val="18"/>
              </w:rPr>
              <w:t>Justiça Laboral</w:t>
            </w: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Acções declarativas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Comum</w:t>
            </w:r>
          </w:p>
        </w:tc>
      </w:tr>
      <w:tr w:rsidR="00A501D9" w:rsidRPr="00A501D9" w:rsidTr="00BF6C66">
        <w:trPr>
          <w:trHeight w:val="405"/>
          <w:jc w:val="center"/>
        </w:trPr>
        <w:tc>
          <w:tcPr>
            <w:tcW w:w="1241" w:type="dxa"/>
            <w:vMerge/>
            <w:tcBorders>
              <w:top w:val="nil"/>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Execuções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Execução Laboral</w:t>
            </w:r>
          </w:p>
        </w:tc>
      </w:tr>
      <w:tr w:rsidR="00A501D9" w:rsidRPr="00A501D9" w:rsidTr="00BF6C66">
        <w:trPr>
          <w:trHeight w:val="405"/>
          <w:jc w:val="center"/>
        </w:trPr>
        <w:tc>
          <w:tcPr>
            <w:tcW w:w="1241" w:type="dxa"/>
            <w:vMerge/>
            <w:tcBorders>
              <w:top w:val="nil"/>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val="restart"/>
            <w:tcBorders>
              <w:top w:val="nil"/>
              <w:left w:val="single" w:sz="4" w:space="0" w:color="auto"/>
              <w:bottom w:val="single" w:sz="4" w:space="0" w:color="000000"/>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Acções especiais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Acidente trabalho/doença profissionais</w:t>
            </w:r>
          </w:p>
        </w:tc>
      </w:tr>
      <w:tr w:rsidR="00A501D9" w:rsidRPr="00A501D9" w:rsidTr="00BF6C66">
        <w:trPr>
          <w:trHeight w:val="405"/>
          <w:jc w:val="center"/>
        </w:trPr>
        <w:tc>
          <w:tcPr>
            <w:tcW w:w="1241" w:type="dxa"/>
            <w:vMerge/>
            <w:tcBorders>
              <w:top w:val="nil"/>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nil"/>
              <w:left w:val="single" w:sz="4" w:space="0" w:color="auto"/>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Outras acções especiais</w:t>
            </w:r>
          </w:p>
        </w:tc>
      </w:tr>
      <w:tr w:rsidR="00A501D9" w:rsidRPr="00A501D9" w:rsidTr="00BF6C66">
        <w:trPr>
          <w:trHeight w:val="405"/>
          <w:jc w:val="center"/>
        </w:trPr>
        <w:tc>
          <w:tcPr>
            <w:tcW w:w="1241" w:type="dxa"/>
            <w:vMerge/>
            <w:tcBorders>
              <w:top w:val="nil"/>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Procedimentos Cautelares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Procedimentos cautelares</w:t>
            </w:r>
          </w:p>
        </w:tc>
      </w:tr>
      <w:tr w:rsidR="00A501D9" w:rsidRPr="00A501D9" w:rsidTr="00BF6C66">
        <w:trPr>
          <w:trHeight w:val="405"/>
          <w:jc w:val="center"/>
        </w:trPr>
        <w:tc>
          <w:tcPr>
            <w:tcW w:w="1241" w:type="dxa"/>
            <w:vMerge/>
            <w:tcBorders>
              <w:top w:val="nil"/>
              <w:left w:val="nil"/>
              <w:bottom w:val="single" w:sz="4" w:space="0" w:color="000000"/>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tcBorders>
              <w:top w:val="nil"/>
              <w:left w:val="nil"/>
              <w:bottom w:val="single" w:sz="4" w:space="0" w:color="auto"/>
              <w:right w:val="single" w:sz="4" w:space="0" w:color="auto"/>
            </w:tcBorders>
            <w:shd w:val="clear" w:color="000000" w:fill="FFFFFF"/>
            <w:noWrap/>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Outros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Outros processos N.E.</w:t>
            </w:r>
          </w:p>
        </w:tc>
      </w:tr>
      <w:tr w:rsidR="00A501D9" w:rsidRPr="00A501D9" w:rsidTr="00BF6C66">
        <w:trPr>
          <w:trHeight w:val="405"/>
          <w:jc w:val="center"/>
        </w:trPr>
        <w:tc>
          <w:tcPr>
            <w:tcW w:w="1241" w:type="dxa"/>
            <w:vMerge w:val="restart"/>
            <w:tcBorders>
              <w:top w:val="nil"/>
              <w:left w:val="nil"/>
              <w:bottom w:val="nil"/>
              <w:right w:val="single" w:sz="4" w:space="0" w:color="auto"/>
            </w:tcBorders>
            <w:shd w:val="clear" w:color="000000" w:fill="FFFFFF"/>
            <w:vAlign w:val="center"/>
          </w:tcPr>
          <w:p w:rsidR="00BF6C66" w:rsidRDefault="00A501D9" w:rsidP="00A501D9">
            <w:pPr>
              <w:jc w:val="center"/>
              <w:rPr>
                <w:rFonts w:ascii="Perpetua" w:hAnsi="Perpetua"/>
                <w:color w:val="000000"/>
                <w:sz w:val="18"/>
                <w:szCs w:val="18"/>
              </w:rPr>
            </w:pPr>
            <w:r w:rsidRPr="00A501D9">
              <w:rPr>
                <w:rFonts w:ascii="Perpetua" w:hAnsi="Perpetua"/>
                <w:color w:val="000000"/>
                <w:sz w:val="18"/>
                <w:szCs w:val="18"/>
              </w:rPr>
              <w:t>Justiça Laboral</w:t>
            </w:r>
          </w:p>
          <w:p w:rsidR="00A501D9" w:rsidRPr="00A501D9" w:rsidRDefault="00A501D9" w:rsidP="00A501D9">
            <w:pPr>
              <w:jc w:val="center"/>
              <w:rPr>
                <w:rFonts w:ascii="Perpetua" w:hAnsi="Perpetua"/>
                <w:color w:val="000000"/>
                <w:sz w:val="18"/>
                <w:szCs w:val="18"/>
              </w:rPr>
            </w:pPr>
            <w:r w:rsidRPr="00A501D9">
              <w:rPr>
                <w:rFonts w:ascii="Perpetua" w:hAnsi="Perpetua"/>
                <w:color w:val="000000"/>
                <w:sz w:val="18"/>
                <w:szCs w:val="18"/>
              </w:rPr>
              <w:t xml:space="preserve"> Penal</w:t>
            </w:r>
          </w:p>
        </w:tc>
        <w:tc>
          <w:tcPr>
            <w:tcW w:w="1983" w:type="dxa"/>
            <w:vMerge w:val="restart"/>
            <w:tcBorders>
              <w:top w:val="nil"/>
              <w:left w:val="single" w:sz="4" w:space="0" w:color="auto"/>
              <w:bottom w:val="nil"/>
              <w:right w:val="single" w:sz="4" w:space="0" w:color="auto"/>
            </w:tcBorders>
            <w:shd w:val="clear" w:color="000000" w:fill="FFFFFF"/>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Contra-ordenações / transgressões</w:t>
            </w:r>
          </w:p>
        </w:tc>
        <w:tc>
          <w:tcPr>
            <w:tcW w:w="4359" w:type="dxa"/>
            <w:tcBorders>
              <w:top w:val="nil"/>
              <w:left w:val="nil"/>
              <w:bottom w:val="single" w:sz="4" w:space="0" w:color="auto"/>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Recurso contra-ordenação</w:t>
            </w:r>
          </w:p>
        </w:tc>
      </w:tr>
      <w:tr w:rsidR="00A501D9" w:rsidRPr="00A501D9" w:rsidTr="00BF6C66">
        <w:trPr>
          <w:trHeight w:val="750"/>
          <w:jc w:val="center"/>
        </w:trPr>
        <w:tc>
          <w:tcPr>
            <w:tcW w:w="1241" w:type="dxa"/>
            <w:vMerge/>
            <w:tcBorders>
              <w:top w:val="nil"/>
              <w:left w:val="nil"/>
              <w:bottom w:val="nil"/>
              <w:right w:val="single" w:sz="4" w:space="0" w:color="auto"/>
            </w:tcBorders>
            <w:vAlign w:val="center"/>
          </w:tcPr>
          <w:p w:rsidR="00A501D9" w:rsidRPr="00A501D9" w:rsidRDefault="00A501D9" w:rsidP="00A501D9">
            <w:pPr>
              <w:rPr>
                <w:rFonts w:ascii="Perpetua" w:hAnsi="Perpetua"/>
                <w:color w:val="000000"/>
                <w:sz w:val="18"/>
                <w:szCs w:val="18"/>
              </w:rPr>
            </w:pPr>
          </w:p>
        </w:tc>
        <w:tc>
          <w:tcPr>
            <w:tcW w:w="1983" w:type="dxa"/>
            <w:vMerge/>
            <w:tcBorders>
              <w:top w:val="nil"/>
              <w:left w:val="single" w:sz="4" w:space="0" w:color="auto"/>
              <w:bottom w:val="nil"/>
              <w:right w:val="single" w:sz="4" w:space="0" w:color="auto"/>
            </w:tcBorders>
            <w:vAlign w:val="center"/>
          </w:tcPr>
          <w:p w:rsidR="00A501D9" w:rsidRPr="00A501D9" w:rsidRDefault="00A501D9" w:rsidP="00A501D9">
            <w:pPr>
              <w:rPr>
                <w:rFonts w:ascii="Perpetua" w:hAnsi="Perpetua"/>
                <w:color w:val="000000"/>
                <w:sz w:val="18"/>
                <w:szCs w:val="18"/>
              </w:rPr>
            </w:pPr>
          </w:p>
        </w:tc>
        <w:tc>
          <w:tcPr>
            <w:tcW w:w="4359" w:type="dxa"/>
            <w:tcBorders>
              <w:top w:val="nil"/>
              <w:left w:val="nil"/>
              <w:bottom w:val="nil"/>
              <w:right w:val="nil"/>
            </w:tcBorders>
            <w:shd w:val="clear" w:color="000000" w:fill="FFFFFF"/>
            <w:vAlign w:val="center"/>
          </w:tcPr>
          <w:p w:rsidR="00A501D9" w:rsidRPr="00A501D9" w:rsidRDefault="00A501D9" w:rsidP="00A501D9">
            <w:pPr>
              <w:ind w:firstLineChars="100" w:firstLine="180"/>
              <w:rPr>
                <w:rFonts w:ascii="Perpetua" w:hAnsi="Perpetua"/>
                <w:color w:val="000000"/>
                <w:sz w:val="18"/>
                <w:szCs w:val="18"/>
              </w:rPr>
            </w:pPr>
            <w:r w:rsidRPr="00A501D9">
              <w:rPr>
                <w:rFonts w:ascii="Perpetua" w:hAnsi="Perpetua"/>
                <w:color w:val="000000"/>
                <w:sz w:val="18"/>
                <w:szCs w:val="18"/>
              </w:rPr>
              <w:t>Transgressão</w:t>
            </w:r>
          </w:p>
        </w:tc>
      </w:tr>
    </w:tbl>
    <w:p w:rsidR="00F72F49" w:rsidRDefault="00F72F4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A501D9" w:rsidRDefault="00A501D9" w:rsidP="00A501D9"/>
    <w:p w:rsidR="00F72F49" w:rsidRDefault="00F72F49" w:rsidP="00F72F49">
      <w:pPr>
        <w:pStyle w:val="Caption"/>
        <w:keepNext/>
        <w:jc w:val="center"/>
        <w:rPr>
          <w:rFonts w:ascii="Perpetua" w:hAnsi="Perpetua"/>
        </w:rPr>
      </w:pPr>
      <w:bookmarkStart w:id="151" w:name="_Toc215081914"/>
      <w:r w:rsidRPr="00BC42B6">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2</w:t>
      </w:r>
      <w:r w:rsidR="0048473F">
        <w:rPr>
          <w:rFonts w:ascii="Perpetua" w:hAnsi="Perpetua"/>
        </w:rPr>
        <w:fldChar w:fldCharType="end"/>
      </w:r>
      <w:r>
        <w:rPr>
          <w:rFonts w:ascii="Perpetua" w:hAnsi="Perpetua"/>
        </w:rPr>
        <w:t xml:space="preserve"> – Critérios de agregação de processos Área Processual, Tipo de Espécie de Processo e Espécie do Processo e respectivas categorias (continuação)</w:t>
      </w:r>
      <w:bookmarkEnd w:id="151"/>
    </w:p>
    <w:p w:rsidR="00BF6C66" w:rsidRDefault="00BF6C66" w:rsidP="00BF6C66"/>
    <w:tbl>
      <w:tblPr>
        <w:tblW w:w="0" w:type="auto"/>
        <w:jc w:val="center"/>
        <w:tblInd w:w="55" w:type="dxa"/>
        <w:tblCellMar>
          <w:left w:w="70" w:type="dxa"/>
          <w:right w:w="70" w:type="dxa"/>
        </w:tblCellMar>
        <w:tblLook w:val="04A0"/>
      </w:tblPr>
      <w:tblGrid>
        <w:gridCol w:w="1087"/>
        <w:gridCol w:w="2406"/>
        <w:gridCol w:w="2924"/>
      </w:tblGrid>
      <w:tr w:rsidR="00BF6C66" w:rsidRPr="00BF6C66" w:rsidTr="00BF6C66">
        <w:trPr>
          <w:trHeight w:val="690"/>
          <w:jc w:val="center"/>
        </w:trPr>
        <w:tc>
          <w:tcPr>
            <w:tcW w:w="0" w:type="auto"/>
            <w:vMerge w:val="restart"/>
            <w:tcBorders>
              <w:top w:val="single" w:sz="4" w:space="0" w:color="auto"/>
              <w:left w:val="nil"/>
              <w:bottom w:val="single" w:sz="4" w:space="0" w:color="000000"/>
              <w:right w:val="single" w:sz="4" w:space="0" w:color="auto"/>
            </w:tcBorders>
            <w:shd w:val="clear" w:color="000000" w:fill="FFFFFF"/>
            <w:noWrap/>
            <w:vAlign w:val="center"/>
          </w:tcPr>
          <w:p w:rsidR="00BF6C66" w:rsidRPr="00BF6C66" w:rsidRDefault="00BF6C66" w:rsidP="00BF6C66">
            <w:pPr>
              <w:jc w:val="center"/>
              <w:rPr>
                <w:rFonts w:ascii="Perpetua" w:hAnsi="Perpetua"/>
                <w:color w:val="000000"/>
                <w:sz w:val="18"/>
                <w:szCs w:val="18"/>
              </w:rPr>
            </w:pPr>
            <w:r w:rsidRPr="00BF6C66">
              <w:rPr>
                <w:rFonts w:ascii="Perpetua" w:hAnsi="Perpetua"/>
                <w:color w:val="000000"/>
                <w:sz w:val="18"/>
                <w:szCs w:val="18"/>
              </w:rPr>
              <w:t>Justiça Penal</w:t>
            </w:r>
          </w:p>
        </w:tc>
        <w:tc>
          <w:tcPr>
            <w:tcW w:w="0" w:type="auto"/>
            <w:vMerge w:val="restart"/>
            <w:tcBorders>
              <w:top w:val="single" w:sz="4" w:space="0" w:color="auto"/>
              <w:left w:val="single" w:sz="4" w:space="0" w:color="auto"/>
              <w:bottom w:val="single" w:sz="4" w:space="0" w:color="000000"/>
              <w:right w:val="single" w:sz="4" w:space="0" w:color="auto"/>
            </w:tcBorders>
            <w:shd w:val="clear" w:color="000000" w:fill="FFFFFF"/>
            <w:noWrap/>
            <w:vAlign w:val="center"/>
          </w:tcPr>
          <w:p w:rsidR="00BF6C66" w:rsidRPr="00BF6C66" w:rsidRDefault="000867F1" w:rsidP="00BF6C66">
            <w:pPr>
              <w:ind w:firstLineChars="100" w:firstLine="180"/>
              <w:rPr>
                <w:rFonts w:ascii="Perpetua" w:hAnsi="Perpetua"/>
                <w:color w:val="000000"/>
                <w:sz w:val="18"/>
                <w:szCs w:val="18"/>
              </w:rPr>
            </w:pPr>
            <w:r>
              <w:rPr>
                <w:rFonts w:ascii="Perpetua" w:hAnsi="Perpetua"/>
                <w:color w:val="000000"/>
                <w:sz w:val="18"/>
                <w:szCs w:val="18"/>
              </w:rPr>
              <w:t>Processo-</w:t>
            </w:r>
            <w:r w:rsidR="00BF6C66" w:rsidRPr="00BF6C66">
              <w:rPr>
                <w:rFonts w:ascii="Perpetua" w:hAnsi="Perpetua"/>
                <w:color w:val="000000"/>
                <w:sz w:val="18"/>
                <w:szCs w:val="18"/>
              </w:rPr>
              <w:t>crime (julgamento)</w:t>
            </w:r>
          </w:p>
        </w:tc>
        <w:tc>
          <w:tcPr>
            <w:tcW w:w="0" w:type="auto"/>
            <w:tcBorders>
              <w:top w:val="single" w:sz="4" w:space="0" w:color="auto"/>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Comum</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Especial</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val="restart"/>
            <w:tcBorders>
              <w:top w:val="nil"/>
              <w:left w:val="single" w:sz="4" w:space="0" w:color="auto"/>
              <w:bottom w:val="single" w:sz="4" w:space="0" w:color="000000"/>
              <w:right w:val="single" w:sz="4" w:space="0" w:color="auto"/>
            </w:tcBorders>
            <w:shd w:val="clear" w:color="000000" w:fill="FFFFFF"/>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Contra-ordenações / transgressões</w:t>
            </w: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Recurso de contra-ordenação</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Transgressão</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val="restart"/>
            <w:tcBorders>
              <w:top w:val="nil"/>
              <w:left w:val="single" w:sz="4" w:space="0" w:color="auto"/>
              <w:bottom w:val="single" w:sz="4" w:space="0" w:color="000000"/>
              <w:right w:val="single" w:sz="4" w:space="0" w:color="auto"/>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Execução de penas</w:t>
            </w: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Processo de segurança</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Concessão de liberdade condicional</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Reabilitação judicial</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Indulto</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Saída precária prolongada</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Revogação de liberdade condicional</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Revogação de saída precária prolongada</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Processo delinquente inimputável perigoso</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Complementares (outros)</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Recurso de Sanção Disciplinar</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Processo Supletivo</w:t>
            </w:r>
          </w:p>
        </w:tc>
      </w:tr>
      <w:tr w:rsidR="00BF6C66" w:rsidRPr="00BF6C66" w:rsidTr="00BF6C66">
        <w:trPr>
          <w:trHeight w:val="405"/>
          <w:jc w:val="center"/>
        </w:trPr>
        <w:tc>
          <w:tcPr>
            <w:tcW w:w="0" w:type="auto"/>
            <w:vMerge/>
            <w:tcBorders>
              <w:top w:val="single" w:sz="4" w:space="0" w:color="auto"/>
              <w:left w:val="nil"/>
              <w:bottom w:val="single" w:sz="4" w:space="0" w:color="000000"/>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single" w:sz="4" w:space="0" w:color="auto"/>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Outros</w:t>
            </w: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Outros processos N.E.</w:t>
            </w:r>
          </w:p>
        </w:tc>
      </w:tr>
      <w:tr w:rsidR="00BF6C66" w:rsidRPr="00BF6C66" w:rsidTr="00BF6C66">
        <w:trPr>
          <w:trHeight w:val="405"/>
          <w:jc w:val="center"/>
        </w:trPr>
        <w:tc>
          <w:tcPr>
            <w:tcW w:w="0" w:type="auto"/>
            <w:vMerge w:val="restart"/>
            <w:tcBorders>
              <w:top w:val="nil"/>
              <w:left w:val="nil"/>
              <w:bottom w:val="nil"/>
              <w:right w:val="single" w:sz="4" w:space="0" w:color="auto"/>
            </w:tcBorders>
            <w:shd w:val="clear" w:color="000000" w:fill="FFFFFF"/>
            <w:noWrap/>
            <w:vAlign w:val="center"/>
          </w:tcPr>
          <w:p w:rsidR="00BF6C66" w:rsidRPr="00BF6C66" w:rsidRDefault="00BF6C66" w:rsidP="00BF6C66">
            <w:pPr>
              <w:jc w:val="center"/>
              <w:rPr>
                <w:rFonts w:ascii="Perpetua" w:hAnsi="Perpetua"/>
                <w:color w:val="000000"/>
                <w:sz w:val="18"/>
                <w:szCs w:val="18"/>
              </w:rPr>
            </w:pPr>
            <w:r w:rsidRPr="00BF6C66">
              <w:rPr>
                <w:rFonts w:ascii="Perpetua" w:hAnsi="Perpetua"/>
                <w:color w:val="000000"/>
                <w:sz w:val="18"/>
                <w:szCs w:val="18"/>
              </w:rPr>
              <w:t>Justiça Tutelar</w:t>
            </w:r>
          </w:p>
        </w:tc>
        <w:tc>
          <w:tcPr>
            <w:tcW w:w="0" w:type="auto"/>
            <w:vMerge w:val="restart"/>
            <w:tcBorders>
              <w:top w:val="nil"/>
              <w:left w:val="single" w:sz="4" w:space="0" w:color="auto"/>
              <w:bottom w:val="nil"/>
              <w:right w:val="single" w:sz="4" w:space="0" w:color="auto"/>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Processo tutelar</w:t>
            </w:r>
          </w:p>
        </w:tc>
        <w:tc>
          <w:tcPr>
            <w:tcW w:w="0" w:type="auto"/>
            <w:tcBorders>
              <w:top w:val="nil"/>
              <w:left w:val="nil"/>
              <w:bottom w:val="single" w:sz="4" w:space="0" w:color="auto"/>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Processo tutelar cível</w:t>
            </w:r>
          </w:p>
        </w:tc>
      </w:tr>
      <w:tr w:rsidR="00BF6C66" w:rsidRPr="00BF6C66" w:rsidTr="00BF6C66">
        <w:trPr>
          <w:trHeight w:val="405"/>
          <w:jc w:val="center"/>
        </w:trPr>
        <w:tc>
          <w:tcPr>
            <w:tcW w:w="0" w:type="auto"/>
            <w:vMerge/>
            <w:tcBorders>
              <w:top w:val="nil"/>
              <w:left w:val="nil"/>
              <w:bottom w:val="nil"/>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nil"/>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single" w:sz="4" w:space="0" w:color="auto"/>
              <w:right w:val="nil"/>
            </w:tcBorders>
            <w:shd w:val="clear" w:color="000000" w:fill="FFFFFF"/>
            <w:noWrap/>
            <w:vAlign w:val="center"/>
          </w:tcPr>
          <w:p w:rsidR="00BF6C66" w:rsidRPr="00BF6C66" w:rsidRDefault="008932FB" w:rsidP="00BF6C66">
            <w:pPr>
              <w:ind w:firstLineChars="100" w:firstLine="180"/>
              <w:rPr>
                <w:rFonts w:ascii="Perpetua" w:hAnsi="Perpetua"/>
                <w:color w:val="000000"/>
                <w:sz w:val="18"/>
                <w:szCs w:val="18"/>
              </w:rPr>
            </w:pPr>
            <w:r>
              <w:rPr>
                <w:rFonts w:ascii="Perpetua" w:hAnsi="Perpetua"/>
                <w:color w:val="000000"/>
                <w:sz w:val="18"/>
                <w:szCs w:val="18"/>
              </w:rPr>
              <w:t>Promoção/</w:t>
            </w:r>
            <w:r w:rsidR="00BF6C66" w:rsidRPr="00BF6C66">
              <w:rPr>
                <w:rFonts w:ascii="Perpetua" w:hAnsi="Perpetua"/>
                <w:color w:val="000000"/>
                <w:sz w:val="18"/>
                <w:szCs w:val="18"/>
              </w:rPr>
              <w:t>protecção de menores em risco</w:t>
            </w:r>
          </w:p>
        </w:tc>
      </w:tr>
      <w:tr w:rsidR="00BF6C66" w:rsidRPr="00BF6C66" w:rsidTr="00BF6C66">
        <w:trPr>
          <w:trHeight w:val="750"/>
          <w:jc w:val="center"/>
        </w:trPr>
        <w:tc>
          <w:tcPr>
            <w:tcW w:w="0" w:type="auto"/>
            <w:vMerge/>
            <w:tcBorders>
              <w:top w:val="nil"/>
              <w:left w:val="nil"/>
              <w:bottom w:val="nil"/>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vMerge/>
            <w:tcBorders>
              <w:top w:val="nil"/>
              <w:left w:val="single" w:sz="4" w:space="0" w:color="auto"/>
              <w:bottom w:val="nil"/>
              <w:right w:val="single" w:sz="4" w:space="0" w:color="auto"/>
            </w:tcBorders>
            <w:vAlign w:val="center"/>
          </w:tcPr>
          <w:p w:rsidR="00BF6C66" w:rsidRPr="00BF6C66" w:rsidRDefault="00BF6C66" w:rsidP="00BF6C66">
            <w:pPr>
              <w:rPr>
                <w:rFonts w:ascii="Perpetua" w:hAnsi="Perpetua"/>
                <w:color w:val="000000"/>
                <w:sz w:val="18"/>
                <w:szCs w:val="18"/>
              </w:rPr>
            </w:pPr>
          </w:p>
        </w:tc>
        <w:tc>
          <w:tcPr>
            <w:tcW w:w="0" w:type="auto"/>
            <w:tcBorders>
              <w:top w:val="nil"/>
              <w:left w:val="nil"/>
              <w:bottom w:val="nil"/>
              <w:right w:val="nil"/>
            </w:tcBorders>
            <w:shd w:val="clear" w:color="000000" w:fill="FFFFFF"/>
            <w:noWrap/>
            <w:vAlign w:val="center"/>
          </w:tcPr>
          <w:p w:rsidR="00BF6C66" w:rsidRPr="00BF6C66" w:rsidRDefault="00BF6C66" w:rsidP="00BF6C66">
            <w:pPr>
              <w:ind w:firstLineChars="100" w:firstLine="180"/>
              <w:rPr>
                <w:rFonts w:ascii="Perpetua" w:hAnsi="Perpetua"/>
                <w:color w:val="000000"/>
                <w:sz w:val="18"/>
                <w:szCs w:val="18"/>
              </w:rPr>
            </w:pPr>
            <w:r w:rsidRPr="00BF6C66">
              <w:rPr>
                <w:rFonts w:ascii="Perpetua" w:hAnsi="Perpetua"/>
                <w:color w:val="000000"/>
                <w:sz w:val="18"/>
                <w:szCs w:val="18"/>
              </w:rPr>
              <w:t>Tutelar educativo (infracção penal)</w:t>
            </w:r>
          </w:p>
        </w:tc>
      </w:tr>
    </w:tbl>
    <w:p w:rsidR="00BF6C66" w:rsidRDefault="00BF6C66" w:rsidP="00BF6C66"/>
    <w:p w:rsidR="00BF6C66" w:rsidRDefault="00BF6C66" w:rsidP="00BF6C66"/>
    <w:p w:rsidR="00F72F49" w:rsidRDefault="00F72F49" w:rsidP="00F72F49">
      <w:pPr>
        <w:spacing w:line="360" w:lineRule="auto"/>
        <w:jc w:val="both"/>
        <w:rPr>
          <w:rFonts w:ascii="Perpetua" w:hAnsi="Perpetua"/>
        </w:rPr>
      </w:pPr>
      <w:r>
        <w:rPr>
          <w:rFonts w:ascii="Perpetua" w:hAnsi="Perpetua"/>
        </w:rPr>
        <w:t>Quanto aos restantes critérios de agregação de processos obtidos através dos mapas</w:t>
      </w:r>
      <w:r w:rsidR="00D071BF">
        <w:rPr>
          <w:rFonts w:ascii="Perpetua" w:hAnsi="Perpetua"/>
        </w:rPr>
        <w:t xml:space="preserve"> (</w:t>
      </w:r>
      <w:r>
        <w:rPr>
          <w:rFonts w:ascii="Perpetua" w:hAnsi="Perpetua"/>
        </w:rPr>
        <w:t>a</w:t>
      </w:r>
      <w:r w:rsidRPr="00FD37E2">
        <w:rPr>
          <w:rFonts w:ascii="Perpetua" w:hAnsi="Perpetua"/>
        </w:rPr>
        <w:t xml:space="preserve"> </w:t>
      </w:r>
      <w:r w:rsidR="00FD37E2" w:rsidRPr="00FD37E2">
        <w:rPr>
          <w:rFonts w:ascii="Perpetua" w:hAnsi="Perpetua"/>
        </w:rPr>
        <w:t>«</w:t>
      </w:r>
      <w:r w:rsidR="00FD37E2">
        <w:rPr>
          <w:rFonts w:ascii="Perpetua" w:hAnsi="Perpetua"/>
        </w:rPr>
        <w:t>forma do</w:t>
      </w:r>
      <w:r w:rsidRPr="00FD37E2">
        <w:rPr>
          <w:rFonts w:ascii="Perpetua" w:hAnsi="Perpetua"/>
        </w:rPr>
        <w:t xml:space="preserve"> processo</w:t>
      </w:r>
      <w:r w:rsidR="00FD37E2">
        <w:rPr>
          <w:rFonts w:ascii="Perpetua" w:hAnsi="Perpetua"/>
        </w:rPr>
        <w:t>»</w:t>
      </w:r>
      <w:r w:rsidRPr="00FD37E2">
        <w:rPr>
          <w:rFonts w:ascii="Perpetua" w:hAnsi="Perpetua"/>
        </w:rPr>
        <w:t xml:space="preserve"> e o </w:t>
      </w:r>
      <w:r w:rsidR="00FD37E2">
        <w:rPr>
          <w:rFonts w:ascii="Perpetua" w:hAnsi="Perpetua"/>
        </w:rPr>
        <w:t>«</w:t>
      </w:r>
      <w:r w:rsidRPr="00FD37E2">
        <w:rPr>
          <w:rFonts w:ascii="Perpetua" w:hAnsi="Perpetua"/>
        </w:rPr>
        <w:t>termo do processo</w:t>
      </w:r>
      <w:r w:rsidR="00FD37E2">
        <w:rPr>
          <w:rFonts w:ascii="Perpetua" w:hAnsi="Perpetua"/>
        </w:rPr>
        <w:t>»</w:t>
      </w:r>
      <w:r w:rsidR="00D071BF">
        <w:rPr>
          <w:rFonts w:ascii="Perpetua" w:hAnsi="Perpetua"/>
        </w:rPr>
        <w:t>)</w:t>
      </w:r>
      <w:r w:rsidRPr="00FD37E2">
        <w:rPr>
          <w:rFonts w:ascii="Perpetua" w:hAnsi="Perpetua"/>
        </w:rPr>
        <w:t>,</w:t>
      </w:r>
      <w:r>
        <w:rPr>
          <w:rFonts w:ascii="Perpetua" w:hAnsi="Perpetua"/>
        </w:rPr>
        <w:t xml:space="preserve"> o termo do processo é transversal a todas as áreas processuais, embora não seja possível distinguir as categorias </w:t>
      </w:r>
      <w:r w:rsidR="00FD37E2">
        <w:rPr>
          <w:rFonts w:ascii="Perpetua" w:hAnsi="Perpetua"/>
        </w:rPr>
        <w:t>«</w:t>
      </w:r>
      <w:r w:rsidRPr="00FD37E2">
        <w:rPr>
          <w:rFonts w:ascii="Perpetua" w:hAnsi="Perpetua"/>
        </w:rPr>
        <w:t>por decisão de fundo</w:t>
      </w:r>
      <w:r w:rsidR="00FD37E2">
        <w:rPr>
          <w:rFonts w:ascii="Perpetua" w:hAnsi="Perpetua"/>
        </w:rPr>
        <w:t>»</w:t>
      </w:r>
      <w:r w:rsidRPr="00FD37E2">
        <w:rPr>
          <w:rFonts w:ascii="Perpetua" w:hAnsi="Perpetua"/>
        </w:rPr>
        <w:t xml:space="preserve"> e </w:t>
      </w:r>
      <w:r w:rsidR="00FD37E2">
        <w:rPr>
          <w:rFonts w:ascii="Perpetua" w:hAnsi="Perpetua"/>
        </w:rPr>
        <w:t>«</w:t>
      </w:r>
      <w:r w:rsidRPr="00FD37E2">
        <w:rPr>
          <w:rFonts w:ascii="Perpetua" w:hAnsi="Perpetua"/>
        </w:rPr>
        <w:t>sem decisão de fundo</w:t>
      </w:r>
      <w:r w:rsidR="00FD37E2">
        <w:rPr>
          <w:rFonts w:ascii="Perpetua" w:hAnsi="Perpetua"/>
        </w:rPr>
        <w:t>»</w:t>
      </w:r>
      <w:r>
        <w:rPr>
          <w:rFonts w:ascii="Perpetua" w:hAnsi="Perpetua"/>
        </w:rPr>
        <w:t xml:space="preserve"> para os processos cíveis. A forma do processo é um critério que se aplica apenas às acções declarativas e </w:t>
      </w:r>
      <w:r w:rsidR="000867F1">
        <w:rPr>
          <w:rFonts w:ascii="Perpetua" w:hAnsi="Perpetua"/>
        </w:rPr>
        <w:t>executivas cíveis e ao processo-</w:t>
      </w:r>
      <w:r>
        <w:rPr>
          <w:rFonts w:ascii="Perpetua" w:hAnsi="Perpetua"/>
        </w:rPr>
        <w:t>crime em fase de julgamento</w:t>
      </w:r>
      <w:r>
        <w:rPr>
          <w:rStyle w:val="FootnoteReference"/>
          <w:rFonts w:ascii="Perpetua" w:hAnsi="Perpetua"/>
        </w:rPr>
        <w:footnoteReference w:id="132"/>
      </w:r>
      <w:r>
        <w:rPr>
          <w:rFonts w:ascii="Perpetua" w:hAnsi="Perpetua"/>
        </w:rPr>
        <w:t>.</w:t>
      </w:r>
    </w:p>
    <w:p w:rsidR="00F72F49" w:rsidRDefault="00F72F49" w:rsidP="00F72F49">
      <w:pPr>
        <w:spacing w:line="360" w:lineRule="auto"/>
        <w:jc w:val="both"/>
        <w:rPr>
          <w:rFonts w:ascii="Perpetua" w:hAnsi="Perpetua"/>
        </w:rPr>
      </w:pPr>
    </w:p>
    <w:p w:rsidR="002E7A36" w:rsidRDefault="002E7A36" w:rsidP="00F72F49">
      <w:pPr>
        <w:spacing w:line="360" w:lineRule="auto"/>
        <w:jc w:val="both"/>
        <w:rPr>
          <w:rFonts w:ascii="Perpetua" w:hAnsi="Perpetua"/>
        </w:rPr>
      </w:pPr>
    </w:p>
    <w:p w:rsidR="002E7A36" w:rsidRDefault="002E7A36" w:rsidP="00F72F49">
      <w:pPr>
        <w:spacing w:line="360" w:lineRule="auto"/>
        <w:jc w:val="both"/>
        <w:rPr>
          <w:rFonts w:ascii="Perpetua" w:hAnsi="Perpetua"/>
        </w:rPr>
      </w:pPr>
    </w:p>
    <w:p w:rsidR="00F72F49" w:rsidRDefault="00F72F49" w:rsidP="00F72F49">
      <w:pPr>
        <w:pStyle w:val="Caption"/>
        <w:keepNext/>
        <w:jc w:val="center"/>
        <w:rPr>
          <w:rFonts w:ascii="Perpetua" w:hAnsi="Perpetua"/>
        </w:rPr>
      </w:pPr>
      <w:bookmarkStart w:id="152" w:name="_Toc215081915"/>
      <w:r w:rsidRPr="00BC42B6">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3</w:t>
      </w:r>
      <w:r w:rsidR="0048473F">
        <w:rPr>
          <w:rFonts w:ascii="Perpetua" w:hAnsi="Perpetua"/>
        </w:rPr>
        <w:fldChar w:fldCharType="end"/>
      </w:r>
      <w:r>
        <w:rPr>
          <w:rFonts w:ascii="Perpetua" w:hAnsi="Perpetua"/>
        </w:rPr>
        <w:t xml:space="preserve"> – Categorias do critério de agregação Termo do Processo</w:t>
      </w:r>
      <w:bookmarkEnd w:id="152"/>
    </w:p>
    <w:p w:rsidR="002E7A36" w:rsidRPr="002E7A36" w:rsidRDefault="002E7A36" w:rsidP="002E7A36"/>
    <w:tbl>
      <w:tblPr>
        <w:tblW w:w="2740" w:type="dxa"/>
        <w:jc w:val="center"/>
        <w:tblInd w:w="55" w:type="dxa"/>
        <w:tblCellMar>
          <w:left w:w="70" w:type="dxa"/>
          <w:right w:w="70" w:type="dxa"/>
        </w:tblCellMar>
        <w:tblLook w:val="04A0"/>
      </w:tblPr>
      <w:tblGrid>
        <w:gridCol w:w="2740"/>
      </w:tblGrid>
      <w:tr w:rsidR="002E7A36" w:rsidRPr="002E7A36" w:rsidTr="002E7A36">
        <w:trPr>
          <w:trHeight w:val="570"/>
          <w:jc w:val="center"/>
        </w:trPr>
        <w:tc>
          <w:tcPr>
            <w:tcW w:w="2740" w:type="dxa"/>
            <w:tcBorders>
              <w:top w:val="nil"/>
              <w:left w:val="nil"/>
              <w:bottom w:val="single" w:sz="4" w:space="0" w:color="auto"/>
              <w:right w:val="nil"/>
            </w:tcBorders>
            <w:shd w:val="clear" w:color="000000" w:fill="FFFFFF"/>
            <w:noWrap/>
            <w:vAlign w:val="center"/>
          </w:tcPr>
          <w:p w:rsidR="002E7A36" w:rsidRPr="002E7A36" w:rsidRDefault="002E7A36" w:rsidP="002E7A36">
            <w:pPr>
              <w:jc w:val="center"/>
              <w:rPr>
                <w:rFonts w:ascii="Perpetua" w:hAnsi="Perpetua"/>
                <w:b/>
                <w:bCs/>
                <w:color w:val="000000"/>
                <w:sz w:val="20"/>
                <w:szCs w:val="20"/>
              </w:rPr>
            </w:pPr>
            <w:r w:rsidRPr="002E7A36">
              <w:rPr>
                <w:rFonts w:ascii="Perpetua" w:hAnsi="Perpetua"/>
                <w:b/>
                <w:bCs/>
                <w:color w:val="000000"/>
                <w:sz w:val="20"/>
                <w:szCs w:val="20"/>
              </w:rPr>
              <w:t>Termo do processo</w:t>
            </w:r>
          </w:p>
        </w:tc>
      </w:tr>
      <w:tr w:rsidR="002E7A36" w:rsidRPr="002E7A36" w:rsidTr="002E7A36">
        <w:trPr>
          <w:trHeight w:val="405"/>
          <w:jc w:val="center"/>
        </w:trPr>
        <w:tc>
          <w:tcPr>
            <w:tcW w:w="2740" w:type="dxa"/>
            <w:tcBorders>
              <w:top w:val="nil"/>
              <w:left w:val="nil"/>
              <w:bottom w:val="single" w:sz="4" w:space="0" w:color="auto"/>
              <w:right w:val="nil"/>
            </w:tcBorders>
            <w:shd w:val="clear" w:color="000000" w:fill="FFFFFF"/>
            <w:noWrap/>
            <w:vAlign w:val="center"/>
          </w:tcPr>
          <w:p w:rsidR="002E7A36" w:rsidRPr="002E7A36" w:rsidRDefault="002E7A36" w:rsidP="002E7A36">
            <w:pPr>
              <w:ind w:firstLineChars="200" w:firstLine="400"/>
              <w:rPr>
                <w:rFonts w:ascii="Perpetua" w:hAnsi="Perpetua"/>
                <w:color w:val="000000"/>
                <w:sz w:val="20"/>
                <w:szCs w:val="20"/>
              </w:rPr>
            </w:pPr>
            <w:r w:rsidRPr="002E7A36">
              <w:rPr>
                <w:rFonts w:ascii="Perpetua" w:hAnsi="Perpetua"/>
                <w:color w:val="000000"/>
                <w:sz w:val="20"/>
                <w:szCs w:val="20"/>
              </w:rPr>
              <w:t>Remessa a Outra Entidade</w:t>
            </w:r>
          </w:p>
        </w:tc>
      </w:tr>
      <w:tr w:rsidR="002E7A36" w:rsidRPr="002E7A36" w:rsidTr="002E7A36">
        <w:trPr>
          <w:trHeight w:val="405"/>
          <w:jc w:val="center"/>
        </w:trPr>
        <w:tc>
          <w:tcPr>
            <w:tcW w:w="2740" w:type="dxa"/>
            <w:tcBorders>
              <w:top w:val="nil"/>
              <w:left w:val="nil"/>
              <w:bottom w:val="single" w:sz="4" w:space="0" w:color="auto"/>
              <w:right w:val="nil"/>
            </w:tcBorders>
            <w:shd w:val="clear" w:color="000000" w:fill="FFFFFF"/>
            <w:noWrap/>
            <w:vAlign w:val="center"/>
          </w:tcPr>
          <w:p w:rsidR="002E7A36" w:rsidRPr="002E7A36" w:rsidRDefault="002E7A36" w:rsidP="002E7A36">
            <w:pPr>
              <w:ind w:firstLineChars="200" w:firstLine="400"/>
              <w:rPr>
                <w:rFonts w:ascii="Perpetua" w:hAnsi="Perpetua"/>
                <w:color w:val="000000"/>
                <w:sz w:val="20"/>
                <w:szCs w:val="20"/>
              </w:rPr>
            </w:pPr>
            <w:r w:rsidRPr="002E7A36">
              <w:rPr>
                <w:rFonts w:ascii="Perpetua" w:hAnsi="Perpetua"/>
                <w:color w:val="000000"/>
                <w:sz w:val="20"/>
                <w:szCs w:val="20"/>
              </w:rPr>
              <w:t>Sem Decisão de Fundo</w:t>
            </w:r>
          </w:p>
        </w:tc>
      </w:tr>
      <w:tr w:rsidR="002E7A36" w:rsidRPr="002E7A36" w:rsidTr="002E7A36">
        <w:trPr>
          <w:trHeight w:val="405"/>
          <w:jc w:val="center"/>
        </w:trPr>
        <w:tc>
          <w:tcPr>
            <w:tcW w:w="2740" w:type="dxa"/>
            <w:tcBorders>
              <w:top w:val="nil"/>
              <w:left w:val="nil"/>
              <w:bottom w:val="single" w:sz="4" w:space="0" w:color="auto"/>
              <w:right w:val="nil"/>
            </w:tcBorders>
            <w:shd w:val="clear" w:color="000000" w:fill="FFFFFF"/>
            <w:noWrap/>
            <w:vAlign w:val="center"/>
          </w:tcPr>
          <w:p w:rsidR="002E7A36" w:rsidRPr="002E7A36" w:rsidRDefault="002E7A36" w:rsidP="002E7A36">
            <w:pPr>
              <w:ind w:firstLineChars="200" w:firstLine="400"/>
              <w:rPr>
                <w:rFonts w:ascii="Perpetua" w:hAnsi="Perpetua"/>
                <w:color w:val="000000"/>
                <w:sz w:val="20"/>
                <w:szCs w:val="20"/>
              </w:rPr>
            </w:pPr>
            <w:r w:rsidRPr="002E7A36">
              <w:rPr>
                <w:rFonts w:ascii="Perpetua" w:hAnsi="Perpetua"/>
                <w:color w:val="000000"/>
                <w:sz w:val="20"/>
                <w:szCs w:val="20"/>
              </w:rPr>
              <w:t>Por Decisão de Fundo</w:t>
            </w:r>
          </w:p>
        </w:tc>
      </w:tr>
      <w:tr w:rsidR="002E7A36" w:rsidRPr="002E7A36" w:rsidTr="002E7A36">
        <w:trPr>
          <w:trHeight w:val="405"/>
          <w:jc w:val="center"/>
        </w:trPr>
        <w:tc>
          <w:tcPr>
            <w:tcW w:w="2740" w:type="dxa"/>
            <w:tcBorders>
              <w:top w:val="nil"/>
              <w:left w:val="nil"/>
              <w:bottom w:val="single" w:sz="4" w:space="0" w:color="auto"/>
              <w:right w:val="nil"/>
            </w:tcBorders>
            <w:shd w:val="clear" w:color="000000" w:fill="FFFFFF"/>
            <w:noWrap/>
            <w:vAlign w:val="center"/>
          </w:tcPr>
          <w:p w:rsidR="002E7A36" w:rsidRPr="002E7A36" w:rsidRDefault="002E7A36" w:rsidP="002E7A36">
            <w:pPr>
              <w:ind w:firstLineChars="200" w:firstLine="400"/>
              <w:rPr>
                <w:rFonts w:ascii="Perpetua" w:hAnsi="Perpetua"/>
                <w:color w:val="000000"/>
                <w:sz w:val="20"/>
                <w:szCs w:val="20"/>
              </w:rPr>
            </w:pPr>
            <w:r w:rsidRPr="002E7A36">
              <w:rPr>
                <w:rFonts w:ascii="Perpetua" w:hAnsi="Perpetua"/>
                <w:color w:val="000000"/>
                <w:sz w:val="20"/>
                <w:szCs w:val="20"/>
              </w:rPr>
              <w:t>Outro</w:t>
            </w:r>
          </w:p>
        </w:tc>
      </w:tr>
      <w:tr w:rsidR="002E7A36" w:rsidRPr="002E7A36" w:rsidTr="002E7A36">
        <w:trPr>
          <w:trHeight w:val="615"/>
          <w:jc w:val="center"/>
        </w:trPr>
        <w:tc>
          <w:tcPr>
            <w:tcW w:w="2740" w:type="dxa"/>
            <w:tcBorders>
              <w:top w:val="nil"/>
              <w:left w:val="nil"/>
              <w:bottom w:val="nil"/>
              <w:right w:val="nil"/>
            </w:tcBorders>
            <w:shd w:val="clear" w:color="000000" w:fill="FFFFFF"/>
            <w:noWrap/>
            <w:vAlign w:val="center"/>
          </w:tcPr>
          <w:p w:rsidR="002E7A36" w:rsidRPr="002E7A36" w:rsidRDefault="002E7A36" w:rsidP="002E7A36">
            <w:pPr>
              <w:ind w:firstLineChars="200" w:firstLine="400"/>
              <w:rPr>
                <w:rFonts w:ascii="Perpetua" w:hAnsi="Perpetua"/>
                <w:color w:val="000000"/>
                <w:sz w:val="20"/>
                <w:szCs w:val="20"/>
              </w:rPr>
            </w:pPr>
            <w:r w:rsidRPr="002E7A36">
              <w:rPr>
                <w:rFonts w:ascii="Perpetua" w:hAnsi="Perpetua"/>
                <w:color w:val="000000"/>
                <w:sz w:val="20"/>
                <w:szCs w:val="20"/>
              </w:rPr>
              <w:t>Não especificado</w:t>
            </w:r>
          </w:p>
        </w:tc>
      </w:tr>
    </w:tbl>
    <w:p w:rsidR="00F72F49" w:rsidRDefault="00F72F49" w:rsidP="00F72F49">
      <w:pPr>
        <w:spacing w:line="360" w:lineRule="auto"/>
        <w:jc w:val="center"/>
        <w:rPr>
          <w:rFonts w:ascii="Perpetua" w:hAnsi="Perpetua"/>
        </w:rPr>
      </w:pPr>
    </w:p>
    <w:p w:rsidR="00F72F49" w:rsidRDefault="00F72F49" w:rsidP="00F72F49">
      <w:pPr>
        <w:spacing w:line="360" w:lineRule="auto"/>
        <w:jc w:val="both"/>
        <w:rPr>
          <w:rFonts w:ascii="Perpetua" w:hAnsi="Perpetua"/>
        </w:rPr>
      </w:pPr>
    </w:p>
    <w:p w:rsidR="00F72F49" w:rsidRDefault="00F72F49" w:rsidP="00F72F49">
      <w:pPr>
        <w:pStyle w:val="Caption"/>
        <w:keepNext/>
        <w:jc w:val="center"/>
        <w:rPr>
          <w:rFonts w:ascii="Perpetua" w:hAnsi="Perpetua"/>
        </w:rPr>
      </w:pPr>
      <w:bookmarkStart w:id="153" w:name="_Toc215081916"/>
      <w:r w:rsidRPr="007C48B7">
        <w:rPr>
          <w:rFonts w:ascii="Perpetua" w:hAnsi="Perpetua"/>
        </w:rPr>
        <w:t xml:space="preserve">Figura </w:t>
      </w:r>
      <w:r w:rsidR="0048473F">
        <w:rPr>
          <w:rFonts w:ascii="Perpetua" w:hAnsi="Perpetua"/>
        </w:rPr>
        <w:fldChar w:fldCharType="begin"/>
      </w:r>
      <w:r w:rsidR="00101158">
        <w:rPr>
          <w:rFonts w:ascii="Perpetua" w:hAnsi="Perpetua"/>
        </w:rPr>
        <w:instrText xml:space="preserve"> STYLEREF 1 \s </w:instrText>
      </w:r>
      <w:r w:rsidR="0048473F">
        <w:rPr>
          <w:rFonts w:ascii="Perpetua" w:hAnsi="Perpetua"/>
        </w:rPr>
        <w:fldChar w:fldCharType="separate"/>
      </w:r>
      <w:r w:rsidR="00FF37B9">
        <w:rPr>
          <w:rFonts w:ascii="Perpetua" w:hAnsi="Perpetua"/>
          <w:noProof/>
        </w:rPr>
        <w:t>8</w:t>
      </w:r>
      <w:r w:rsidR="0048473F">
        <w:rPr>
          <w:rFonts w:ascii="Perpetua" w:hAnsi="Perpetua"/>
        </w:rPr>
        <w:fldChar w:fldCharType="end"/>
      </w:r>
      <w:r w:rsidR="00101158">
        <w:rPr>
          <w:rFonts w:ascii="Perpetua" w:hAnsi="Perpetua"/>
        </w:rPr>
        <w:t>.</w:t>
      </w:r>
      <w:r w:rsidR="0048473F">
        <w:rPr>
          <w:rFonts w:ascii="Perpetua" w:hAnsi="Perpetua"/>
        </w:rPr>
        <w:fldChar w:fldCharType="begin"/>
      </w:r>
      <w:r w:rsidR="00101158">
        <w:rPr>
          <w:rFonts w:ascii="Perpetua" w:hAnsi="Perpetua"/>
        </w:rPr>
        <w:instrText xml:space="preserve"> SEQ Figura \* ARABIC \s 1 </w:instrText>
      </w:r>
      <w:r w:rsidR="0048473F">
        <w:rPr>
          <w:rFonts w:ascii="Perpetua" w:hAnsi="Perpetua"/>
        </w:rPr>
        <w:fldChar w:fldCharType="separate"/>
      </w:r>
      <w:r w:rsidR="00FF37B9">
        <w:rPr>
          <w:rFonts w:ascii="Perpetua" w:hAnsi="Perpetua"/>
          <w:noProof/>
        </w:rPr>
        <w:t>4</w:t>
      </w:r>
      <w:r w:rsidR="0048473F">
        <w:rPr>
          <w:rFonts w:ascii="Perpetua" w:hAnsi="Perpetua"/>
        </w:rPr>
        <w:fldChar w:fldCharType="end"/>
      </w:r>
      <w:r w:rsidRPr="007C48B7">
        <w:rPr>
          <w:rFonts w:ascii="Perpetua" w:hAnsi="Perpetua"/>
        </w:rPr>
        <w:t xml:space="preserve"> – Categorias do critério </w:t>
      </w:r>
      <w:r>
        <w:rPr>
          <w:rFonts w:ascii="Perpetua" w:hAnsi="Perpetua"/>
        </w:rPr>
        <w:t xml:space="preserve">de agregação </w:t>
      </w:r>
      <w:r w:rsidRPr="007C48B7">
        <w:rPr>
          <w:rFonts w:ascii="Perpetua" w:hAnsi="Perpetua"/>
        </w:rPr>
        <w:t>forma processual</w:t>
      </w:r>
      <w:r>
        <w:rPr>
          <w:rStyle w:val="FootnoteReference"/>
          <w:rFonts w:ascii="Perpetua" w:hAnsi="Perpetua"/>
        </w:rPr>
        <w:footnoteReference w:id="133"/>
      </w:r>
      <w:bookmarkEnd w:id="153"/>
    </w:p>
    <w:p w:rsidR="002E7A36" w:rsidRPr="002E7A36" w:rsidRDefault="002E7A36" w:rsidP="002E7A36"/>
    <w:tbl>
      <w:tblPr>
        <w:tblW w:w="2300" w:type="dxa"/>
        <w:jc w:val="center"/>
        <w:tblInd w:w="55" w:type="dxa"/>
        <w:tblCellMar>
          <w:left w:w="70" w:type="dxa"/>
          <w:right w:w="70" w:type="dxa"/>
        </w:tblCellMar>
        <w:tblLook w:val="04A0"/>
      </w:tblPr>
      <w:tblGrid>
        <w:gridCol w:w="2300"/>
      </w:tblGrid>
      <w:tr w:rsidR="00BF6C66" w:rsidRPr="00BF6C66" w:rsidTr="00BF6C66">
        <w:trPr>
          <w:trHeight w:val="570"/>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jc w:val="center"/>
              <w:rPr>
                <w:rFonts w:ascii="Perpetua" w:hAnsi="Perpetua"/>
                <w:b/>
                <w:bCs/>
                <w:color w:val="000000"/>
                <w:sz w:val="20"/>
                <w:szCs w:val="20"/>
              </w:rPr>
            </w:pPr>
            <w:r w:rsidRPr="00BF6C66">
              <w:rPr>
                <w:rFonts w:ascii="Perpetua" w:hAnsi="Perpetua"/>
                <w:b/>
                <w:bCs/>
                <w:color w:val="000000"/>
                <w:sz w:val="20"/>
                <w:szCs w:val="20"/>
              </w:rPr>
              <w:t>Forma processual</w:t>
            </w:r>
          </w:p>
        </w:tc>
      </w:tr>
      <w:tr w:rsidR="00BF6C66" w:rsidRPr="00BF6C66" w:rsidTr="00BF6C66">
        <w:trPr>
          <w:trHeight w:val="465"/>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Ordinário</w:t>
            </w:r>
          </w:p>
        </w:tc>
      </w:tr>
      <w:tr w:rsidR="00BF6C66" w:rsidRPr="00BF6C66" w:rsidTr="00BF6C66">
        <w:trPr>
          <w:trHeight w:val="465"/>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Sumário</w:t>
            </w:r>
          </w:p>
        </w:tc>
      </w:tr>
      <w:tr w:rsidR="00BF6C66" w:rsidRPr="00BF6C66" w:rsidTr="00BF6C66">
        <w:trPr>
          <w:trHeight w:val="465"/>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Sumaríssimo</w:t>
            </w:r>
          </w:p>
        </w:tc>
      </w:tr>
      <w:tr w:rsidR="00BF6C66" w:rsidRPr="00BF6C66" w:rsidTr="00BF6C66">
        <w:trPr>
          <w:trHeight w:val="465"/>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Sumário ou Outro</w:t>
            </w:r>
          </w:p>
        </w:tc>
      </w:tr>
      <w:tr w:rsidR="00BF6C66" w:rsidRPr="00BF6C66" w:rsidTr="00BF6C66">
        <w:trPr>
          <w:trHeight w:val="465"/>
          <w:jc w:val="center"/>
        </w:trPr>
        <w:tc>
          <w:tcPr>
            <w:tcW w:w="2300" w:type="dxa"/>
            <w:tcBorders>
              <w:top w:val="nil"/>
              <w:left w:val="nil"/>
              <w:bottom w:val="single" w:sz="4" w:space="0" w:color="auto"/>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Outro</w:t>
            </w:r>
          </w:p>
        </w:tc>
      </w:tr>
      <w:tr w:rsidR="00BF6C66" w:rsidRPr="00BF6C66" w:rsidTr="00BF6C66">
        <w:trPr>
          <w:trHeight w:val="465"/>
          <w:jc w:val="center"/>
        </w:trPr>
        <w:tc>
          <w:tcPr>
            <w:tcW w:w="2300" w:type="dxa"/>
            <w:tcBorders>
              <w:top w:val="nil"/>
              <w:left w:val="nil"/>
              <w:bottom w:val="nil"/>
              <w:right w:val="nil"/>
            </w:tcBorders>
            <w:shd w:val="clear" w:color="auto" w:fill="auto"/>
            <w:noWrap/>
            <w:vAlign w:val="center"/>
          </w:tcPr>
          <w:p w:rsidR="00BF6C66" w:rsidRPr="00BF6C66" w:rsidRDefault="00BF6C66" w:rsidP="00BF6C66">
            <w:pPr>
              <w:ind w:firstLineChars="200" w:firstLine="400"/>
              <w:rPr>
                <w:rFonts w:ascii="Perpetua" w:hAnsi="Perpetua"/>
                <w:color w:val="000000"/>
                <w:sz w:val="20"/>
                <w:szCs w:val="20"/>
              </w:rPr>
            </w:pPr>
            <w:r w:rsidRPr="00BF6C66">
              <w:rPr>
                <w:rFonts w:ascii="Perpetua" w:hAnsi="Perpetua"/>
                <w:color w:val="000000"/>
                <w:sz w:val="20"/>
                <w:szCs w:val="20"/>
              </w:rPr>
              <w:t>Não especificado</w:t>
            </w:r>
          </w:p>
        </w:tc>
      </w:tr>
    </w:tbl>
    <w:p w:rsidR="00F72F49" w:rsidRDefault="00F72F49" w:rsidP="00F72F49">
      <w:pPr>
        <w:spacing w:line="360" w:lineRule="auto"/>
        <w:jc w:val="center"/>
        <w:rPr>
          <w:rFonts w:ascii="Perpetua" w:hAnsi="Perpetua"/>
        </w:rPr>
      </w:pP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Os boletins de processo são individualizados por processo e recolhem informação sobre um conjunto de características dos processos findos, incluindo várias características das partes em litígio, o termo e modalidade do processo, o objecto de acção, o tribunal em que o processo findou, o valor da causa, a requisição e concessão de apoio judiciário, a espécie na distribuição</w:t>
      </w:r>
      <w:r w:rsidR="008932FB">
        <w:rPr>
          <w:rFonts w:ascii="Perpetua" w:hAnsi="Perpetua"/>
        </w:rPr>
        <w:t>,</w:t>
      </w:r>
      <w:r>
        <w:rPr>
          <w:rFonts w:ascii="Perpetua" w:hAnsi="Perpetua"/>
        </w:rPr>
        <w:t xml:space="preserve"> etc.</w:t>
      </w:r>
      <w:r w:rsidRPr="0076644F">
        <w:rPr>
          <w:rFonts w:ascii="Perpetua" w:hAnsi="Perpetua"/>
        </w:rPr>
        <w:t xml:space="preserve"> </w:t>
      </w:r>
      <w:r>
        <w:rPr>
          <w:rFonts w:ascii="Perpetua" w:hAnsi="Perpetua"/>
        </w:rPr>
        <w:t>A integração da informação recolhida pelos dois instrumentos não parece ser facilmente concretizável: os boletins de processo nem se</w:t>
      </w:r>
      <w:r w:rsidR="008932FB">
        <w:rPr>
          <w:rFonts w:ascii="Perpetua" w:hAnsi="Perpetua"/>
        </w:rPr>
        <w:t>mpre têm os mesmos critérios e/</w:t>
      </w:r>
      <w:r>
        <w:rPr>
          <w:rFonts w:ascii="Perpetua" w:hAnsi="Perpetua"/>
        </w:rPr>
        <w:t>ou categorias de processos findos que os critérios e categorias dos mapas. Acresc</w:t>
      </w:r>
      <w:r w:rsidR="00D34069">
        <w:rPr>
          <w:rFonts w:ascii="Perpetua" w:hAnsi="Perpetua"/>
        </w:rPr>
        <w:t>e que, pelo facto de se tratar</w:t>
      </w:r>
      <w:r>
        <w:rPr>
          <w:rFonts w:ascii="Perpetua" w:hAnsi="Perpetua"/>
        </w:rPr>
        <w:t xml:space="preserve"> de dois instrumentos de notação estatística autónoma, os totais</w:t>
      </w:r>
      <w:r w:rsidR="00FD37E2">
        <w:rPr>
          <w:rFonts w:ascii="Perpetua" w:hAnsi="Perpetua"/>
        </w:rPr>
        <w:t xml:space="preserve"> </w:t>
      </w:r>
      <w:r>
        <w:rPr>
          <w:rFonts w:ascii="Perpetua" w:hAnsi="Perpetua"/>
        </w:rPr>
        <w:t>e agregações por outras categorias de processos findos num período temporal e por tribunal obtidos através dos dois instrumentos são diferentes</w:t>
      </w:r>
      <w:r>
        <w:rPr>
          <w:rStyle w:val="FootnoteReference"/>
          <w:rFonts w:ascii="Perpetua" w:hAnsi="Perpetua"/>
        </w:rPr>
        <w:footnoteReference w:id="134"/>
      </w:r>
      <w:r>
        <w:rPr>
          <w:rFonts w:ascii="Perpetua" w:hAnsi="Perpetua"/>
        </w:rPr>
        <w:t xml:space="preserve">. Em regra, as contagens obtidas a partir dos boletins têm uma elevada margem de erro, servindo os boletins para inferir o perfil dos processos findos num dado tribunal e num determinado período. </w:t>
      </w:r>
    </w:p>
    <w:p w:rsidR="00FD37E2" w:rsidRDefault="00FD37E2"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A verificação dos problemas apontados implicou um sem-número de escolhas metodológicas e uma elevada dose de pragmatismo. N</w:t>
      </w:r>
      <w:r w:rsidR="00FD37E2">
        <w:rPr>
          <w:rFonts w:ascii="Perpetua" w:hAnsi="Perpetua"/>
        </w:rPr>
        <w:t xml:space="preserve">este trabalho utilizaram-se </w:t>
      </w:r>
      <w:r>
        <w:rPr>
          <w:rFonts w:ascii="Perpetua" w:hAnsi="Perpetua"/>
        </w:rPr>
        <w:t xml:space="preserve">apenas os dados dos mapas de movimento, pois são estes os dados tradicionalmente utilizados nas publicações do Ministério da Justiça e do INE e, sobretudo, porque são os que permitem comparar o volume de processos findos com os volumes de processos entrados e processos pendentes por tribunal num determinado período </w:t>
      </w:r>
      <w:r w:rsidR="008C5DB7">
        <w:rPr>
          <w:rFonts w:ascii="Perpetua" w:hAnsi="Perpetua"/>
        </w:rPr>
        <w:t>t</w:t>
      </w:r>
      <w:r>
        <w:rPr>
          <w:rFonts w:ascii="Perpetua" w:hAnsi="Perpetua"/>
        </w:rPr>
        <w:t xml:space="preserve">emporal e construir indicadores a partir da conjugação dessas variáveis. </w:t>
      </w:r>
    </w:p>
    <w:p w:rsidR="00F72F49" w:rsidRDefault="00F72F49" w:rsidP="00F72F49">
      <w:pPr>
        <w:spacing w:line="360" w:lineRule="auto"/>
        <w:jc w:val="both"/>
        <w:rPr>
          <w:rFonts w:ascii="Perpetua" w:hAnsi="Perpetua"/>
        </w:rPr>
      </w:pPr>
    </w:p>
    <w:p w:rsidR="00F72F49" w:rsidRPr="00A4574C" w:rsidRDefault="009B63F1" w:rsidP="009F1342">
      <w:pPr>
        <w:pStyle w:val="Heading2"/>
      </w:pPr>
      <w:bookmarkStart w:id="154" w:name="_Toc220484495"/>
      <w:r>
        <w:t>8</w:t>
      </w:r>
      <w:r w:rsidR="00F72F49" w:rsidRPr="00A4574C">
        <w:t>.4</w:t>
      </w:r>
      <w:r w:rsidR="009F1342">
        <w:t>.</w:t>
      </w:r>
      <w:r w:rsidR="00F72F49" w:rsidRPr="00A4574C">
        <w:t xml:space="preserve"> Dados dos recursos humanos</w:t>
      </w:r>
      <w:bookmarkEnd w:id="154"/>
    </w:p>
    <w:p w:rsidR="00F72F49" w:rsidRDefault="00F72F49" w:rsidP="008C5DB7">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Nas Estatísticas da Justiça, o instrumento de notação estatística que recolhe informação sobre os recursos humanos utilizados por cada tribunal do sistema judicial é o mapa «Pessoal ao serv</w:t>
      </w:r>
      <w:r w:rsidR="008932FB">
        <w:rPr>
          <w:rFonts w:ascii="Perpetua" w:hAnsi="Perpetua"/>
        </w:rPr>
        <w:t>iço nos tribunais» (modelo 247/</w:t>
      </w:r>
      <w:r>
        <w:rPr>
          <w:rFonts w:ascii="Perpetua" w:hAnsi="Perpetua"/>
        </w:rPr>
        <w:t xml:space="preserve">GPLPMJ/DSEJ). Este instrumento recolhe informação sobre a quantidade de recursos existentes em cada tribunal num determinado ano, classificando-os numa das 5 carreiras de trabalhadores judiciais e numa das categorias existentes dentro de cada uma dessas 5 carreiras; cada trabalhador judicial é ainda afecto a um dos três serviços que compõem o tribunal: os serviços Judiciais, os serviços do Ministério Público (M.P.) e os serviços Comuns. </w:t>
      </w:r>
    </w:p>
    <w:p w:rsidR="00F72F49" w:rsidRDefault="00F72F49" w:rsidP="00F72F49">
      <w:pPr>
        <w:spacing w:line="360" w:lineRule="auto"/>
        <w:jc w:val="both"/>
        <w:rPr>
          <w:rFonts w:ascii="Perpetua" w:hAnsi="Perpetua"/>
        </w:rPr>
      </w:pPr>
    </w:p>
    <w:p w:rsidR="00F72F49" w:rsidRDefault="00F72F49" w:rsidP="00F72F49">
      <w:pPr>
        <w:spacing w:line="360" w:lineRule="auto"/>
        <w:jc w:val="both"/>
        <w:rPr>
          <w:rFonts w:ascii="Perpetua" w:hAnsi="Perpetua"/>
        </w:rPr>
      </w:pPr>
      <w:r>
        <w:rPr>
          <w:rFonts w:ascii="Perpetua" w:hAnsi="Perpetua"/>
        </w:rPr>
        <w:t>Os problemas da produção de estatísticas a partir deste instrumento de notação são dois: 1) certos tribunais não reportam essa informação autonomamente, como é o caso de alguns tribunais de competência específica, sendo de supor que essa informação seja incluída no mapa de um tribunal da mesma comarca; 2) certos tribunais de comarca reportam autonomamente informação relativa aos serviços do M.P. e aos serviços Judiciais, enquanto outros tribunais reportam um mapa para todos os serviços. Esta prática não é problemática no que respeita à quantidade de magistrados por tribunal, visto que as categorias da carreira de magistrados permitem distinguir os magistrados judiciais dos magistrados do M.P. No entanto, esta prática implica perdas informativas significativas no que respeita à informação sobre a quantidade de funcionários judiciais, pois as categorias de funcionários judiciais não permitem distinguir entre funcionários judiciais afectos aos serviços de M.P e funcionários judiciais afectos aos serviços Judiciais (apesar do mapa «Pessoal ao serviço nos tribunais» prever essa distinção, a informação estatística produzida não inclui esse detalhe informativo). De modo a tornar os dados dos tribunais comparáveis entre si, foi necessário agregar a quantidade de recursos humanos por categoria por serviços do tribunal de comarca (</w:t>
      </w:r>
      <w:r w:rsidR="004E5D3A" w:rsidRPr="004E5D3A">
        <w:rPr>
          <w:rFonts w:ascii="Perpetua" w:hAnsi="Perpetua"/>
          <w:i/>
        </w:rPr>
        <w:t>v.g.</w:t>
      </w:r>
      <w:r>
        <w:rPr>
          <w:rFonts w:ascii="Perpetua" w:hAnsi="Perpetua"/>
        </w:rPr>
        <w:t xml:space="preserve"> somar as quantidades de trabalhadores judiciais por categoria do Tribunal </w:t>
      </w:r>
      <w:r w:rsidR="00D34069">
        <w:rPr>
          <w:rFonts w:ascii="Perpetua" w:hAnsi="Perpetua"/>
        </w:rPr>
        <w:t xml:space="preserve">de </w:t>
      </w:r>
      <w:r>
        <w:rPr>
          <w:rFonts w:ascii="Perpetua" w:hAnsi="Perpetua"/>
        </w:rPr>
        <w:t>Bragança com as respectivas quantidades das categorias do M.P. de Bragança), tendo como consequência a perda de informação relativa aos serviços do tribunal ao</w:t>
      </w:r>
      <w:r w:rsidR="00D071BF">
        <w:rPr>
          <w:rFonts w:ascii="Perpetua" w:hAnsi="Perpetua"/>
        </w:rPr>
        <w:t>s quais</w:t>
      </w:r>
      <w:r>
        <w:rPr>
          <w:rFonts w:ascii="Perpetua" w:hAnsi="Perpetua"/>
        </w:rPr>
        <w:t xml:space="preserve"> os funcionários judiciais estão afectos.        </w:t>
      </w:r>
    </w:p>
    <w:p w:rsidR="00F72F49" w:rsidRDefault="00F72F49" w:rsidP="00F72F49">
      <w:pPr>
        <w:spacing w:line="360" w:lineRule="auto"/>
        <w:jc w:val="both"/>
        <w:rPr>
          <w:rFonts w:ascii="Perpetua" w:hAnsi="Perpetua"/>
        </w:rPr>
      </w:pPr>
    </w:p>
    <w:p w:rsidR="00F72F49" w:rsidRPr="00830DF5" w:rsidRDefault="009B63F1" w:rsidP="009F1342">
      <w:pPr>
        <w:pStyle w:val="Heading2"/>
      </w:pPr>
      <w:bookmarkStart w:id="155" w:name="_Toc220484496"/>
      <w:r>
        <w:t>8</w:t>
      </w:r>
      <w:r w:rsidR="00F72F49">
        <w:t>.5</w:t>
      </w:r>
      <w:r w:rsidR="009F1342">
        <w:t xml:space="preserve">. </w:t>
      </w:r>
      <w:r w:rsidR="00F72F49" w:rsidRPr="00830DF5">
        <w:t xml:space="preserve">Código das variáveis relativas ao </w:t>
      </w:r>
      <w:r w:rsidR="00F72F49" w:rsidRPr="001E7F2B">
        <w:rPr>
          <w:i/>
        </w:rPr>
        <w:t>case mix</w:t>
      </w:r>
      <w:bookmarkEnd w:id="155"/>
    </w:p>
    <w:p w:rsidR="00F72F49" w:rsidRDefault="00F72F49" w:rsidP="00F72F49">
      <w:pPr>
        <w:spacing w:line="360" w:lineRule="auto"/>
        <w:jc w:val="both"/>
        <w:rPr>
          <w:rFonts w:ascii="Perpetua" w:hAnsi="Perpetua"/>
        </w:rPr>
      </w:pPr>
    </w:p>
    <w:p w:rsidR="00F72F49" w:rsidRPr="00830DF5" w:rsidRDefault="00F72F49" w:rsidP="00F72F49">
      <w:pPr>
        <w:spacing w:line="360" w:lineRule="auto"/>
        <w:jc w:val="both"/>
        <w:rPr>
          <w:rFonts w:ascii="Perpetua" w:hAnsi="Perpetua"/>
          <w:u w:val="single"/>
        </w:rPr>
      </w:pPr>
      <w:r w:rsidRPr="00830DF5">
        <w:rPr>
          <w:rFonts w:ascii="Perpetua" w:hAnsi="Perpetua"/>
          <w:u w:val="single"/>
        </w:rPr>
        <w:t>Área processual</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perc_civ_01</w:t>
      </w:r>
      <w:proofErr w:type="gramEnd"/>
      <w:r>
        <w:rPr>
          <w:rFonts w:ascii="Perpetua" w:hAnsi="Perpetua"/>
        </w:rPr>
        <w:t xml:space="preserve"> – % processos da área processual cível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perc_pen_01</w:t>
      </w:r>
      <w:r>
        <w:rPr>
          <w:rFonts w:ascii="Perpetua" w:hAnsi="Perpetua"/>
        </w:rPr>
        <w:t>%</w:t>
      </w:r>
      <w:proofErr w:type="gramEnd"/>
      <w:r>
        <w:rPr>
          <w:rFonts w:ascii="Perpetua" w:hAnsi="Perpetua"/>
        </w:rPr>
        <w:t xml:space="preserve"> – % processos da área processual penal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perc_tut_01</w:t>
      </w:r>
      <w:proofErr w:type="gramEnd"/>
      <w:r>
        <w:rPr>
          <w:rFonts w:ascii="Perpetua" w:hAnsi="Perpetua"/>
        </w:rPr>
        <w:t>– % processos da área processual tutelar</w:t>
      </w:r>
      <w:r w:rsidRPr="00830DF5">
        <w:rPr>
          <w:rFonts w:ascii="Perpetua" w:hAnsi="Perpetua"/>
        </w:rPr>
        <w:t xml:space="preserve"> </w:t>
      </w:r>
      <w:r>
        <w:rPr>
          <w:rFonts w:ascii="Perpetua" w:hAnsi="Perpetua"/>
        </w:rPr>
        <w:t>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perc_jl_01</w:t>
      </w:r>
      <w:proofErr w:type="gramEnd"/>
      <w:r>
        <w:rPr>
          <w:rFonts w:ascii="Perpetua" w:hAnsi="Perpetua"/>
        </w:rPr>
        <w:t>– % processos da área processual laboral</w:t>
      </w:r>
      <w:r w:rsidRPr="00830DF5">
        <w:rPr>
          <w:rFonts w:ascii="Perpetua" w:hAnsi="Perpetua"/>
        </w:rPr>
        <w:t xml:space="preserve"> </w:t>
      </w:r>
      <w:r>
        <w:rPr>
          <w:rFonts w:ascii="Perpetua" w:hAnsi="Perpetua"/>
        </w:rPr>
        <w:t>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perc_jlp_01</w:t>
      </w:r>
      <w:proofErr w:type="gramEnd"/>
      <w:r>
        <w:rPr>
          <w:rFonts w:ascii="Perpetua" w:hAnsi="Perpetua"/>
        </w:rPr>
        <w:t>– % processos da área processual laboral penal</w:t>
      </w:r>
      <w:r w:rsidRPr="00830DF5">
        <w:rPr>
          <w:rFonts w:ascii="Perpetua" w:hAnsi="Perpetua"/>
        </w:rPr>
        <w:t xml:space="preserve"> </w:t>
      </w:r>
      <w:r>
        <w:rPr>
          <w:rFonts w:ascii="Perpetua" w:hAnsi="Perpetua"/>
        </w:rPr>
        <w:t>no total de processos findos em 2001</w:t>
      </w:r>
    </w:p>
    <w:p w:rsidR="00F72F49" w:rsidRDefault="00F72F49" w:rsidP="00F72F49">
      <w:pPr>
        <w:spacing w:line="360" w:lineRule="auto"/>
        <w:jc w:val="both"/>
        <w:rPr>
          <w:rFonts w:ascii="Perpetua" w:hAnsi="Perpetua"/>
        </w:rPr>
      </w:pPr>
    </w:p>
    <w:p w:rsidR="00F72F49" w:rsidRPr="00830DF5" w:rsidRDefault="00F72F49" w:rsidP="00F72F49">
      <w:pPr>
        <w:spacing w:line="360" w:lineRule="auto"/>
        <w:jc w:val="both"/>
        <w:rPr>
          <w:rFonts w:ascii="Perpetua" w:hAnsi="Perpetua"/>
          <w:u w:val="single"/>
        </w:rPr>
      </w:pPr>
      <w:r w:rsidRPr="00830DF5">
        <w:rPr>
          <w:rFonts w:ascii="Perpetua" w:hAnsi="Perpetua"/>
          <w:u w:val="single"/>
        </w:rPr>
        <w:t>Tipo de espécie processual</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perc_ad_01</w:t>
      </w:r>
      <w:proofErr w:type="gramEnd"/>
      <w:r>
        <w:rPr>
          <w:rFonts w:ascii="Perpetua" w:hAnsi="Perpetua"/>
        </w:rPr>
        <w:t xml:space="preserve"> – % acções declarativas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perc_exec_01</w:t>
      </w:r>
      <w:proofErr w:type="gramEnd"/>
      <w:r>
        <w:rPr>
          <w:rFonts w:ascii="Perpetua" w:hAnsi="Perpetua"/>
        </w:rPr>
        <w:t xml:space="preserve"> - % acções executivas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perc_esp_01</w:t>
      </w:r>
      <w:proofErr w:type="gramEnd"/>
      <w:r>
        <w:rPr>
          <w:rFonts w:ascii="Perpetua" w:hAnsi="Perpetua"/>
        </w:rPr>
        <w:t xml:space="preserve"> - % acções especiais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perc_pc_01</w:t>
      </w:r>
      <w:proofErr w:type="gramEnd"/>
      <w:r>
        <w:rPr>
          <w:rFonts w:ascii="Perpetua" w:hAnsi="Perpetua"/>
        </w:rPr>
        <w:t xml:space="preserve"> - % providências cautelares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perc_pt_01</w:t>
      </w:r>
      <w:proofErr w:type="gramEnd"/>
      <w:r>
        <w:rPr>
          <w:rFonts w:ascii="Perpetua" w:hAnsi="Perpetua"/>
        </w:rPr>
        <w:t xml:space="preserve"> - % processos tutelares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perc_pcj_01</w:t>
      </w:r>
      <w:proofErr w:type="gramEnd"/>
      <w:r>
        <w:rPr>
          <w:rFonts w:ascii="Perpetua" w:hAnsi="Perpetua"/>
        </w:rPr>
        <w:t xml:space="preserve"> - % processos crimes em fase de julgamento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perc_cot_01</w:t>
      </w:r>
      <w:proofErr w:type="gramEnd"/>
      <w:r>
        <w:rPr>
          <w:rFonts w:ascii="Perpetua" w:hAnsi="Perpetua"/>
        </w:rPr>
        <w:t xml:space="preserve"> - % contra-ordenações e transgressões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perc_out_01</w:t>
      </w:r>
      <w:proofErr w:type="gramEnd"/>
      <w:r>
        <w:rPr>
          <w:rFonts w:ascii="Perpetua" w:hAnsi="Perpetua"/>
        </w:rPr>
        <w:t xml:space="preserve"> -% outros processos no total de processos findos em 2001</w:t>
      </w:r>
    </w:p>
    <w:p w:rsidR="00F72F49" w:rsidRPr="00830DF5" w:rsidRDefault="00F72F49" w:rsidP="00F72F49">
      <w:pPr>
        <w:spacing w:line="360" w:lineRule="auto"/>
        <w:jc w:val="both"/>
        <w:rPr>
          <w:rFonts w:ascii="Perpetua" w:hAnsi="Perpetua"/>
        </w:rPr>
      </w:pPr>
    </w:p>
    <w:p w:rsidR="00F72F49" w:rsidRPr="00830DF5" w:rsidRDefault="00F72F49" w:rsidP="00F72F49">
      <w:pPr>
        <w:spacing w:line="360" w:lineRule="auto"/>
        <w:jc w:val="both"/>
        <w:rPr>
          <w:rFonts w:ascii="Perpetua" w:hAnsi="Perpetua"/>
          <w:u w:val="single"/>
        </w:rPr>
      </w:pPr>
      <w:r w:rsidRPr="00830DF5">
        <w:rPr>
          <w:rFonts w:ascii="Perpetua" w:hAnsi="Perpetua"/>
          <w:u w:val="single"/>
        </w:rPr>
        <w:t>Forma processual</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perc_ffp_ord_01</w:t>
      </w:r>
      <w:proofErr w:type="gramEnd"/>
      <w:r w:rsidRPr="00830DF5">
        <w:rPr>
          <w:rFonts w:ascii="Perpetua" w:hAnsi="Perpetua"/>
        </w:rPr>
        <w:t xml:space="preserve"> -</w:t>
      </w:r>
      <w:r>
        <w:rPr>
          <w:rFonts w:ascii="Perpetua" w:hAnsi="Perpetua"/>
        </w:rPr>
        <w:t xml:space="preserve"> % acções ordinárias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perc_ffp_sum_01</w:t>
      </w:r>
      <w:proofErr w:type="gramEnd"/>
      <w:r w:rsidRPr="00830DF5">
        <w:rPr>
          <w:rFonts w:ascii="Perpetua" w:hAnsi="Perpetua"/>
        </w:rPr>
        <w:t>-</w:t>
      </w:r>
      <w:r>
        <w:rPr>
          <w:rFonts w:ascii="Perpetua" w:hAnsi="Perpetua"/>
        </w:rPr>
        <w:t xml:space="preserve"> % acções sumárias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perc_ffp_smiss_01</w:t>
      </w:r>
      <w:proofErr w:type="gramEnd"/>
      <w:r w:rsidRPr="00830DF5">
        <w:rPr>
          <w:rFonts w:ascii="Perpetua" w:hAnsi="Perpetua"/>
        </w:rPr>
        <w:t>-</w:t>
      </w:r>
      <w:r>
        <w:rPr>
          <w:rFonts w:ascii="Perpetua" w:hAnsi="Perpetua"/>
        </w:rPr>
        <w:t xml:space="preserve"> % acções sumaríssimas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perc_ffp_sumout_01</w:t>
      </w:r>
      <w:proofErr w:type="gramEnd"/>
      <w:r w:rsidRPr="00830DF5">
        <w:rPr>
          <w:rFonts w:ascii="Perpetua" w:hAnsi="Perpetua"/>
        </w:rPr>
        <w:t>-</w:t>
      </w:r>
      <w:r>
        <w:rPr>
          <w:rFonts w:ascii="Perpetua" w:hAnsi="Perpetua"/>
        </w:rPr>
        <w:t xml:space="preserve"> % acções sumária ou outras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perc_ffp_out_01</w:t>
      </w:r>
      <w:proofErr w:type="gramEnd"/>
      <w:r w:rsidRPr="00830DF5">
        <w:rPr>
          <w:rFonts w:ascii="Perpetua" w:hAnsi="Perpetua"/>
        </w:rPr>
        <w:t xml:space="preserve"> -</w:t>
      </w:r>
      <w:r>
        <w:rPr>
          <w:rFonts w:ascii="Perpetua" w:hAnsi="Perpetua"/>
        </w:rPr>
        <w:t xml:space="preserve"> % acções com outras formas processuais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perc_ffp_nesp_01</w:t>
      </w:r>
      <w:proofErr w:type="gramEnd"/>
      <w:r w:rsidRPr="00830DF5">
        <w:rPr>
          <w:rFonts w:ascii="Perpetua" w:hAnsi="Perpetua"/>
        </w:rPr>
        <w:t>-</w:t>
      </w:r>
      <w:r>
        <w:rPr>
          <w:rFonts w:ascii="Perpetua" w:hAnsi="Perpetua"/>
        </w:rPr>
        <w:t xml:space="preserve"> % acções com forma processual não especificada no total de processos findos em 2001</w:t>
      </w:r>
    </w:p>
    <w:p w:rsidR="00F72F49" w:rsidRDefault="00F72F49" w:rsidP="00F72F49">
      <w:pPr>
        <w:spacing w:line="360" w:lineRule="auto"/>
        <w:jc w:val="both"/>
        <w:rPr>
          <w:rFonts w:ascii="Perpetua" w:hAnsi="Perpetua"/>
          <w:u w:val="single"/>
        </w:rPr>
      </w:pPr>
    </w:p>
    <w:p w:rsidR="00F72F49" w:rsidRPr="00830DF5" w:rsidRDefault="00F72F49" w:rsidP="00F72F49">
      <w:pPr>
        <w:spacing w:line="360" w:lineRule="auto"/>
        <w:jc w:val="both"/>
        <w:rPr>
          <w:rFonts w:ascii="Perpetua" w:hAnsi="Perpetua"/>
          <w:u w:val="single"/>
        </w:rPr>
      </w:pPr>
      <w:r w:rsidRPr="00830DF5">
        <w:rPr>
          <w:rFonts w:ascii="Perpetua" w:hAnsi="Perpetua"/>
          <w:u w:val="single"/>
        </w:rPr>
        <w:t>Tipo de termo do processo</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perc_ftp_pdf_01</w:t>
      </w:r>
      <w:proofErr w:type="gramEnd"/>
      <w:r>
        <w:rPr>
          <w:rFonts w:ascii="Perpetua" w:hAnsi="Perpetua"/>
        </w:rPr>
        <w:t xml:space="preserve"> </w:t>
      </w:r>
      <w:r w:rsidRPr="00830DF5">
        <w:rPr>
          <w:rFonts w:ascii="Perpetua" w:hAnsi="Perpetua"/>
        </w:rPr>
        <w:t>-</w:t>
      </w:r>
      <w:r>
        <w:rPr>
          <w:rFonts w:ascii="Perpetua" w:hAnsi="Perpetua"/>
        </w:rPr>
        <w:t xml:space="preserve"> % acções findas por decisão de fundo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perc_ftp_rmoe_01</w:t>
      </w:r>
      <w:proofErr w:type="gramEnd"/>
      <w:r>
        <w:rPr>
          <w:rFonts w:ascii="Perpetua" w:hAnsi="Perpetua"/>
        </w:rPr>
        <w:t xml:space="preserve"> </w:t>
      </w:r>
      <w:r w:rsidRPr="00830DF5">
        <w:rPr>
          <w:rFonts w:ascii="Perpetua" w:hAnsi="Perpetua"/>
        </w:rPr>
        <w:t>-</w:t>
      </w:r>
      <w:r>
        <w:rPr>
          <w:rFonts w:ascii="Perpetua" w:hAnsi="Perpetua"/>
        </w:rPr>
        <w:t xml:space="preserve"> % acções findas por remessa a outra entidade (em geral, outro tribunal)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perc_ftp_sdf_01</w:t>
      </w:r>
      <w:proofErr w:type="gramEnd"/>
      <w:r>
        <w:rPr>
          <w:rFonts w:ascii="Perpetua" w:hAnsi="Perpetua"/>
        </w:rPr>
        <w:t xml:space="preserve"> </w:t>
      </w:r>
      <w:r w:rsidRPr="00830DF5">
        <w:rPr>
          <w:rFonts w:ascii="Perpetua" w:hAnsi="Perpetua"/>
        </w:rPr>
        <w:t>-</w:t>
      </w:r>
      <w:r>
        <w:rPr>
          <w:rFonts w:ascii="Perpetua" w:hAnsi="Perpetua"/>
        </w:rPr>
        <w:t xml:space="preserve"> % acções findas sem decisão de fundo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perc_ftp_out_01</w:t>
      </w:r>
      <w:proofErr w:type="gramEnd"/>
      <w:r>
        <w:rPr>
          <w:rFonts w:ascii="Perpetua" w:hAnsi="Perpetua"/>
        </w:rPr>
        <w:t xml:space="preserve"> </w:t>
      </w:r>
      <w:r w:rsidRPr="00830DF5">
        <w:rPr>
          <w:rFonts w:ascii="Perpetua" w:hAnsi="Perpetua"/>
        </w:rPr>
        <w:t>-</w:t>
      </w:r>
      <w:r>
        <w:rPr>
          <w:rFonts w:ascii="Perpetua" w:hAnsi="Perpetua"/>
        </w:rPr>
        <w:t xml:space="preserve"> % acções findas por outro termo no total de processos findos em 2001</w:t>
      </w:r>
    </w:p>
    <w:p w:rsidR="00F72F49" w:rsidRPr="00830DF5" w:rsidRDefault="00F72F49" w:rsidP="00F72F49">
      <w:pPr>
        <w:spacing w:line="360" w:lineRule="auto"/>
        <w:jc w:val="both"/>
        <w:rPr>
          <w:rFonts w:ascii="Perpetua" w:hAnsi="Perpetua"/>
        </w:rPr>
      </w:pPr>
      <w:proofErr w:type="gramStart"/>
      <w:r w:rsidRPr="00830DF5">
        <w:rPr>
          <w:rFonts w:ascii="Perpetua" w:hAnsi="Perpetua"/>
        </w:rPr>
        <w:t>perc_ftp_nesp_01</w:t>
      </w:r>
      <w:proofErr w:type="gramEnd"/>
      <w:r>
        <w:rPr>
          <w:rFonts w:ascii="Perpetua" w:hAnsi="Perpetua"/>
        </w:rPr>
        <w:t xml:space="preserve"> </w:t>
      </w:r>
      <w:r w:rsidRPr="00830DF5">
        <w:rPr>
          <w:rFonts w:ascii="Perpetua" w:hAnsi="Perpetua"/>
        </w:rPr>
        <w:t>-</w:t>
      </w:r>
      <w:r>
        <w:rPr>
          <w:rFonts w:ascii="Perpetua" w:hAnsi="Perpetua"/>
        </w:rPr>
        <w:t xml:space="preserve"> % acções findas sem tipo de termo especificado total de processos findos em 2001</w:t>
      </w:r>
    </w:p>
    <w:p w:rsidR="00F72F49" w:rsidRDefault="00F72F49" w:rsidP="003F0303">
      <w:pPr>
        <w:jc w:val="both"/>
        <w:rPr>
          <w:rFonts w:ascii="Perpetua" w:hAnsi="Perpetua"/>
        </w:rPr>
      </w:pPr>
    </w:p>
    <w:p w:rsidR="00E836AF" w:rsidRDefault="00E836AF"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177DB" w:rsidRDefault="00D177DB" w:rsidP="003F0303">
      <w:pPr>
        <w:jc w:val="both"/>
        <w:rPr>
          <w:rFonts w:ascii="Perpetua" w:hAnsi="Perpetua"/>
        </w:rPr>
      </w:pPr>
    </w:p>
    <w:p w:rsidR="00DC5E09" w:rsidRDefault="00DC5E09" w:rsidP="003F0303">
      <w:pPr>
        <w:jc w:val="both"/>
        <w:rPr>
          <w:rFonts w:ascii="Perpetua" w:hAnsi="Perpetua"/>
        </w:rPr>
      </w:pPr>
    </w:p>
    <w:p w:rsidR="00DC5E09" w:rsidRDefault="00DC5E09" w:rsidP="003F0303">
      <w:pPr>
        <w:jc w:val="both"/>
        <w:rPr>
          <w:rFonts w:ascii="Perpetua" w:hAnsi="Perpetua"/>
        </w:rPr>
      </w:pPr>
    </w:p>
    <w:p w:rsidR="00DC5E09" w:rsidRDefault="00DC5E09" w:rsidP="003F0303">
      <w:pPr>
        <w:jc w:val="both"/>
        <w:rPr>
          <w:rFonts w:ascii="Perpetua" w:hAnsi="Perpetua"/>
        </w:rPr>
      </w:pPr>
    </w:p>
    <w:p w:rsidR="00A02A55" w:rsidRDefault="00E836AF" w:rsidP="00A02A55">
      <w:pPr>
        <w:pStyle w:val="Heading1"/>
      </w:pPr>
      <w:bookmarkStart w:id="156" w:name="_Toc220484497"/>
      <w:r>
        <w:t xml:space="preserve">Anexo – </w:t>
      </w:r>
      <w:r w:rsidR="007F1B7D">
        <w:t>Gráficos e q</w:t>
      </w:r>
      <w:r>
        <w:t>uadros auxiliares</w:t>
      </w:r>
      <w:bookmarkEnd w:id="156"/>
    </w:p>
    <w:p w:rsidR="00A02A55" w:rsidRPr="00244789" w:rsidRDefault="00A02A55" w:rsidP="00244789">
      <w:pPr>
        <w:spacing w:line="360" w:lineRule="auto"/>
        <w:jc w:val="both"/>
        <w:rPr>
          <w:rFonts w:ascii="Perpetua" w:hAnsi="Perpetua"/>
        </w:rPr>
      </w:pPr>
    </w:p>
    <w:p w:rsidR="00DD50FD" w:rsidRDefault="00244789" w:rsidP="00244789">
      <w:pPr>
        <w:spacing w:line="360" w:lineRule="auto"/>
        <w:jc w:val="both"/>
        <w:rPr>
          <w:rFonts w:ascii="Perpetua" w:hAnsi="Perpetua"/>
        </w:rPr>
      </w:pPr>
      <w:r w:rsidRPr="00244789">
        <w:rPr>
          <w:rFonts w:ascii="Perpetua" w:hAnsi="Perpetua"/>
        </w:rPr>
        <w:t xml:space="preserve">Neste anexo apresentam-se </w:t>
      </w:r>
      <w:r w:rsidR="00D071BF">
        <w:rPr>
          <w:rFonts w:ascii="Perpetua" w:hAnsi="Perpetua"/>
        </w:rPr>
        <w:t xml:space="preserve">gráficos e quadros </w:t>
      </w:r>
      <w:r w:rsidRPr="00244789">
        <w:rPr>
          <w:rFonts w:ascii="Perpetua" w:hAnsi="Perpetua"/>
        </w:rPr>
        <w:t>auxiliares</w:t>
      </w:r>
      <w:r w:rsidR="00D071BF">
        <w:rPr>
          <w:rFonts w:ascii="Perpetua" w:hAnsi="Perpetua"/>
        </w:rPr>
        <w:t xml:space="preserve"> efectuado</w:t>
      </w:r>
      <w:r w:rsidRPr="00244789">
        <w:rPr>
          <w:rFonts w:ascii="Perpetua" w:hAnsi="Perpetua"/>
        </w:rPr>
        <w:t>s no âmbito da análise empírica</w:t>
      </w:r>
      <w:r>
        <w:rPr>
          <w:rFonts w:ascii="Perpetua" w:hAnsi="Perpetua"/>
        </w:rPr>
        <w:t xml:space="preserve"> apresentada no capítulo 5. A inclusão deste material em anexo visa </w:t>
      </w:r>
      <w:r w:rsidR="00DD50FD">
        <w:rPr>
          <w:rFonts w:ascii="Perpetua" w:hAnsi="Perpetua"/>
        </w:rPr>
        <w:t>conf</w:t>
      </w:r>
      <w:r>
        <w:rPr>
          <w:rFonts w:ascii="Perpetua" w:hAnsi="Perpetua"/>
        </w:rPr>
        <w:t xml:space="preserve">irmar </w:t>
      </w:r>
      <w:r w:rsidR="00DD50FD">
        <w:rPr>
          <w:rFonts w:ascii="Perpetua" w:hAnsi="Perpetua"/>
        </w:rPr>
        <w:t xml:space="preserve">algumas das afirmações incluídas ou subentendidas </w:t>
      </w:r>
      <w:r>
        <w:rPr>
          <w:rFonts w:ascii="Perpetua" w:hAnsi="Perpetua"/>
        </w:rPr>
        <w:t>na análise descrita no capítulo 5</w:t>
      </w:r>
      <w:r w:rsidR="00DD50FD">
        <w:rPr>
          <w:rFonts w:ascii="Perpetua" w:hAnsi="Perpetua"/>
        </w:rPr>
        <w:t>, mas que, por razões de espaço, não foram incluídas no corpo textual do capítulo 5</w:t>
      </w:r>
      <w:r>
        <w:rPr>
          <w:rFonts w:ascii="Perpetua" w:hAnsi="Perpetua"/>
        </w:rPr>
        <w:t xml:space="preserve">. As variáveis </w:t>
      </w:r>
      <w:r w:rsidR="00DD50FD">
        <w:rPr>
          <w:rFonts w:ascii="Perpetua" w:hAnsi="Perpetua"/>
        </w:rPr>
        <w:t>aparecem sinalizadas através dos respectivos códigos definidos no ponto 4.3.2.3 e na secção 8.3.</w:t>
      </w:r>
    </w:p>
    <w:p w:rsidR="00244789" w:rsidRPr="00244789" w:rsidRDefault="00244789" w:rsidP="00244789">
      <w:pPr>
        <w:spacing w:line="360" w:lineRule="auto"/>
        <w:jc w:val="both"/>
        <w:rPr>
          <w:rFonts w:ascii="Perpetua" w:hAnsi="Perpetua"/>
        </w:rPr>
      </w:pPr>
    </w:p>
    <w:p w:rsidR="0008426C" w:rsidRDefault="00A02A55" w:rsidP="00A02A55">
      <w:pPr>
        <w:pStyle w:val="Heading2"/>
      </w:pPr>
      <w:bookmarkStart w:id="157" w:name="_Toc220484498"/>
      <w:r>
        <w:t xml:space="preserve">9.1. </w:t>
      </w:r>
      <w:r w:rsidR="0008426C" w:rsidRPr="00A02A55">
        <w:t xml:space="preserve">Análise </w:t>
      </w:r>
      <w:r w:rsidR="00C234BE">
        <w:t xml:space="preserve">estatística </w:t>
      </w:r>
      <w:r w:rsidR="0008426C" w:rsidRPr="00A02A55">
        <w:t>preliminar</w:t>
      </w:r>
      <w:bookmarkEnd w:id="157"/>
    </w:p>
    <w:p w:rsidR="00A02A55" w:rsidRDefault="00A02A55" w:rsidP="00A02A55"/>
    <w:p w:rsidR="00CD0007" w:rsidRDefault="00CD0007" w:rsidP="00A02A55"/>
    <w:p w:rsidR="00A02A55" w:rsidRDefault="00EB73B7" w:rsidP="00EB73B7">
      <w:pPr>
        <w:pStyle w:val="Heading3"/>
      </w:pPr>
      <w:bookmarkStart w:id="158" w:name="_Toc220484499"/>
      <w:r>
        <w:t>9.1.1. Análise univariada</w:t>
      </w:r>
      <w:bookmarkEnd w:id="158"/>
    </w:p>
    <w:p w:rsidR="00EB73B7" w:rsidRDefault="00EB73B7" w:rsidP="00EB73B7"/>
    <w:p w:rsidR="00FD37E2" w:rsidRDefault="00FD37E2" w:rsidP="00EB73B7"/>
    <w:p w:rsidR="00FD37E2" w:rsidRPr="00FD37E2" w:rsidRDefault="00FD37E2" w:rsidP="00EB73B7">
      <w:pPr>
        <w:rPr>
          <w:rFonts w:ascii="Perpetua" w:hAnsi="Perpetua"/>
        </w:rPr>
      </w:pPr>
      <w:r w:rsidRPr="00FD37E2">
        <w:rPr>
          <w:rFonts w:ascii="Perpetua" w:hAnsi="Perpetua"/>
        </w:rPr>
        <w:t>Diagramas de frequências de Kernel das</w:t>
      </w:r>
      <w:r>
        <w:rPr>
          <w:rFonts w:ascii="Perpetua" w:hAnsi="Perpetua"/>
        </w:rPr>
        <w:t xml:space="preserve"> variáveis estatísticas</w:t>
      </w:r>
    </w:p>
    <w:p w:rsidR="00FD37E2" w:rsidRDefault="00FD37E2" w:rsidP="00EB73B7"/>
    <w:p w:rsidR="00FD37E2" w:rsidRDefault="00FD37E2" w:rsidP="00EB73B7"/>
    <w:p w:rsidR="00FD37E2" w:rsidRPr="00EB73B7" w:rsidRDefault="00FD37E2" w:rsidP="00EB73B7"/>
    <w:p w:rsidR="0008426C" w:rsidRDefault="00C82BCA" w:rsidP="00A02A55">
      <w:pPr>
        <w:jc w:val="center"/>
        <w:rPr>
          <w:rFonts w:ascii="Perpetua" w:hAnsi="Perpetua"/>
        </w:rPr>
      </w:pPr>
      <w:r>
        <w:rPr>
          <w:rFonts w:ascii="Perpetua" w:hAnsi="Perpetua"/>
          <w:noProof/>
        </w:rPr>
        <w:drawing>
          <wp:inline distT="0" distB="0" distL="0" distR="0">
            <wp:extent cx="4391025" cy="3219450"/>
            <wp:effectExtent l="0" t="0" r="0" b="0"/>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srcRect/>
                    <a:stretch>
                      <a:fillRect/>
                    </a:stretch>
                  </pic:blipFill>
                  <pic:spPr bwMode="auto">
                    <a:xfrm>
                      <a:off x="0" y="0"/>
                      <a:ext cx="4391025" cy="3219450"/>
                    </a:xfrm>
                    <a:prstGeom prst="rect">
                      <a:avLst/>
                    </a:prstGeom>
                    <a:noFill/>
                    <a:ln w="9525">
                      <a:noFill/>
                      <a:miter lim="800000"/>
                      <a:headEnd/>
                      <a:tailEnd/>
                    </a:ln>
                  </pic:spPr>
                </pic:pic>
              </a:graphicData>
            </a:graphic>
          </wp:inline>
        </w:drawing>
      </w:r>
    </w:p>
    <w:p w:rsidR="00A02A55" w:rsidRDefault="00A02A55"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08426C" w:rsidRPr="0067317B" w:rsidRDefault="00C82BCA" w:rsidP="00A02A55">
      <w:pPr>
        <w:jc w:val="center"/>
        <w:rPr>
          <w:rFonts w:ascii="Perpetua" w:hAnsi="Perpetua"/>
        </w:rPr>
      </w:pPr>
      <w:r>
        <w:rPr>
          <w:rFonts w:ascii="Perpetua" w:hAnsi="Perpetua"/>
          <w:noProof/>
        </w:rPr>
        <w:drawing>
          <wp:inline distT="0" distB="0" distL="0" distR="0">
            <wp:extent cx="4333875" cy="3171825"/>
            <wp:effectExtent l="0" t="0" r="0" b="0"/>
            <wp:docPr id="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srcRect/>
                    <a:stretch>
                      <a:fillRect/>
                    </a:stretch>
                  </pic:blipFill>
                  <pic:spPr bwMode="auto">
                    <a:xfrm>
                      <a:off x="0" y="0"/>
                      <a:ext cx="4333875" cy="3171825"/>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Pr="0067317B" w:rsidRDefault="00FD37E2" w:rsidP="0008426C">
      <w:pPr>
        <w:rPr>
          <w:rFonts w:ascii="Perpetua" w:hAnsi="Perpetua"/>
        </w:rPr>
      </w:pPr>
    </w:p>
    <w:p w:rsidR="0008426C" w:rsidRPr="0067317B" w:rsidRDefault="00C82BCA" w:rsidP="00A02A55">
      <w:pPr>
        <w:jc w:val="center"/>
        <w:rPr>
          <w:rFonts w:ascii="Perpetua" w:hAnsi="Perpetua"/>
        </w:rPr>
      </w:pPr>
      <w:r>
        <w:rPr>
          <w:rFonts w:ascii="Perpetua" w:hAnsi="Perpetua"/>
          <w:noProof/>
        </w:rPr>
        <w:drawing>
          <wp:inline distT="0" distB="0" distL="0" distR="0">
            <wp:extent cx="4391025" cy="3209925"/>
            <wp:effectExtent l="0" t="0" r="0" b="0"/>
            <wp:docPr id="4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srcRect/>
                    <a:stretch>
                      <a:fillRect/>
                    </a:stretch>
                  </pic:blipFill>
                  <pic:spPr bwMode="auto">
                    <a:xfrm>
                      <a:off x="0" y="0"/>
                      <a:ext cx="4391025" cy="3209925"/>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CD0007" w:rsidRDefault="00CD0007" w:rsidP="0008426C">
      <w:pPr>
        <w:rPr>
          <w:rFonts w:ascii="Perpetua" w:hAnsi="Perpetua"/>
        </w:rPr>
      </w:pPr>
    </w:p>
    <w:p w:rsidR="00CD0007" w:rsidRDefault="00CD0007" w:rsidP="0008426C">
      <w:pPr>
        <w:rPr>
          <w:rFonts w:ascii="Perpetua" w:hAnsi="Perpetua"/>
        </w:rPr>
      </w:pPr>
    </w:p>
    <w:p w:rsidR="00CD0007" w:rsidRDefault="00CD0007" w:rsidP="0008426C">
      <w:pPr>
        <w:rPr>
          <w:rFonts w:ascii="Perpetua" w:hAnsi="Perpetua"/>
        </w:rPr>
      </w:pPr>
    </w:p>
    <w:p w:rsidR="00CD0007" w:rsidRDefault="00CD0007" w:rsidP="0008426C">
      <w:pPr>
        <w:rPr>
          <w:rFonts w:ascii="Perpetua" w:hAnsi="Perpetua"/>
        </w:rPr>
      </w:pPr>
    </w:p>
    <w:p w:rsidR="00CD0007" w:rsidRDefault="00CD0007" w:rsidP="0008426C">
      <w:pPr>
        <w:rPr>
          <w:rFonts w:ascii="Perpetua" w:hAnsi="Perpetua"/>
        </w:rPr>
      </w:pPr>
    </w:p>
    <w:p w:rsidR="00CD0007" w:rsidRPr="0067317B" w:rsidRDefault="00CD0007" w:rsidP="0008426C">
      <w:pPr>
        <w:rPr>
          <w:rFonts w:ascii="Perpetua" w:hAnsi="Perpetua"/>
        </w:rPr>
      </w:pPr>
    </w:p>
    <w:p w:rsidR="0008426C" w:rsidRPr="0067317B" w:rsidRDefault="00C82BCA" w:rsidP="00A02A55">
      <w:pPr>
        <w:jc w:val="center"/>
        <w:rPr>
          <w:rFonts w:ascii="Perpetua" w:hAnsi="Perpetua"/>
        </w:rPr>
      </w:pPr>
      <w:r>
        <w:rPr>
          <w:rFonts w:ascii="Perpetua" w:hAnsi="Perpetua"/>
          <w:noProof/>
        </w:rPr>
        <w:drawing>
          <wp:inline distT="0" distB="0" distL="0" distR="0">
            <wp:extent cx="4572000" cy="3343275"/>
            <wp:effectExtent l="0" t="0" r="0" b="0"/>
            <wp:docPr id="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srcRect/>
                    <a:stretch>
                      <a:fillRect/>
                    </a:stretch>
                  </pic:blipFill>
                  <pic:spPr bwMode="auto">
                    <a:xfrm>
                      <a:off x="0" y="0"/>
                      <a:ext cx="4572000" cy="3343275"/>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Default="00FD37E2" w:rsidP="0008426C">
      <w:pPr>
        <w:rPr>
          <w:rFonts w:ascii="Perpetua" w:hAnsi="Perpetua"/>
        </w:rPr>
      </w:pPr>
    </w:p>
    <w:p w:rsidR="00FD37E2" w:rsidRPr="0067317B" w:rsidRDefault="00FD37E2" w:rsidP="0008426C">
      <w:pPr>
        <w:rPr>
          <w:rFonts w:ascii="Perpetua" w:hAnsi="Perpetua"/>
        </w:rPr>
      </w:pPr>
    </w:p>
    <w:p w:rsidR="0008426C" w:rsidRDefault="00C82BCA" w:rsidP="00C326E9">
      <w:pPr>
        <w:jc w:val="center"/>
        <w:rPr>
          <w:rFonts w:ascii="Perpetua" w:hAnsi="Perpetua"/>
        </w:rPr>
      </w:pPr>
      <w:r>
        <w:rPr>
          <w:rFonts w:ascii="Perpetua" w:hAnsi="Perpetua"/>
          <w:noProof/>
        </w:rPr>
        <w:drawing>
          <wp:inline distT="0" distB="0" distL="0" distR="0">
            <wp:extent cx="4467225" cy="3267075"/>
            <wp:effectExtent l="0" t="0" r="0" b="0"/>
            <wp:docPr id="51"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85"/>
                    <a:srcRect/>
                    <a:stretch>
                      <a:fillRect/>
                    </a:stretch>
                  </pic:blipFill>
                  <pic:spPr bwMode="auto">
                    <a:xfrm>
                      <a:off x="0" y="0"/>
                      <a:ext cx="4467225" cy="3267075"/>
                    </a:xfrm>
                    <a:prstGeom prst="rect">
                      <a:avLst/>
                    </a:prstGeom>
                    <a:noFill/>
                    <a:ln w="9525">
                      <a:noFill/>
                      <a:miter lim="800000"/>
                      <a:headEnd/>
                      <a:tailEnd/>
                    </a:ln>
                  </pic:spPr>
                </pic:pic>
              </a:graphicData>
            </a:graphic>
          </wp:inline>
        </w:drawing>
      </w:r>
    </w:p>
    <w:p w:rsidR="00C326E9" w:rsidRDefault="00C326E9" w:rsidP="00C326E9">
      <w:pPr>
        <w:jc w:val="center"/>
        <w:rPr>
          <w:rFonts w:ascii="Perpetua" w:hAnsi="Perpetua"/>
        </w:rPr>
      </w:pPr>
    </w:p>
    <w:p w:rsidR="00CD0007" w:rsidRDefault="00CD0007" w:rsidP="00C326E9">
      <w:pPr>
        <w:jc w:val="center"/>
        <w:rPr>
          <w:rFonts w:ascii="Perpetua" w:hAnsi="Perpetua"/>
        </w:rPr>
      </w:pPr>
    </w:p>
    <w:p w:rsidR="00CD0007" w:rsidRPr="0067317B" w:rsidRDefault="00CD0007" w:rsidP="00C326E9">
      <w:pPr>
        <w:jc w:val="center"/>
        <w:rPr>
          <w:rFonts w:ascii="Perpetua" w:hAnsi="Perpetua"/>
        </w:rPr>
      </w:pPr>
    </w:p>
    <w:p w:rsidR="0008426C" w:rsidRDefault="00C82BCA" w:rsidP="00A02A55">
      <w:pPr>
        <w:jc w:val="center"/>
        <w:rPr>
          <w:rFonts w:ascii="Perpetua" w:hAnsi="Perpetua"/>
        </w:rPr>
      </w:pPr>
      <w:r>
        <w:rPr>
          <w:rFonts w:ascii="Perpetua" w:hAnsi="Perpetua"/>
          <w:noProof/>
        </w:rPr>
        <w:drawing>
          <wp:inline distT="0" distB="0" distL="0" distR="0">
            <wp:extent cx="4448175" cy="3257550"/>
            <wp:effectExtent l="0" t="0" r="0" b="0"/>
            <wp:docPr id="52"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86"/>
                    <a:srcRect/>
                    <a:stretch>
                      <a:fillRect/>
                    </a:stretch>
                  </pic:blipFill>
                  <pic:spPr bwMode="auto">
                    <a:xfrm>
                      <a:off x="0" y="0"/>
                      <a:ext cx="4448175" cy="3257550"/>
                    </a:xfrm>
                    <a:prstGeom prst="rect">
                      <a:avLst/>
                    </a:prstGeom>
                    <a:noFill/>
                    <a:ln w="9525">
                      <a:noFill/>
                      <a:miter lim="800000"/>
                      <a:headEnd/>
                      <a:tailEnd/>
                    </a:ln>
                  </pic:spPr>
                </pic:pic>
              </a:graphicData>
            </a:graphic>
          </wp:inline>
        </w:drawing>
      </w: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82BCA" w:rsidP="00A02A55">
      <w:pPr>
        <w:jc w:val="center"/>
        <w:rPr>
          <w:rFonts w:ascii="Perpetua" w:hAnsi="Perpetua"/>
        </w:rPr>
      </w:pPr>
      <w:r>
        <w:rPr>
          <w:rFonts w:ascii="Perpetua" w:hAnsi="Perpetua"/>
          <w:noProof/>
        </w:rPr>
        <w:drawing>
          <wp:inline distT="0" distB="0" distL="0" distR="0">
            <wp:extent cx="4638675" cy="3390900"/>
            <wp:effectExtent l="0" t="0" r="0" b="0"/>
            <wp:docPr id="53"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87"/>
                    <a:srcRect/>
                    <a:stretch>
                      <a:fillRect/>
                    </a:stretch>
                  </pic:blipFill>
                  <pic:spPr bwMode="auto">
                    <a:xfrm>
                      <a:off x="0" y="0"/>
                      <a:ext cx="4638675" cy="3390900"/>
                    </a:xfrm>
                    <a:prstGeom prst="rect">
                      <a:avLst/>
                    </a:prstGeom>
                    <a:noFill/>
                    <a:ln w="9525">
                      <a:noFill/>
                      <a:miter lim="800000"/>
                      <a:headEnd/>
                      <a:tailEnd/>
                    </a:ln>
                  </pic:spPr>
                </pic:pic>
              </a:graphicData>
            </a:graphic>
          </wp:inline>
        </w:drawing>
      </w: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82BCA" w:rsidP="00A02A55">
      <w:pPr>
        <w:jc w:val="center"/>
        <w:rPr>
          <w:rFonts w:ascii="Perpetua" w:hAnsi="Perpetua"/>
        </w:rPr>
      </w:pPr>
      <w:r>
        <w:rPr>
          <w:rFonts w:ascii="Perpetua" w:hAnsi="Perpetua"/>
          <w:noProof/>
        </w:rPr>
        <w:drawing>
          <wp:inline distT="0" distB="0" distL="0" distR="0">
            <wp:extent cx="4762500" cy="3486150"/>
            <wp:effectExtent l="0" t="0" r="0" b="0"/>
            <wp:docPr id="54"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88"/>
                    <a:srcRect/>
                    <a:stretch>
                      <a:fillRect/>
                    </a:stretch>
                  </pic:blipFill>
                  <pic:spPr bwMode="auto">
                    <a:xfrm>
                      <a:off x="0" y="0"/>
                      <a:ext cx="4762500" cy="3486150"/>
                    </a:xfrm>
                    <a:prstGeom prst="rect">
                      <a:avLst/>
                    </a:prstGeom>
                    <a:noFill/>
                    <a:ln w="9525">
                      <a:noFill/>
                      <a:miter lim="800000"/>
                      <a:headEnd/>
                      <a:tailEnd/>
                    </a:ln>
                  </pic:spPr>
                </pic:pic>
              </a:graphicData>
            </a:graphic>
          </wp:inline>
        </w:drawing>
      </w: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CD0007" w:rsidRDefault="00CD0007" w:rsidP="00A02A55">
      <w:pPr>
        <w:jc w:val="center"/>
        <w:rPr>
          <w:rFonts w:ascii="Perpetua" w:hAnsi="Perpetua"/>
        </w:rPr>
      </w:pPr>
    </w:p>
    <w:p w:rsidR="0008426C" w:rsidRPr="0067317B" w:rsidRDefault="00C82BCA" w:rsidP="00A02A55">
      <w:pPr>
        <w:jc w:val="center"/>
        <w:rPr>
          <w:rFonts w:ascii="Perpetua" w:hAnsi="Perpetua"/>
        </w:rPr>
      </w:pPr>
      <w:r>
        <w:rPr>
          <w:rFonts w:ascii="Perpetua" w:hAnsi="Perpetua"/>
          <w:noProof/>
        </w:rPr>
        <w:drawing>
          <wp:inline distT="0" distB="0" distL="0" distR="0">
            <wp:extent cx="4362450" cy="3190875"/>
            <wp:effectExtent l="0" t="0" r="0" b="0"/>
            <wp:docPr id="5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9"/>
                    <a:srcRect/>
                    <a:stretch>
                      <a:fillRect/>
                    </a:stretch>
                  </pic:blipFill>
                  <pic:spPr bwMode="auto">
                    <a:xfrm>
                      <a:off x="0" y="0"/>
                      <a:ext cx="4362450" cy="3190875"/>
                    </a:xfrm>
                    <a:prstGeom prst="rect">
                      <a:avLst/>
                    </a:prstGeom>
                    <a:noFill/>
                    <a:ln w="9525">
                      <a:noFill/>
                      <a:miter lim="800000"/>
                      <a:headEnd/>
                      <a:tailEnd/>
                    </a:ln>
                  </pic:spPr>
                </pic:pic>
              </a:graphicData>
            </a:graphic>
          </wp:inline>
        </w:drawing>
      </w:r>
    </w:p>
    <w:p w:rsidR="0008426C" w:rsidRPr="0067317B" w:rsidRDefault="0008426C" w:rsidP="0008426C">
      <w:pPr>
        <w:rPr>
          <w:rFonts w:ascii="Perpetua" w:hAnsi="Perpetua"/>
        </w:rPr>
      </w:pPr>
    </w:p>
    <w:p w:rsidR="0008426C" w:rsidRDefault="0008426C" w:rsidP="0008426C">
      <w:pPr>
        <w:rPr>
          <w:rFonts w:ascii="Perpetua" w:hAnsi="Perpetua"/>
        </w:rPr>
      </w:pPr>
    </w:p>
    <w:p w:rsidR="00C326E9" w:rsidRDefault="00C326E9" w:rsidP="0008426C">
      <w:pPr>
        <w:rPr>
          <w:rFonts w:ascii="Perpetua" w:hAnsi="Perpetua"/>
        </w:rPr>
      </w:pPr>
    </w:p>
    <w:p w:rsidR="00C326E9" w:rsidRPr="0067317B" w:rsidRDefault="00C326E9" w:rsidP="0008426C">
      <w:pPr>
        <w:rPr>
          <w:rFonts w:ascii="Perpetua" w:hAnsi="Perpetua"/>
        </w:rPr>
      </w:pPr>
    </w:p>
    <w:p w:rsidR="00FD37E2" w:rsidRDefault="00FD37E2" w:rsidP="00C326E9">
      <w:pPr>
        <w:jc w:val="center"/>
        <w:rPr>
          <w:rFonts w:ascii="Perpetua" w:hAnsi="Perpetua"/>
        </w:rPr>
      </w:pPr>
    </w:p>
    <w:p w:rsidR="00FD37E2" w:rsidRDefault="00FD37E2" w:rsidP="00C326E9">
      <w:pPr>
        <w:jc w:val="center"/>
        <w:rPr>
          <w:rFonts w:ascii="Perpetua" w:hAnsi="Perpetua"/>
        </w:rPr>
      </w:pPr>
    </w:p>
    <w:p w:rsidR="00FD37E2" w:rsidRDefault="00FD37E2" w:rsidP="00C326E9">
      <w:pPr>
        <w:jc w:val="center"/>
        <w:rPr>
          <w:rFonts w:ascii="Perpetua" w:hAnsi="Perpetua"/>
        </w:rPr>
      </w:pPr>
    </w:p>
    <w:p w:rsidR="0008426C" w:rsidRDefault="00C82BCA" w:rsidP="00C326E9">
      <w:pPr>
        <w:jc w:val="center"/>
        <w:rPr>
          <w:rFonts w:ascii="Perpetua" w:hAnsi="Perpetua"/>
        </w:rPr>
      </w:pPr>
      <w:r>
        <w:rPr>
          <w:rFonts w:ascii="Perpetua" w:hAnsi="Perpetua"/>
          <w:noProof/>
        </w:rPr>
        <w:drawing>
          <wp:inline distT="0" distB="0" distL="0" distR="0">
            <wp:extent cx="4276725" cy="3133725"/>
            <wp:effectExtent l="0" t="0" r="0" b="0"/>
            <wp:docPr id="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0"/>
                    <a:srcRect/>
                    <a:stretch>
                      <a:fillRect/>
                    </a:stretch>
                  </pic:blipFill>
                  <pic:spPr bwMode="auto">
                    <a:xfrm>
                      <a:off x="0" y="0"/>
                      <a:ext cx="4276725" cy="3133725"/>
                    </a:xfrm>
                    <a:prstGeom prst="rect">
                      <a:avLst/>
                    </a:prstGeom>
                    <a:noFill/>
                    <a:ln w="9525">
                      <a:noFill/>
                      <a:miter lim="800000"/>
                      <a:headEnd/>
                      <a:tailEnd/>
                    </a:ln>
                  </pic:spPr>
                </pic:pic>
              </a:graphicData>
            </a:graphic>
          </wp:inline>
        </w:drawing>
      </w:r>
    </w:p>
    <w:p w:rsidR="00FD37E2" w:rsidRDefault="00FD37E2" w:rsidP="00C326E9">
      <w:pPr>
        <w:jc w:val="center"/>
        <w:rPr>
          <w:rFonts w:ascii="Perpetua" w:hAnsi="Perpetua"/>
        </w:rPr>
      </w:pPr>
    </w:p>
    <w:p w:rsidR="00FD37E2" w:rsidRDefault="00FD37E2"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FD37E2" w:rsidRDefault="00FD37E2" w:rsidP="00C326E9">
      <w:pPr>
        <w:jc w:val="center"/>
        <w:rPr>
          <w:rFonts w:ascii="Perpetua" w:hAnsi="Perpetua"/>
        </w:rPr>
      </w:pPr>
    </w:p>
    <w:p w:rsidR="00FD37E2" w:rsidRPr="0067317B" w:rsidRDefault="00FD37E2" w:rsidP="00C326E9">
      <w:pPr>
        <w:jc w:val="center"/>
        <w:rPr>
          <w:rFonts w:ascii="Perpetua" w:hAnsi="Perpetua"/>
        </w:rPr>
      </w:pPr>
    </w:p>
    <w:p w:rsidR="0008426C" w:rsidRPr="0067317B" w:rsidRDefault="00C82BCA" w:rsidP="00C326E9">
      <w:pPr>
        <w:jc w:val="center"/>
        <w:rPr>
          <w:rFonts w:ascii="Perpetua" w:hAnsi="Perpetua"/>
        </w:rPr>
      </w:pPr>
      <w:r>
        <w:rPr>
          <w:rFonts w:ascii="Perpetua" w:hAnsi="Perpetua"/>
          <w:noProof/>
        </w:rPr>
        <w:drawing>
          <wp:inline distT="0" distB="0" distL="0" distR="0">
            <wp:extent cx="4400550" cy="3219450"/>
            <wp:effectExtent l="0" t="0" r="0" b="0"/>
            <wp:docPr id="5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1"/>
                    <a:srcRect/>
                    <a:stretch>
                      <a:fillRect/>
                    </a:stretch>
                  </pic:blipFill>
                  <pic:spPr bwMode="auto">
                    <a:xfrm>
                      <a:off x="0" y="0"/>
                      <a:ext cx="4400550" cy="3219450"/>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C326E9" w:rsidRDefault="00C326E9"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326E9" w:rsidRDefault="00C82BCA" w:rsidP="00C326E9">
      <w:pPr>
        <w:jc w:val="center"/>
        <w:rPr>
          <w:rFonts w:ascii="Perpetua" w:hAnsi="Perpetua"/>
        </w:rPr>
      </w:pPr>
      <w:r>
        <w:rPr>
          <w:rFonts w:ascii="Perpetua" w:hAnsi="Perpetua"/>
          <w:noProof/>
        </w:rPr>
        <w:drawing>
          <wp:inline distT="0" distB="0" distL="0" distR="0">
            <wp:extent cx="4333875" cy="3171825"/>
            <wp:effectExtent l="0" t="0" r="0" b="0"/>
            <wp:docPr id="5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2"/>
                    <a:srcRect/>
                    <a:stretch>
                      <a:fillRect/>
                    </a:stretch>
                  </pic:blipFill>
                  <pic:spPr bwMode="auto">
                    <a:xfrm>
                      <a:off x="0" y="0"/>
                      <a:ext cx="4333875" cy="3171825"/>
                    </a:xfrm>
                    <a:prstGeom prst="rect">
                      <a:avLst/>
                    </a:prstGeom>
                    <a:noFill/>
                    <a:ln w="9525">
                      <a:noFill/>
                      <a:miter lim="800000"/>
                      <a:headEnd/>
                      <a:tailEnd/>
                    </a:ln>
                  </pic:spPr>
                </pic:pic>
              </a:graphicData>
            </a:graphic>
          </wp:inline>
        </w:drawing>
      </w:r>
    </w:p>
    <w:p w:rsidR="00FD37E2" w:rsidRDefault="00FD37E2" w:rsidP="00C326E9">
      <w:pPr>
        <w:jc w:val="center"/>
        <w:rPr>
          <w:rFonts w:ascii="Perpetua" w:hAnsi="Perpetua"/>
        </w:rPr>
      </w:pPr>
    </w:p>
    <w:p w:rsidR="00FD37E2" w:rsidRDefault="00FD37E2" w:rsidP="00C326E9">
      <w:pPr>
        <w:jc w:val="center"/>
        <w:rPr>
          <w:rFonts w:ascii="Perpetua" w:hAnsi="Perpetua"/>
        </w:rPr>
      </w:pPr>
    </w:p>
    <w:p w:rsidR="00FD37E2" w:rsidRDefault="00FD37E2"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FD37E2" w:rsidRPr="0067317B" w:rsidRDefault="00FD37E2" w:rsidP="00C326E9">
      <w:pPr>
        <w:jc w:val="center"/>
        <w:rPr>
          <w:rFonts w:ascii="Perpetua" w:hAnsi="Perpetua"/>
        </w:rPr>
      </w:pPr>
    </w:p>
    <w:p w:rsidR="0008426C" w:rsidRDefault="00C82BCA" w:rsidP="00C326E9">
      <w:pPr>
        <w:jc w:val="center"/>
        <w:rPr>
          <w:rFonts w:ascii="Perpetua" w:hAnsi="Perpetua"/>
        </w:rPr>
      </w:pPr>
      <w:r>
        <w:rPr>
          <w:rFonts w:ascii="Perpetua" w:hAnsi="Perpetua"/>
          <w:noProof/>
        </w:rPr>
        <w:drawing>
          <wp:inline distT="0" distB="0" distL="0" distR="0">
            <wp:extent cx="4324350" cy="3162300"/>
            <wp:effectExtent l="0" t="0" r="0" b="0"/>
            <wp:docPr id="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a:srcRect/>
                    <a:stretch>
                      <a:fillRect/>
                    </a:stretch>
                  </pic:blipFill>
                  <pic:spPr bwMode="auto">
                    <a:xfrm>
                      <a:off x="0" y="0"/>
                      <a:ext cx="4324350" cy="3162300"/>
                    </a:xfrm>
                    <a:prstGeom prst="rect">
                      <a:avLst/>
                    </a:prstGeom>
                    <a:noFill/>
                    <a:ln w="9525">
                      <a:noFill/>
                      <a:miter lim="800000"/>
                      <a:headEnd/>
                      <a:tailEnd/>
                    </a:ln>
                  </pic:spPr>
                </pic:pic>
              </a:graphicData>
            </a:graphic>
          </wp:inline>
        </w:drawing>
      </w:r>
    </w:p>
    <w:p w:rsidR="00CD0007" w:rsidRDefault="00CD0007" w:rsidP="00C326E9">
      <w:pPr>
        <w:jc w:val="center"/>
        <w:rPr>
          <w:rFonts w:ascii="Perpetua" w:hAnsi="Perpetua"/>
        </w:rPr>
      </w:pPr>
    </w:p>
    <w:p w:rsidR="00CD0007" w:rsidRDefault="00CD0007" w:rsidP="00C326E9">
      <w:pPr>
        <w:jc w:val="center"/>
        <w:rPr>
          <w:rFonts w:ascii="Perpetua" w:hAnsi="Perpetua"/>
        </w:rPr>
      </w:pPr>
    </w:p>
    <w:p w:rsidR="00CD0007" w:rsidRDefault="00CD0007" w:rsidP="00C326E9">
      <w:pPr>
        <w:jc w:val="center"/>
        <w:rPr>
          <w:rFonts w:ascii="Perpetua" w:hAnsi="Perpetua"/>
        </w:rPr>
      </w:pPr>
    </w:p>
    <w:p w:rsidR="007750D1" w:rsidRDefault="007750D1" w:rsidP="00C326E9">
      <w:pPr>
        <w:jc w:val="center"/>
        <w:rPr>
          <w:rFonts w:ascii="Perpetua" w:hAnsi="Perpetua"/>
        </w:rPr>
      </w:pPr>
    </w:p>
    <w:p w:rsidR="007750D1" w:rsidRDefault="00C82BCA" w:rsidP="00C326E9">
      <w:pPr>
        <w:jc w:val="center"/>
        <w:rPr>
          <w:rFonts w:ascii="Perpetua" w:hAnsi="Perpetua"/>
        </w:rPr>
      </w:pPr>
      <w:r>
        <w:rPr>
          <w:rFonts w:ascii="Perpetua" w:hAnsi="Perpetua"/>
          <w:noProof/>
        </w:rPr>
        <w:drawing>
          <wp:inline distT="0" distB="0" distL="0" distR="0">
            <wp:extent cx="4029075" cy="2952750"/>
            <wp:effectExtent l="0" t="0" r="0" b="0"/>
            <wp:docPr id="60"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4"/>
                    <a:srcRect/>
                    <a:stretch>
                      <a:fillRect/>
                    </a:stretch>
                  </pic:blipFill>
                  <pic:spPr bwMode="auto">
                    <a:xfrm>
                      <a:off x="0" y="0"/>
                      <a:ext cx="4029075" cy="2952750"/>
                    </a:xfrm>
                    <a:prstGeom prst="rect">
                      <a:avLst/>
                    </a:prstGeom>
                    <a:noFill/>
                    <a:ln w="9525">
                      <a:noFill/>
                      <a:miter lim="800000"/>
                      <a:headEnd/>
                      <a:tailEnd/>
                    </a:ln>
                  </pic:spPr>
                </pic:pic>
              </a:graphicData>
            </a:graphic>
          </wp:inline>
        </w:drawing>
      </w:r>
    </w:p>
    <w:p w:rsidR="007750D1" w:rsidRDefault="007750D1" w:rsidP="00C326E9">
      <w:pPr>
        <w:jc w:val="center"/>
        <w:rPr>
          <w:rFonts w:ascii="Perpetua" w:hAnsi="Perpetua"/>
        </w:rPr>
      </w:pPr>
    </w:p>
    <w:p w:rsidR="007750D1" w:rsidRDefault="007750D1"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C46F86" w:rsidRDefault="00C46F86" w:rsidP="00C326E9">
      <w:pPr>
        <w:jc w:val="center"/>
        <w:rPr>
          <w:rFonts w:ascii="Perpetua" w:hAnsi="Perpetua"/>
        </w:rPr>
      </w:pPr>
    </w:p>
    <w:p w:rsidR="007750D1" w:rsidRDefault="007750D1" w:rsidP="00C326E9">
      <w:pPr>
        <w:jc w:val="center"/>
        <w:rPr>
          <w:rFonts w:ascii="Perpetua" w:hAnsi="Perpetua"/>
        </w:rPr>
      </w:pPr>
    </w:p>
    <w:p w:rsidR="007750D1" w:rsidRDefault="00FD37E2" w:rsidP="00FD37E2">
      <w:pPr>
        <w:jc w:val="both"/>
        <w:rPr>
          <w:rFonts w:ascii="Perpetua" w:hAnsi="Perpetua"/>
        </w:rPr>
      </w:pPr>
      <w:r>
        <w:rPr>
          <w:rFonts w:ascii="Perpetua" w:hAnsi="Perpetua"/>
        </w:rPr>
        <w:t>Diagramas de caixa de bigodes das variáveis estatísticas</w:t>
      </w:r>
    </w:p>
    <w:p w:rsidR="007750D1" w:rsidRDefault="007750D1" w:rsidP="00C326E9">
      <w:pPr>
        <w:jc w:val="center"/>
        <w:rPr>
          <w:rFonts w:ascii="Perpetua" w:hAnsi="Perpetua"/>
        </w:rPr>
      </w:pPr>
    </w:p>
    <w:p w:rsidR="007750D1" w:rsidRDefault="007750D1" w:rsidP="00C326E9">
      <w:pPr>
        <w:jc w:val="center"/>
        <w:rPr>
          <w:rFonts w:ascii="Perpetua" w:hAnsi="Perpetua"/>
        </w:rPr>
      </w:pPr>
    </w:p>
    <w:p w:rsidR="0008426C" w:rsidRDefault="00C82BCA" w:rsidP="00A02A55">
      <w:pPr>
        <w:jc w:val="center"/>
        <w:rPr>
          <w:rFonts w:ascii="Perpetua" w:hAnsi="Perpetua"/>
        </w:rPr>
      </w:pPr>
      <w:r>
        <w:rPr>
          <w:rFonts w:ascii="Perpetua" w:hAnsi="Perpetua"/>
          <w:noProof/>
        </w:rPr>
        <w:drawing>
          <wp:inline distT="0" distB="0" distL="0" distR="0">
            <wp:extent cx="4305300" cy="3152775"/>
            <wp:effectExtent l="0" t="0" r="0" b="0"/>
            <wp:docPr id="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srcRect/>
                    <a:stretch>
                      <a:fillRect/>
                    </a:stretch>
                  </pic:blipFill>
                  <pic:spPr bwMode="auto">
                    <a:xfrm>
                      <a:off x="0" y="0"/>
                      <a:ext cx="4305300" cy="3152775"/>
                    </a:xfrm>
                    <a:prstGeom prst="rect">
                      <a:avLst/>
                    </a:prstGeom>
                    <a:noFill/>
                    <a:ln w="9525">
                      <a:noFill/>
                      <a:miter lim="800000"/>
                      <a:headEnd/>
                      <a:tailEnd/>
                    </a:ln>
                  </pic:spPr>
                </pic:pic>
              </a:graphicData>
            </a:graphic>
          </wp:inline>
        </w:drawing>
      </w:r>
    </w:p>
    <w:p w:rsidR="006C2BA3" w:rsidRDefault="006C2BA3" w:rsidP="00A02A55">
      <w:pPr>
        <w:jc w:val="center"/>
        <w:rPr>
          <w:rFonts w:ascii="Perpetua" w:hAnsi="Perpetua"/>
        </w:rPr>
      </w:pPr>
    </w:p>
    <w:p w:rsidR="006C2BA3" w:rsidRDefault="006C2BA3" w:rsidP="00A02A55">
      <w:pPr>
        <w:jc w:val="center"/>
        <w:rPr>
          <w:rFonts w:ascii="Perpetua" w:hAnsi="Perpetua"/>
        </w:rPr>
      </w:pPr>
    </w:p>
    <w:p w:rsidR="006C2BA3" w:rsidRPr="0067317B" w:rsidRDefault="006C2BA3" w:rsidP="00A02A55">
      <w:pPr>
        <w:jc w:val="center"/>
        <w:rPr>
          <w:rFonts w:ascii="Perpetua" w:hAnsi="Perpetua"/>
        </w:rPr>
      </w:pPr>
    </w:p>
    <w:p w:rsidR="0008426C" w:rsidRDefault="0008426C" w:rsidP="0008426C">
      <w:pPr>
        <w:rPr>
          <w:rFonts w:ascii="Perpetua" w:hAnsi="Perpetua"/>
        </w:rPr>
      </w:pPr>
    </w:p>
    <w:p w:rsidR="007750D1" w:rsidRDefault="007750D1" w:rsidP="0008426C">
      <w:pPr>
        <w:rPr>
          <w:rFonts w:ascii="Perpetua" w:hAnsi="Perpetua"/>
        </w:rPr>
      </w:pPr>
    </w:p>
    <w:p w:rsidR="00C46F86" w:rsidRDefault="00C46F86" w:rsidP="0008426C">
      <w:pPr>
        <w:rPr>
          <w:rFonts w:ascii="Perpetua" w:hAnsi="Perpetua"/>
        </w:rPr>
      </w:pPr>
    </w:p>
    <w:p w:rsidR="0008426C" w:rsidRPr="0008507C" w:rsidRDefault="00C82BCA" w:rsidP="007750D1">
      <w:pPr>
        <w:jc w:val="center"/>
        <w:rPr>
          <w:rFonts w:ascii="Perpetua" w:hAnsi="Perpetua"/>
        </w:rPr>
      </w:pPr>
      <w:r w:rsidRPr="0008507C">
        <w:rPr>
          <w:rFonts w:ascii="Perpetua" w:hAnsi="Perpetua"/>
          <w:noProof/>
        </w:rPr>
        <w:drawing>
          <wp:inline distT="0" distB="0" distL="0" distR="0">
            <wp:extent cx="4105944" cy="3175000"/>
            <wp:effectExtent l="0" t="0" r="0" b="0"/>
            <wp:docPr id="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a:srcRect/>
                    <a:stretch>
                      <a:fillRect/>
                    </a:stretch>
                  </pic:blipFill>
                  <pic:spPr bwMode="auto">
                    <a:xfrm>
                      <a:off x="0" y="0"/>
                      <a:ext cx="4104033" cy="3173522"/>
                    </a:xfrm>
                    <a:prstGeom prst="rect">
                      <a:avLst/>
                    </a:prstGeom>
                    <a:noFill/>
                    <a:ln w="9525">
                      <a:noFill/>
                      <a:miter lim="800000"/>
                      <a:headEnd/>
                      <a:tailEnd/>
                    </a:ln>
                  </pic:spPr>
                </pic:pic>
              </a:graphicData>
            </a:graphic>
          </wp:inline>
        </w:drawing>
      </w:r>
    </w:p>
    <w:p w:rsidR="0008426C" w:rsidRPr="0008507C" w:rsidRDefault="0008426C" w:rsidP="0008426C">
      <w:pPr>
        <w:rPr>
          <w:rFonts w:ascii="Perpetua" w:hAnsi="Perpetua"/>
        </w:rPr>
      </w:pPr>
    </w:p>
    <w:p w:rsidR="008255AE" w:rsidRDefault="008255AE" w:rsidP="008255AE">
      <w:pPr>
        <w:jc w:val="both"/>
        <w:rPr>
          <w:rFonts w:ascii="Perpetua" w:hAnsi="Perpetua"/>
        </w:rPr>
      </w:pPr>
    </w:p>
    <w:p w:rsidR="0008507C" w:rsidRDefault="0008507C" w:rsidP="008255AE">
      <w:pPr>
        <w:jc w:val="both"/>
        <w:rPr>
          <w:rFonts w:ascii="Perpetua" w:hAnsi="Perpetua"/>
        </w:rPr>
      </w:pPr>
    </w:p>
    <w:p w:rsidR="0008507C" w:rsidRPr="0008507C" w:rsidRDefault="0008507C" w:rsidP="008255AE">
      <w:pPr>
        <w:jc w:val="both"/>
        <w:rPr>
          <w:rFonts w:ascii="Perpetua" w:hAnsi="Perpetua"/>
        </w:rPr>
      </w:pPr>
    </w:p>
    <w:p w:rsidR="008255AE" w:rsidRPr="0008507C" w:rsidRDefault="008255AE" w:rsidP="008255AE">
      <w:pPr>
        <w:jc w:val="both"/>
        <w:rPr>
          <w:rFonts w:ascii="Perpetua" w:hAnsi="Perpetua"/>
        </w:rPr>
      </w:pPr>
    </w:p>
    <w:p w:rsidR="00A84FE3" w:rsidRPr="0008507C" w:rsidRDefault="00A84FE3" w:rsidP="008255AE">
      <w:pPr>
        <w:jc w:val="both"/>
        <w:rPr>
          <w:rFonts w:ascii="Perpetua" w:hAnsi="Perpetua"/>
        </w:rPr>
      </w:pPr>
    </w:p>
    <w:p w:rsidR="00A84FE3" w:rsidRPr="0008507C" w:rsidRDefault="00A84FE3" w:rsidP="008255AE">
      <w:pPr>
        <w:jc w:val="both"/>
        <w:rPr>
          <w:rFonts w:ascii="Perpetua" w:hAnsi="Perpetua"/>
        </w:rPr>
      </w:pPr>
    </w:p>
    <w:p w:rsidR="0008426C" w:rsidRPr="0008507C" w:rsidRDefault="0008426C" w:rsidP="008255AE">
      <w:pPr>
        <w:jc w:val="both"/>
        <w:rPr>
          <w:rFonts w:ascii="Perpetua" w:hAnsi="Perpetua"/>
        </w:rPr>
      </w:pPr>
    </w:p>
    <w:p w:rsidR="0008426C" w:rsidRPr="0008507C" w:rsidRDefault="00C82BCA" w:rsidP="00EB73B7">
      <w:pPr>
        <w:jc w:val="center"/>
        <w:rPr>
          <w:rFonts w:ascii="Perpetua" w:hAnsi="Perpetua"/>
        </w:rPr>
      </w:pPr>
      <w:r w:rsidRPr="0008507C">
        <w:rPr>
          <w:rFonts w:ascii="Perpetua" w:hAnsi="Perpetua"/>
          <w:noProof/>
        </w:rPr>
        <w:drawing>
          <wp:inline distT="0" distB="0" distL="0" distR="0">
            <wp:extent cx="4191000" cy="3152689"/>
            <wp:effectExtent l="0" t="0" r="0" b="0"/>
            <wp:docPr id="6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7"/>
                    <a:srcRect/>
                    <a:stretch>
                      <a:fillRect/>
                    </a:stretch>
                  </pic:blipFill>
                  <pic:spPr bwMode="auto">
                    <a:xfrm>
                      <a:off x="0" y="0"/>
                      <a:ext cx="4199432" cy="3159032"/>
                    </a:xfrm>
                    <a:prstGeom prst="rect">
                      <a:avLst/>
                    </a:prstGeom>
                    <a:noFill/>
                    <a:ln w="9525">
                      <a:noFill/>
                      <a:miter lim="800000"/>
                      <a:headEnd/>
                      <a:tailEnd/>
                    </a:ln>
                  </pic:spPr>
                </pic:pic>
              </a:graphicData>
            </a:graphic>
          </wp:inline>
        </w:drawing>
      </w:r>
    </w:p>
    <w:p w:rsidR="0008426C" w:rsidRPr="0008507C" w:rsidRDefault="0008426C" w:rsidP="00EB73B7">
      <w:pPr>
        <w:jc w:val="center"/>
        <w:rPr>
          <w:rFonts w:ascii="Perpetua" w:hAnsi="Perpetua"/>
        </w:rPr>
      </w:pPr>
    </w:p>
    <w:p w:rsidR="00421B0D" w:rsidRPr="0008507C" w:rsidRDefault="00421B0D" w:rsidP="00EB73B7">
      <w:pPr>
        <w:jc w:val="center"/>
        <w:rPr>
          <w:rFonts w:ascii="Perpetua" w:hAnsi="Perpetua"/>
        </w:rPr>
      </w:pPr>
    </w:p>
    <w:p w:rsidR="00421B0D" w:rsidRPr="0008507C" w:rsidRDefault="00421B0D" w:rsidP="00EB73B7">
      <w:pPr>
        <w:jc w:val="center"/>
        <w:rPr>
          <w:rFonts w:ascii="Perpetua" w:hAnsi="Perpetua"/>
        </w:rPr>
      </w:pPr>
    </w:p>
    <w:p w:rsidR="00FD37E2" w:rsidRPr="0008507C" w:rsidRDefault="00FD37E2" w:rsidP="00EB73B7">
      <w:pPr>
        <w:jc w:val="center"/>
        <w:rPr>
          <w:rFonts w:ascii="Perpetua" w:hAnsi="Perpetua"/>
        </w:rPr>
      </w:pPr>
    </w:p>
    <w:p w:rsidR="00FD37E2" w:rsidRPr="0008507C" w:rsidRDefault="00FD37E2" w:rsidP="00EB73B7">
      <w:pPr>
        <w:jc w:val="center"/>
        <w:rPr>
          <w:rFonts w:ascii="Perpetua" w:hAnsi="Perpetua"/>
        </w:rPr>
      </w:pPr>
    </w:p>
    <w:p w:rsidR="00FD37E2" w:rsidRDefault="00FD37E2" w:rsidP="00EB73B7">
      <w:pPr>
        <w:jc w:val="center"/>
        <w:rPr>
          <w:rFonts w:ascii="Perpetua" w:hAnsi="Perpetua"/>
        </w:rPr>
      </w:pPr>
    </w:p>
    <w:p w:rsidR="00FD37E2" w:rsidRDefault="00FD37E2" w:rsidP="00EB73B7">
      <w:pPr>
        <w:jc w:val="center"/>
        <w:rPr>
          <w:rFonts w:ascii="Perpetua" w:hAnsi="Perpetua"/>
        </w:rPr>
      </w:pPr>
    </w:p>
    <w:p w:rsidR="00FD37E2" w:rsidRDefault="00FD37E2" w:rsidP="00EB73B7">
      <w:pPr>
        <w:jc w:val="center"/>
        <w:rPr>
          <w:rFonts w:ascii="Perpetua" w:hAnsi="Perpetua"/>
        </w:rPr>
      </w:pPr>
    </w:p>
    <w:p w:rsidR="00FD37E2" w:rsidRDefault="00FD37E2" w:rsidP="00EB73B7">
      <w:pPr>
        <w:jc w:val="center"/>
        <w:rPr>
          <w:rFonts w:ascii="Perpetua" w:hAnsi="Perpetua"/>
        </w:rPr>
      </w:pPr>
    </w:p>
    <w:p w:rsidR="00FD37E2" w:rsidRDefault="00C82BCA" w:rsidP="00EB73B7">
      <w:pPr>
        <w:jc w:val="center"/>
        <w:rPr>
          <w:rFonts w:ascii="Perpetua" w:hAnsi="Perpetua"/>
        </w:rPr>
      </w:pPr>
      <w:r>
        <w:rPr>
          <w:rFonts w:ascii="Perpetua" w:hAnsi="Perpetua"/>
          <w:noProof/>
        </w:rPr>
        <w:drawing>
          <wp:inline distT="0" distB="0" distL="0" distR="0">
            <wp:extent cx="4029075" cy="3144866"/>
            <wp:effectExtent l="0" t="0" r="0" b="0"/>
            <wp:docPr id="6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8"/>
                    <a:srcRect/>
                    <a:stretch>
                      <a:fillRect/>
                    </a:stretch>
                  </pic:blipFill>
                  <pic:spPr bwMode="auto">
                    <a:xfrm>
                      <a:off x="0" y="0"/>
                      <a:ext cx="4029075" cy="3144866"/>
                    </a:xfrm>
                    <a:prstGeom prst="rect">
                      <a:avLst/>
                    </a:prstGeom>
                    <a:noFill/>
                    <a:ln w="9525">
                      <a:noFill/>
                      <a:miter lim="800000"/>
                      <a:headEnd/>
                      <a:tailEnd/>
                    </a:ln>
                  </pic:spPr>
                </pic:pic>
              </a:graphicData>
            </a:graphic>
          </wp:inline>
        </w:drawing>
      </w:r>
    </w:p>
    <w:p w:rsidR="00FD37E2" w:rsidRDefault="00FD37E2" w:rsidP="00EB73B7">
      <w:pPr>
        <w:jc w:val="center"/>
        <w:rPr>
          <w:rFonts w:ascii="Perpetua" w:hAnsi="Perpetua"/>
        </w:rPr>
      </w:pPr>
    </w:p>
    <w:p w:rsidR="00875A4B" w:rsidRPr="0067317B" w:rsidRDefault="00875A4B" w:rsidP="00EB73B7">
      <w:pPr>
        <w:jc w:val="center"/>
        <w:rPr>
          <w:rFonts w:ascii="Perpetua" w:hAnsi="Perpetua"/>
        </w:rPr>
      </w:pPr>
    </w:p>
    <w:p w:rsidR="00421B0D" w:rsidRDefault="00421B0D" w:rsidP="00421B0D">
      <w:pPr>
        <w:jc w:val="center"/>
        <w:rPr>
          <w:rFonts w:ascii="Perpetua" w:hAnsi="Perpetua"/>
        </w:rPr>
      </w:pPr>
    </w:p>
    <w:p w:rsidR="00421B0D" w:rsidRDefault="00421B0D" w:rsidP="0008426C">
      <w:pPr>
        <w:rPr>
          <w:rFonts w:ascii="Perpetua" w:hAnsi="Perpetua"/>
        </w:rPr>
      </w:pPr>
    </w:p>
    <w:p w:rsidR="00421B0D" w:rsidRDefault="00421B0D" w:rsidP="0008426C">
      <w:pPr>
        <w:rPr>
          <w:rFonts w:ascii="Perpetua" w:hAnsi="Perpetua"/>
        </w:rPr>
      </w:pPr>
    </w:p>
    <w:p w:rsidR="00421B0D" w:rsidRDefault="00C82BCA" w:rsidP="00C46F86">
      <w:pPr>
        <w:jc w:val="center"/>
        <w:rPr>
          <w:rFonts w:ascii="Perpetua" w:hAnsi="Perpetua"/>
        </w:rPr>
      </w:pPr>
      <w:r>
        <w:rPr>
          <w:rFonts w:ascii="Perpetua" w:hAnsi="Perpetua"/>
          <w:noProof/>
        </w:rPr>
        <w:drawing>
          <wp:inline distT="0" distB="0" distL="0" distR="0">
            <wp:extent cx="4181475" cy="3238500"/>
            <wp:effectExtent l="0" t="0" r="0" b="0"/>
            <wp:docPr id="6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9"/>
                    <a:srcRect/>
                    <a:stretch>
                      <a:fillRect/>
                    </a:stretch>
                  </pic:blipFill>
                  <pic:spPr bwMode="auto">
                    <a:xfrm>
                      <a:off x="0" y="0"/>
                      <a:ext cx="4181475" cy="3238500"/>
                    </a:xfrm>
                    <a:prstGeom prst="rect">
                      <a:avLst/>
                    </a:prstGeom>
                    <a:noFill/>
                    <a:ln w="9525">
                      <a:noFill/>
                      <a:miter lim="800000"/>
                      <a:headEnd/>
                      <a:tailEnd/>
                    </a:ln>
                  </pic:spPr>
                </pic:pic>
              </a:graphicData>
            </a:graphic>
          </wp:inline>
        </w:drawing>
      </w:r>
    </w:p>
    <w:p w:rsidR="00421B0D" w:rsidRDefault="00421B0D"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C82BCA" w:rsidP="00720983">
      <w:pPr>
        <w:jc w:val="center"/>
        <w:rPr>
          <w:rFonts w:ascii="Perpetua" w:hAnsi="Perpetua"/>
        </w:rPr>
      </w:pPr>
      <w:r>
        <w:rPr>
          <w:rFonts w:ascii="Perpetua" w:hAnsi="Perpetua"/>
          <w:noProof/>
        </w:rPr>
        <w:drawing>
          <wp:inline distT="0" distB="0" distL="0" distR="0">
            <wp:extent cx="4181475" cy="3057525"/>
            <wp:effectExtent l="0" t="0" r="0" b="0"/>
            <wp:docPr id="6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0"/>
                    <a:srcRect/>
                    <a:stretch>
                      <a:fillRect/>
                    </a:stretch>
                  </pic:blipFill>
                  <pic:spPr bwMode="auto">
                    <a:xfrm>
                      <a:off x="0" y="0"/>
                      <a:ext cx="4181475" cy="3057525"/>
                    </a:xfrm>
                    <a:prstGeom prst="rect">
                      <a:avLst/>
                    </a:prstGeom>
                    <a:noFill/>
                    <a:ln w="9525">
                      <a:noFill/>
                      <a:miter lim="800000"/>
                      <a:headEnd/>
                      <a:tailEnd/>
                    </a:ln>
                  </pic:spPr>
                </pic:pic>
              </a:graphicData>
            </a:graphic>
          </wp:inline>
        </w:drawing>
      </w:r>
    </w:p>
    <w:p w:rsidR="005A512D" w:rsidRDefault="005A512D" w:rsidP="00C46F86">
      <w:pPr>
        <w:rPr>
          <w:rFonts w:ascii="Perpetua" w:hAnsi="Perpetua"/>
        </w:rPr>
      </w:pPr>
    </w:p>
    <w:p w:rsidR="005A512D" w:rsidRDefault="005A512D" w:rsidP="00C46F86">
      <w:pPr>
        <w:rPr>
          <w:rFonts w:ascii="Perpetua" w:hAnsi="Perpetua"/>
        </w:rPr>
      </w:pPr>
    </w:p>
    <w:p w:rsidR="005A512D" w:rsidRDefault="005A512D" w:rsidP="00C46F86">
      <w:pPr>
        <w:rPr>
          <w:rFonts w:ascii="Perpetua" w:hAnsi="Perpetua"/>
        </w:rPr>
      </w:pPr>
    </w:p>
    <w:p w:rsidR="00C46F86" w:rsidRDefault="00C46F86" w:rsidP="00C46F86">
      <w:pPr>
        <w:rPr>
          <w:rFonts w:ascii="Perpetua" w:hAnsi="Perpetua"/>
        </w:rPr>
      </w:pPr>
      <w:r>
        <w:rPr>
          <w:rFonts w:ascii="Perpetua" w:hAnsi="Perpetua"/>
        </w:rPr>
        <w:t xml:space="preserve">Histogramas das variáveis estatísticas </w:t>
      </w:r>
    </w:p>
    <w:p w:rsidR="00C46F86" w:rsidRDefault="00C46F86" w:rsidP="00C46F86">
      <w:pPr>
        <w:rPr>
          <w:rFonts w:ascii="Perpetua" w:hAnsi="Perpetua"/>
        </w:rPr>
      </w:pPr>
    </w:p>
    <w:p w:rsidR="00C46F86" w:rsidRDefault="00C46F86" w:rsidP="00C46F86">
      <w:pPr>
        <w:rPr>
          <w:rFonts w:ascii="Perpetua" w:hAnsi="Perpetua"/>
        </w:rPr>
      </w:pPr>
    </w:p>
    <w:p w:rsidR="00C46F86" w:rsidRDefault="00C46F86" w:rsidP="00C46F86">
      <w:pPr>
        <w:jc w:val="center"/>
        <w:rPr>
          <w:rFonts w:ascii="Perpetua" w:hAnsi="Perpetua"/>
        </w:rPr>
      </w:pPr>
      <w:r>
        <w:rPr>
          <w:rFonts w:ascii="Perpetua" w:hAnsi="Perpetua"/>
        </w:rPr>
        <w:t>Carga judicial média</w:t>
      </w:r>
    </w:p>
    <w:p w:rsidR="00421B0D" w:rsidRDefault="00421B0D" w:rsidP="0008426C">
      <w:pPr>
        <w:rPr>
          <w:rFonts w:ascii="Perpetua" w:hAnsi="Perpetua"/>
        </w:rPr>
      </w:pPr>
    </w:p>
    <w:p w:rsidR="00421B0D" w:rsidRDefault="00C82BCA" w:rsidP="00421B0D">
      <w:pPr>
        <w:jc w:val="center"/>
        <w:rPr>
          <w:rFonts w:ascii="Perpetua" w:hAnsi="Perpetua"/>
        </w:rPr>
      </w:pPr>
      <w:r>
        <w:rPr>
          <w:rFonts w:ascii="Perpetua" w:hAnsi="Perpetua"/>
          <w:noProof/>
        </w:rPr>
        <w:drawing>
          <wp:inline distT="0" distB="0" distL="0" distR="0">
            <wp:extent cx="4257675" cy="3114675"/>
            <wp:effectExtent l="0" t="0" r="0" b="0"/>
            <wp:docPr id="6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a:srcRect/>
                    <a:stretch>
                      <a:fillRect/>
                    </a:stretch>
                  </pic:blipFill>
                  <pic:spPr bwMode="auto">
                    <a:xfrm>
                      <a:off x="0" y="0"/>
                      <a:ext cx="4257675" cy="3114675"/>
                    </a:xfrm>
                    <a:prstGeom prst="rect">
                      <a:avLst/>
                    </a:prstGeom>
                    <a:noFill/>
                    <a:ln w="9525">
                      <a:noFill/>
                      <a:miter lim="800000"/>
                      <a:headEnd/>
                      <a:tailEnd/>
                    </a:ln>
                  </pic:spPr>
                </pic:pic>
              </a:graphicData>
            </a:graphic>
          </wp:inline>
        </w:drawing>
      </w:r>
    </w:p>
    <w:p w:rsidR="00421B0D" w:rsidRDefault="00421B0D" w:rsidP="0008426C">
      <w:pPr>
        <w:rPr>
          <w:rFonts w:ascii="Perpetua" w:hAnsi="Perpetua"/>
        </w:rPr>
      </w:pPr>
    </w:p>
    <w:p w:rsidR="00C46F86" w:rsidRDefault="00C46F86" w:rsidP="00C46F86">
      <w:pPr>
        <w:jc w:val="center"/>
        <w:rPr>
          <w:rFonts w:ascii="Perpetua" w:hAnsi="Perpetua"/>
        </w:rPr>
      </w:pPr>
    </w:p>
    <w:p w:rsidR="00C46F86" w:rsidRDefault="00C46F86" w:rsidP="00C46F86">
      <w:pPr>
        <w:jc w:val="center"/>
        <w:rPr>
          <w:rFonts w:ascii="Perpetua" w:hAnsi="Perpetua"/>
        </w:rPr>
      </w:pPr>
    </w:p>
    <w:p w:rsidR="00C46F86" w:rsidRDefault="00C46F86" w:rsidP="00C46F86">
      <w:pPr>
        <w:jc w:val="center"/>
        <w:rPr>
          <w:rFonts w:ascii="Perpetua" w:hAnsi="Perpetua"/>
        </w:rPr>
      </w:pPr>
    </w:p>
    <w:p w:rsidR="00720983" w:rsidRDefault="00720983" w:rsidP="00C46F86">
      <w:pPr>
        <w:jc w:val="center"/>
        <w:rPr>
          <w:rFonts w:ascii="Perpetua" w:hAnsi="Perpetua"/>
        </w:rPr>
      </w:pPr>
    </w:p>
    <w:p w:rsidR="00720983" w:rsidRDefault="00720983" w:rsidP="00C46F86">
      <w:pPr>
        <w:jc w:val="center"/>
        <w:rPr>
          <w:rFonts w:ascii="Perpetua" w:hAnsi="Perpetua"/>
        </w:rPr>
      </w:pPr>
    </w:p>
    <w:p w:rsidR="00C46F86" w:rsidRDefault="00C46F86" w:rsidP="00C46F86">
      <w:pPr>
        <w:jc w:val="center"/>
        <w:rPr>
          <w:rFonts w:ascii="Perpetua" w:hAnsi="Perpetua"/>
        </w:rPr>
      </w:pPr>
    </w:p>
    <w:p w:rsidR="00C46F86" w:rsidRDefault="00C46F86" w:rsidP="00C46F86">
      <w:pPr>
        <w:jc w:val="center"/>
        <w:rPr>
          <w:rFonts w:ascii="Perpetua" w:hAnsi="Perpetua"/>
        </w:rPr>
      </w:pPr>
      <w:r>
        <w:rPr>
          <w:rFonts w:ascii="Perpetua" w:hAnsi="Perpetua"/>
        </w:rPr>
        <w:t>Carga judicial média</w:t>
      </w:r>
    </w:p>
    <w:p w:rsidR="00C46F86" w:rsidRDefault="00C46F86" w:rsidP="0008426C">
      <w:pPr>
        <w:rPr>
          <w:rFonts w:ascii="Perpetua" w:hAnsi="Perpetua"/>
        </w:rPr>
      </w:pPr>
    </w:p>
    <w:p w:rsidR="00C46F86" w:rsidRDefault="00C82BCA" w:rsidP="00C46F86">
      <w:pPr>
        <w:jc w:val="center"/>
        <w:rPr>
          <w:rFonts w:ascii="Perpetua" w:hAnsi="Perpetua"/>
        </w:rPr>
      </w:pPr>
      <w:r>
        <w:rPr>
          <w:rFonts w:ascii="Perpetua" w:hAnsi="Perpetua"/>
          <w:noProof/>
        </w:rPr>
        <w:drawing>
          <wp:inline distT="0" distB="0" distL="0" distR="0">
            <wp:extent cx="4133850" cy="3028950"/>
            <wp:effectExtent l="0" t="0" r="0" b="0"/>
            <wp:docPr id="6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2"/>
                    <a:srcRect/>
                    <a:stretch>
                      <a:fillRect/>
                    </a:stretch>
                  </pic:blipFill>
                  <pic:spPr bwMode="auto">
                    <a:xfrm>
                      <a:off x="0" y="0"/>
                      <a:ext cx="4133850" cy="3028950"/>
                    </a:xfrm>
                    <a:prstGeom prst="rect">
                      <a:avLst/>
                    </a:prstGeom>
                    <a:noFill/>
                    <a:ln w="9525">
                      <a:noFill/>
                      <a:miter lim="800000"/>
                      <a:headEnd/>
                      <a:tailEnd/>
                    </a:ln>
                  </pic:spPr>
                </pic:pic>
              </a:graphicData>
            </a:graphic>
          </wp:inline>
        </w:drawing>
      </w:r>
    </w:p>
    <w:p w:rsidR="00C46F86" w:rsidRDefault="00C46F86" w:rsidP="0008426C">
      <w:pPr>
        <w:rPr>
          <w:rFonts w:ascii="Perpetua" w:hAnsi="Perpetua"/>
        </w:rPr>
      </w:pPr>
    </w:p>
    <w:p w:rsidR="00421B0D" w:rsidRDefault="00421B0D" w:rsidP="0008426C">
      <w:pPr>
        <w:rPr>
          <w:rFonts w:ascii="Perpetua" w:hAnsi="Perpetua"/>
        </w:rPr>
      </w:pPr>
    </w:p>
    <w:p w:rsidR="00421B0D" w:rsidRDefault="00421B0D" w:rsidP="00875A4B">
      <w:pPr>
        <w:jc w:val="center"/>
        <w:rPr>
          <w:rFonts w:ascii="Perpetua" w:hAnsi="Perpetua"/>
        </w:rPr>
      </w:pPr>
    </w:p>
    <w:p w:rsidR="00421B0D" w:rsidRDefault="00421B0D" w:rsidP="0008426C">
      <w:pPr>
        <w:rPr>
          <w:rFonts w:ascii="Perpetua" w:hAnsi="Perpetua"/>
        </w:rPr>
      </w:pPr>
    </w:p>
    <w:p w:rsidR="00421B0D" w:rsidRDefault="00421B0D" w:rsidP="0008426C">
      <w:pPr>
        <w:rPr>
          <w:rFonts w:ascii="Perpetua" w:hAnsi="Perpetua"/>
        </w:rPr>
      </w:pPr>
    </w:p>
    <w:p w:rsidR="00875A4B" w:rsidRDefault="00875A4B" w:rsidP="00875A4B">
      <w:pPr>
        <w:jc w:val="center"/>
        <w:rPr>
          <w:rFonts w:ascii="Perpetua" w:hAnsi="Perpetua"/>
        </w:rPr>
      </w:pPr>
    </w:p>
    <w:p w:rsidR="00875A4B" w:rsidRDefault="00875A4B" w:rsidP="0008426C">
      <w:pPr>
        <w:rPr>
          <w:rFonts w:ascii="Perpetua" w:hAnsi="Perpetua"/>
        </w:rPr>
      </w:pPr>
    </w:p>
    <w:p w:rsidR="00875A4B" w:rsidRDefault="00C82BCA" w:rsidP="00B27A2D">
      <w:pPr>
        <w:jc w:val="center"/>
        <w:rPr>
          <w:rFonts w:ascii="Perpetua" w:hAnsi="Perpetua"/>
        </w:rPr>
      </w:pPr>
      <w:r>
        <w:rPr>
          <w:rFonts w:ascii="Perpetua" w:hAnsi="Perpetua"/>
          <w:noProof/>
        </w:rPr>
        <w:drawing>
          <wp:inline distT="0" distB="0" distL="0" distR="0">
            <wp:extent cx="4219575" cy="3086100"/>
            <wp:effectExtent l="0" t="0" r="0" b="0"/>
            <wp:docPr id="69"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03"/>
                    <a:srcRect/>
                    <a:stretch>
                      <a:fillRect/>
                    </a:stretch>
                  </pic:blipFill>
                  <pic:spPr bwMode="auto">
                    <a:xfrm>
                      <a:off x="0" y="0"/>
                      <a:ext cx="4219575" cy="3086100"/>
                    </a:xfrm>
                    <a:prstGeom prst="rect">
                      <a:avLst/>
                    </a:prstGeom>
                    <a:noFill/>
                    <a:ln w="9525">
                      <a:noFill/>
                      <a:miter lim="800000"/>
                      <a:headEnd/>
                      <a:tailEnd/>
                    </a:ln>
                  </pic:spPr>
                </pic:pic>
              </a:graphicData>
            </a:graphic>
          </wp:inline>
        </w:drawing>
      </w:r>
    </w:p>
    <w:p w:rsidR="00421B0D" w:rsidRDefault="00421B0D" w:rsidP="0008426C">
      <w:pPr>
        <w:rPr>
          <w:rFonts w:ascii="Perpetua" w:hAnsi="Perpetua"/>
        </w:rPr>
      </w:pPr>
    </w:p>
    <w:p w:rsidR="00B27A2D" w:rsidRDefault="00B27A2D" w:rsidP="0008426C">
      <w:pPr>
        <w:rPr>
          <w:rFonts w:ascii="Perpetua" w:hAnsi="Perpetua"/>
        </w:rPr>
      </w:pPr>
    </w:p>
    <w:p w:rsidR="00B27A2D" w:rsidRDefault="00B27A2D" w:rsidP="0008426C">
      <w:pPr>
        <w:rPr>
          <w:rFonts w:ascii="Perpetua" w:hAnsi="Perpetua"/>
        </w:rPr>
      </w:pPr>
    </w:p>
    <w:p w:rsidR="00B27A2D" w:rsidRDefault="00B27A2D" w:rsidP="0008426C">
      <w:pPr>
        <w:rPr>
          <w:rFonts w:ascii="Perpetua" w:hAnsi="Perpetua"/>
        </w:rPr>
      </w:pPr>
    </w:p>
    <w:p w:rsidR="00B27A2D" w:rsidRDefault="00B27A2D" w:rsidP="0008426C">
      <w:pPr>
        <w:rPr>
          <w:rFonts w:ascii="Perpetua" w:hAnsi="Perpetua"/>
        </w:rPr>
      </w:pPr>
    </w:p>
    <w:p w:rsidR="00B27A2D" w:rsidRDefault="00B27A2D" w:rsidP="0008426C">
      <w:pPr>
        <w:rPr>
          <w:rFonts w:ascii="Perpetua" w:hAnsi="Perpetua"/>
        </w:rPr>
      </w:pPr>
    </w:p>
    <w:p w:rsidR="00B27A2D" w:rsidRDefault="00B27A2D" w:rsidP="0008426C">
      <w:pPr>
        <w:rPr>
          <w:rFonts w:ascii="Perpetua" w:hAnsi="Perpetua"/>
        </w:rPr>
      </w:pPr>
    </w:p>
    <w:p w:rsidR="00B27A2D" w:rsidRDefault="00C82BCA" w:rsidP="000D6D7D">
      <w:pPr>
        <w:jc w:val="center"/>
        <w:rPr>
          <w:rFonts w:ascii="Perpetua" w:hAnsi="Perpetua"/>
        </w:rPr>
      </w:pPr>
      <w:r>
        <w:rPr>
          <w:noProof/>
        </w:rPr>
        <w:drawing>
          <wp:inline distT="0" distB="0" distL="0" distR="0">
            <wp:extent cx="4657725" cy="3409950"/>
            <wp:effectExtent l="0" t="0" r="0" b="0"/>
            <wp:docPr id="70"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04"/>
                    <a:srcRect/>
                    <a:stretch>
                      <a:fillRect/>
                    </a:stretch>
                  </pic:blipFill>
                  <pic:spPr bwMode="auto">
                    <a:xfrm>
                      <a:off x="0" y="0"/>
                      <a:ext cx="4657725" cy="3409950"/>
                    </a:xfrm>
                    <a:prstGeom prst="rect">
                      <a:avLst/>
                    </a:prstGeom>
                    <a:noFill/>
                    <a:ln w="9525">
                      <a:noFill/>
                      <a:miter lim="800000"/>
                      <a:headEnd/>
                      <a:tailEnd/>
                    </a:ln>
                  </pic:spPr>
                </pic:pic>
              </a:graphicData>
            </a:graphic>
          </wp:inline>
        </w:drawing>
      </w:r>
    </w:p>
    <w:p w:rsidR="00C46F86" w:rsidRDefault="00C46F86" w:rsidP="000D6D7D">
      <w:pPr>
        <w:jc w:val="center"/>
        <w:rPr>
          <w:rFonts w:ascii="Perpetua" w:hAnsi="Perpetua"/>
        </w:rPr>
      </w:pPr>
    </w:p>
    <w:p w:rsidR="00C46F86" w:rsidRDefault="00C46F86" w:rsidP="000D6D7D">
      <w:pPr>
        <w:jc w:val="center"/>
        <w:rPr>
          <w:rFonts w:ascii="Perpetua" w:hAnsi="Perpetua"/>
        </w:rPr>
      </w:pPr>
    </w:p>
    <w:p w:rsidR="00C46F86" w:rsidRDefault="00C46F86" w:rsidP="000D6D7D">
      <w:pPr>
        <w:jc w:val="center"/>
        <w:rPr>
          <w:rFonts w:ascii="Perpetua" w:hAnsi="Perpetua"/>
        </w:rPr>
      </w:pPr>
    </w:p>
    <w:p w:rsidR="00C46F86" w:rsidRDefault="00C46F86" w:rsidP="000D6D7D">
      <w:pPr>
        <w:jc w:val="center"/>
        <w:rPr>
          <w:rFonts w:ascii="Perpetua" w:hAnsi="Perpetua"/>
        </w:rPr>
      </w:pPr>
    </w:p>
    <w:p w:rsidR="00C46F86" w:rsidRDefault="00C46F86" w:rsidP="000D6D7D">
      <w:pPr>
        <w:jc w:val="center"/>
        <w:rPr>
          <w:rFonts w:ascii="Perpetua" w:hAnsi="Perpetua"/>
        </w:rPr>
      </w:pPr>
    </w:p>
    <w:p w:rsidR="00B27A2D" w:rsidRDefault="00C82BCA" w:rsidP="00BD39D4">
      <w:pPr>
        <w:jc w:val="center"/>
        <w:rPr>
          <w:rFonts w:ascii="Perpetua" w:hAnsi="Perpetua"/>
        </w:rPr>
      </w:pPr>
      <w:r>
        <w:rPr>
          <w:rFonts w:ascii="Perpetua" w:hAnsi="Perpetua"/>
          <w:noProof/>
        </w:rPr>
        <w:drawing>
          <wp:inline distT="0" distB="0" distL="0" distR="0">
            <wp:extent cx="4619625" cy="3381375"/>
            <wp:effectExtent l="0" t="0" r="0" b="0"/>
            <wp:docPr id="7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05"/>
                    <a:srcRect/>
                    <a:stretch>
                      <a:fillRect/>
                    </a:stretch>
                  </pic:blipFill>
                  <pic:spPr bwMode="auto">
                    <a:xfrm>
                      <a:off x="0" y="0"/>
                      <a:ext cx="4619625" cy="3381375"/>
                    </a:xfrm>
                    <a:prstGeom prst="rect">
                      <a:avLst/>
                    </a:prstGeom>
                    <a:noFill/>
                    <a:ln w="9525">
                      <a:noFill/>
                      <a:miter lim="800000"/>
                      <a:headEnd/>
                      <a:tailEnd/>
                    </a:ln>
                  </pic:spPr>
                </pic:pic>
              </a:graphicData>
            </a:graphic>
          </wp:inline>
        </w:drawing>
      </w:r>
    </w:p>
    <w:p w:rsidR="00BD39D4" w:rsidRDefault="00BD39D4" w:rsidP="0008426C">
      <w:pPr>
        <w:rPr>
          <w:rFonts w:ascii="Perpetua" w:hAnsi="Perpetua"/>
        </w:rPr>
      </w:pPr>
    </w:p>
    <w:p w:rsidR="00BD39D4" w:rsidRDefault="00BD39D4" w:rsidP="0008426C">
      <w:pPr>
        <w:rPr>
          <w:rFonts w:ascii="Perpetua" w:hAnsi="Perpetua"/>
        </w:rPr>
      </w:pPr>
    </w:p>
    <w:p w:rsidR="00BD39D4" w:rsidRDefault="00BD39D4" w:rsidP="0008426C">
      <w:pPr>
        <w:rPr>
          <w:rFonts w:ascii="Perpetua" w:hAnsi="Perpetua"/>
        </w:rPr>
      </w:pPr>
    </w:p>
    <w:p w:rsidR="00BD39D4" w:rsidRDefault="00BD39D4" w:rsidP="0008426C">
      <w:pPr>
        <w:rPr>
          <w:rFonts w:ascii="Perpetua" w:hAnsi="Perpetua"/>
        </w:rPr>
      </w:pPr>
    </w:p>
    <w:p w:rsidR="00BD39D4" w:rsidRDefault="00BD39D4" w:rsidP="0008426C">
      <w:pPr>
        <w:rPr>
          <w:rFonts w:ascii="Perpetua" w:hAnsi="Perpetua"/>
        </w:rPr>
      </w:pPr>
    </w:p>
    <w:p w:rsidR="00BD39D4" w:rsidRDefault="00BD39D4" w:rsidP="0008426C">
      <w:pPr>
        <w:rPr>
          <w:rFonts w:ascii="Perpetua" w:hAnsi="Perpetua"/>
        </w:rPr>
      </w:pPr>
    </w:p>
    <w:p w:rsidR="00BD39D4" w:rsidRDefault="00BD39D4" w:rsidP="0008426C">
      <w:pPr>
        <w:rPr>
          <w:rFonts w:ascii="Perpetua" w:hAnsi="Perpetua"/>
        </w:rPr>
      </w:pPr>
    </w:p>
    <w:p w:rsidR="00BD39D4" w:rsidRDefault="00C82BCA" w:rsidP="00BD39D4">
      <w:pPr>
        <w:jc w:val="center"/>
        <w:rPr>
          <w:rFonts w:ascii="Perpetua" w:hAnsi="Perpetua"/>
        </w:rPr>
      </w:pPr>
      <w:r>
        <w:rPr>
          <w:rFonts w:ascii="Perpetua" w:hAnsi="Perpetua"/>
          <w:noProof/>
        </w:rPr>
        <w:drawing>
          <wp:inline distT="0" distB="0" distL="0" distR="0">
            <wp:extent cx="4381500" cy="3209925"/>
            <wp:effectExtent l="0" t="0" r="0" b="0"/>
            <wp:docPr id="7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06"/>
                    <a:srcRect/>
                    <a:stretch>
                      <a:fillRect/>
                    </a:stretch>
                  </pic:blipFill>
                  <pic:spPr bwMode="auto">
                    <a:xfrm>
                      <a:off x="0" y="0"/>
                      <a:ext cx="4381500" cy="3209925"/>
                    </a:xfrm>
                    <a:prstGeom prst="rect">
                      <a:avLst/>
                    </a:prstGeom>
                    <a:noFill/>
                    <a:ln w="9525">
                      <a:noFill/>
                      <a:miter lim="800000"/>
                      <a:headEnd/>
                      <a:tailEnd/>
                    </a:ln>
                  </pic:spPr>
                </pic:pic>
              </a:graphicData>
            </a:graphic>
          </wp:inline>
        </w:drawing>
      </w:r>
    </w:p>
    <w:p w:rsidR="00BD39D4" w:rsidRDefault="00BD39D4" w:rsidP="0008426C">
      <w:pPr>
        <w:rPr>
          <w:rFonts w:ascii="Perpetua" w:hAnsi="Perpetua"/>
        </w:rPr>
      </w:pPr>
    </w:p>
    <w:p w:rsidR="00BD39D4" w:rsidRDefault="00BD39D4" w:rsidP="0008426C">
      <w:pPr>
        <w:rPr>
          <w:rFonts w:ascii="Perpetua" w:hAnsi="Perpetua"/>
        </w:rPr>
      </w:pPr>
    </w:p>
    <w:p w:rsidR="00EB73B7" w:rsidRDefault="00EB73B7" w:rsidP="009F5820">
      <w:pPr>
        <w:pStyle w:val="Heading3"/>
      </w:pPr>
      <w:bookmarkStart w:id="159" w:name="_Toc220484500"/>
      <w:r>
        <w:t xml:space="preserve">9.1.2. Estatísticas sumárias das variáveis de </w:t>
      </w:r>
      <w:r w:rsidRPr="009F5820">
        <w:rPr>
          <w:i/>
        </w:rPr>
        <w:t>case mix</w:t>
      </w:r>
      <w:bookmarkEnd w:id="159"/>
    </w:p>
    <w:p w:rsidR="00EB73B7" w:rsidRDefault="00EB73B7" w:rsidP="0008426C">
      <w:pPr>
        <w:rPr>
          <w:rFonts w:ascii="Perpetua" w:hAnsi="Perpetua"/>
        </w:rPr>
      </w:pPr>
    </w:p>
    <w:p w:rsidR="00EB73B7" w:rsidRDefault="00EB73B7" w:rsidP="0008426C">
      <w:pPr>
        <w:rPr>
          <w:rFonts w:ascii="Perpetua" w:hAnsi="Perpetua"/>
        </w:rPr>
      </w:pPr>
    </w:p>
    <w:tbl>
      <w:tblPr>
        <w:tblW w:w="6260" w:type="dxa"/>
        <w:jc w:val="center"/>
        <w:tblInd w:w="55" w:type="dxa"/>
        <w:tblCellMar>
          <w:left w:w="70" w:type="dxa"/>
          <w:right w:w="70" w:type="dxa"/>
        </w:tblCellMar>
        <w:tblLook w:val="04A0"/>
      </w:tblPr>
      <w:tblGrid>
        <w:gridCol w:w="1320"/>
        <w:gridCol w:w="1255"/>
        <w:gridCol w:w="1338"/>
        <w:gridCol w:w="1253"/>
        <w:gridCol w:w="1094"/>
      </w:tblGrid>
      <w:tr w:rsidR="00886063" w:rsidRPr="00886063" w:rsidTr="00EB73B7">
        <w:trPr>
          <w:trHeight w:val="435"/>
          <w:jc w:val="center"/>
        </w:trPr>
        <w:tc>
          <w:tcPr>
            <w:tcW w:w="6260" w:type="dxa"/>
            <w:gridSpan w:val="5"/>
            <w:tcBorders>
              <w:top w:val="nil"/>
              <w:left w:val="nil"/>
              <w:bottom w:val="nil"/>
              <w:right w:val="nil"/>
            </w:tcBorders>
            <w:shd w:val="clear" w:color="000000" w:fill="FFFFFF"/>
            <w:noWrap/>
            <w:vAlign w:val="center"/>
          </w:tcPr>
          <w:p w:rsidR="00886063" w:rsidRPr="00886063" w:rsidRDefault="00886063" w:rsidP="00886063">
            <w:pPr>
              <w:jc w:val="center"/>
              <w:rPr>
                <w:rFonts w:ascii="Perpetua" w:hAnsi="Perpetua"/>
                <w:b/>
                <w:bCs/>
                <w:color w:val="000000"/>
                <w:sz w:val="20"/>
                <w:szCs w:val="20"/>
              </w:rPr>
            </w:pPr>
            <w:r w:rsidRPr="00886063">
              <w:rPr>
                <w:rFonts w:ascii="Perpetua" w:hAnsi="Perpetua"/>
                <w:b/>
                <w:bCs/>
                <w:color w:val="000000"/>
                <w:sz w:val="20"/>
                <w:szCs w:val="20"/>
              </w:rPr>
              <w:t>Estatísticas de dispersão e de tendência central (área processual)</w:t>
            </w:r>
          </w:p>
        </w:tc>
      </w:tr>
      <w:tr w:rsidR="00886063" w:rsidRPr="00886063" w:rsidTr="00EB73B7">
        <w:trPr>
          <w:trHeight w:val="36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 </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b/>
                <w:bCs/>
                <w:color w:val="000000"/>
                <w:sz w:val="20"/>
                <w:szCs w:val="20"/>
              </w:rPr>
            </w:pPr>
            <w:proofErr w:type="gramStart"/>
            <w:r w:rsidRPr="00886063">
              <w:rPr>
                <w:rFonts w:ascii="Perpetua" w:hAnsi="Perpetua"/>
                <w:b/>
                <w:bCs/>
                <w:color w:val="000000"/>
                <w:sz w:val="20"/>
                <w:szCs w:val="20"/>
              </w:rPr>
              <w:t>perc_civ_01</w:t>
            </w:r>
            <w:proofErr w:type="gramEnd"/>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b/>
                <w:bCs/>
                <w:color w:val="000000"/>
                <w:sz w:val="20"/>
                <w:szCs w:val="20"/>
              </w:rPr>
            </w:pPr>
            <w:proofErr w:type="gramStart"/>
            <w:r w:rsidRPr="00886063">
              <w:rPr>
                <w:rFonts w:ascii="Perpetua" w:hAnsi="Perpetua"/>
                <w:b/>
                <w:bCs/>
                <w:color w:val="000000"/>
                <w:sz w:val="20"/>
                <w:szCs w:val="20"/>
              </w:rPr>
              <w:t>perc_pen_01</w:t>
            </w:r>
            <w:proofErr w:type="gramEnd"/>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b/>
                <w:bCs/>
                <w:color w:val="000000"/>
                <w:sz w:val="20"/>
                <w:szCs w:val="20"/>
              </w:rPr>
            </w:pPr>
            <w:proofErr w:type="gramStart"/>
            <w:r w:rsidRPr="00886063">
              <w:rPr>
                <w:rFonts w:ascii="Perpetua" w:hAnsi="Perpetua"/>
                <w:b/>
                <w:bCs/>
                <w:color w:val="000000"/>
                <w:sz w:val="20"/>
                <w:szCs w:val="20"/>
              </w:rPr>
              <w:t>perc_tut_01</w:t>
            </w:r>
            <w:proofErr w:type="gramEnd"/>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b/>
                <w:bCs/>
                <w:color w:val="000000"/>
                <w:sz w:val="20"/>
                <w:szCs w:val="20"/>
              </w:rPr>
            </w:pPr>
            <w:proofErr w:type="gramStart"/>
            <w:r w:rsidRPr="00886063">
              <w:rPr>
                <w:rFonts w:ascii="Perpetua" w:hAnsi="Perpetua"/>
                <w:b/>
                <w:bCs/>
                <w:color w:val="000000"/>
                <w:sz w:val="20"/>
                <w:szCs w:val="20"/>
              </w:rPr>
              <w:t>perc_jl_01</w:t>
            </w:r>
            <w:proofErr w:type="gramEnd"/>
          </w:p>
        </w:tc>
      </w:tr>
      <w:tr w:rsidR="00886063" w:rsidRPr="00886063" w:rsidTr="00EB73B7">
        <w:trPr>
          <w:trHeight w:val="27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A97DDF" w:rsidP="00886063">
            <w:pPr>
              <w:rPr>
                <w:rFonts w:ascii="Perpetua" w:hAnsi="Perpetua"/>
                <w:color w:val="000000"/>
                <w:sz w:val="20"/>
                <w:szCs w:val="20"/>
              </w:rPr>
            </w:pPr>
            <w:r>
              <w:rPr>
                <w:rFonts w:ascii="Perpetua" w:hAnsi="Perpetua"/>
                <w:color w:val="000000"/>
                <w:sz w:val="20"/>
                <w:szCs w:val="20"/>
              </w:rPr>
              <w:t>Desvio-padrão</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0,11</w:t>
            </w:r>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0,10</w:t>
            </w:r>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0,05</w:t>
            </w:r>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0,01</w:t>
            </w:r>
          </w:p>
        </w:tc>
      </w:tr>
      <w:tr w:rsidR="00886063" w:rsidRPr="00886063" w:rsidTr="00EB73B7">
        <w:trPr>
          <w:trHeight w:val="27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Coef. Variação</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0,17</w:t>
            </w:r>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0,31</w:t>
            </w:r>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0,80</w:t>
            </w:r>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4,53</w:t>
            </w:r>
          </w:p>
        </w:tc>
      </w:tr>
      <w:tr w:rsidR="00886063" w:rsidRPr="00886063" w:rsidTr="00EB73B7">
        <w:trPr>
          <w:trHeight w:val="27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Min.</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0,24</w:t>
            </w:r>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0,11</w:t>
            </w:r>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0,00</w:t>
            </w:r>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0,00</w:t>
            </w:r>
          </w:p>
        </w:tc>
      </w:tr>
      <w:tr w:rsidR="00886063" w:rsidRPr="00886063" w:rsidTr="00EB73B7">
        <w:trPr>
          <w:trHeight w:val="27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Mediana</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0,65</w:t>
            </w:r>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0,29</w:t>
            </w:r>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0,05</w:t>
            </w:r>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0,00</w:t>
            </w:r>
          </w:p>
        </w:tc>
      </w:tr>
      <w:tr w:rsidR="00886063" w:rsidRPr="00886063" w:rsidTr="00EB73B7">
        <w:trPr>
          <w:trHeight w:val="270"/>
          <w:jc w:val="center"/>
        </w:trPr>
        <w:tc>
          <w:tcPr>
            <w:tcW w:w="1320" w:type="dxa"/>
            <w:tcBorders>
              <w:top w:val="nil"/>
              <w:left w:val="nil"/>
              <w:bottom w:val="single" w:sz="4" w:space="0" w:color="auto"/>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Média</w:t>
            </w:r>
          </w:p>
        </w:tc>
        <w:tc>
          <w:tcPr>
            <w:tcW w:w="1255"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0,63</w:t>
            </w:r>
          </w:p>
        </w:tc>
        <w:tc>
          <w:tcPr>
            <w:tcW w:w="1338"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0,31</w:t>
            </w:r>
          </w:p>
        </w:tc>
        <w:tc>
          <w:tcPr>
            <w:tcW w:w="1253" w:type="dxa"/>
            <w:tcBorders>
              <w:top w:val="nil"/>
              <w:left w:val="nil"/>
              <w:bottom w:val="single" w:sz="4" w:space="0" w:color="auto"/>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0,06</w:t>
            </w:r>
          </w:p>
        </w:tc>
        <w:tc>
          <w:tcPr>
            <w:tcW w:w="1094" w:type="dxa"/>
            <w:tcBorders>
              <w:top w:val="nil"/>
              <w:left w:val="nil"/>
              <w:bottom w:val="single" w:sz="4" w:space="0" w:color="auto"/>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0,00</w:t>
            </w:r>
          </w:p>
        </w:tc>
      </w:tr>
      <w:tr w:rsidR="00886063" w:rsidRPr="00886063" w:rsidTr="00EB73B7">
        <w:trPr>
          <w:trHeight w:val="270"/>
          <w:jc w:val="center"/>
        </w:trPr>
        <w:tc>
          <w:tcPr>
            <w:tcW w:w="1320" w:type="dxa"/>
            <w:tcBorders>
              <w:top w:val="nil"/>
              <w:left w:val="nil"/>
              <w:bottom w:val="nil"/>
              <w:right w:val="single" w:sz="4" w:space="0" w:color="auto"/>
            </w:tcBorders>
            <w:shd w:val="clear" w:color="000000" w:fill="FFFFFF"/>
            <w:noWrap/>
            <w:vAlign w:val="bottom"/>
          </w:tcPr>
          <w:p w:rsidR="00886063" w:rsidRPr="00886063" w:rsidRDefault="00886063" w:rsidP="00886063">
            <w:pPr>
              <w:rPr>
                <w:rFonts w:ascii="Perpetua" w:hAnsi="Perpetua"/>
                <w:color w:val="000000"/>
                <w:sz w:val="20"/>
                <w:szCs w:val="20"/>
              </w:rPr>
            </w:pPr>
            <w:r w:rsidRPr="00886063">
              <w:rPr>
                <w:rFonts w:ascii="Perpetua" w:hAnsi="Perpetua"/>
                <w:color w:val="000000"/>
                <w:sz w:val="20"/>
                <w:szCs w:val="20"/>
              </w:rPr>
              <w:t>Max.</w:t>
            </w:r>
          </w:p>
        </w:tc>
        <w:tc>
          <w:tcPr>
            <w:tcW w:w="1255" w:type="dxa"/>
            <w:tcBorders>
              <w:top w:val="nil"/>
              <w:left w:val="nil"/>
              <w:bottom w:val="nil"/>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0,85</w:t>
            </w:r>
          </w:p>
        </w:tc>
        <w:tc>
          <w:tcPr>
            <w:tcW w:w="1338" w:type="dxa"/>
            <w:tcBorders>
              <w:top w:val="nil"/>
              <w:left w:val="nil"/>
              <w:bottom w:val="nil"/>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0,56</w:t>
            </w:r>
          </w:p>
        </w:tc>
        <w:tc>
          <w:tcPr>
            <w:tcW w:w="1253" w:type="dxa"/>
            <w:tcBorders>
              <w:top w:val="nil"/>
              <w:left w:val="nil"/>
              <w:bottom w:val="nil"/>
              <w:right w:val="single" w:sz="4" w:space="0" w:color="auto"/>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0,30</w:t>
            </w:r>
          </w:p>
        </w:tc>
        <w:tc>
          <w:tcPr>
            <w:tcW w:w="1094" w:type="dxa"/>
            <w:tcBorders>
              <w:top w:val="nil"/>
              <w:left w:val="nil"/>
              <w:bottom w:val="nil"/>
              <w:right w:val="nil"/>
            </w:tcBorders>
            <w:shd w:val="clear" w:color="000000" w:fill="FFFFFF"/>
            <w:noWrap/>
            <w:vAlign w:val="center"/>
          </w:tcPr>
          <w:p w:rsidR="00886063" w:rsidRPr="00886063" w:rsidRDefault="00886063" w:rsidP="00886063">
            <w:pPr>
              <w:jc w:val="center"/>
              <w:rPr>
                <w:rFonts w:ascii="Perpetua" w:hAnsi="Perpetua"/>
                <w:color w:val="000000"/>
                <w:sz w:val="20"/>
                <w:szCs w:val="20"/>
              </w:rPr>
            </w:pPr>
            <w:r w:rsidRPr="00886063">
              <w:rPr>
                <w:rFonts w:ascii="Perpetua" w:hAnsi="Perpetua"/>
                <w:color w:val="000000"/>
                <w:sz w:val="20"/>
                <w:szCs w:val="20"/>
              </w:rPr>
              <w:t>0,09</w:t>
            </w:r>
          </w:p>
        </w:tc>
      </w:tr>
    </w:tbl>
    <w:p w:rsidR="0008426C" w:rsidRPr="0067317B" w:rsidRDefault="0008426C" w:rsidP="0008426C">
      <w:pPr>
        <w:rPr>
          <w:rFonts w:ascii="Perpetua" w:hAnsi="Perpetua"/>
        </w:rPr>
      </w:pPr>
    </w:p>
    <w:p w:rsidR="00EB73B7" w:rsidRDefault="00EB73B7" w:rsidP="0008426C">
      <w:pPr>
        <w:rPr>
          <w:rFonts w:ascii="Perpetua" w:hAnsi="Perpetua"/>
        </w:rPr>
      </w:pPr>
    </w:p>
    <w:p w:rsidR="00EB73B7" w:rsidRDefault="00EB73B7" w:rsidP="0008426C">
      <w:pPr>
        <w:rPr>
          <w:rFonts w:ascii="Perpetua" w:hAnsi="Perpetua"/>
        </w:rPr>
      </w:pPr>
    </w:p>
    <w:tbl>
      <w:tblPr>
        <w:tblW w:w="0" w:type="auto"/>
        <w:jc w:val="center"/>
        <w:tblInd w:w="-1336" w:type="dxa"/>
        <w:tblCellMar>
          <w:left w:w="70" w:type="dxa"/>
          <w:right w:w="70" w:type="dxa"/>
        </w:tblCellMar>
        <w:tblLook w:val="04A0"/>
      </w:tblPr>
      <w:tblGrid>
        <w:gridCol w:w="1106"/>
        <w:gridCol w:w="1016"/>
        <w:gridCol w:w="1183"/>
        <w:gridCol w:w="1084"/>
        <w:gridCol w:w="1018"/>
        <w:gridCol w:w="995"/>
        <w:gridCol w:w="1071"/>
        <w:gridCol w:w="1074"/>
        <w:gridCol w:w="1091"/>
      </w:tblGrid>
      <w:tr w:rsidR="00886063" w:rsidRPr="00875A4B" w:rsidTr="00875A4B">
        <w:trPr>
          <w:trHeight w:val="270"/>
          <w:jc w:val="center"/>
        </w:trPr>
        <w:tc>
          <w:tcPr>
            <w:tcW w:w="0" w:type="auto"/>
            <w:gridSpan w:val="9"/>
            <w:tcBorders>
              <w:top w:val="nil"/>
              <w:left w:val="nil"/>
              <w:bottom w:val="nil"/>
              <w:right w:val="nil"/>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r w:rsidRPr="00875A4B">
              <w:rPr>
                <w:rFonts w:ascii="Perpetua" w:hAnsi="Perpetua"/>
                <w:b/>
                <w:bCs/>
                <w:color w:val="000000"/>
                <w:sz w:val="18"/>
                <w:szCs w:val="18"/>
              </w:rPr>
              <w:t>Estatísticas de dispersão e de tendência central (Tipo de espécie processual)</w:t>
            </w:r>
          </w:p>
        </w:tc>
      </w:tr>
      <w:tr w:rsidR="00886063" w:rsidRPr="00875A4B" w:rsidTr="00875A4B">
        <w:trPr>
          <w:trHeight w:val="39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 </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perc_ad_01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perc_exec_01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perc_esp_01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perc_pc_01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perc_pt_01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perc_pcj_01</w:t>
            </w:r>
            <w:proofErr w:type="gramEnd"/>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perc_cot_01</w:t>
            </w:r>
            <w:proofErr w:type="gramEnd"/>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b/>
                <w:bCs/>
                <w:color w:val="000000"/>
                <w:sz w:val="18"/>
                <w:szCs w:val="18"/>
              </w:rPr>
            </w:pPr>
            <w:proofErr w:type="gramStart"/>
            <w:r w:rsidRPr="00875A4B">
              <w:rPr>
                <w:rFonts w:ascii="Perpetua" w:hAnsi="Perpetua"/>
                <w:b/>
                <w:bCs/>
                <w:color w:val="000000"/>
                <w:sz w:val="18"/>
                <w:szCs w:val="18"/>
              </w:rPr>
              <w:t>perc_out_01</w:t>
            </w:r>
            <w:proofErr w:type="gramEnd"/>
          </w:p>
        </w:tc>
      </w:tr>
      <w:tr w:rsidR="00886063"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A97DDF" w:rsidP="00886063">
            <w:pPr>
              <w:rPr>
                <w:rFonts w:ascii="Perpetua" w:hAnsi="Perpetua"/>
                <w:color w:val="000000"/>
                <w:sz w:val="18"/>
                <w:szCs w:val="18"/>
              </w:rPr>
            </w:pPr>
            <w:r>
              <w:rPr>
                <w:rFonts w:ascii="Perpetua" w:hAnsi="Perpetua"/>
                <w:color w:val="000000"/>
                <w:sz w:val="18"/>
                <w:szCs w:val="18"/>
              </w:rPr>
              <w:t>Desvio-padrão</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0,07</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0,09</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0,01</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0,09</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0,03</w:t>
            </w:r>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0,05</w:t>
            </w:r>
          </w:p>
        </w:tc>
      </w:tr>
      <w:tr w:rsidR="00886063"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Coef. Variação</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0,32</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0,35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0,49</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0,66</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0,80</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0,32</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1,07</w:t>
            </w:r>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0,66</w:t>
            </w:r>
          </w:p>
        </w:tc>
      </w:tr>
      <w:tr w:rsidR="00886063"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Min.</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0,01</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0,01</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0,00</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0,00</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0,10</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0,00</w:t>
            </w:r>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0,00</w:t>
            </w:r>
          </w:p>
        </w:tc>
      </w:tr>
      <w:tr w:rsidR="00886063"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Mediana</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0,21</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0,08</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0,02</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0,25</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0,02</w:t>
            </w:r>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0,06</w:t>
            </w:r>
          </w:p>
        </w:tc>
      </w:tr>
      <w:tr w:rsidR="00886063"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Média</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0,22</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0,24</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0,09</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0,02</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0,06</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0,27</w:t>
            </w:r>
          </w:p>
        </w:tc>
        <w:tc>
          <w:tcPr>
            <w:tcW w:w="0" w:type="auto"/>
            <w:tcBorders>
              <w:top w:val="nil"/>
              <w:left w:val="nil"/>
              <w:bottom w:val="single" w:sz="4" w:space="0" w:color="auto"/>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0,03</w:t>
            </w:r>
          </w:p>
        </w:tc>
        <w:tc>
          <w:tcPr>
            <w:tcW w:w="0" w:type="auto"/>
            <w:tcBorders>
              <w:top w:val="nil"/>
              <w:left w:val="nil"/>
              <w:bottom w:val="single" w:sz="4" w:space="0" w:color="auto"/>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0,07</w:t>
            </w:r>
          </w:p>
        </w:tc>
      </w:tr>
      <w:tr w:rsidR="00886063" w:rsidRPr="00875A4B" w:rsidTr="00875A4B">
        <w:trPr>
          <w:trHeight w:val="270"/>
          <w:jc w:val="center"/>
        </w:trPr>
        <w:tc>
          <w:tcPr>
            <w:tcW w:w="0" w:type="auto"/>
            <w:tcBorders>
              <w:top w:val="nil"/>
              <w:left w:val="nil"/>
              <w:bottom w:val="nil"/>
              <w:right w:val="single" w:sz="4" w:space="0" w:color="auto"/>
            </w:tcBorders>
            <w:shd w:val="clear" w:color="000000" w:fill="FFFFFF"/>
            <w:noWrap/>
            <w:vAlign w:val="bottom"/>
          </w:tcPr>
          <w:p w:rsidR="00886063" w:rsidRPr="00875A4B" w:rsidRDefault="00886063" w:rsidP="00886063">
            <w:pPr>
              <w:rPr>
                <w:rFonts w:ascii="Perpetua" w:hAnsi="Perpetua"/>
                <w:color w:val="000000"/>
                <w:sz w:val="18"/>
                <w:szCs w:val="18"/>
              </w:rPr>
            </w:pPr>
            <w:r w:rsidRPr="00875A4B">
              <w:rPr>
                <w:rFonts w:ascii="Perpetua" w:hAnsi="Perpetua"/>
                <w:color w:val="000000"/>
                <w:sz w:val="18"/>
                <w:szCs w:val="18"/>
              </w:rPr>
              <w:t>Max.</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0,51</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0,49</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0,23</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0,11</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0,30</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0,54</w:t>
            </w:r>
          </w:p>
        </w:tc>
        <w:tc>
          <w:tcPr>
            <w:tcW w:w="0" w:type="auto"/>
            <w:tcBorders>
              <w:top w:val="nil"/>
              <w:left w:val="nil"/>
              <w:bottom w:val="nil"/>
              <w:right w:val="single" w:sz="4" w:space="0" w:color="auto"/>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0,18</w:t>
            </w:r>
          </w:p>
        </w:tc>
        <w:tc>
          <w:tcPr>
            <w:tcW w:w="0" w:type="auto"/>
            <w:tcBorders>
              <w:top w:val="nil"/>
              <w:left w:val="nil"/>
              <w:bottom w:val="nil"/>
              <w:right w:val="nil"/>
            </w:tcBorders>
            <w:shd w:val="clear" w:color="000000" w:fill="FFFFFF"/>
            <w:noWrap/>
            <w:vAlign w:val="center"/>
          </w:tcPr>
          <w:p w:rsidR="00886063" w:rsidRPr="00875A4B" w:rsidRDefault="00886063" w:rsidP="00886063">
            <w:pPr>
              <w:jc w:val="center"/>
              <w:rPr>
                <w:rFonts w:ascii="Perpetua" w:hAnsi="Perpetua"/>
                <w:color w:val="000000"/>
                <w:sz w:val="18"/>
                <w:szCs w:val="18"/>
              </w:rPr>
            </w:pPr>
            <w:r w:rsidRPr="00875A4B">
              <w:rPr>
                <w:rFonts w:ascii="Perpetua" w:hAnsi="Perpetua"/>
                <w:color w:val="000000"/>
                <w:sz w:val="18"/>
                <w:szCs w:val="18"/>
              </w:rPr>
              <w:t>0,34</w:t>
            </w:r>
          </w:p>
        </w:tc>
      </w:tr>
    </w:tbl>
    <w:p w:rsidR="00886063" w:rsidRDefault="00886063" w:rsidP="0008426C">
      <w:pPr>
        <w:rPr>
          <w:rFonts w:ascii="Perpetua" w:hAnsi="Perpetua"/>
        </w:rPr>
      </w:pPr>
    </w:p>
    <w:p w:rsidR="00EB73B7" w:rsidRDefault="00EB73B7" w:rsidP="0008426C">
      <w:pPr>
        <w:rPr>
          <w:rFonts w:ascii="Perpetua" w:hAnsi="Perpetua"/>
        </w:rPr>
      </w:pPr>
    </w:p>
    <w:p w:rsidR="00EB73B7" w:rsidRDefault="00EB73B7" w:rsidP="0008426C">
      <w:pPr>
        <w:rPr>
          <w:rFonts w:ascii="Perpetua" w:hAnsi="Perpetua"/>
        </w:rPr>
      </w:pPr>
    </w:p>
    <w:p w:rsidR="002E7A36" w:rsidRDefault="002E7A36" w:rsidP="0008426C">
      <w:pPr>
        <w:rPr>
          <w:rFonts w:ascii="Perpetua" w:hAnsi="Perpetua"/>
        </w:rPr>
      </w:pPr>
    </w:p>
    <w:p w:rsidR="002E7A36" w:rsidRDefault="002E7A36" w:rsidP="0008426C">
      <w:pPr>
        <w:rPr>
          <w:rFonts w:ascii="Perpetua" w:hAnsi="Perpetua"/>
        </w:rPr>
      </w:pPr>
    </w:p>
    <w:p w:rsidR="00EB73B7" w:rsidRDefault="00EB73B7" w:rsidP="0008426C">
      <w:pPr>
        <w:rPr>
          <w:rFonts w:ascii="Perpetua" w:hAnsi="Perpetua"/>
        </w:rPr>
      </w:pPr>
    </w:p>
    <w:tbl>
      <w:tblPr>
        <w:tblW w:w="9180" w:type="dxa"/>
        <w:jc w:val="center"/>
        <w:tblInd w:w="55" w:type="dxa"/>
        <w:tblCellMar>
          <w:left w:w="70" w:type="dxa"/>
          <w:right w:w="70" w:type="dxa"/>
        </w:tblCellMar>
        <w:tblLook w:val="04A0"/>
      </w:tblPr>
      <w:tblGrid>
        <w:gridCol w:w="1193"/>
        <w:gridCol w:w="1552"/>
        <w:gridCol w:w="1716"/>
        <w:gridCol w:w="1507"/>
        <w:gridCol w:w="1550"/>
        <w:gridCol w:w="1662"/>
      </w:tblGrid>
      <w:tr w:rsidR="00EB73B7" w:rsidRPr="00875A4B" w:rsidTr="00875A4B">
        <w:trPr>
          <w:trHeight w:val="300"/>
          <w:jc w:val="center"/>
        </w:trPr>
        <w:tc>
          <w:tcPr>
            <w:tcW w:w="9180" w:type="dxa"/>
            <w:gridSpan w:val="6"/>
            <w:tcBorders>
              <w:top w:val="nil"/>
              <w:left w:val="nil"/>
              <w:bottom w:val="nil"/>
              <w:right w:val="nil"/>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r w:rsidRPr="00875A4B">
              <w:rPr>
                <w:rFonts w:ascii="Perpetua" w:hAnsi="Perpetua"/>
                <w:b/>
                <w:bCs/>
                <w:color w:val="000000"/>
                <w:sz w:val="18"/>
                <w:szCs w:val="18"/>
              </w:rPr>
              <w:t>Estatísticas de dispersão e de tendência central (tipo de termo processual)</w:t>
            </w:r>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 </w:t>
            </w:r>
          </w:p>
        </w:tc>
        <w:tc>
          <w:tcPr>
            <w:tcW w:w="1552" w:type="dxa"/>
            <w:tcBorders>
              <w:top w:val="nil"/>
              <w:left w:val="nil"/>
              <w:bottom w:val="single" w:sz="4" w:space="0" w:color="auto"/>
              <w:right w:val="single" w:sz="4" w:space="0" w:color="auto"/>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proofErr w:type="gramStart"/>
            <w:r w:rsidRPr="00875A4B">
              <w:rPr>
                <w:rFonts w:ascii="Perpetua" w:hAnsi="Perpetua"/>
                <w:b/>
                <w:bCs/>
                <w:color w:val="000000"/>
                <w:sz w:val="18"/>
                <w:szCs w:val="18"/>
              </w:rPr>
              <w:t>perc_ftp_pdf_01</w:t>
            </w:r>
            <w:proofErr w:type="gramEnd"/>
          </w:p>
        </w:tc>
        <w:tc>
          <w:tcPr>
            <w:tcW w:w="1716" w:type="dxa"/>
            <w:tcBorders>
              <w:top w:val="nil"/>
              <w:left w:val="nil"/>
              <w:bottom w:val="single" w:sz="4" w:space="0" w:color="auto"/>
              <w:right w:val="single" w:sz="4" w:space="0" w:color="auto"/>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proofErr w:type="gramStart"/>
            <w:r w:rsidRPr="00875A4B">
              <w:rPr>
                <w:rFonts w:ascii="Perpetua" w:hAnsi="Perpetua"/>
                <w:b/>
                <w:bCs/>
                <w:color w:val="000000"/>
                <w:sz w:val="18"/>
                <w:szCs w:val="18"/>
              </w:rPr>
              <w:t>perc_ftp_rmoe_01</w:t>
            </w:r>
            <w:proofErr w:type="gramEnd"/>
          </w:p>
        </w:tc>
        <w:tc>
          <w:tcPr>
            <w:tcW w:w="1507" w:type="dxa"/>
            <w:tcBorders>
              <w:top w:val="nil"/>
              <w:left w:val="nil"/>
              <w:bottom w:val="single" w:sz="4" w:space="0" w:color="auto"/>
              <w:right w:val="single" w:sz="4" w:space="0" w:color="auto"/>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proofErr w:type="gramStart"/>
            <w:r w:rsidRPr="00875A4B">
              <w:rPr>
                <w:rFonts w:ascii="Perpetua" w:hAnsi="Perpetua"/>
                <w:b/>
                <w:bCs/>
                <w:color w:val="000000"/>
                <w:sz w:val="18"/>
                <w:szCs w:val="18"/>
              </w:rPr>
              <w:t>perc_ftp_sdf_01</w:t>
            </w:r>
            <w:proofErr w:type="gramEnd"/>
          </w:p>
        </w:tc>
        <w:tc>
          <w:tcPr>
            <w:tcW w:w="1550" w:type="dxa"/>
            <w:tcBorders>
              <w:top w:val="nil"/>
              <w:left w:val="nil"/>
              <w:bottom w:val="single" w:sz="4" w:space="0" w:color="auto"/>
              <w:right w:val="single" w:sz="4" w:space="0" w:color="auto"/>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proofErr w:type="gramStart"/>
            <w:r w:rsidRPr="00875A4B">
              <w:rPr>
                <w:rFonts w:ascii="Perpetua" w:hAnsi="Perpetua"/>
                <w:b/>
                <w:bCs/>
                <w:color w:val="000000"/>
                <w:sz w:val="18"/>
                <w:szCs w:val="18"/>
              </w:rPr>
              <w:t>perc_ftp_out_01</w:t>
            </w:r>
            <w:proofErr w:type="gramEnd"/>
          </w:p>
        </w:tc>
        <w:tc>
          <w:tcPr>
            <w:tcW w:w="1662" w:type="dxa"/>
            <w:tcBorders>
              <w:top w:val="nil"/>
              <w:left w:val="nil"/>
              <w:bottom w:val="single" w:sz="4" w:space="0" w:color="auto"/>
              <w:right w:val="nil"/>
            </w:tcBorders>
            <w:shd w:val="clear" w:color="000000" w:fill="FFFFFF"/>
            <w:noWrap/>
            <w:vAlign w:val="center"/>
          </w:tcPr>
          <w:p w:rsidR="00EB73B7" w:rsidRPr="00875A4B" w:rsidRDefault="00EB73B7" w:rsidP="00EB73B7">
            <w:pPr>
              <w:jc w:val="center"/>
              <w:rPr>
                <w:rFonts w:ascii="Perpetua" w:hAnsi="Perpetua"/>
                <w:b/>
                <w:bCs/>
                <w:color w:val="000000"/>
                <w:sz w:val="18"/>
                <w:szCs w:val="18"/>
              </w:rPr>
            </w:pPr>
            <w:proofErr w:type="gramStart"/>
            <w:r w:rsidRPr="00875A4B">
              <w:rPr>
                <w:rFonts w:ascii="Perpetua" w:hAnsi="Perpetua"/>
                <w:b/>
                <w:bCs/>
                <w:color w:val="000000"/>
                <w:sz w:val="18"/>
                <w:szCs w:val="18"/>
              </w:rPr>
              <w:t>perc_ftp_nesp_01</w:t>
            </w:r>
            <w:proofErr w:type="gramEnd"/>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A97DDF" w:rsidP="00EB73B7">
            <w:pPr>
              <w:rPr>
                <w:rFonts w:ascii="Perpetua" w:hAnsi="Perpetua"/>
                <w:color w:val="000000"/>
                <w:sz w:val="18"/>
                <w:szCs w:val="18"/>
              </w:rPr>
            </w:pPr>
            <w:r>
              <w:rPr>
                <w:rFonts w:ascii="Perpetua" w:hAnsi="Perpetua"/>
                <w:color w:val="000000"/>
                <w:sz w:val="18"/>
                <w:szCs w:val="18"/>
              </w:rPr>
              <w:t>Desvio-padrão</w:t>
            </w:r>
          </w:p>
        </w:tc>
        <w:tc>
          <w:tcPr>
            <w:tcW w:w="1552"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0,10</w:t>
            </w:r>
          </w:p>
        </w:tc>
        <w:tc>
          <w:tcPr>
            <w:tcW w:w="1716"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0,04</w:t>
            </w:r>
          </w:p>
        </w:tc>
        <w:tc>
          <w:tcPr>
            <w:tcW w:w="1507"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0,01</w:t>
            </w:r>
          </w:p>
        </w:tc>
        <w:tc>
          <w:tcPr>
            <w:tcW w:w="1550"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0,03</w:t>
            </w:r>
          </w:p>
        </w:tc>
        <w:tc>
          <w:tcPr>
            <w:tcW w:w="1662" w:type="dxa"/>
            <w:tcBorders>
              <w:top w:val="nil"/>
              <w:left w:val="nil"/>
              <w:bottom w:val="single" w:sz="4" w:space="0" w:color="auto"/>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0,11</w:t>
            </w:r>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Coef. Variação</w:t>
            </w:r>
          </w:p>
        </w:tc>
        <w:tc>
          <w:tcPr>
            <w:tcW w:w="1552"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0,33</w:t>
            </w:r>
          </w:p>
        </w:tc>
        <w:tc>
          <w:tcPr>
            <w:tcW w:w="1716"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0,94</w:t>
            </w:r>
          </w:p>
        </w:tc>
        <w:tc>
          <w:tcPr>
            <w:tcW w:w="1507"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2,60</w:t>
            </w:r>
          </w:p>
        </w:tc>
        <w:tc>
          <w:tcPr>
            <w:tcW w:w="1550"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0,62</w:t>
            </w:r>
          </w:p>
        </w:tc>
        <w:tc>
          <w:tcPr>
            <w:tcW w:w="1662" w:type="dxa"/>
            <w:tcBorders>
              <w:top w:val="nil"/>
              <w:left w:val="nil"/>
              <w:bottom w:val="single" w:sz="4" w:space="0" w:color="auto"/>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0,18</w:t>
            </w:r>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Min.</w:t>
            </w:r>
          </w:p>
        </w:tc>
        <w:tc>
          <w:tcPr>
            <w:tcW w:w="1552"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0,09</w:t>
            </w:r>
          </w:p>
        </w:tc>
        <w:tc>
          <w:tcPr>
            <w:tcW w:w="1716"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0,00</w:t>
            </w:r>
          </w:p>
        </w:tc>
        <w:tc>
          <w:tcPr>
            <w:tcW w:w="1507"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0,00</w:t>
            </w:r>
          </w:p>
        </w:tc>
        <w:tc>
          <w:tcPr>
            <w:tcW w:w="1550"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0,00</w:t>
            </w:r>
          </w:p>
        </w:tc>
        <w:tc>
          <w:tcPr>
            <w:tcW w:w="1662" w:type="dxa"/>
            <w:tcBorders>
              <w:top w:val="nil"/>
              <w:left w:val="nil"/>
              <w:bottom w:val="single" w:sz="4" w:space="0" w:color="auto"/>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0,19</w:t>
            </w:r>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Mediana</w:t>
            </w:r>
          </w:p>
        </w:tc>
        <w:tc>
          <w:tcPr>
            <w:tcW w:w="1552"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0,27</w:t>
            </w:r>
          </w:p>
        </w:tc>
        <w:tc>
          <w:tcPr>
            <w:tcW w:w="1716"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0,03</w:t>
            </w:r>
          </w:p>
        </w:tc>
        <w:tc>
          <w:tcPr>
            <w:tcW w:w="1507"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0,00</w:t>
            </w:r>
          </w:p>
        </w:tc>
        <w:tc>
          <w:tcPr>
            <w:tcW w:w="1550"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0,04</w:t>
            </w:r>
          </w:p>
        </w:tc>
        <w:tc>
          <w:tcPr>
            <w:tcW w:w="1662" w:type="dxa"/>
            <w:tcBorders>
              <w:top w:val="nil"/>
              <w:left w:val="nil"/>
              <w:bottom w:val="single" w:sz="4" w:space="0" w:color="auto"/>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0,64</w:t>
            </w:r>
          </w:p>
        </w:tc>
      </w:tr>
      <w:tr w:rsidR="00EB73B7" w:rsidRPr="00875A4B" w:rsidTr="00875A4B">
        <w:trPr>
          <w:trHeight w:val="270"/>
          <w:jc w:val="center"/>
        </w:trPr>
        <w:tc>
          <w:tcPr>
            <w:tcW w:w="1193"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Média</w:t>
            </w:r>
          </w:p>
        </w:tc>
        <w:tc>
          <w:tcPr>
            <w:tcW w:w="1552"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0,30</w:t>
            </w:r>
          </w:p>
        </w:tc>
        <w:tc>
          <w:tcPr>
            <w:tcW w:w="1716"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0,04</w:t>
            </w:r>
          </w:p>
        </w:tc>
        <w:tc>
          <w:tcPr>
            <w:tcW w:w="1507"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0,00</w:t>
            </w:r>
          </w:p>
        </w:tc>
        <w:tc>
          <w:tcPr>
            <w:tcW w:w="1550" w:type="dxa"/>
            <w:tcBorders>
              <w:top w:val="nil"/>
              <w:left w:val="nil"/>
              <w:bottom w:val="single" w:sz="4" w:space="0" w:color="auto"/>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0,04</w:t>
            </w:r>
          </w:p>
        </w:tc>
        <w:tc>
          <w:tcPr>
            <w:tcW w:w="1662" w:type="dxa"/>
            <w:tcBorders>
              <w:top w:val="nil"/>
              <w:left w:val="nil"/>
              <w:bottom w:val="single" w:sz="4" w:space="0" w:color="auto"/>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0,61</w:t>
            </w:r>
          </w:p>
        </w:tc>
      </w:tr>
      <w:tr w:rsidR="00EB73B7" w:rsidRPr="00875A4B" w:rsidTr="00875A4B">
        <w:trPr>
          <w:trHeight w:val="270"/>
          <w:jc w:val="center"/>
        </w:trPr>
        <w:tc>
          <w:tcPr>
            <w:tcW w:w="1193" w:type="dxa"/>
            <w:tcBorders>
              <w:top w:val="nil"/>
              <w:left w:val="nil"/>
              <w:bottom w:val="nil"/>
              <w:right w:val="single" w:sz="4" w:space="0" w:color="auto"/>
            </w:tcBorders>
            <w:shd w:val="clear" w:color="000000" w:fill="FFFFFF"/>
            <w:noWrap/>
            <w:vAlign w:val="bottom"/>
          </w:tcPr>
          <w:p w:rsidR="00EB73B7" w:rsidRPr="00875A4B" w:rsidRDefault="00EB73B7" w:rsidP="00EB73B7">
            <w:pPr>
              <w:rPr>
                <w:rFonts w:ascii="Perpetua" w:hAnsi="Perpetua"/>
                <w:color w:val="000000"/>
                <w:sz w:val="18"/>
                <w:szCs w:val="18"/>
              </w:rPr>
            </w:pPr>
            <w:r w:rsidRPr="00875A4B">
              <w:rPr>
                <w:rFonts w:ascii="Perpetua" w:hAnsi="Perpetua"/>
                <w:color w:val="000000"/>
                <w:sz w:val="18"/>
                <w:szCs w:val="18"/>
              </w:rPr>
              <w:t>Max.</w:t>
            </w:r>
          </w:p>
        </w:tc>
        <w:tc>
          <w:tcPr>
            <w:tcW w:w="1552" w:type="dxa"/>
            <w:tcBorders>
              <w:top w:val="nil"/>
              <w:left w:val="nil"/>
              <w:bottom w:val="nil"/>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0,67</w:t>
            </w:r>
          </w:p>
        </w:tc>
        <w:tc>
          <w:tcPr>
            <w:tcW w:w="1716" w:type="dxa"/>
            <w:tcBorders>
              <w:top w:val="nil"/>
              <w:left w:val="nil"/>
              <w:bottom w:val="nil"/>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0,26</w:t>
            </w:r>
          </w:p>
        </w:tc>
        <w:tc>
          <w:tcPr>
            <w:tcW w:w="1507" w:type="dxa"/>
            <w:tcBorders>
              <w:top w:val="nil"/>
              <w:left w:val="nil"/>
              <w:bottom w:val="nil"/>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0,06</w:t>
            </w:r>
          </w:p>
        </w:tc>
        <w:tc>
          <w:tcPr>
            <w:tcW w:w="1550" w:type="dxa"/>
            <w:tcBorders>
              <w:top w:val="nil"/>
              <w:left w:val="nil"/>
              <w:bottom w:val="nil"/>
              <w:right w:val="single" w:sz="4" w:space="0" w:color="auto"/>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0,21</w:t>
            </w:r>
          </w:p>
        </w:tc>
        <w:tc>
          <w:tcPr>
            <w:tcW w:w="1662" w:type="dxa"/>
            <w:tcBorders>
              <w:top w:val="nil"/>
              <w:left w:val="nil"/>
              <w:bottom w:val="nil"/>
              <w:right w:val="nil"/>
            </w:tcBorders>
            <w:shd w:val="clear" w:color="000000" w:fill="FFFFFF"/>
            <w:noWrap/>
            <w:vAlign w:val="bottom"/>
          </w:tcPr>
          <w:p w:rsidR="00EB73B7" w:rsidRPr="00875A4B" w:rsidRDefault="00EB73B7" w:rsidP="00EB73B7">
            <w:pPr>
              <w:jc w:val="center"/>
              <w:rPr>
                <w:rFonts w:ascii="Perpetua" w:hAnsi="Perpetua"/>
                <w:color w:val="000000"/>
                <w:sz w:val="18"/>
                <w:szCs w:val="18"/>
              </w:rPr>
            </w:pPr>
            <w:r w:rsidRPr="00875A4B">
              <w:rPr>
                <w:rFonts w:ascii="Perpetua" w:hAnsi="Perpetua"/>
                <w:color w:val="000000"/>
                <w:sz w:val="18"/>
                <w:szCs w:val="18"/>
              </w:rPr>
              <w:t>0,80</w:t>
            </w:r>
          </w:p>
        </w:tc>
      </w:tr>
    </w:tbl>
    <w:p w:rsidR="00886063" w:rsidRDefault="00886063" w:rsidP="0008426C">
      <w:pPr>
        <w:rPr>
          <w:rFonts w:ascii="Perpetua" w:hAnsi="Perpetua"/>
        </w:rPr>
      </w:pPr>
    </w:p>
    <w:p w:rsidR="00886063" w:rsidRDefault="00886063" w:rsidP="0008426C">
      <w:pPr>
        <w:rPr>
          <w:rFonts w:ascii="Perpetua" w:hAnsi="Perpetua"/>
        </w:rPr>
      </w:pPr>
    </w:p>
    <w:p w:rsidR="00886063" w:rsidRDefault="00886063" w:rsidP="0008426C">
      <w:pPr>
        <w:rPr>
          <w:rFonts w:ascii="Perpetua" w:hAnsi="Perpetua"/>
        </w:rPr>
      </w:pPr>
    </w:p>
    <w:p w:rsidR="00886063" w:rsidRDefault="00886063" w:rsidP="0008426C">
      <w:pPr>
        <w:rPr>
          <w:rFonts w:ascii="Perpetua" w:hAnsi="Perpetua"/>
        </w:rPr>
      </w:pPr>
    </w:p>
    <w:tbl>
      <w:tblPr>
        <w:tblW w:w="0" w:type="auto"/>
        <w:jc w:val="center"/>
        <w:tblInd w:w="-1396" w:type="dxa"/>
        <w:tblCellMar>
          <w:left w:w="70" w:type="dxa"/>
          <w:right w:w="70" w:type="dxa"/>
        </w:tblCellMar>
        <w:tblLook w:val="04A0"/>
      </w:tblPr>
      <w:tblGrid>
        <w:gridCol w:w="1101"/>
        <w:gridCol w:w="1403"/>
        <w:gridCol w:w="1441"/>
        <w:gridCol w:w="1522"/>
        <w:gridCol w:w="1699"/>
        <w:gridCol w:w="1390"/>
        <w:gridCol w:w="1484"/>
      </w:tblGrid>
      <w:tr w:rsidR="00FE701D" w:rsidRPr="00875A4B" w:rsidTr="00875A4B">
        <w:trPr>
          <w:trHeight w:val="300"/>
          <w:jc w:val="center"/>
        </w:trPr>
        <w:tc>
          <w:tcPr>
            <w:tcW w:w="9840" w:type="dxa"/>
            <w:gridSpan w:val="7"/>
            <w:tcBorders>
              <w:top w:val="nil"/>
              <w:left w:val="nil"/>
              <w:bottom w:val="nil"/>
              <w:right w:val="nil"/>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r w:rsidRPr="00875A4B">
              <w:rPr>
                <w:rFonts w:ascii="Perpetua" w:hAnsi="Perpetua"/>
                <w:b/>
                <w:bCs/>
                <w:color w:val="000000"/>
                <w:sz w:val="18"/>
                <w:szCs w:val="18"/>
              </w:rPr>
              <w:t>Estatísticas de dispersão e de tendência central (tipo de forma processual)</w:t>
            </w:r>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 </w:t>
            </w:r>
          </w:p>
        </w:tc>
        <w:tc>
          <w:tcPr>
            <w:tcW w:w="1398" w:type="dxa"/>
            <w:tcBorders>
              <w:top w:val="nil"/>
              <w:left w:val="nil"/>
              <w:bottom w:val="single" w:sz="4" w:space="0" w:color="auto"/>
              <w:right w:val="single" w:sz="4" w:space="0" w:color="auto"/>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perc_ffp_ord_01</w:t>
            </w:r>
            <w:proofErr w:type="gramEnd"/>
          </w:p>
        </w:tc>
        <w:tc>
          <w:tcPr>
            <w:tcW w:w="1435" w:type="dxa"/>
            <w:tcBorders>
              <w:top w:val="nil"/>
              <w:left w:val="nil"/>
              <w:bottom w:val="single" w:sz="4" w:space="0" w:color="auto"/>
              <w:right w:val="single" w:sz="4" w:space="0" w:color="auto"/>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perc_ffp_sum_01</w:t>
            </w:r>
            <w:proofErr w:type="gramEnd"/>
          </w:p>
        </w:tc>
        <w:tc>
          <w:tcPr>
            <w:tcW w:w="1516" w:type="dxa"/>
            <w:tcBorders>
              <w:top w:val="nil"/>
              <w:left w:val="nil"/>
              <w:bottom w:val="single" w:sz="4" w:space="0" w:color="auto"/>
              <w:right w:val="single" w:sz="4" w:space="0" w:color="auto"/>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perc_ffp_smiss_01</w:t>
            </w:r>
            <w:proofErr w:type="gramEnd"/>
          </w:p>
        </w:tc>
        <w:tc>
          <w:tcPr>
            <w:tcW w:w="1693" w:type="dxa"/>
            <w:tcBorders>
              <w:top w:val="nil"/>
              <w:left w:val="nil"/>
              <w:bottom w:val="single" w:sz="4" w:space="0" w:color="auto"/>
              <w:right w:val="single" w:sz="4" w:space="0" w:color="auto"/>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perc_ffp_sumout_01</w:t>
            </w:r>
            <w:proofErr w:type="gramEnd"/>
          </w:p>
        </w:tc>
        <w:tc>
          <w:tcPr>
            <w:tcW w:w="1385" w:type="dxa"/>
            <w:tcBorders>
              <w:top w:val="nil"/>
              <w:left w:val="nil"/>
              <w:bottom w:val="single" w:sz="4" w:space="0" w:color="auto"/>
              <w:right w:val="single" w:sz="4" w:space="0" w:color="auto"/>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perc_ffp_out_01</w:t>
            </w:r>
            <w:proofErr w:type="gramEnd"/>
            <w:r w:rsidRPr="00875A4B">
              <w:rPr>
                <w:rFonts w:ascii="Perpetua" w:hAnsi="Perpetua"/>
                <w:b/>
                <w:bCs/>
                <w:color w:val="000000"/>
                <w:sz w:val="18"/>
                <w:szCs w:val="18"/>
              </w:rPr>
              <w:t xml:space="preserve"> </w:t>
            </w:r>
          </w:p>
        </w:tc>
        <w:tc>
          <w:tcPr>
            <w:tcW w:w="1317" w:type="dxa"/>
            <w:tcBorders>
              <w:top w:val="nil"/>
              <w:left w:val="nil"/>
              <w:bottom w:val="single" w:sz="4" w:space="0" w:color="auto"/>
              <w:right w:val="nil"/>
            </w:tcBorders>
            <w:shd w:val="clear" w:color="000000" w:fill="FFFFFF"/>
            <w:noWrap/>
            <w:vAlign w:val="center"/>
          </w:tcPr>
          <w:p w:rsidR="00FE701D" w:rsidRPr="00875A4B" w:rsidRDefault="00FE701D" w:rsidP="00FE701D">
            <w:pPr>
              <w:jc w:val="center"/>
              <w:rPr>
                <w:rFonts w:ascii="Perpetua" w:hAnsi="Perpetua"/>
                <w:b/>
                <w:bCs/>
                <w:color w:val="000000"/>
                <w:sz w:val="18"/>
                <w:szCs w:val="18"/>
              </w:rPr>
            </w:pPr>
            <w:proofErr w:type="gramStart"/>
            <w:r w:rsidRPr="00875A4B">
              <w:rPr>
                <w:rFonts w:ascii="Perpetua" w:hAnsi="Perpetua"/>
                <w:b/>
                <w:bCs/>
                <w:color w:val="000000"/>
                <w:sz w:val="18"/>
                <w:szCs w:val="18"/>
              </w:rPr>
              <w:t>perc_ffp_nesp_01</w:t>
            </w:r>
            <w:proofErr w:type="gramEnd"/>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A97DDF" w:rsidP="00FE701D">
            <w:pPr>
              <w:rPr>
                <w:rFonts w:ascii="Perpetua" w:hAnsi="Perpetua"/>
                <w:color w:val="000000"/>
                <w:sz w:val="18"/>
                <w:szCs w:val="18"/>
              </w:rPr>
            </w:pPr>
            <w:r>
              <w:rPr>
                <w:rFonts w:ascii="Perpetua" w:hAnsi="Perpetua"/>
                <w:color w:val="000000"/>
                <w:sz w:val="18"/>
                <w:szCs w:val="18"/>
              </w:rPr>
              <w:t>Desvio-padrão</w:t>
            </w:r>
          </w:p>
        </w:tc>
        <w:tc>
          <w:tcPr>
            <w:tcW w:w="1398"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0,04</w:t>
            </w:r>
          </w:p>
        </w:tc>
        <w:tc>
          <w:tcPr>
            <w:tcW w:w="143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0,05</w:t>
            </w:r>
          </w:p>
        </w:tc>
        <w:tc>
          <w:tcPr>
            <w:tcW w:w="1516"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0,06</w:t>
            </w:r>
          </w:p>
        </w:tc>
        <w:tc>
          <w:tcPr>
            <w:tcW w:w="1693"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0,08</w:t>
            </w:r>
          </w:p>
        </w:tc>
        <w:tc>
          <w:tcPr>
            <w:tcW w:w="138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0,02</w:t>
            </w:r>
          </w:p>
        </w:tc>
        <w:tc>
          <w:tcPr>
            <w:tcW w:w="1317" w:type="dxa"/>
            <w:tcBorders>
              <w:top w:val="nil"/>
              <w:left w:val="nil"/>
              <w:bottom w:val="single" w:sz="4" w:space="0" w:color="auto"/>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0,10</w:t>
            </w:r>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Coef. Variação</w:t>
            </w:r>
          </w:p>
        </w:tc>
        <w:tc>
          <w:tcPr>
            <w:tcW w:w="1398"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0,41</w:t>
            </w:r>
          </w:p>
        </w:tc>
        <w:tc>
          <w:tcPr>
            <w:tcW w:w="143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0,32</w:t>
            </w:r>
          </w:p>
        </w:tc>
        <w:tc>
          <w:tcPr>
            <w:tcW w:w="1516"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0,72</w:t>
            </w:r>
          </w:p>
        </w:tc>
        <w:tc>
          <w:tcPr>
            <w:tcW w:w="1693"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0,42</w:t>
            </w:r>
          </w:p>
        </w:tc>
        <w:tc>
          <w:tcPr>
            <w:tcW w:w="138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1,30</w:t>
            </w:r>
          </w:p>
        </w:tc>
        <w:tc>
          <w:tcPr>
            <w:tcW w:w="1317" w:type="dxa"/>
            <w:tcBorders>
              <w:top w:val="nil"/>
              <w:left w:val="nil"/>
              <w:bottom w:val="single" w:sz="4" w:space="0" w:color="auto"/>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0,21</w:t>
            </w:r>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Min.</w:t>
            </w:r>
          </w:p>
        </w:tc>
        <w:tc>
          <w:tcPr>
            <w:tcW w:w="1398"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0,01</w:t>
            </w:r>
          </w:p>
        </w:tc>
        <w:tc>
          <w:tcPr>
            <w:tcW w:w="143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0,03</w:t>
            </w:r>
          </w:p>
        </w:tc>
        <w:tc>
          <w:tcPr>
            <w:tcW w:w="1516"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0,00</w:t>
            </w:r>
          </w:p>
        </w:tc>
        <w:tc>
          <w:tcPr>
            <w:tcW w:w="1693"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0,01</w:t>
            </w:r>
          </w:p>
        </w:tc>
        <w:tc>
          <w:tcPr>
            <w:tcW w:w="138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0,00</w:t>
            </w:r>
          </w:p>
        </w:tc>
        <w:tc>
          <w:tcPr>
            <w:tcW w:w="1317" w:type="dxa"/>
            <w:tcBorders>
              <w:top w:val="nil"/>
              <w:left w:val="nil"/>
              <w:bottom w:val="single" w:sz="4" w:space="0" w:color="auto"/>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0,09</w:t>
            </w:r>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Mediana</w:t>
            </w:r>
          </w:p>
        </w:tc>
        <w:tc>
          <w:tcPr>
            <w:tcW w:w="1398"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0,09</w:t>
            </w:r>
          </w:p>
        </w:tc>
        <w:tc>
          <w:tcPr>
            <w:tcW w:w="143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0,16</w:t>
            </w:r>
          </w:p>
        </w:tc>
        <w:tc>
          <w:tcPr>
            <w:tcW w:w="1516"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0,07</w:t>
            </w:r>
          </w:p>
        </w:tc>
        <w:tc>
          <w:tcPr>
            <w:tcW w:w="1693"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0,19</w:t>
            </w:r>
          </w:p>
        </w:tc>
        <w:tc>
          <w:tcPr>
            <w:tcW w:w="138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0,01</w:t>
            </w:r>
          </w:p>
        </w:tc>
        <w:tc>
          <w:tcPr>
            <w:tcW w:w="1317" w:type="dxa"/>
            <w:tcBorders>
              <w:top w:val="nil"/>
              <w:left w:val="nil"/>
              <w:bottom w:val="single" w:sz="4" w:space="0" w:color="auto"/>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0,45</w:t>
            </w:r>
          </w:p>
        </w:tc>
      </w:tr>
      <w:tr w:rsidR="00875A4B" w:rsidRPr="00875A4B" w:rsidTr="00875A4B">
        <w:trPr>
          <w:trHeight w:val="270"/>
          <w:jc w:val="center"/>
        </w:trPr>
        <w:tc>
          <w:tcPr>
            <w:tcW w:w="0" w:type="auto"/>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Média</w:t>
            </w:r>
          </w:p>
        </w:tc>
        <w:tc>
          <w:tcPr>
            <w:tcW w:w="1398"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0,09</w:t>
            </w:r>
          </w:p>
        </w:tc>
        <w:tc>
          <w:tcPr>
            <w:tcW w:w="143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0,17</w:t>
            </w:r>
          </w:p>
        </w:tc>
        <w:tc>
          <w:tcPr>
            <w:tcW w:w="1516"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0,08</w:t>
            </w:r>
          </w:p>
        </w:tc>
        <w:tc>
          <w:tcPr>
            <w:tcW w:w="1693"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0,19</w:t>
            </w:r>
          </w:p>
        </w:tc>
        <w:tc>
          <w:tcPr>
            <w:tcW w:w="1385" w:type="dxa"/>
            <w:tcBorders>
              <w:top w:val="nil"/>
              <w:left w:val="nil"/>
              <w:bottom w:val="single" w:sz="4" w:space="0" w:color="auto"/>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0,02</w:t>
            </w:r>
          </w:p>
        </w:tc>
        <w:tc>
          <w:tcPr>
            <w:tcW w:w="1317" w:type="dxa"/>
            <w:tcBorders>
              <w:top w:val="nil"/>
              <w:left w:val="nil"/>
              <w:bottom w:val="single" w:sz="4" w:space="0" w:color="auto"/>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0,45</w:t>
            </w:r>
          </w:p>
        </w:tc>
      </w:tr>
      <w:tr w:rsidR="00875A4B" w:rsidRPr="00875A4B" w:rsidTr="00875A4B">
        <w:trPr>
          <w:trHeight w:val="270"/>
          <w:jc w:val="center"/>
        </w:trPr>
        <w:tc>
          <w:tcPr>
            <w:tcW w:w="0" w:type="auto"/>
            <w:tcBorders>
              <w:top w:val="nil"/>
              <w:left w:val="nil"/>
              <w:bottom w:val="nil"/>
              <w:right w:val="single" w:sz="4" w:space="0" w:color="auto"/>
            </w:tcBorders>
            <w:shd w:val="clear" w:color="000000" w:fill="FFFFFF"/>
            <w:noWrap/>
            <w:vAlign w:val="bottom"/>
          </w:tcPr>
          <w:p w:rsidR="00FE701D" w:rsidRPr="00875A4B" w:rsidRDefault="00FE701D" w:rsidP="00FE701D">
            <w:pPr>
              <w:rPr>
                <w:rFonts w:ascii="Perpetua" w:hAnsi="Perpetua"/>
                <w:color w:val="000000"/>
                <w:sz w:val="18"/>
                <w:szCs w:val="18"/>
              </w:rPr>
            </w:pPr>
            <w:r w:rsidRPr="00875A4B">
              <w:rPr>
                <w:rFonts w:ascii="Perpetua" w:hAnsi="Perpetua"/>
                <w:color w:val="000000"/>
                <w:sz w:val="18"/>
                <w:szCs w:val="18"/>
              </w:rPr>
              <w:t>Max.</w:t>
            </w:r>
          </w:p>
        </w:tc>
        <w:tc>
          <w:tcPr>
            <w:tcW w:w="1398" w:type="dxa"/>
            <w:tcBorders>
              <w:top w:val="nil"/>
              <w:left w:val="nil"/>
              <w:bottom w:val="nil"/>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0,27</w:t>
            </w:r>
          </w:p>
        </w:tc>
        <w:tc>
          <w:tcPr>
            <w:tcW w:w="1435" w:type="dxa"/>
            <w:tcBorders>
              <w:top w:val="nil"/>
              <w:left w:val="nil"/>
              <w:bottom w:val="nil"/>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0,45</w:t>
            </w:r>
          </w:p>
        </w:tc>
        <w:tc>
          <w:tcPr>
            <w:tcW w:w="1516" w:type="dxa"/>
            <w:tcBorders>
              <w:top w:val="nil"/>
              <w:left w:val="nil"/>
              <w:bottom w:val="nil"/>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0,39</w:t>
            </w:r>
          </w:p>
        </w:tc>
        <w:tc>
          <w:tcPr>
            <w:tcW w:w="1693" w:type="dxa"/>
            <w:tcBorders>
              <w:top w:val="nil"/>
              <w:left w:val="nil"/>
              <w:bottom w:val="nil"/>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0,47</w:t>
            </w:r>
          </w:p>
        </w:tc>
        <w:tc>
          <w:tcPr>
            <w:tcW w:w="1385" w:type="dxa"/>
            <w:tcBorders>
              <w:top w:val="nil"/>
              <w:left w:val="nil"/>
              <w:bottom w:val="nil"/>
              <w:right w:val="single" w:sz="4" w:space="0" w:color="auto"/>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0,15</w:t>
            </w:r>
          </w:p>
        </w:tc>
        <w:tc>
          <w:tcPr>
            <w:tcW w:w="1317" w:type="dxa"/>
            <w:tcBorders>
              <w:top w:val="nil"/>
              <w:left w:val="nil"/>
              <w:bottom w:val="nil"/>
              <w:right w:val="nil"/>
            </w:tcBorders>
            <w:shd w:val="clear" w:color="000000" w:fill="FFFFFF"/>
            <w:noWrap/>
            <w:vAlign w:val="bottom"/>
          </w:tcPr>
          <w:p w:rsidR="00FE701D" w:rsidRPr="00875A4B" w:rsidRDefault="00FE701D" w:rsidP="00FE701D">
            <w:pPr>
              <w:jc w:val="center"/>
              <w:rPr>
                <w:rFonts w:ascii="Perpetua" w:hAnsi="Perpetua"/>
                <w:color w:val="000000"/>
                <w:sz w:val="18"/>
                <w:szCs w:val="18"/>
              </w:rPr>
            </w:pPr>
            <w:r w:rsidRPr="00875A4B">
              <w:rPr>
                <w:rFonts w:ascii="Perpetua" w:hAnsi="Perpetua"/>
                <w:color w:val="000000"/>
                <w:sz w:val="18"/>
                <w:szCs w:val="18"/>
              </w:rPr>
              <w:t>0,73</w:t>
            </w:r>
          </w:p>
        </w:tc>
      </w:tr>
    </w:tbl>
    <w:p w:rsidR="00886063" w:rsidRDefault="00886063" w:rsidP="0008426C">
      <w:pPr>
        <w:rPr>
          <w:rFonts w:ascii="Perpetua" w:hAnsi="Perpetua"/>
        </w:rPr>
      </w:pPr>
    </w:p>
    <w:p w:rsidR="00875A4B" w:rsidRDefault="00875A4B" w:rsidP="0008426C">
      <w:pPr>
        <w:rPr>
          <w:rFonts w:ascii="Perpetua" w:hAnsi="Perpetua"/>
        </w:rPr>
      </w:pPr>
    </w:p>
    <w:p w:rsidR="00C46F86" w:rsidRDefault="00C46F86" w:rsidP="0008426C">
      <w:pPr>
        <w:rPr>
          <w:rFonts w:ascii="Perpetua" w:hAnsi="Perpetua"/>
        </w:rPr>
      </w:pPr>
    </w:p>
    <w:tbl>
      <w:tblPr>
        <w:tblW w:w="7634" w:type="dxa"/>
        <w:jc w:val="center"/>
        <w:tblInd w:w="55" w:type="dxa"/>
        <w:tblCellMar>
          <w:left w:w="70" w:type="dxa"/>
          <w:right w:w="70" w:type="dxa"/>
        </w:tblCellMar>
        <w:tblLook w:val="04A0"/>
      </w:tblPr>
      <w:tblGrid>
        <w:gridCol w:w="1299"/>
        <w:gridCol w:w="559"/>
        <w:gridCol w:w="567"/>
        <w:gridCol w:w="511"/>
        <w:gridCol w:w="481"/>
        <w:gridCol w:w="524"/>
        <w:gridCol w:w="469"/>
        <w:gridCol w:w="523"/>
        <w:gridCol w:w="425"/>
        <w:gridCol w:w="469"/>
        <w:gridCol w:w="524"/>
        <w:gridCol w:w="585"/>
        <w:gridCol w:w="382"/>
        <w:gridCol w:w="423"/>
      </w:tblGrid>
      <w:tr w:rsidR="000D3AF1" w:rsidRPr="000D3AF1" w:rsidTr="009174FA">
        <w:trPr>
          <w:trHeight w:val="274"/>
          <w:jc w:val="center"/>
        </w:trPr>
        <w:tc>
          <w:tcPr>
            <w:tcW w:w="6936" w:type="dxa"/>
            <w:gridSpan w:val="12"/>
            <w:tcBorders>
              <w:top w:val="nil"/>
              <w:left w:val="nil"/>
              <w:bottom w:val="nil"/>
              <w:right w:val="nil"/>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 xml:space="preserve">Coeficientes de correlação de Pearson das variáveis de </w:t>
            </w:r>
            <w:r w:rsidRPr="00452271">
              <w:rPr>
                <w:rFonts w:ascii="Perpetua" w:hAnsi="Perpetua"/>
                <w:b/>
                <w:bCs/>
                <w:i/>
                <w:color w:val="000000"/>
                <w:sz w:val="20"/>
                <w:szCs w:val="20"/>
              </w:rPr>
              <w:t>case mix</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 </w:t>
            </w:r>
          </w:p>
        </w:tc>
        <w:tc>
          <w:tcPr>
            <w:tcW w:w="4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 </w:t>
            </w:r>
          </w:p>
        </w:tc>
      </w:tr>
      <w:tr w:rsidR="000D3AF1" w:rsidRPr="000D3AF1" w:rsidTr="009174FA">
        <w:trPr>
          <w:trHeight w:val="106"/>
          <w:jc w:val="center"/>
        </w:trPr>
        <w:tc>
          <w:tcPr>
            <w:tcW w:w="129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5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67"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11"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81"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300"/>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perc_civ_01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67"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11"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81"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80"/>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perc_pen_01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-0,9</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11"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81"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70"/>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perc_tut_01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81"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74"/>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perc_jl_01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481" w:type="dxa"/>
            <w:tcBorders>
              <w:top w:val="nil"/>
              <w:left w:val="nil"/>
              <w:bottom w:val="single" w:sz="4" w:space="0" w:color="auto"/>
              <w:right w:val="nil"/>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24" w:type="dxa"/>
            <w:tcBorders>
              <w:top w:val="nil"/>
              <w:left w:val="single" w:sz="4" w:space="0" w:color="auto"/>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78"/>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perc_ad_01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0,5</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69"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3"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68"/>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perc_exec_01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0,7</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-0,5</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23"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72"/>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proofErr w:type="gramStart"/>
            <w:r w:rsidRPr="000D3AF1">
              <w:rPr>
                <w:rFonts w:ascii="Perpetua" w:hAnsi="Perpetua"/>
                <w:b/>
                <w:bCs/>
                <w:color w:val="000000"/>
                <w:sz w:val="20"/>
                <w:szCs w:val="20"/>
              </w:rPr>
              <w:t>perc_esp_01</w:t>
            </w:r>
            <w:proofErr w:type="gramEnd"/>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0,5</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2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69"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62"/>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perc_pc_01</w:t>
            </w:r>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25" w:type="dxa"/>
            <w:tcBorders>
              <w:top w:val="single" w:sz="4" w:space="0" w:color="auto"/>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69"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24"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80"/>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perc_pt_01</w:t>
            </w:r>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0,5</w:t>
            </w:r>
          </w:p>
        </w:tc>
        <w:tc>
          <w:tcPr>
            <w:tcW w:w="42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24"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58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84"/>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perc_pcj_01</w:t>
            </w:r>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-0,8</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0,9</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-0,5</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42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585" w:type="dxa"/>
            <w:tcBorders>
              <w:top w:val="nil"/>
              <w:left w:val="nil"/>
              <w:bottom w:val="single" w:sz="4" w:space="0" w:color="auto"/>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60"/>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perc_cot_01</w:t>
            </w:r>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0,4</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42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-0,2</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58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275" w:type="dxa"/>
            <w:tcBorders>
              <w:top w:val="nil"/>
              <w:left w:val="nil"/>
              <w:bottom w:val="nil"/>
              <w:right w:val="nil"/>
            </w:tcBorders>
            <w:shd w:val="clear" w:color="000000" w:fill="FFFFFF"/>
            <w:noWrap/>
            <w:vAlign w:val="bottom"/>
          </w:tcPr>
          <w:p w:rsidR="000D3AF1" w:rsidRPr="000D3AF1" w:rsidRDefault="000D3AF1" w:rsidP="000D3AF1">
            <w:pPr>
              <w:rPr>
                <w:rFonts w:ascii="Perpetua" w:hAnsi="Perpetua"/>
                <w:color w:val="000000"/>
                <w:sz w:val="20"/>
                <w:szCs w:val="20"/>
              </w:rPr>
            </w:pPr>
            <w:r w:rsidRPr="000D3AF1">
              <w:rPr>
                <w:rFonts w:ascii="Perpetua" w:hAnsi="Perpetua"/>
                <w:color w:val="000000"/>
                <w:sz w:val="20"/>
                <w:szCs w:val="20"/>
              </w:rPr>
              <w:t> </w:t>
            </w:r>
          </w:p>
        </w:tc>
        <w:tc>
          <w:tcPr>
            <w:tcW w:w="423" w:type="dxa"/>
            <w:vAlign w:val="center"/>
          </w:tcPr>
          <w:p w:rsidR="000D3AF1" w:rsidRPr="000D3AF1" w:rsidRDefault="000D3AF1" w:rsidP="000D3AF1">
            <w:pPr>
              <w:rPr>
                <w:sz w:val="20"/>
                <w:szCs w:val="20"/>
              </w:rPr>
            </w:pPr>
          </w:p>
        </w:tc>
      </w:tr>
      <w:tr w:rsidR="000D3AF1" w:rsidRPr="000D3AF1" w:rsidTr="009174FA">
        <w:trPr>
          <w:trHeight w:val="278"/>
          <w:jc w:val="center"/>
        </w:trPr>
        <w:tc>
          <w:tcPr>
            <w:tcW w:w="129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rPr>
                <w:rFonts w:ascii="Perpetua" w:hAnsi="Perpetua"/>
                <w:b/>
                <w:bCs/>
                <w:color w:val="000000"/>
                <w:sz w:val="20"/>
                <w:szCs w:val="20"/>
              </w:rPr>
            </w:pPr>
            <w:r w:rsidRPr="000D3AF1">
              <w:rPr>
                <w:rFonts w:ascii="Perpetua" w:hAnsi="Perpetua"/>
                <w:b/>
                <w:bCs/>
                <w:color w:val="000000"/>
                <w:sz w:val="20"/>
                <w:szCs w:val="20"/>
              </w:rPr>
              <w:t>perc_out_01</w:t>
            </w:r>
          </w:p>
        </w:tc>
        <w:tc>
          <w:tcPr>
            <w:tcW w:w="55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67"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1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481"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3"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42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0,0</w:t>
            </w:r>
          </w:p>
        </w:tc>
        <w:tc>
          <w:tcPr>
            <w:tcW w:w="469"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524"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-0,3</w:t>
            </w:r>
          </w:p>
        </w:tc>
        <w:tc>
          <w:tcPr>
            <w:tcW w:w="585" w:type="dxa"/>
            <w:tcBorders>
              <w:top w:val="nil"/>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-0,1</w:t>
            </w:r>
          </w:p>
        </w:tc>
        <w:tc>
          <w:tcPr>
            <w:tcW w:w="275" w:type="dxa"/>
            <w:tcBorders>
              <w:top w:val="single" w:sz="4" w:space="0" w:color="auto"/>
              <w:left w:val="nil"/>
              <w:bottom w:val="single" w:sz="4" w:space="0" w:color="auto"/>
              <w:right w:val="single" w:sz="4" w:space="0" w:color="auto"/>
            </w:tcBorders>
            <w:shd w:val="clear" w:color="000000" w:fill="FFFFFF"/>
            <w:noWrap/>
            <w:vAlign w:val="bottom"/>
          </w:tcPr>
          <w:p w:rsidR="000D3AF1" w:rsidRPr="000D3AF1" w:rsidRDefault="000D3AF1" w:rsidP="000D3AF1">
            <w:pPr>
              <w:jc w:val="right"/>
              <w:rPr>
                <w:rFonts w:ascii="Perpetua" w:hAnsi="Perpetua"/>
                <w:color w:val="000000"/>
                <w:sz w:val="20"/>
                <w:szCs w:val="20"/>
              </w:rPr>
            </w:pPr>
            <w:r w:rsidRPr="000D3AF1">
              <w:rPr>
                <w:rFonts w:ascii="Perpetua" w:hAnsi="Perpetua"/>
                <w:color w:val="000000"/>
                <w:sz w:val="20"/>
                <w:szCs w:val="20"/>
              </w:rPr>
              <w:t>1,0</w:t>
            </w:r>
          </w:p>
        </w:tc>
        <w:tc>
          <w:tcPr>
            <w:tcW w:w="423" w:type="dxa"/>
            <w:vAlign w:val="center"/>
          </w:tcPr>
          <w:p w:rsidR="000D3AF1" w:rsidRPr="000D3AF1" w:rsidRDefault="000D3AF1" w:rsidP="000D3AF1">
            <w:pPr>
              <w:rPr>
                <w:sz w:val="20"/>
                <w:szCs w:val="20"/>
              </w:rPr>
            </w:pPr>
          </w:p>
        </w:tc>
      </w:tr>
    </w:tbl>
    <w:p w:rsidR="00886063" w:rsidRDefault="00886063" w:rsidP="0008426C">
      <w:pPr>
        <w:rPr>
          <w:rFonts w:ascii="Perpetua" w:hAnsi="Perpetua"/>
        </w:rPr>
      </w:pPr>
    </w:p>
    <w:p w:rsidR="00886063" w:rsidRDefault="00886063" w:rsidP="0008426C">
      <w:pPr>
        <w:rPr>
          <w:rFonts w:ascii="Perpetua" w:hAnsi="Perpetua"/>
        </w:rPr>
      </w:pPr>
    </w:p>
    <w:p w:rsidR="002B48BB" w:rsidRDefault="002B48BB"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DD5273" w:rsidRDefault="00DD5273" w:rsidP="0008426C">
      <w:pPr>
        <w:rPr>
          <w:rFonts w:ascii="Perpetua" w:hAnsi="Perpetua"/>
        </w:rPr>
      </w:pPr>
    </w:p>
    <w:p w:rsidR="00875A4B" w:rsidRDefault="00875A4B" w:rsidP="0008426C">
      <w:pPr>
        <w:rPr>
          <w:rFonts w:ascii="Perpetua" w:hAnsi="Perpetua"/>
        </w:rPr>
      </w:pPr>
    </w:p>
    <w:p w:rsidR="002B48BB" w:rsidRDefault="00DD5273" w:rsidP="00DD5273">
      <w:pPr>
        <w:pStyle w:val="Heading3"/>
      </w:pPr>
      <w:bookmarkStart w:id="160" w:name="_Toc220484501"/>
      <w:r>
        <w:t xml:space="preserve">9.1.3. Análise de </w:t>
      </w:r>
      <w:r w:rsidRPr="00DD5273">
        <w:rPr>
          <w:i/>
        </w:rPr>
        <w:t>clusters</w:t>
      </w:r>
      <w:bookmarkEnd w:id="160"/>
    </w:p>
    <w:p w:rsidR="002B48BB" w:rsidRDefault="002B48BB" w:rsidP="0008426C">
      <w:pPr>
        <w:rPr>
          <w:rFonts w:ascii="Perpetua" w:hAnsi="Perpetua"/>
        </w:rPr>
      </w:pPr>
    </w:p>
    <w:p w:rsidR="002B48BB" w:rsidRDefault="002B48BB" w:rsidP="0008426C">
      <w:pPr>
        <w:rPr>
          <w:rFonts w:ascii="Perpetua" w:hAnsi="Perpetua"/>
        </w:rPr>
      </w:pPr>
    </w:p>
    <w:p w:rsidR="00C46F86" w:rsidRDefault="00C46F86" w:rsidP="0008426C">
      <w:pPr>
        <w:rPr>
          <w:rFonts w:ascii="Perpetua" w:hAnsi="Perpetua"/>
        </w:rPr>
      </w:pPr>
      <w:r>
        <w:rPr>
          <w:rFonts w:ascii="Perpetua" w:hAnsi="Perpetua"/>
        </w:rPr>
        <w:t xml:space="preserve">Diagramas de frequência de Kernel das variáveis </w:t>
      </w:r>
      <w:r w:rsidRPr="00C46F86">
        <w:rPr>
          <w:rFonts w:ascii="Perpetua" w:hAnsi="Perpetua"/>
          <w:i/>
        </w:rPr>
        <w:t>dummy</w:t>
      </w:r>
    </w:p>
    <w:p w:rsidR="00C46F86" w:rsidRDefault="00C46F86" w:rsidP="0008426C">
      <w:pPr>
        <w:rPr>
          <w:rFonts w:ascii="Perpetua" w:hAnsi="Perpetua"/>
        </w:rPr>
      </w:pPr>
    </w:p>
    <w:p w:rsidR="002B48BB" w:rsidRDefault="00C82BCA" w:rsidP="00DD5273">
      <w:pPr>
        <w:jc w:val="center"/>
        <w:rPr>
          <w:rFonts w:ascii="Perpetua" w:hAnsi="Perpetua"/>
        </w:rPr>
      </w:pPr>
      <w:r>
        <w:rPr>
          <w:rFonts w:ascii="Perpetua" w:hAnsi="Perpetua"/>
          <w:noProof/>
        </w:rPr>
        <w:drawing>
          <wp:inline distT="0" distB="0" distL="0" distR="0">
            <wp:extent cx="4533900" cy="3314700"/>
            <wp:effectExtent l="0" t="0" r="0" b="0"/>
            <wp:docPr id="73"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107"/>
                    <a:srcRect/>
                    <a:stretch>
                      <a:fillRect/>
                    </a:stretch>
                  </pic:blipFill>
                  <pic:spPr bwMode="auto">
                    <a:xfrm>
                      <a:off x="0" y="0"/>
                      <a:ext cx="4533900" cy="3314700"/>
                    </a:xfrm>
                    <a:prstGeom prst="rect">
                      <a:avLst/>
                    </a:prstGeom>
                    <a:noFill/>
                    <a:ln w="9525">
                      <a:noFill/>
                      <a:miter lim="800000"/>
                      <a:headEnd/>
                      <a:tailEnd/>
                    </a:ln>
                  </pic:spPr>
                </pic:pic>
              </a:graphicData>
            </a:graphic>
          </wp:inline>
        </w:drawing>
      </w:r>
    </w:p>
    <w:p w:rsidR="002B48BB" w:rsidRDefault="002B48BB" w:rsidP="0008426C">
      <w:pPr>
        <w:rPr>
          <w:rFonts w:ascii="Perpetua" w:hAnsi="Perpetua"/>
        </w:rPr>
      </w:pPr>
    </w:p>
    <w:p w:rsidR="002B48BB" w:rsidRDefault="002B48BB" w:rsidP="0008426C">
      <w:pPr>
        <w:rPr>
          <w:rFonts w:ascii="Perpetua" w:hAnsi="Perpetua"/>
        </w:rPr>
      </w:pPr>
    </w:p>
    <w:p w:rsidR="00DD5273" w:rsidRDefault="00DD5273" w:rsidP="00DD5273">
      <w:pPr>
        <w:jc w:val="center"/>
        <w:rPr>
          <w:rFonts w:ascii="Perpetua" w:hAnsi="Perpetua"/>
        </w:rPr>
      </w:pPr>
    </w:p>
    <w:p w:rsidR="002B48BB" w:rsidRDefault="002B48BB" w:rsidP="0008426C">
      <w:pPr>
        <w:rPr>
          <w:rFonts w:ascii="Perpetua" w:hAnsi="Perpetua"/>
        </w:rPr>
      </w:pPr>
    </w:p>
    <w:p w:rsidR="002B48BB" w:rsidRDefault="00C82BCA" w:rsidP="00DD5273">
      <w:pPr>
        <w:jc w:val="center"/>
        <w:rPr>
          <w:rFonts w:ascii="Perpetua" w:hAnsi="Perpetua"/>
        </w:rPr>
      </w:pPr>
      <w:r>
        <w:rPr>
          <w:rFonts w:ascii="Perpetua" w:hAnsi="Perpetua"/>
          <w:noProof/>
        </w:rPr>
        <w:drawing>
          <wp:inline distT="0" distB="0" distL="0" distR="0">
            <wp:extent cx="4514850" cy="3305175"/>
            <wp:effectExtent l="0" t="0" r="0" b="0"/>
            <wp:docPr id="74"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108"/>
                    <a:srcRect/>
                    <a:stretch>
                      <a:fillRect/>
                    </a:stretch>
                  </pic:blipFill>
                  <pic:spPr bwMode="auto">
                    <a:xfrm>
                      <a:off x="0" y="0"/>
                      <a:ext cx="4514850" cy="3305175"/>
                    </a:xfrm>
                    <a:prstGeom prst="rect">
                      <a:avLst/>
                    </a:prstGeom>
                    <a:noFill/>
                    <a:ln w="9525">
                      <a:noFill/>
                      <a:miter lim="800000"/>
                      <a:headEnd/>
                      <a:tailEnd/>
                    </a:ln>
                  </pic:spPr>
                </pic:pic>
              </a:graphicData>
            </a:graphic>
          </wp:inline>
        </w:drawing>
      </w:r>
    </w:p>
    <w:p w:rsidR="002B48BB" w:rsidRDefault="002B48BB"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C46F86" w:rsidRDefault="00C46F86" w:rsidP="0008426C">
      <w:pPr>
        <w:rPr>
          <w:rFonts w:ascii="Perpetua" w:hAnsi="Perpetua"/>
        </w:rPr>
      </w:pPr>
    </w:p>
    <w:p w:rsidR="002B48BB" w:rsidRDefault="002B48BB" w:rsidP="0008426C">
      <w:pPr>
        <w:rPr>
          <w:rFonts w:ascii="Perpetua" w:hAnsi="Perpetua"/>
        </w:rPr>
      </w:pPr>
    </w:p>
    <w:p w:rsidR="002B48BB" w:rsidRDefault="002B48BB" w:rsidP="0008426C">
      <w:pPr>
        <w:rPr>
          <w:rFonts w:ascii="Perpetua" w:hAnsi="Perpetua"/>
        </w:rPr>
      </w:pPr>
    </w:p>
    <w:p w:rsidR="002B48BB" w:rsidRDefault="00C82BCA" w:rsidP="00DD5273">
      <w:pPr>
        <w:jc w:val="center"/>
        <w:rPr>
          <w:rFonts w:ascii="Perpetua" w:hAnsi="Perpetua"/>
        </w:rPr>
      </w:pPr>
      <w:r>
        <w:rPr>
          <w:rFonts w:ascii="Perpetua" w:hAnsi="Perpetua"/>
          <w:noProof/>
        </w:rPr>
        <w:drawing>
          <wp:inline distT="0" distB="0" distL="0" distR="0">
            <wp:extent cx="4400550" cy="3219450"/>
            <wp:effectExtent l="0" t="0" r="0" b="0"/>
            <wp:docPr id="75"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109"/>
                    <a:srcRect/>
                    <a:stretch>
                      <a:fillRect/>
                    </a:stretch>
                  </pic:blipFill>
                  <pic:spPr bwMode="auto">
                    <a:xfrm>
                      <a:off x="0" y="0"/>
                      <a:ext cx="4400550" cy="3219450"/>
                    </a:xfrm>
                    <a:prstGeom prst="rect">
                      <a:avLst/>
                    </a:prstGeom>
                    <a:noFill/>
                    <a:ln w="9525">
                      <a:noFill/>
                      <a:miter lim="800000"/>
                      <a:headEnd/>
                      <a:tailEnd/>
                    </a:ln>
                  </pic:spPr>
                </pic:pic>
              </a:graphicData>
            </a:graphic>
          </wp:inline>
        </w:drawing>
      </w:r>
    </w:p>
    <w:p w:rsidR="002B48BB" w:rsidRDefault="002B48BB" w:rsidP="0008426C">
      <w:pPr>
        <w:rPr>
          <w:rFonts w:ascii="Perpetua" w:hAnsi="Perpetua"/>
        </w:rPr>
      </w:pPr>
    </w:p>
    <w:p w:rsidR="00C46F86" w:rsidRDefault="00C46F86" w:rsidP="00EA3556">
      <w:pPr>
        <w:jc w:val="center"/>
        <w:rPr>
          <w:rFonts w:ascii="Perpetua" w:hAnsi="Perpetua"/>
        </w:rPr>
      </w:pPr>
    </w:p>
    <w:p w:rsidR="00A84FE3" w:rsidRDefault="00A84FE3" w:rsidP="00EA3556">
      <w:pPr>
        <w:jc w:val="center"/>
        <w:rPr>
          <w:rFonts w:ascii="Perpetua" w:hAnsi="Perpetua"/>
        </w:rPr>
      </w:pPr>
    </w:p>
    <w:p w:rsidR="00C46F86" w:rsidRPr="00C46F86" w:rsidRDefault="00C46F86" w:rsidP="00C46F86">
      <w:pPr>
        <w:jc w:val="both"/>
        <w:rPr>
          <w:rFonts w:ascii="Perpetua" w:hAnsi="Perpetua"/>
        </w:rPr>
      </w:pPr>
      <w:r>
        <w:rPr>
          <w:rFonts w:ascii="Perpetua" w:hAnsi="Perpetua"/>
        </w:rPr>
        <w:t xml:space="preserve">Dendogramas das análises de </w:t>
      </w:r>
      <w:r w:rsidRPr="00C46F86">
        <w:rPr>
          <w:rFonts w:ascii="Perpetua" w:hAnsi="Perpetua"/>
          <w:i/>
        </w:rPr>
        <w:t>clusters</w:t>
      </w:r>
      <w:r>
        <w:rPr>
          <w:rFonts w:ascii="Perpetua" w:hAnsi="Perpetua"/>
        </w:rPr>
        <w:t xml:space="preserve"> por vários métodos hierárquicos de agregação</w:t>
      </w:r>
    </w:p>
    <w:p w:rsidR="00C46F86" w:rsidRDefault="00C46F86" w:rsidP="00EA3556">
      <w:pPr>
        <w:jc w:val="center"/>
        <w:rPr>
          <w:rFonts w:ascii="Perpetua" w:hAnsi="Perpetua"/>
        </w:rPr>
      </w:pPr>
    </w:p>
    <w:p w:rsidR="00C46F86" w:rsidRDefault="00C46F86" w:rsidP="00EA3556">
      <w:pPr>
        <w:jc w:val="center"/>
        <w:rPr>
          <w:rFonts w:ascii="Perpetua" w:hAnsi="Perpetua"/>
        </w:rPr>
      </w:pPr>
    </w:p>
    <w:p w:rsidR="004E74B7" w:rsidRPr="00D84E63" w:rsidRDefault="004E74B7" w:rsidP="00EA3556">
      <w:pPr>
        <w:jc w:val="center"/>
        <w:rPr>
          <w:rFonts w:ascii="Perpetua" w:hAnsi="Perpetua"/>
        </w:rPr>
      </w:pPr>
      <w:r w:rsidRPr="004E74B7">
        <w:rPr>
          <w:rFonts w:ascii="Perpetua" w:hAnsi="Perpetua"/>
        </w:rPr>
        <w:t>Ward’s linkage</w:t>
      </w:r>
      <w:r w:rsidR="00C82BCA">
        <w:rPr>
          <w:rFonts w:ascii="Perpetua" w:hAnsi="Perpetua"/>
          <w:noProof/>
        </w:rPr>
        <w:drawing>
          <wp:inline distT="0" distB="0" distL="0" distR="0">
            <wp:extent cx="5105400" cy="3743325"/>
            <wp:effectExtent l="0" t="0" r="0" b="0"/>
            <wp:docPr id="7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0"/>
                    <a:srcRect/>
                    <a:stretch>
                      <a:fillRect/>
                    </a:stretch>
                  </pic:blipFill>
                  <pic:spPr bwMode="auto">
                    <a:xfrm>
                      <a:off x="0" y="0"/>
                      <a:ext cx="5105400" cy="3743325"/>
                    </a:xfrm>
                    <a:prstGeom prst="rect">
                      <a:avLst/>
                    </a:prstGeom>
                    <a:noFill/>
                    <a:ln w="9525">
                      <a:noFill/>
                      <a:miter lim="800000"/>
                      <a:headEnd/>
                      <a:tailEnd/>
                    </a:ln>
                  </pic:spPr>
                </pic:pic>
              </a:graphicData>
            </a:graphic>
          </wp:inline>
        </w:drawing>
      </w:r>
    </w:p>
    <w:p w:rsidR="004E74B7" w:rsidRDefault="004E74B7" w:rsidP="004E74B7">
      <w:pPr>
        <w:rPr>
          <w:rFonts w:ascii="Perpetua" w:hAnsi="Perpetua"/>
          <w:b/>
        </w:rPr>
      </w:pPr>
    </w:p>
    <w:p w:rsidR="004E74B7" w:rsidRDefault="004E74B7" w:rsidP="004E74B7">
      <w:pPr>
        <w:rPr>
          <w:rFonts w:ascii="Perpetua" w:hAnsi="Perpetua"/>
          <w:b/>
        </w:rPr>
      </w:pPr>
    </w:p>
    <w:p w:rsidR="004E74B7" w:rsidRPr="004E74B7" w:rsidRDefault="004E74B7" w:rsidP="004E74B7">
      <w:pPr>
        <w:rPr>
          <w:rFonts w:ascii="Perpetua" w:hAnsi="Perpetua"/>
        </w:rPr>
      </w:pPr>
      <w:r w:rsidRPr="004E74B7">
        <w:rPr>
          <w:rFonts w:ascii="Perpetua" w:hAnsi="Perpetua"/>
        </w:rPr>
        <w:t>Single linkage</w:t>
      </w:r>
    </w:p>
    <w:p w:rsidR="004E74B7" w:rsidRPr="00D84E63" w:rsidRDefault="00C82BCA" w:rsidP="00EA3556">
      <w:pPr>
        <w:jc w:val="center"/>
        <w:rPr>
          <w:rFonts w:ascii="Perpetua" w:hAnsi="Perpetua"/>
          <w:b/>
        </w:rPr>
      </w:pPr>
      <w:r>
        <w:rPr>
          <w:rFonts w:ascii="Perpetua" w:hAnsi="Perpetua"/>
          <w:b/>
          <w:noProof/>
        </w:rPr>
        <w:drawing>
          <wp:inline distT="0" distB="0" distL="0" distR="0">
            <wp:extent cx="5105400" cy="3743325"/>
            <wp:effectExtent l="0" t="0" r="0" b="0"/>
            <wp:docPr id="7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1"/>
                    <a:srcRect/>
                    <a:stretch>
                      <a:fillRect/>
                    </a:stretch>
                  </pic:blipFill>
                  <pic:spPr bwMode="auto">
                    <a:xfrm>
                      <a:off x="0" y="0"/>
                      <a:ext cx="5105400" cy="3743325"/>
                    </a:xfrm>
                    <a:prstGeom prst="rect">
                      <a:avLst/>
                    </a:prstGeom>
                    <a:noFill/>
                    <a:ln w="9525">
                      <a:noFill/>
                      <a:miter lim="800000"/>
                      <a:headEnd/>
                      <a:tailEnd/>
                    </a:ln>
                  </pic:spPr>
                </pic:pic>
              </a:graphicData>
            </a:graphic>
          </wp:inline>
        </w:drawing>
      </w:r>
    </w:p>
    <w:p w:rsidR="004E74B7" w:rsidRPr="00D84E63" w:rsidRDefault="004E74B7" w:rsidP="004E74B7">
      <w:pPr>
        <w:rPr>
          <w:rFonts w:ascii="Perpetua" w:hAnsi="Perpetua"/>
          <w:b/>
        </w:rPr>
      </w:pPr>
    </w:p>
    <w:p w:rsidR="004E74B7" w:rsidRPr="004E74B7" w:rsidRDefault="004E74B7" w:rsidP="004E74B7">
      <w:pPr>
        <w:rPr>
          <w:rFonts w:ascii="Perpetua" w:hAnsi="Perpetua"/>
        </w:rPr>
      </w:pPr>
      <w:r w:rsidRPr="004E74B7">
        <w:rPr>
          <w:rFonts w:ascii="Perpetua" w:hAnsi="Perpetua"/>
        </w:rPr>
        <w:t>Complete linkage</w:t>
      </w:r>
    </w:p>
    <w:p w:rsidR="004E74B7" w:rsidRPr="00D84E63" w:rsidRDefault="00C82BCA" w:rsidP="00EA3556">
      <w:pPr>
        <w:jc w:val="center"/>
        <w:rPr>
          <w:rFonts w:ascii="Perpetua" w:hAnsi="Perpetua"/>
          <w:b/>
        </w:rPr>
      </w:pPr>
      <w:r>
        <w:rPr>
          <w:rFonts w:ascii="Perpetua" w:hAnsi="Perpetua"/>
          <w:b/>
          <w:noProof/>
        </w:rPr>
        <w:drawing>
          <wp:inline distT="0" distB="0" distL="0" distR="0">
            <wp:extent cx="5105400" cy="3743325"/>
            <wp:effectExtent l="0" t="0" r="0" b="0"/>
            <wp:docPr id="7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2"/>
                    <a:srcRect/>
                    <a:stretch>
                      <a:fillRect/>
                    </a:stretch>
                  </pic:blipFill>
                  <pic:spPr bwMode="auto">
                    <a:xfrm>
                      <a:off x="0" y="0"/>
                      <a:ext cx="5105400" cy="3743325"/>
                    </a:xfrm>
                    <a:prstGeom prst="rect">
                      <a:avLst/>
                    </a:prstGeom>
                    <a:noFill/>
                    <a:ln w="9525">
                      <a:noFill/>
                      <a:miter lim="800000"/>
                      <a:headEnd/>
                      <a:tailEnd/>
                    </a:ln>
                  </pic:spPr>
                </pic:pic>
              </a:graphicData>
            </a:graphic>
          </wp:inline>
        </w:drawing>
      </w:r>
    </w:p>
    <w:p w:rsidR="004E74B7" w:rsidRPr="00D84E63" w:rsidRDefault="004E74B7" w:rsidP="004E74B7">
      <w:pPr>
        <w:rPr>
          <w:rFonts w:ascii="Perpetua" w:hAnsi="Perpetua"/>
          <w:b/>
        </w:rPr>
      </w:pPr>
    </w:p>
    <w:p w:rsidR="004E74B7" w:rsidRDefault="004E74B7" w:rsidP="004E74B7">
      <w:pPr>
        <w:rPr>
          <w:rFonts w:ascii="Perpetua" w:hAnsi="Perpetua"/>
        </w:rPr>
      </w:pPr>
    </w:p>
    <w:p w:rsidR="004E74B7" w:rsidRDefault="004E74B7" w:rsidP="004E74B7">
      <w:pPr>
        <w:rPr>
          <w:rFonts w:ascii="Perpetua" w:hAnsi="Perpetua"/>
        </w:rPr>
      </w:pPr>
    </w:p>
    <w:p w:rsidR="004E74B7" w:rsidRDefault="004E74B7" w:rsidP="004E74B7">
      <w:pPr>
        <w:rPr>
          <w:rFonts w:ascii="Perpetua" w:hAnsi="Perpetua"/>
        </w:rPr>
      </w:pPr>
    </w:p>
    <w:p w:rsidR="004E74B7" w:rsidRDefault="004E74B7" w:rsidP="004E74B7">
      <w:pPr>
        <w:rPr>
          <w:rFonts w:ascii="Perpetua" w:hAnsi="Perpetua"/>
        </w:rPr>
      </w:pPr>
    </w:p>
    <w:p w:rsidR="004E74B7" w:rsidRPr="004E74B7" w:rsidRDefault="004E74B7" w:rsidP="004E74B7">
      <w:pPr>
        <w:rPr>
          <w:rFonts w:ascii="Perpetua" w:hAnsi="Perpetua"/>
        </w:rPr>
      </w:pPr>
      <w:r w:rsidRPr="004E74B7">
        <w:rPr>
          <w:rFonts w:ascii="Perpetua" w:hAnsi="Perpetua"/>
        </w:rPr>
        <w:t>Average linkage</w:t>
      </w:r>
    </w:p>
    <w:p w:rsidR="004E74B7" w:rsidRPr="00D84E63" w:rsidRDefault="00C82BCA" w:rsidP="00EA3556">
      <w:pPr>
        <w:jc w:val="center"/>
        <w:rPr>
          <w:rFonts w:ascii="Perpetua" w:hAnsi="Perpetua"/>
          <w:b/>
        </w:rPr>
      </w:pPr>
      <w:r>
        <w:rPr>
          <w:rFonts w:ascii="Perpetua" w:hAnsi="Perpetua"/>
          <w:b/>
          <w:noProof/>
        </w:rPr>
        <w:drawing>
          <wp:inline distT="0" distB="0" distL="0" distR="0">
            <wp:extent cx="5105400" cy="3743325"/>
            <wp:effectExtent l="0" t="0" r="0" b="0"/>
            <wp:docPr id="7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3"/>
                    <a:srcRect/>
                    <a:stretch>
                      <a:fillRect/>
                    </a:stretch>
                  </pic:blipFill>
                  <pic:spPr bwMode="auto">
                    <a:xfrm>
                      <a:off x="0" y="0"/>
                      <a:ext cx="5105400" cy="3743325"/>
                    </a:xfrm>
                    <a:prstGeom prst="rect">
                      <a:avLst/>
                    </a:prstGeom>
                    <a:noFill/>
                    <a:ln w="9525">
                      <a:noFill/>
                      <a:miter lim="800000"/>
                      <a:headEnd/>
                      <a:tailEnd/>
                    </a:ln>
                  </pic:spPr>
                </pic:pic>
              </a:graphicData>
            </a:graphic>
          </wp:inline>
        </w:drawing>
      </w:r>
    </w:p>
    <w:p w:rsidR="004E74B7" w:rsidRDefault="004E74B7" w:rsidP="004E74B7">
      <w:pPr>
        <w:rPr>
          <w:rFonts w:ascii="Perpetua" w:hAnsi="Perpetua"/>
        </w:rPr>
      </w:pPr>
    </w:p>
    <w:p w:rsidR="004E74B7" w:rsidRDefault="004E74B7" w:rsidP="004E74B7">
      <w:pPr>
        <w:pStyle w:val="Heading3"/>
      </w:pPr>
      <w:bookmarkStart w:id="161" w:name="_Toc220484502"/>
      <w:r>
        <w:t>9.1.4. Análise bivariada</w:t>
      </w:r>
      <w:bookmarkEnd w:id="161"/>
    </w:p>
    <w:p w:rsidR="004E74B7" w:rsidRDefault="004E74B7" w:rsidP="004E74B7">
      <w:pPr>
        <w:rPr>
          <w:rFonts w:ascii="Perpetua" w:hAnsi="Perpetua"/>
        </w:rPr>
      </w:pPr>
    </w:p>
    <w:p w:rsidR="00C46F86" w:rsidRDefault="00C46F86" w:rsidP="004E74B7">
      <w:pPr>
        <w:rPr>
          <w:rFonts w:ascii="Perpetua" w:hAnsi="Perpetua"/>
        </w:rPr>
      </w:pPr>
    </w:p>
    <w:p w:rsidR="00C46F86" w:rsidRDefault="00C46F86" w:rsidP="004E74B7">
      <w:pPr>
        <w:rPr>
          <w:rFonts w:ascii="Perpetua" w:hAnsi="Perpetua"/>
        </w:rPr>
      </w:pPr>
      <w:r>
        <w:rPr>
          <w:rFonts w:ascii="Perpetua" w:hAnsi="Perpetua"/>
        </w:rPr>
        <w:t>Diagramas de dispersão</w:t>
      </w:r>
    </w:p>
    <w:p w:rsidR="002B48BB" w:rsidRDefault="002B48BB" w:rsidP="0008426C">
      <w:pPr>
        <w:rPr>
          <w:rFonts w:ascii="Perpetua" w:hAnsi="Perpetua"/>
        </w:rPr>
      </w:pPr>
    </w:p>
    <w:p w:rsidR="00C46F86" w:rsidRDefault="00C46F86" w:rsidP="0008426C">
      <w:pPr>
        <w:rPr>
          <w:rFonts w:ascii="Perpetua" w:hAnsi="Perpetua"/>
        </w:rPr>
      </w:pPr>
    </w:p>
    <w:p w:rsidR="0008426C" w:rsidRDefault="00C82BCA" w:rsidP="004E74B7">
      <w:pPr>
        <w:jc w:val="center"/>
        <w:rPr>
          <w:rFonts w:ascii="Perpetua" w:hAnsi="Perpetua"/>
        </w:rPr>
      </w:pPr>
      <w:r>
        <w:rPr>
          <w:rFonts w:ascii="Perpetua" w:hAnsi="Perpetua"/>
          <w:noProof/>
        </w:rPr>
        <w:drawing>
          <wp:inline distT="0" distB="0" distL="0" distR="0">
            <wp:extent cx="4210050" cy="3086100"/>
            <wp:effectExtent l="0" t="0" r="0" b="0"/>
            <wp:docPr id="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4"/>
                    <a:srcRect/>
                    <a:stretch>
                      <a:fillRect/>
                    </a:stretch>
                  </pic:blipFill>
                  <pic:spPr bwMode="auto">
                    <a:xfrm>
                      <a:off x="0" y="0"/>
                      <a:ext cx="4210050" cy="3086100"/>
                    </a:xfrm>
                    <a:prstGeom prst="rect">
                      <a:avLst/>
                    </a:prstGeom>
                    <a:noFill/>
                    <a:ln w="9525">
                      <a:noFill/>
                      <a:miter lim="800000"/>
                      <a:headEnd/>
                      <a:tailEnd/>
                    </a:ln>
                  </pic:spPr>
                </pic:pic>
              </a:graphicData>
            </a:graphic>
          </wp:inline>
        </w:drawing>
      </w:r>
    </w:p>
    <w:p w:rsidR="00EA3556" w:rsidRDefault="00EA3556" w:rsidP="004E74B7">
      <w:pPr>
        <w:jc w:val="center"/>
        <w:rPr>
          <w:rFonts w:ascii="Perpetua" w:hAnsi="Perpetua"/>
        </w:rPr>
      </w:pPr>
    </w:p>
    <w:p w:rsidR="00EA3556" w:rsidRDefault="00EA3556" w:rsidP="004E74B7">
      <w:pPr>
        <w:jc w:val="center"/>
        <w:rPr>
          <w:rFonts w:ascii="Perpetua" w:hAnsi="Perpetua"/>
        </w:rPr>
      </w:pPr>
    </w:p>
    <w:p w:rsidR="00EA3556" w:rsidRDefault="00EA3556" w:rsidP="004E74B7">
      <w:pPr>
        <w:jc w:val="center"/>
        <w:rPr>
          <w:rFonts w:ascii="Perpetua" w:hAnsi="Perpetua"/>
        </w:rPr>
      </w:pPr>
    </w:p>
    <w:p w:rsidR="00EA3556" w:rsidRPr="0067317B" w:rsidRDefault="00EA3556" w:rsidP="004E74B7">
      <w:pPr>
        <w:jc w:val="center"/>
        <w:rPr>
          <w:rFonts w:ascii="Perpetua" w:hAnsi="Perpetua"/>
        </w:rPr>
      </w:pPr>
    </w:p>
    <w:p w:rsidR="0008426C" w:rsidRDefault="00C82BCA" w:rsidP="004E74B7">
      <w:pPr>
        <w:jc w:val="center"/>
        <w:rPr>
          <w:rFonts w:ascii="Perpetua" w:hAnsi="Perpetua"/>
        </w:rPr>
      </w:pPr>
      <w:r>
        <w:rPr>
          <w:rFonts w:ascii="Perpetua" w:hAnsi="Perpetua"/>
          <w:noProof/>
        </w:rPr>
        <w:drawing>
          <wp:inline distT="0" distB="0" distL="0" distR="0">
            <wp:extent cx="4229100" cy="3095625"/>
            <wp:effectExtent l="0" t="0" r="0" b="0"/>
            <wp:docPr id="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5"/>
                    <a:srcRect/>
                    <a:stretch>
                      <a:fillRect/>
                    </a:stretch>
                  </pic:blipFill>
                  <pic:spPr bwMode="auto">
                    <a:xfrm>
                      <a:off x="0" y="0"/>
                      <a:ext cx="4229100" cy="3095625"/>
                    </a:xfrm>
                    <a:prstGeom prst="rect">
                      <a:avLst/>
                    </a:prstGeom>
                    <a:noFill/>
                    <a:ln w="9525">
                      <a:noFill/>
                      <a:miter lim="800000"/>
                      <a:headEnd/>
                      <a:tailEnd/>
                    </a:ln>
                  </pic:spPr>
                </pic:pic>
              </a:graphicData>
            </a:graphic>
          </wp:inline>
        </w:drawing>
      </w:r>
    </w:p>
    <w:p w:rsidR="004E74B7" w:rsidRDefault="004E74B7" w:rsidP="004E74B7">
      <w:pPr>
        <w:jc w:val="center"/>
        <w:rPr>
          <w:rFonts w:ascii="Perpetua" w:hAnsi="Perpetua"/>
        </w:rPr>
      </w:pPr>
    </w:p>
    <w:p w:rsidR="004E74B7" w:rsidRDefault="004E74B7"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4E74B7" w:rsidRDefault="00C82BCA" w:rsidP="004E74B7">
      <w:pPr>
        <w:jc w:val="center"/>
        <w:rPr>
          <w:rFonts w:ascii="Perpetua" w:hAnsi="Perpetua"/>
        </w:rPr>
      </w:pPr>
      <w:r>
        <w:rPr>
          <w:rFonts w:ascii="Perpetua" w:hAnsi="Perpetua"/>
          <w:noProof/>
        </w:rPr>
        <w:drawing>
          <wp:inline distT="0" distB="0" distL="0" distR="0">
            <wp:extent cx="4133850" cy="3028950"/>
            <wp:effectExtent l="0" t="0" r="0" b="0"/>
            <wp:docPr id="82"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16"/>
                    <a:srcRect/>
                    <a:stretch>
                      <a:fillRect/>
                    </a:stretch>
                  </pic:blipFill>
                  <pic:spPr bwMode="auto">
                    <a:xfrm>
                      <a:off x="0" y="0"/>
                      <a:ext cx="4133850" cy="3028950"/>
                    </a:xfrm>
                    <a:prstGeom prst="rect">
                      <a:avLst/>
                    </a:prstGeom>
                    <a:noFill/>
                    <a:ln w="9525">
                      <a:noFill/>
                      <a:miter lim="800000"/>
                      <a:headEnd/>
                      <a:tailEnd/>
                    </a:ln>
                  </pic:spPr>
                </pic:pic>
              </a:graphicData>
            </a:graphic>
          </wp:inline>
        </w:drawing>
      </w:r>
    </w:p>
    <w:p w:rsidR="00C46F86" w:rsidRDefault="00C46F86" w:rsidP="004E74B7">
      <w:pPr>
        <w:jc w:val="center"/>
        <w:rPr>
          <w:rFonts w:ascii="Perpetua" w:hAnsi="Perpetua"/>
        </w:rPr>
      </w:pPr>
    </w:p>
    <w:p w:rsidR="00C46F86" w:rsidRDefault="00C46F86" w:rsidP="004E74B7">
      <w:pPr>
        <w:jc w:val="center"/>
        <w:rPr>
          <w:rFonts w:ascii="Perpetua" w:hAnsi="Perpetua"/>
        </w:rPr>
      </w:pPr>
    </w:p>
    <w:p w:rsidR="00C46F86" w:rsidRDefault="00C46F86" w:rsidP="004E74B7">
      <w:pPr>
        <w:jc w:val="center"/>
        <w:rPr>
          <w:rFonts w:ascii="Perpetua" w:hAnsi="Perpetua"/>
        </w:rPr>
      </w:pPr>
    </w:p>
    <w:p w:rsidR="00C46F86" w:rsidRDefault="00C46F86" w:rsidP="004E74B7">
      <w:pPr>
        <w:jc w:val="center"/>
        <w:rPr>
          <w:rFonts w:ascii="Perpetua" w:hAnsi="Perpetua"/>
        </w:rPr>
      </w:pPr>
    </w:p>
    <w:p w:rsidR="00C46F86" w:rsidRDefault="00C46F86" w:rsidP="004E74B7">
      <w:pPr>
        <w:jc w:val="center"/>
        <w:rPr>
          <w:rFonts w:ascii="Perpetua" w:hAnsi="Perpetua"/>
        </w:rPr>
      </w:pPr>
    </w:p>
    <w:p w:rsidR="005A512D" w:rsidRDefault="005A512D" w:rsidP="004E74B7">
      <w:pPr>
        <w:jc w:val="center"/>
        <w:rPr>
          <w:rFonts w:ascii="Perpetua" w:hAnsi="Perpetua"/>
        </w:rPr>
      </w:pPr>
    </w:p>
    <w:p w:rsidR="00C46F86" w:rsidRDefault="00C46F86"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08426C" w:rsidRDefault="00C82BCA" w:rsidP="004E74B7">
      <w:pPr>
        <w:jc w:val="center"/>
        <w:rPr>
          <w:rFonts w:ascii="Perpetua" w:hAnsi="Perpetua"/>
        </w:rPr>
      </w:pPr>
      <w:r>
        <w:rPr>
          <w:rFonts w:ascii="Perpetua" w:hAnsi="Perpetua"/>
          <w:noProof/>
        </w:rPr>
        <w:drawing>
          <wp:inline distT="0" distB="0" distL="0" distR="0">
            <wp:extent cx="4152900" cy="3038475"/>
            <wp:effectExtent l="0" t="0" r="0" b="0"/>
            <wp:docPr id="8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7"/>
                    <a:srcRect/>
                    <a:stretch>
                      <a:fillRect/>
                    </a:stretch>
                  </pic:blipFill>
                  <pic:spPr bwMode="auto">
                    <a:xfrm>
                      <a:off x="0" y="0"/>
                      <a:ext cx="4152900" cy="3038475"/>
                    </a:xfrm>
                    <a:prstGeom prst="rect">
                      <a:avLst/>
                    </a:prstGeom>
                    <a:noFill/>
                    <a:ln w="9525">
                      <a:noFill/>
                      <a:miter lim="800000"/>
                      <a:headEnd/>
                      <a:tailEnd/>
                    </a:ln>
                  </pic:spPr>
                </pic:pic>
              </a:graphicData>
            </a:graphic>
          </wp:inline>
        </w:drawing>
      </w:r>
    </w:p>
    <w:p w:rsidR="005A512D" w:rsidRDefault="005A512D" w:rsidP="004E74B7">
      <w:pPr>
        <w:jc w:val="center"/>
        <w:rPr>
          <w:rFonts w:ascii="Perpetua" w:hAnsi="Perpetua"/>
        </w:rPr>
      </w:pPr>
    </w:p>
    <w:p w:rsidR="005A512D" w:rsidRDefault="005A512D" w:rsidP="004E74B7">
      <w:pPr>
        <w:jc w:val="center"/>
        <w:rPr>
          <w:rFonts w:ascii="Perpetua" w:hAnsi="Perpetua"/>
        </w:rPr>
      </w:pPr>
    </w:p>
    <w:p w:rsidR="005A512D" w:rsidRDefault="005A512D" w:rsidP="004E74B7">
      <w:pPr>
        <w:jc w:val="center"/>
        <w:rPr>
          <w:rFonts w:ascii="Perpetua" w:hAnsi="Perpetua"/>
        </w:rPr>
      </w:pPr>
    </w:p>
    <w:p w:rsidR="005A512D" w:rsidRPr="0067317B" w:rsidRDefault="005A512D" w:rsidP="004E74B7">
      <w:pPr>
        <w:jc w:val="center"/>
        <w:rPr>
          <w:rFonts w:ascii="Perpetua" w:hAnsi="Perpetua"/>
        </w:rPr>
      </w:pPr>
    </w:p>
    <w:p w:rsidR="0008426C" w:rsidRPr="0067317B" w:rsidRDefault="0008426C" w:rsidP="0008426C">
      <w:pPr>
        <w:rPr>
          <w:rFonts w:ascii="Perpetua" w:hAnsi="Perpetua"/>
        </w:rPr>
      </w:pPr>
    </w:p>
    <w:p w:rsidR="0008426C" w:rsidRPr="0067317B" w:rsidRDefault="00C82BCA" w:rsidP="004E74B7">
      <w:pPr>
        <w:jc w:val="center"/>
        <w:rPr>
          <w:rFonts w:ascii="Perpetua" w:hAnsi="Perpetua"/>
        </w:rPr>
      </w:pPr>
      <w:r>
        <w:rPr>
          <w:rFonts w:ascii="Perpetua" w:hAnsi="Perpetua"/>
          <w:noProof/>
        </w:rPr>
        <w:drawing>
          <wp:inline distT="0" distB="0" distL="0" distR="0">
            <wp:extent cx="4238625" cy="3105150"/>
            <wp:effectExtent l="0" t="0" r="0" b="0"/>
            <wp:docPr id="8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8"/>
                    <a:srcRect/>
                    <a:stretch>
                      <a:fillRect/>
                    </a:stretch>
                  </pic:blipFill>
                  <pic:spPr bwMode="auto">
                    <a:xfrm>
                      <a:off x="0" y="0"/>
                      <a:ext cx="4238625" cy="3105150"/>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4E74B7" w:rsidRDefault="004E74B7" w:rsidP="0008426C">
      <w:pPr>
        <w:rPr>
          <w:rFonts w:ascii="Perpetua" w:hAnsi="Perpetua"/>
        </w:rPr>
      </w:pPr>
    </w:p>
    <w:p w:rsidR="004E74B7" w:rsidRDefault="004E74B7" w:rsidP="0008426C">
      <w:pPr>
        <w:rPr>
          <w:rFonts w:ascii="Perpetua" w:hAnsi="Perpetua"/>
        </w:rPr>
      </w:pPr>
    </w:p>
    <w:p w:rsidR="004E74B7" w:rsidRDefault="004E74B7" w:rsidP="0008426C">
      <w:pPr>
        <w:rPr>
          <w:rFonts w:ascii="Perpetua" w:hAnsi="Perpetua"/>
        </w:rPr>
      </w:pPr>
    </w:p>
    <w:p w:rsidR="004E74B7" w:rsidRPr="0067317B" w:rsidRDefault="004E74B7" w:rsidP="0008426C">
      <w:pPr>
        <w:rPr>
          <w:rFonts w:ascii="Perpetua" w:hAnsi="Perpetua"/>
        </w:rPr>
      </w:pPr>
    </w:p>
    <w:p w:rsidR="0008426C" w:rsidRDefault="0008426C" w:rsidP="0008426C">
      <w:pPr>
        <w:rPr>
          <w:rFonts w:ascii="Perpetua" w:hAnsi="Perpetua"/>
        </w:rPr>
      </w:pPr>
    </w:p>
    <w:p w:rsidR="005A512D" w:rsidRDefault="005A512D" w:rsidP="0008426C">
      <w:pPr>
        <w:rPr>
          <w:rFonts w:ascii="Perpetua" w:hAnsi="Perpetua"/>
        </w:rPr>
      </w:pPr>
    </w:p>
    <w:p w:rsidR="005A512D" w:rsidRPr="0067317B" w:rsidRDefault="005A512D" w:rsidP="0008426C">
      <w:pPr>
        <w:rPr>
          <w:rFonts w:ascii="Perpetua" w:hAnsi="Perpetua"/>
        </w:rPr>
      </w:pPr>
    </w:p>
    <w:p w:rsidR="0008426C" w:rsidRPr="0067317B" w:rsidRDefault="00C82BCA" w:rsidP="004E74B7">
      <w:pPr>
        <w:jc w:val="center"/>
        <w:rPr>
          <w:rFonts w:ascii="Perpetua" w:hAnsi="Perpetua"/>
        </w:rPr>
      </w:pPr>
      <w:r>
        <w:rPr>
          <w:rFonts w:ascii="Perpetua" w:hAnsi="Perpetua"/>
          <w:noProof/>
        </w:rPr>
        <w:drawing>
          <wp:inline distT="0" distB="0" distL="0" distR="0">
            <wp:extent cx="4295775" cy="3143250"/>
            <wp:effectExtent l="0" t="0" r="0" b="0"/>
            <wp:docPr id="8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9"/>
                    <a:srcRect/>
                    <a:stretch>
                      <a:fillRect/>
                    </a:stretch>
                  </pic:blipFill>
                  <pic:spPr bwMode="auto">
                    <a:xfrm>
                      <a:off x="0" y="0"/>
                      <a:ext cx="4295775" cy="3143250"/>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Pr="0067317B" w:rsidRDefault="005A512D" w:rsidP="0008426C">
      <w:pPr>
        <w:rPr>
          <w:rFonts w:ascii="Perpetua" w:hAnsi="Perpetua"/>
        </w:rPr>
      </w:pPr>
    </w:p>
    <w:p w:rsidR="0008426C" w:rsidRDefault="00C82BCA" w:rsidP="004E74B7">
      <w:pPr>
        <w:jc w:val="center"/>
        <w:rPr>
          <w:rFonts w:ascii="Perpetua" w:hAnsi="Perpetua"/>
        </w:rPr>
      </w:pPr>
      <w:r>
        <w:rPr>
          <w:rFonts w:ascii="Perpetua" w:hAnsi="Perpetua"/>
          <w:noProof/>
        </w:rPr>
        <w:drawing>
          <wp:inline distT="0" distB="0" distL="0" distR="0">
            <wp:extent cx="4133850" cy="3028950"/>
            <wp:effectExtent l="0" t="0" r="0" b="0"/>
            <wp:docPr id="8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0"/>
                    <a:srcRect/>
                    <a:stretch>
                      <a:fillRect/>
                    </a:stretch>
                  </pic:blipFill>
                  <pic:spPr bwMode="auto">
                    <a:xfrm>
                      <a:off x="0" y="0"/>
                      <a:ext cx="4133850" cy="3028950"/>
                    </a:xfrm>
                    <a:prstGeom prst="rect">
                      <a:avLst/>
                    </a:prstGeom>
                    <a:noFill/>
                    <a:ln w="9525">
                      <a:noFill/>
                      <a:miter lim="800000"/>
                      <a:headEnd/>
                      <a:tailEnd/>
                    </a:ln>
                  </pic:spPr>
                </pic:pic>
              </a:graphicData>
            </a:graphic>
          </wp:inline>
        </w:drawing>
      </w:r>
    </w:p>
    <w:p w:rsidR="005A512D" w:rsidRPr="0067317B" w:rsidRDefault="005A512D" w:rsidP="004E74B7">
      <w:pPr>
        <w:jc w:val="center"/>
        <w:rPr>
          <w:rFonts w:ascii="Perpetua" w:hAnsi="Perpetua"/>
        </w:rPr>
      </w:pPr>
    </w:p>
    <w:p w:rsidR="0008426C" w:rsidRDefault="0008426C"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C46F86" w:rsidRPr="0067317B" w:rsidRDefault="00C46F86" w:rsidP="0008426C">
      <w:pPr>
        <w:rPr>
          <w:rFonts w:ascii="Perpetua" w:hAnsi="Perpetua"/>
        </w:rPr>
      </w:pPr>
    </w:p>
    <w:p w:rsidR="0008426C" w:rsidRDefault="0008426C" w:rsidP="0008426C">
      <w:pPr>
        <w:rPr>
          <w:rFonts w:ascii="Perpetua" w:hAnsi="Perpetua"/>
        </w:rPr>
      </w:pPr>
    </w:p>
    <w:p w:rsidR="00C46F86" w:rsidRPr="0067317B" w:rsidRDefault="00C46F86" w:rsidP="0008426C">
      <w:pPr>
        <w:rPr>
          <w:rFonts w:ascii="Perpetua" w:hAnsi="Perpetua"/>
        </w:rPr>
      </w:pPr>
    </w:p>
    <w:p w:rsidR="0008426C" w:rsidRPr="0067317B" w:rsidRDefault="00C82BCA" w:rsidP="004E74B7">
      <w:pPr>
        <w:jc w:val="center"/>
        <w:rPr>
          <w:rFonts w:ascii="Perpetua" w:hAnsi="Perpetua"/>
        </w:rPr>
      </w:pPr>
      <w:r>
        <w:rPr>
          <w:rFonts w:ascii="Perpetua" w:hAnsi="Perpetua"/>
          <w:noProof/>
        </w:rPr>
        <w:drawing>
          <wp:inline distT="0" distB="0" distL="0" distR="0">
            <wp:extent cx="4038600" cy="2952750"/>
            <wp:effectExtent l="0" t="0" r="0" b="0"/>
            <wp:docPr id="8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1"/>
                    <a:srcRect/>
                    <a:stretch>
                      <a:fillRect/>
                    </a:stretch>
                  </pic:blipFill>
                  <pic:spPr bwMode="auto">
                    <a:xfrm>
                      <a:off x="0" y="0"/>
                      <a:ext cx="4038600" cy="2952750"/>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2E7A36" w:rsidRDefault="002E7A36"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5A512D" w:rsidRDefault="005A512D" w:rsidP="0008426C">
      <w:pPr>
        <w:rPr>
          <w:rFonts w:ascii="Perpetua" w:hAnsi="Perpetua"/>
        </w:rPr>
      </w:pPr>
    </w:p>
    <w:p w:rsidR="002E7A36" w:rsidRDefault="002E7A36" w:rsidP="0008426C">
      <w:pPr>
        <w:rPr>
          <w:rFonts w:ascii="Perpetua" w:hAnsi="Perpetua"/>
        </w:rPr>
      </w:pPr>
    </w:p>
    <w:p w:rsidR="002E7A36" w:rsidRDefault="002E7A36" w:rsidP="0008426C">
      <w:pPr>
        <w:rPr>
          <w:rFonts w:ascii="Perpetua" w:hAnsi="Perpetua"/>
        </w:rPr>
      </w:pPr>
    </w:p>
    <w:p w:rsidR="002E7A36" w:rsidRPr="0067317B" w:rsidRDefault="002E7A36" w:rsidP="0008426C">
      <w:pPr>
        <w:rPr>
          <w:rFonts w:ascii="Perpetua" w:hAnsi="Perpetua"/>
        </w:rPr>
      </w:pPr>
    </w:p>
    <w:p w:rsidR="0008426C" w:rsidRPr="0067317B" w:rsidRDefault="00C82BCA" w:rsidP="004E74B7">
      <w:pPr>
        <w:jc w:val="center"/>
        <w:rPr>
          <w:rFonts w:ascii="Perpetua" w:hAnsi="Perpetua"/>
        </w:rPr>
      </w:pPr>
      <w:r>
        <w:rPr>
          <w:rFonts w:ascii="Perpetua" w:hAnsi="Perpetua"/>
          <w:noProof/>
        </w:rPr>
        <w:drawing>
          <wp:inline distT="0" distB="0" distL="0" distR="0">
            <wp:extent cx="4381500" cy="3209925"/>
            <wp:effectExtent l="0" t="0" r="0" b="0"/>
            <wp:docPr id="8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2"/>
                    <a:srcRect/>
                    <a:stretch>
                      <a:fillRect/>
                    </a:stretch>
                  </pic:blipFill>
                  <pic:spPr bwMode="auto">
                    <a:xfrm>
                      <a:off x="0" y="0"/>
                      <a:ext cx="4381500" cy="3209925"/>
                    </a:xfrm>
                    <a:prstGeom prst="rect">
                      <a:avLst/>
                    </a:prstGeom>
                    <a:noFill/>
                    <a:ln w="9525">
                      <a:noFill/>
                      <a:miter lim="800000"/>
                      <a:headEnd/>
                      <a:tailEnd/>
                    </a:ln>
                  </pic:spPr>
                </pic:pic>
              </a:graphicData>
            </a:graphic>
          </wp:inline>
        </w:drawing>
      </w:r>
    </w:p>
    <w:p w:rsidR="0008426C" w:rsidRDefault="0008426C" w:rsidP="0008426C">
      <w:pPr>
        <w:rPr>
          <w:rFonts w:ascii="Perpetua" w:hAnsi="Perpetua"/>
        </w:rPr>
      </w:pPr>
    </w:p>
    <w:p w:rsidR="00C46F86" w:rsidRDefault="00C46F86" w:rsidP="0008426C">
      <w:pPr>
        <w:rPr>
          <w:rFonts w:ascii="Perpetua" w:hAnsi="Perpetua"/>
        </w:rPr>
      </w:pPr>
    </w:p>
    <w:p w:rsidR="00C46F86" w:rsidRPr="0067317B" w:rsidRDefault="00C46F86" w:rsidP="0008426C">
      <w:pPr>
        <w:rPr>
          <w:rFonts w:ascii="Perpetua" w:hAnsi="Perpetua"/>
        </w:rPr>
      </w:pPr>
    </w:p>
    <w:p w:rsidR="0008426C" w:rsidRPr="0067317B" w:rsidRDefault="0008426C" w:rsidP="0008426C">
      <w:pPr>
        <w:rPr>
          <w:rFonts w:ascii="Perpetua" w:hAnsi="Perpetua"/>
        </w:rPr>
      </w:pPr>
    </w:p>
    <w:p w:rsidR="0008426C" w:rsidRPr="0067317B" w:rsidRDefault="00C82BCA" w:rsidP="004E74B7">
      <w:pPr>
        <w:jc w:val="center"/>
        <w:rPr>
          <w:rFonts w:ascii="Perpetua" w:hAnsi="Perpetua"/>
        </w:rPr>
      </w:pPr>
      <w:r>
        <w:rPr>
          <w:rFonts w:ascii="Perpetua" w:hAnsi="Perpetua"/>
          <w:noProof/>
        </w:rPr>
        <w:drawing>
          <wp:inline distT="0" distB="0" distL="0" distR="0">
            <wp:extent cx="4343400" cy="3181350"/>
            <wp:effectExtent l="0" t="0" r="0" b="0"/>
            <wp:docPr id="8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3"/>
                    <a:srcRect/>
                    <a:stretch>
                      <a:fillRect/>
                    </a:stretch>
                  </pic:blipFill>
                  <pic:spPr bwMode="auto">
                    <a:xfrm>
                      <a:off x="0" y="0"/>
                      <a:ext cx="4343400" cy="3181350"/>
                    </a:xfrm>
                    <a:prstGeom prst="rect">
                      <a:avLst/>
                    </a:prstGeom>
                    <a:noFill/>
                    <a:ln w="9525">
                      <a:noFill/>
                      <a:miter lim="800000"/>
                      <a:headEnd/>
                      <a:tailEnd/>
                    </a:ln>
                  </pic:spPr>
                </pic:pic>
              </a:graphicData>
            </a:graphic>
          </wp:inline>
        </w:drawing>
      </w:r>
    </w:p>
    <w:p w:rsidR="0008426C" w:rsidRPr="0067317B" w:rsidRDefault="0008426C" w:rsidP="0008426C">
      <w:pPr>
        <w:rPr>
          <w:rFonts w:ascii="Perpetua" w:hAnsi="Perpetua"/>
        </w:rPr>
      </w:pPr>
    </w:p>
    <w:p w:rsidR="0008426C" w:rsidRPr="0067317B" w:rsidRDefault="0008426C" w:rsidP="0008426C">
      <w:pPr>
        <w:rPr>
          <w:rFonts w:ascii="Perpetua" w:hAnsi="Perpetua"/>
        </w:rPr>
      </w:pPr>
    </w:p>
    <w:p w:rsidR="0008426C" w:rsidRDefault="00C82BCA" w:rsidP="004E74B7">
      <w:pPr>
        <w:jc w:val="center"/>
        <w:rPr>
          <w:rFonts w:ascii="Perpetua" w:hAnsi="Perpetua"/>
        </w:rPr>
      </w:pPr>
      <w:r>
        <w:rPr>
          <w:rFonts w:ascii="Perpetua" w:hAnsi="Perpetua"/>
          <w:noProof/>
        </w:rPr>
        <w:drawing>
          <wp:inline distT="0" distB="0" distL="0" distR="0">
            <wp:extent cx="4010025" cy="2933700"/>
            <wp:effectExtent l="0" t="0" r="0" b="0"/>
            <wp:docPr id="9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4"/>
                    <a:srcRect/>
                    <a:stretch>
                      <a:fillRect/>
                    </a:stretch>
                  </pic:blipFill>
                  <pic:spPr bwMode="auto">
                    <a:xfrm>
                      <a:off x="0" y="0"/>
                      <a:ext cx="4010025" cy="2933700"/>
                    </a:xfrm>
                    <a:prstGeom prst="rect">
                      <a:avLst/>
                    </a:prstGeom>
                    <a:noFill/>
                    <a:ln w="9525">
                      <a:noFill/>
                      <a:miter lim="800000"/>
                      <a:headEnd/>
                      <a:tailEnd/>
                    </a:ln>
                  </pic:spPr>
                </pic:pic>
              </a:graphicData>
            </a:graphic>
          </wp:inline>
        </w:drawing>
      </w:r>
    </w:p>
    <w:p w:rsidR="00A84FE3" w:rsidRDefault="00A84FE3" w:rsidP="004E74B7">
      <w:pPr>
        <w:jc w:val="center"/>
        <w:rPr>
          <w:rFonts w:ascii="Perpetua" w:hAnsi="Perpetua"/>
        </w:rPr>
      </w:pPr>
    </w:p>
    <w:p w:rsidR="00A84FE3" w:rsidRPr="0067317B" w:rsidRDefault="00A84FE3" w:rsidP="004E74B7">
      <w:pPr>
        <w:jc w:val="center"/>
        <w:rPr>
          <w:rFonts w:ascii="Perpetua" w:hAnsi="Perpetua"/>
        </w:rPr>
      </w:pPr>
    </w:p>
    <w:p w:rsidR="0008426C" w:rsidRPr="0067317B" w:rsidRDefault="0008426C" w:rsidP="0008426C">
      <w:pPr>
        <w:rPr>
          <w:rFonts w:ascii="Perpetua" w:hAnsi="Perpetua"/>
        </w:rPr>
      </w:pPr>
    </w:p>
    <w:tbl>
      <w:tblPr>
        <w:tblW w:w="4340" w:type="dxa"/>
        <w:jc w:val="center"/>
        <w:tblInd w:w="55" w:type="dxa"/>
        <w:tblCellMar>
          <w:left w:w="70" w:type="dxa"/>
          <w:right w:w="70" w:type="dxa"/>
        </w:tblCellMar>
        <w:tblLook w:val="04A0"/>
      </w:tblPr>
      <w:tblGrid>
        <w:gridCol w:w="1235"/>
        <w:gridCol w:w="834"/>
        <w:gridCol w:w="1035"/>
        <w:gridCol w:w="1236"/>
      </w:tblGrid>
      <w:tr w:rsidR="00C46F86" w:rsidRPr="00EA3556" w:rsidTr="004D29E2">
        <w:trPr>
          <w:trHeight w:val="615"/>
          <w:jc w:val="center"/>
        </w:trPr>
        <w:tc>
          <w:tcPr>
            <w:tcW w:w="4340" w:type="dxa"/>
            <w:gridSpan w:val="4"/>
            <w:tcBorders>
              <w:top w:val="nil"/>
              <w:left w:val="nil"/>
              <w:bottom w:val="nil"/>
              <w:right w:val="nil"/>
            </w:tcBorders>
            <w:shd w:val="clear" w:color="000000" w:fill="FFFFFF"/>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Coeficientes de correlação de Pearson das variáveis socioeconómicas</w:t>
            </w:r>
          </w:p>
        </w:tc>
      </w:tr>
      <w:tr w:rsidR="00C46F86" w:rsidRPr="00EA3556" w:rsidTr="004D29E2">
        <w:trPr>
          <w:trHeight w:val="270"/>
          <w:jc w:val="center"/>
        </w:trPr>
        <w:tc>
          <w:tcPr>
            <w:tcW w:w="1235" w:type="dxa"/>
            <w:tcBorders>
              <w:top w:val="nil"/>
              <w:left w:val="nil"/>
              <w:bottom w:val="single" w:sz="4" w:space="0" w:color="auto"/>
              <w:right w:val="single" w:sz="4" w:space="0" w:color="auto"/>
            </w:tcBorders>
            <w:shd w:val="clear" w:color="000000" w:fill="FFFFFF"/>
            <w:noWrap/>
            <w:vAlign w:val="bottom"/>
          </w:tcPr>
          <w:p w:rsidR="00C46F86" w:rsidRPr="00EA3556" w:rsidRDefault="00C46F86" w:rsidP="004D29E2">
            <w:pPr>
              <w:rPr>
                <w:rFonts w:ascii="Perpetua" w:hAnsi="Perpetua"/>
                <w:color w:val="000000"/>
                <w:sz w:val="20"/>
                <w:szCs w:val="20"/>
              </w:rPr>
            </w:pPr>
            <w:r w:rsidRPr="00EA3556">
              <w:rPr>
                <w:rFonts w:ascii="Perpetua" w:hAnsi="Perpetua"/>
                <w:color w:val="000000"/>
                <w:sz w:val="20"/>
                <w:szCs w:val="20"/>
              </w:rPr>
              <w:t> </w:t>
            </w:r>
          </w:p>
        </w:tc>
        <w:tc>
          <w:tcPr>
            <w:tcW w:w="834"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dp_01</w:t>
            </w:r>
          </w:p>
        </w:tc>
        <w:tc>
          <w:tcPr>
            <w:tcW w:w="1035"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ipcc_02</w:t>
            </w:r>
          </w:p>
        </w:tc>
        <w:tc>
          <w:tcPr>
            <w:tcW w:w="1236" w:type="dxa"/>
            <w:tcBorders>
              <w:top w:val="nil"/>
              <w:left w:val="nil"/>
              <w:bottom w:val="single" w:sz="4" w:space="0" w:color="auto"/>
              <w:right w:val="nil"/>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pibpc_01</w:t>
            </w:r>
          </w:p>
        </w:tc>
      </w:tr>
      <w:tr w:rsidR="00C46F86" w:rsidRPr="00EA3556" w:rsidTr="004D29E2">
        <w:trPr>
          <w:trHeight w:val="270"/>
          <w:jc w:val="center"/>
        </w:trPr>
        <w:tc>
          <w:tcPr>
            <w:tcW w:w="1235"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dp_01</w:t>
            </w:r>
          </w:p>
        </w:tc>
        <w:tc>
          <w:tcPr>
            <w:tcW w:w="834"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1,00</w:t>
            </w:r>
          </w:p>
        </w:tc>
        <w:tc>
          <w:tcPr>
            <w:tcW w:w="1035"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 </w:t>
            </w:r>
          </w:p>
        </w:tc>
        <w:tc>
          <w:tcPr>
            <w:tcW w:w="1236" w:type="dxa"/>
            <w:tcBorders>
              <w:top w:val="nil"/>
              <w:left w:val="nil"/>
              <w:bottom w:val="single" w:sz="4" w:space="0" w:color="auto"/>
              <w:right w:val="nil"/>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 </w:t>
            </w:r>
          </w:p>
        </w:tc>
      </w:tr>
      <w:tr w:rsidR="00C46F86" w:rsidRPr="00EA3556" w:rsidTr="004D29E2">
        <w:trPr>
          <w:trHeight w:val="270"/>
          <w:jc w:val="center"/>
        </w:trPr>
        <w:tc>
          <w:tcPr>
            <w:tcW w:w="1235"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ipcc_02</w:t>
            </w:r>
          </w:p>
        </w:tc>
        <w:tc>
          <w:tcPr>
            <w:tcW w:w="834"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0,53</w:t>
            </w:r>
          </w:p>
        </w:tc>
        <w:tc>
          <w:tcPr>
            <w:tcW w:w="1035" w:type="dxa"/>
            <w:tcBorders>
              <w:top w:val="nil"/>
              <w:left w:val="nil"/>
              <w:bottom w:val="single" w:sz="4" w:space="0" w:color="auto"/>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1,00</w:t>
            </w:r>
          </w:p>
        </w:tc>
        <w:tc>
          <w:tcPr>
            <w:tcW w:w="1236" w:type="dxa"/>
            <w:tcBorders>
              <w:top w:val="nil"/>
              <w:left w:val="nil"/>
              <w:bottom w:val="single" w:sz="4" w:space="0" w:color="auto"/>
              <w:right w:val="nil"/>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 </w:t>
            </w:r>
          </w:p>
        </w:tc>
      </w:tr>
      <w:tr w:rsidR="00C46F86" w:rsidRPr="00EA3556" w:rsidTr="004D29E2">
        <w:trPr>
          <w:trHeight w:val="270"/>
          <w:jc w:val="center"/>
        </w:trPr>
        <w:tc>
          <w:tcPr>
            <w:tcW w:w="1235" w:type="dxa"/>
            <w:tcBorders>
              <w:top w:val="nil"/>
              <w:left w:val="nil"/>
              <w:bottom w:val="nil"/>
              <w:right w:val="single" w:sz="4" w:space="0" w:color="auto"/>
            </w:tcBorders>
            <w:shd w:val="clear" w:color="000000" w:fill="FFFFFF"/>
            <w:noWrap/>
            <w:vAlign w:val="center"/>
          </w:tcPr>
          <w:p w:rsidR="00C46F86" w:rsidRPr="00EA3556" w:rsidRDefault="00C46F86" w:rsidP="004D29E2">
            <w:pPr>
              <w:jc w:val="center"/>
              <w:rPr>
                <w:rFonts w:ascii="Perpetua" w:hAnsi="Perpetua"/>
                <w:b/>
                <w:bCs/>
                <w:color w:val="000000"/>
                <w:sz w:val="20"/>
                <w:szCs w:val="20"/>
              </w:rPr>
            </w:pPr>
            <w:r w:rsidRPr="00EA3556">
              <w:rPr>
                <w:rFonts w:ascii="Perpetua" w:hAnsi="Perpetua"/>
                <w:b/>
                <w:bCs/>
                <w:color w:val="000000"/>
                <w:sz w:val="20"/>
                <w:szCs w:val="20"/>
              </w:rPr>
              <w:t>pibpc_01</w:t>
            </w:r>
          </w:p>
        </w:tc>
        <w:tc>
          <w:tcPr>
            <w:tcW w:w="834" w:type="dxa"/>
            <w:tcBorders>
              <w:top w:val="nil"/>
              <w:left w:val="nil"/>
              <w:bottom w:val="nil"/>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0,31</w:t>
            </w:r>
          </w:p>
        </w:tc>
        <w:tc>
          <w:tcPr>
            <w:tcW w:w="1035" w:type="dxa"/>
            <w:tcBorders>
              <w:top w:val="nil"/>
              <w:left w:val="nil"/>
              <w:bottom w:val="nil"/>
              <w:right w:val="single" w:sz="4" w:space="0" w:color="auto"/>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0,60</w:t>
            </w:r>
          </w:p>
        </w:tc>
        <w:tc>
          <w:tcPr>
            <w:tcW w:w="1236" w:type="dxa"/>
            <w:tcBorders>
              <w:top w:val="nil"/>
              <w:left w:val="nil"/>
              <w:bottom w:val="nil"/>
              <w:right w:val="nil"/>
            </w:tcBorders>
            <w:shd w:val="clear" w:color="000000" w:fill="FFFFFF"/>
            <w:noWrap/>
            <w:vAlign w:val="center"/>
          </w:tcPr>
          <w:p w:rsidR="00C46F86" w:rsidRPr="00EA3556" w:rsidRDefault="00C46F86" w:rsidP="004D29E2">
            <w:pPr>
              <w:jc w:val="center"/>
              <w:rPr>
                <w:rFonts w:ascii="Perpetua" w:hAnsi="Perpetua"/>
                <w:color w:val="000000"/>
                <w:sz w:val="20"/>
                <w:szCs w:val="20"/>
              </w:rPr>
            </w:pPr>
            <w:r w:rsidRPr="00EA3556">
              <w:rPr>
                <w:rFonts w:ascii="Perpetua" w:hAnsi="Perpetua"/>
                <w:color w:val="000000"/>
                <w:sz w:val="20"/>
                <w:szCs w:val="20"/>
              </w:rPr>
              <w:t>1,00</w:t>
            </w:r>
          </w:p>
        </w:tc>
      </w:tr>
    </w:tbl>
    <w:p w:rsidR="005A512D" w:rsidRDefault="005A512D" w:rsidP="007D3F20"/>
    <w:p w:rsidR="005A512D" w:rsidRDefault="005A512D" w:rsidP="007D3F20"/>
    <w:p w:rsidR="00A84FE3" w:rsidRDefault="00A84FE3" w:rsidP="007D3F20"/>
    <w:p w:rsidR="00A84FE3" w:rsidRDefault="00A84FE3" w:rsidP="007D3F20"/>
    <w:p w:rsidR="004E74B7" w:rsidRDefault="00D84E63" w:rsidP="004A3131">
      <w:pPr>
        <w:pStyle w:val="Heading2"/>
      </w:pPr>
      <w:bookmarkStart w:id="162" w:name="_Toc220484503"/>
      <w:r w:rsidRPr="004E74B7">
        <w:t>9.</w:t>
      </w:r>
      <w:r w:rsidR="004A3131">
        <w:t>2</w:t>
      </w:r>
      <w:r w:rsidRPr="004E74B7">
        <w:t xml:space="preserve">. </w:t>
      </w:r>
      <w:r w:rsidR="0008426C" w:rsidRPr="004E74B7">
        <w:t xml:space="preserve">Análise </w:t>
      </w:r>
      <w:r w:rsidR="00101158">
        <w:t>de regressão</w:t>
      </w:r>
      <w:bookmarkEnd w:id="162"/>
      <w:r w:rsidR="00101158">
        <w:t xml:space="preserve"> </w:t>
      </w:r>
    </w:p>
    <w:p w:rsidR="004E74B7" w:rsidRDefault="004E74B7" w:rsidP="004E74B7"/>
    <w:p w:rsidR="00101158" w:rsidRDefault="00101158" w:rsidP="000A5EB4">
      <w:pPr>
        <w:jc w:val="both"/>
        <w:rPr>
          <w:rFonts w:ascii="Perpetua" w:hAnsi="Perpetua"/>
        </w:rPr>
      </w:pPr>
    </w:p>
    <w:p w:rsidR="00101158" w:rsidRPr="00101158" w:rsidRDefault="00101158" w:rsidP="00101158">
      <w:pPr>
        <w:pStyle w:val="Caption"/>
        <w:jc w:val="center"/>
        <w:rPr>
          <w:rFonts w:ascii="Perpetua" w:hAnsi="Perpetua"/>
        </w:rPr>
      </w:pPr>
      <w:bookmarkStart w:id="163" w:name="_Toc215081917"/>
      <w:r w:rsidRPr="00101158">
        <w:rPr>
          <w:rFonts w:ascii="Perpetua" w:hAnsi="Perpetua"/>
        </w:rPr>
        <w:t xml:space="preserve">Figura </w:t>
      </w:r>
      <w:r w:rsidR="0048473F" w:rsidRPr="00101158">
        <w:rPr>
          <w:rFonts w:ascii="Perpetua" w:hAnsi="Perpetua"/>
        </w:rPr>
        <w:fldChar w:fldCharType="begin"/>
      </w:r>
      <w:r w:rsidRPr="00101158">
        <w:rPr>
          <w:rFonts w:ascii="Perpetua" w:hAnsi="Perpetua"/>
        </w:rPr>
        <w:instrText xml:space="preserve"> STYLEREF 1 \s </w:instrText>
      </w:r>
      <w:r w:rsidR="0048473F" w:rsidRPr="00101158">
        <w:rPr>
          <w:rFonts w:ascii="Perpetua" w:hAnsi="Perpetua"/>
        </w:rPr>
        <w:fldChar w:fldCharType="separate"/>
      </w:r>
      <w:r w:rsidR="00FF37B9">
        <w:rPr>
          <w:rFonts w:ascii="Perpetua" w:hAnsi="Perpetua"/>
          <w:noProof/>
        </w:rPr>
        <w:t>9</w:t>
      </w:r>
      <w:r w:rsidR="0048473F" w:rsidRPr="00101158">
        <w:rPr>
          <w:rFonts w:ascii="Perpetua" w:hAnsi="Perpetua"/>
        </w:rPr>
        <w:fldChar w:fldCharType="end"/>
      </w:r>
      <w:r w:rsidRPr="00101158">
        <w:rPr>
          <w:rFonts w:ascii="Perpetua" w:hAnsi="Perpetua"/>
        </w:rPr>
        <w:t>.</w:t>
      </w:r>
      <w:r w:rsidR="0048473F" w:rsidRPr="00101158">
        <w:rPr>
          <w:rFonts w:ascii="Perpetua" w:hAnsi="Perpetua"/>
        </w:rPr>
        <w:fldChar w:fldCharType="begin"/>
      </w:r>
      <w:r w:rsidRPr="00101158">
        <w:rPr>
          <w:rFonts w:ascii="Perpetua" w:hAnsi="Perpetua"/>
        </w:rPr>
        <w:instrText xml:space="preserve"> SEQ Figura \* ARABIC \s 1 </w:instrText>
      </w:r>
      <w:r w:rsidR="0048473F" w:rsidRPr="00101158">
        <w:rPr>
          <w:rFonts w:ascii="Perpetua" w:hAnsi="Perpetua"/>
        </w:rPr>
        <w:fldChar w:fldCharType="separate"/>
      </w:r>
      <w:r w:rsidR="00FF37B9">
        <w:rPr>
          <w:rFonts w:ascii="Perpetua" w:hAnsi="Perpetua"/>
          <w:noProof/>
        </w:rPr>
        <w:t>1</w:t>
      </w:r>
      <w:r w:rsidR="0048473F" w:rsidRPr="00101158">
        <w:rPr>
          <w:rFonts w:ascii="Perpetua" w:hAnsi="Perpetua"/>
        </w:rPr>
        <w:fldChar w:fldCharType="end"/>
      </w:r>
      <w:r w:rsidRPr="00101158">
        <w:rPr>
          <w:rFonts w:ascii="Perpetua" w:hAnsi="Perpetua"/>
        </w:rPr>
        <w:t xml:space="preserve"> – Resultados das estimações da equação 1</w:t>
      </w:r>
      <w:bookmarkEnd w:id="163"/>
    </w:p>
    <w:p w:rsidR="00101158" w:rsidRDefault="00101158" w:rsidP="000A5EB4">
      <w:pPr>
        <w:jc w:val="both"/>
        <w:rPr>
          <w:rFonts w:ascii="Perpetua" w:hAnsi="Perpetua"/>
        </w:rPr>
      </w:pPr>
    </w:p>
    <w:tbl>
      <w:tblPr>
        <w:tblW w:w="0" w:type="auto"/>
        <w:jc w:val="center"/>
        <w:tblInd w:w="70" w:type="dxa"/>
        <w:tblCellMar>
          <w:left w:w="70" w:type="dxa"/>
          <w:right w:w="70" w:type="dxa"/>
        </w:tblCellMar>
        <w:tblLook w:val="04A0"/>
      </w:tblPr>
      <w:tblGrid>
        <w:gridCol w:w="1999"/>
        <w:gridCol w:w="909"/>
        <w:gridCol w:w="703"/>
        <w:gridCol w:w="579"/>
        <w:gridCol w:w="909"/>
        <w:gridCol w:w="704"/>
        <w:gridCol w:w="579"/>
        <w:gridCol w:w="909"/>
        <w:gridCol w:w="704"/>
        <w:gridCol w:w="579"/>
      </w:tblGrid>
      <w:tr w:rsidR="00101158" w:rsidRPr="00101158" w:rsidTr="00101158">
        <w:trPr>
          <w:trHeight w:val="780"/>
          <w:jc w:val="center"/>
        </w:trPr>
        <w:tc>
          <w:tcPr>
            <w:tcW w:w="0" w:type="auto"/>
            <w:tcBorders>
              <w:top w:val="nil"/>
              <w:left w:val="nil"/>
              <w:bottom w:val="single" w:sz="4" w:space="0" w:color="auto"/>
              <w:right w:val="single" w:sz="4" w:space="0" w:color="auto"/>
            </w:tcBorders>
            <w:shd w:val="clear" w:color="000000" w:fill="FFFFFF"/>
            <w:noWrap/>
            <w:vAlign w:val="bottom"/>
          </w:tcPr>
          <w:p w:rsidR="00101158" w:rsidRPr="00101158" w:rsidRDefault="00101158" w:rsidP="00101158">
            <w:pPr>
              <w:rPr>
                <w:rFonts w:ascii="Perpetua" w:hAnsi="Perpetua"/>
                <w:color w:val="000000"/>
                <w:sz w:val="18"/>
                <w:szCs w:val="18"/>
              </w:rPr>
            </w:pPr>
            <w:r w:rsidRPr="00101158">
              <w:rPr>
                <w:rFonts w:ascii="Perpetua" w:hAnsi="Perpetua"/>
                <w:color w:val="000000"/>
                <w:sz w:val="18"/>
                <w:szCs w:val="18"/>
              </w:rPr>
              <w:t> </w:t>
            </w:r>
          </w:p>
        </w:tc>
        <w:tc>
          <w:tcPr>
            <w:tcW w:w="0" w:type="auto"/>
            <w:gridSpan w:val="3"/>
            <w:tcBorders>
              <w:top w:val="nil"/>
              <w:left w:val="nil"/>
              <w:bottom w:val="single" w:sz="4" w:space="0" w:color="auto"/>
              <w:right w:val="single" w:sz="4" w:space="0" w:color="auto"/>
            </w:tcBorders>
            <w:shd w:val="clear" w:color="000000" w:fill="FFFFFF"/>
            <w:vAlign w:val="center"/>
          </w:tcPr>
          <w:p w:rsid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Carga&gt; 800</w:t>
            </w:r>
          </w:p>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 xml:space="preserve"> (7)</w:t>
            </w:r>
          </w:p>
        </w:tc>
        <w:tc>
          <w:tcPr>
            <w:tcW w:w="0" w:type="auto"/>
            <w:gridSpan w:val="3"/>
            <w:tcBorders>
              <w:top w:val="nil"/>
              <w:left w:val="nil"/>
              <w:bottom w:val="single" w:sz="4" w:space="0" w:color="auto"/>
              <w:right w:val="single" w:sz="4" w:space="0" w:color="auto"/>
            </w:tcBorders>
            <w:shd w:val="clear" w:color="000000" w:fill="FFFFFF"/>
            <w:vAlign w:val="center"/>
          </w:tcPr>
          <w:p w:rsid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Carga &lt;800</w:t>
            </w:r>
          </w:p>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 xml:space="preserve"> (8)</w:t>
            </w:r>
          </w:p>
        </w:tc>
        <w:tc>
          <w:tcPr>
            <w:tcW w:w="0" w:type="auto"/>
            <w:gridSpan w:val="3"/>
            <w:tcBorders>
              <w:top w:val="nil"/>
              <w:left w:val="nil"/>
              <w:bottom w:val="single" w:sz="4" w:space="0" w:color="auto"/>
            </w:tcBorders>
            <w:shd w:val="clear" w:color="000000" w:fill="FFFFFF"/>
            <w:vAlign w:val="center"/>
          </w:tcPr>
          <w:p w:rsid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Carga&gt; 1.000</w:t>
            </w:r>
          </w:p>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(9)</w:t>
            </w:r>
          </w:p>
        </w:tc>
      </w:tr>
      <w:tr w:rsidR="00101158" w:rsidRPr="00101158" w:rsidTr="00101158">
        <w:trPr>
          <w:trHeight w:val="64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 </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p - value</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p - value</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Beta</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Coef.</w:t>
            </w:r>
          </w:p>
        </w:tc>
        <w:tc>
          <w:tcPr>
            <w:tcW w:w="0" w:type="auto"/>
            <w:tcBorders>
              <w:top w:val="nil"/>
              <w:left w:val="nil"/>
              <w:bottom w:val="single" w:sz="4" w:space="0" w:color="auto"/>
              <w:right w:val="single" w:sz="4" w:space="0" w:color="auto"/>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p - value</w:t>
            </w:r>
          </w:p>
        </w:tc>
        <w:tc>
          <w:tcPr>
            <w:tcW w:w="0" w:type="auto"/>
            <w:tcBorders>
              <w:top w:val="nil"/>
              <w:left w:val="nil"/>
              <w:bottom w:val="single" w:sz="4" w:space="0" w:color="auto"/>
              <w:right w:val="nil"/>
            </w:tcBorders>
            <w:shd w:val="clear" w:color="000000" w:fill="FFFFFF"/>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Beta</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Carga judicial</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0,000938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1,333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0,0029613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1,424</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0,0007216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0,075</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1,008</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(Carga judicial)^2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-2,34E+00</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-1,063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-1,26E-06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0,186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-0,628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-1,76E-07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0,154</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-0,828</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Cluster 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0,0930134</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0,143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-0,0088182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0,857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0,0865187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0,031</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0,140</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Cluster 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-0,2161473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-0,230</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-0,0868317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0,269</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-0,092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-0,2140101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0,004</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-0,257</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Advogados</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-0,006835</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0,126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-0,114</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-0,0122048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-0,178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-0,0076081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0,146</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-0,138</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Solicitadores</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-0,018473</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0,077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-0,089</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-0,0495101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-0,171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-0,0202476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0,068</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-0,110</w:t>
            </w:r>
          </w:p>
        </w:tc>
      </w:tr>
      <w:tr w:rsidR="00101158" w:rsidRPr="00101158" w:rsidTr="00101158">
        <w:trPr>
          <w:trHeight w:val="46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 xml:space="preserve">Funcionários </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0,0789216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0,557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0,0202875</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0,451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0,068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0,0778904</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0,546</w:t>
            </w:r>
          </w:p>
        </w:tc>
      </w:tr>
      <w:tr w:rsidR="00101158" w:rsidRPr="00101158" w:rsidTr="00101158">
        <w:trPr>
          <w:trHeight w:val="570"/>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PIB per capita</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0,0000118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0,076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0,101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2,10E-06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0,880</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1,35E-05</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0,087</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0,120</w:t>
            </w:r>
          </w:p>
        </w:tc>
      </w:tr>
      <w:tr w:rsidR="00101158" w:rsidRPr="00101158" w:rsidTr="00101158">
        <w:trPr>
          <w:trHeight w:val="540"/>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Densidade populacional</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0,0000609</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0,064</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0,105</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0,0000222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0,511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0,018</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0,0000761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0,064</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0,134</w:t>
            </w:r>
          </w:p>
        </w:tc>
      </w:tr>
      <w:tr w:rsidR="00101158" w:rsidRPr="00101158" w:rsidTr="00101158">
        <w:trPr>
          <w:trHeight w:val="405"/>
          <w:jc w:val="center"/>
        </w:trPr>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Constante</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4,685888</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4321708</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4,879915</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nil"/>
              <w:bottom w:val="nil"/>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w:t>
            </w:r>
          </w:p>
        </w:tc>
      </w:tr>
    </w:tbl>
    <w:p w:rsidR="00101158" w:rsidRDefault="00101158" w:rsidP="000A5EB4">
      <w:pPr>
        <w:jc w:val="both"/>
        <w:rPr>
          <w:rFonts w:ascii="Perpetua" w:hAnsi="Perpetua"/>
        </w:rPr>
      </w:pPr>
    </w:p>
    <w:p w:rsidR="00101158" w:rsidRDefault="00101158" w:rsidP="000A5EB4">
      <w:pPr>
        <w:jc w:val="both"/>
        <w:rPr>
          <w:rFonts w:ascii="Perpetua" w:hAnsi="Perpetua"/>
        </w:rPr>
      </w:pPr>
    </w:p>
    <w:p w:rsidR="00101158" w:rsidRDefault="00101158" w:rsidP="00101158">
      <w:pPr>
        <w:pStyle w:val="Caption"/>
        <w:jc w:val="center"/>
        <w:rPr>
          <w:rFonts w:ascii="Perpetua" w:hAnsi="Perpetua"/>
        </w:rPr>
      </w:pPr>
    </w:p>
    <w:p w:rsidR="00101158" w:rsidRDefault="00101158" w:rsidP="00101158">
      <w:pPr>
        <w:pStyle w:val="Caption"/>
        <w:jc w:val="center"/>
        <w:rPr>
          <w:rFonts w:ascii="Perpetua" w:hAnsi="Perpetua"/>
        </w:rPr>
      </w:pPr>
      <w:bookmarkStart w:id="164" w:name="_Toc215081918"/>
      <w:r w:rsidRPr="00101158">
        <w:rPr>
          <w:rFonts w:ascii="Perpetua" w:hAnsi="Perpetua"/>
        </w:rPr>
        <w:t xml:space="preserve">Figura </w:t>
      </w:r>
      <w:r w:rsidR="0048473F" w:rsidRPr="00101158">
        <w:rPr>
          <w:rFonts w:ascii="Perpetua" w:hAnsi="Perpetua"/>
        </w:rPr>
        <w:fldChar w:fldCharType="begin"/>
      </w:r>
      <w:r w:rsidRPr="00101158">
        <w:rPr>
          <w:rFonts w:ascii="Perpetua" w:hAnsi="Perpetua"/>
        </w:rPr>
        <w:instrText xml:space="preserve"> STYLEREF 1 \s </w:instrText>
      </w:r>
      <w:r w:rsidR="0048473F" w:rsidRPr="00101158">
        <w:rPr>
          <w:rFonts w:ascii="Perpetua" w:hAnsi="Perpetua"/>
        </w:rPr>
        <w:fldChar w:fldCharType="separate"/>
      </w:r>
      <w:r w:rsidR="00FF37B9">
        <w:rPr>
          <w:rFonts w:ascii="Perpetua" w:hAnsi="Perpetua"/>
          <w:noProof/>
        </w:rPr>
        <w:t>9</w:t>
      </w:r>
      <w:r w:rsidR="0048473F" w:rsidRPr="00101158">
        <w:rPr>
          <w:rFonts w:ascii="Perpetua" w:hAnsi="Perpetua"/>
        </w:rPr>
        <w:fldChar w:fldCharType="end"/>
      </w:r>
      <w:r w:rsidRPr="00101158">
        <w:rPr>
          <w:rFonts w:ascii="Perpetua" w:hAnsi="Perpetua"/>
        </w:rPr>
        <w:t>.</w:t>
      </w:r>
      <w:r w:rsidR="0048473F" w:rsidRPr="00101158">
        <w:rPr>
          <w:rFonts w:ascii="Perpetua" w:hAnsi="Perpetua"/>
        </w:rPr>
        <w:fldChar w:fldCharType="begin"/>
      </w:r>
      <w:r w:rsidRPr="00101158">
        <w:rPr>
          <w:rFonts w:ascii="Perpetua" w:hAnsi="Perpetua"/>
        </w:rPr>
        <w:instrText xml:space="preserve"> SEQ Figura \* ARABIC \s 1 </w:instrText>
      </w:r>
      <w:r w:rsidR="0048473F" w:rsidRPr="00101158">
        <w:rPr>
          <w:rFonts w:ascii="Perpetua" w:hAnsi="Perpetua"/>
        </w:rPr>
        <w:fldChar w:fldCharType="separate"/>
      </w:r>
      <w:r w:rsidR="00FF37B9">
        <w:rPr>
          <w:rFonts w:ascii="Perpetua" w:hAnsi="Perpetua"/>
          <w:noProof/>
        </w:rPr>
        <w:t>2</w:t>
      </w:r>
      <w:r w:rsidR="0048473F" w:rsidRPr="00101158">
        <w:rPr>
          <w:rFonts w:ascii="Perpetua" w:hAnsi="Perpetua"/>
        </w:rPr>
        <w:fldChar w:fldCharType="end"/>
      </w:r>
      <w:r w:rsidRPr="00101158">
        <w:rPr>
          <w:rFonts w:ascii="Perpetua" w:hAnsi="Perpetua"/>
        </w:rPr>
        <w:t xml:space="preserve"> – Resultados das estimações da equação 1</w:t>
      </w:r>
      <w:r>
        <w:rPr>
          <w:rFonts w:ascii="Perpetua" w:hAnsi="Perpetua"/>
        </w:rPr>
        <w:t xml:space="preserve"> (continuação)</w:t>
      </w:r>
      <w:bookmarkEnd w:id="164"/>
    </w:p>
    <w:p w:rsidR="00101158" w:rsidRPr="00101158" w:rsidRDefault="00101158" w:rsidP="00101158"/>
    <w:tbl>
      <w:tblPr>
        <w:tblW w:w="0" w:type="auto"/>
        <w:jc w:val="center"/>
        <w:tblInd w:w="70" w:type="dxa"/>
        <w:tblCellMar>
          <w:left w:w="70" w:type="dxa"/>
          <w:right w:w="70" w:type="dxa"/>
        </w:tblCellMar>
        <w:tblLook w:val="04A0"/>
      </w:tblPr>
      <w:tblGrid>
        <w:gridCol w:w="2371"/>
        <w:gridCol w:w="550"/>
        <w:gridCol w:w="550"/>
        <w:gridCol w:w="523"/>
      </w:tblGrid>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 </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8</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b/>
                <w:bCs/>
                <w:color w:val="000000"/>
                <w:sz w:val="18"/>
                <w:szCs w:val="18"/>
              </w:rPr>
            </w:pPr>
            <w:r w:rsidRPr="00101158">
              <w:rPr>
                <w:rFonts w:ascii="Perpetua" w:hAnsi="Perpetua"/>
                <w:b/>
                <w:bCs/>
                <w:color w:val="000000"/>
                <w:sz w:val="18"/>
                <w:szCs w:val="18"/>
              </w:rPr>
              <w:t>9</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N</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136</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75</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111</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Aderência global (Prob &gt; F)</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single" w:sz="4" w:space="0" w:color="auto"/>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c>
          <w:tcPr>
            <w:tcW w:w="0" w:type="auto"/>
            <w:tcBorders>
              <w:top w:val="nil"/>
              <w:left w:val="single" w:sz="4" w:space="0" w:color="auto"/>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0,000</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R2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0,665</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0,752</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0,583</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R2 ajustado</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0,637</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0,718</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0,546</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Breusch-Pagan (Prob &gt; Chi2)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0,592</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0,649</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0,082</w:t>
            </w:r>
          </w:p>
        </w:tc>
      </w:tr>
      <w:tr w:rsidR="00101158" w:rsidRPr="00101158" w:rsidTr="00101158">
        <w:trPr>
          <w:trHeight w:val="495"/>
          <w:jc w:val="center"/>
        </w:trPr>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Ramsey (Prob &gt; F)</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0,001</w:t>
            </w:r>
          </w:p>
        </w:tc>
        <w:tc>
          <w:tcPr>
            <w:tcW w:w="0" w:type="auto"/>
            <w:tcBorders>
              <w:top w:val="nil"/>
              <w:left w:val="nil"/>
              <w:bottom w:val="single" w:sz="4" w:space="0" w:color="auto"/>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0,666</w:t>
            </w:r>
          </w:p>
        </w:tc>
        <w:tc>
          <w:tcPr>
            <w:tcW w:w="0" w:type="auto"/>
            <w:tcBorders>
              <w:top w:val="nil"/>
              <w:left w:val="nil"/>
              <w:bottom w:val="single" w:sz="4" w:space="0" w:color="auto"/>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0,006</w:t>
            </w:r>
          </w:p>
        </w:tc>
      </w:tr>
      <w:tr w:rsidR="00101158" w:rsidRPr="00101158" w:rsidTr="00101158">
        <w:trPr>
          <w:trHeight w:val="495"/>
          <w:jc w:val="center"/>
        </w:trPr>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rPr>
                <w:rFonts w:ascii="Perpetua" w:hAnsi="Perpetua"/>
                <w:b/>
                <w:bCs/>
                <w:color w:val="000000"/>
                <w:sz w:val="18"/>
                <w:szCs w:val="18"/>
              </w:rPr>
            </w:pPr>
            <w:r w:rsidRPr="00101158">
              <w:rPr>
                <w:rFonts w:ascii="Perpetua" w:hAnsi="Perpetua"/>
                <w:b/>
                <w:bCs/>
                <w:color w:val="000000"/>
                <w:sz w:val="18"/>
                <w:szCs w:val="18"/>
              </w:rPr>
              <w:t>VIF médio</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1,471</w:t>
            </w:r>
          </w:p>
        </w:tc>
        <w:tc>
          <w:tcPr>
            <w:tcW w:w="0" w:type="auto"/>
            <w:tcBorders>
              <w:top w:val="nil"/>
              <w:left w:val="nil"/>
              <w:bottom w:val="nil"/>
              <w:right w:val="single" w:sz="4" w:space="0" w:color="auto"/>
            </w:tcBorders>
            <w:shd w:val="clear" w:color="000000" w:fill="FFFFFF"/>
            <w:noWrap/>
            <w:vAlign w:val="center"/>
          </w:tcPr>
          <w:p w:rsidR="00101158" w:rsidRPr="00101158" w:rsidRDefault="00101158" w:rsidP="00101158">
            <w:pPr>
              <w:jc w:val="center"/>
              <w:rPr>
                <w:rFonts w:ascii="Calibri" w:hAnsi="Calibri"/>
                <w:color w:val="000000"/>
                <w:sz w:val="18"/>
                <w:szCs w:val="18"/>
              </w:rPr>
            </w:pPr>
            <w:r w:rsidRPr="00101158">
              <w:rPr>
                <w:rFonts w:ascii="Calibri" w:hAnsi="Calibri"/>
                <w:color w:val="000000"/>
                <w:sz w:val="18"/>
                <w:szCs w:val="18"/>
              </w:rPr>
              <w:t>1,321</w:t>
            </w:r>
          </w:p>
        </w:tc>
        <w:tc>
          <w:tcPr>
            <w:tcW w:w="0" w:type="auto"/>
            <w:tcBorders>
              <w:top w:val="nil"/>
              <w:left w:val="nil"/>
              <w:bottom w:val="nil"/>
              <w:right w:val="nil"/>
            </w:tcBorders>
            <w:shd w:val="clear" w:color="000000" w:fill="FFFFFF"/>
            <w:noWrap/>
            <w:vAlign w:val="center"/>
          </w:tcPr>
          <w:p w:rsidR="00101158" w:rsidRPr="00101158" w:rsidRDefault="00101158" w:rsidP="00101158">
            <w:pPr>
              <w:jc w:val="center"/>
              <w:rPr>
                <w:rFonts w:ascii="Perpetua" w:hAnsi="Perpetua"/>
                <w:color w:val="000000"/>
                <w:sz w:val="18"/>
                <w:szCs w:val="18"/>
              </w:rPr>
            </w:pPr>
            <w:r w:rsidRPr="00101158">
              <w:rPr>
                <w:rFonts w:ascii="Perpetua" w:hAnsi="Perpetua"/>
                <w:color w:val="000000"/>
                <w:sz w:val="18"/>
                <w:szCs w:val="18"/>
              </w:rPr>
              <w:t>1,509</w:t>
            </w:r>
          </w:p>
        </w:tc>
      </w:tr>
    </w:tbl>
    <w:p w:rsidR="00101158" w:rsidRDefault="00101158" w:rsidP="000A5EB4">
      <w:pPr>
        <w:jc w:val="both"/>
        <w:rPr>
          <w:rFonts w:ascii="Perpetua" w:hAnsi="Perpetua"/>
        </w:rPr>
      </w:pPr>
    </w:p>
    <w:p w:rsidR="00A84FE3" w:rsidRDefault="00A84FE3" w:rsidP="000A5EB4">
      <w:pPr>
        <w:jc w:val="both"/>
        <w:rPr>
          <w:rFonts w:ascii="Perpetua" w:hAnsi="Perpetua"/>
        </w:rPr>
      </w:pPr>
    </w:p>
    <w:p w:rsidR="00101158" w:rsidRDefault="00101158" w:rsidP="000A5EB4">
      <w:pPr>
        <w:jc w:val="both"/>
        <w:rPr>
          <w:rFonts w:ascii="Perpetua" w:hAnsi="Perpetua"/>
        </w:rPr>
      </w:pPr>
    </w:p>
    <w:p w:rsidR="000A5EB4" w:rsidRDefault="005A512D" w:rsidP="000A5EB4">
      <w:pPr>
        <w:jc w:val="both"/>
        <w:rPr>
          <w:rFonts w:ascii="Perpetua" w:hAnsi="Perpetua"/>
        </w:rPr>
      </w:pPr>
      <w:r>
        <w:rPr>
          <w:rFonts w:ascii="Perpetua" w:hAnsi="Perpetua"/>
        </w:rPr>
        <w:t xml:space="preserve">Diagrama dos valores previstos pela equação (1) vs as observações da amostra </w:t>
      </w:r>
    </w:p>
    <w:p w:rsidR="004E74B7" w:rsidRPr="000A5EB4" w:rsidRDefault="000A5EB4" w:rsidP="000A5EB4">
      <w:pPr>
        <w:jc w:val="both"/>
        <w:rPr>
          <w:rFonts w:ascii="Perpetua" w:hAnsi="Perpetua"/>
        </w:rPr>
      </w:pPr>
      <w:r w:rsidRPr="000A5EB4">
        <w:rPr>
          <w:rFonts w:ascii="Perpetua" w:hAnsi="Perpetua"/>
        </w:rPr>
        <w:t xml:space="preserve"> </w:t>
      </w:r>
    </w:p>
    <w:p w:rsidR="0008426C" w:rsidRDefault="00C82BCA" w:rsidP="0008426C">
      <w:r>
        <w:rPr>
          <w:noProof/>
        </w:rPr>
        <w:drawing>
          <wp:inline distT="0" distB="0" distL="0" distR="0">
            <wp:extent cx="5114925" cy="3743325"/>
            <wp:effectExtent l="0" t="0" r="0" b="0"/>
            <wp:docPr id="9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a:srcRect/>
                    <a:stretch>
                      <a:fillRect/>
                    </a:stretch>
                  </pic:blipFill>
                  <pic:spPr bwMode="auto">
                    <a:xfrm>
                      <a:off x="0" y="0"/>
                      <a:ext cx="5114925" cy="3743325"/>
                    </a:xfrm>
                    <a:prstGeom prst="rect">
                      <a:avLst/>
                    </a:prstGeom>
                    <a:noFill/>
                    <a:ln w="9525">
                      <a:noFill/>
                      <a:miter lim="800000"/>
                      <a:headEnd/>
                      <a:tailEnd/>
                    </a:ln>
                  </pic:spPr>
                </pic:pic>
              </a:graphicData>
            </a:graphic>
          </wp:inline>
        </w:drawing>
      </w:r>
    </w:p>
    <w:p w:rsidR="005A512D" w:rsidRDefault="005A512D" w:rsidP="0008426C"/>
    <w:p w:rsidR="005A512D" w:rsidRDefault="005A512D" w:rsidP="0008426C"/>
    <w:p w:rsidR="005A512D" w:rsidRPr="005A512D" w:rsidRDefault="005A512D" w:rsidP="0008426C">
      <w:pPr>
        <w:rPr>
          <w:rFonts w:ascii="Perpetua" w:hAnsi="Perpetua"/>
        </w:rPr>
      </w:pPr>
      <w:r w:rsidRPr="005A512D">
        <w:rPr>
          <w:rFonts w:ascii="Perpetua" w:hAnsi="Perpetua"/>
        </w:rPr>
        <w:t>Diagrama de resíduos vs valores previstos pela regressão (1)</w:t>
      </w:r>
    </w:p>
    <w:p w:rsidR="005A512D" w:rsidRDefault="005A512D" w:rsidP="0008426C"/>
    <w:p w:rsidR="0008426C" w:rsidRDefault="00C82BCA" w:rsidP="000A5EB4">
      <w:pPr>
        <w:jc w:val="center"/>
      </w:pPr>
      <w:r>
        <w:rPr>
          <w:noProof/>
        </w:rPr>
        <w:drawing>
          <wp:inline distT="0" distB="0" distL="0" distR="0">
            <wp:extent cx="4371975" cy="3200400"/>
            <wp:effectExtent l="0" t="0" r="0" b="0"/>
            <wp:docPr id="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a:srcRect/>
                    <a:stretch>
                      <a:fillRect/>
                    </a:stretch>
                  </pic:blipFill>
                  <pic:spPr bwMode="auto">
                    <a:xfrm>
                      <a:off x="0" y="0"/>
                      <a:ext cx="4371975" cy="3200400"/>
                    </a:xfrm>
                    <a:prstGeom prst="rect">
                      <a:avLst/>
                    </a:prstGeom>
                    <a:noFill/>
                    <a:ln w="9525">
                      <a:noFill/>
                      <a:miter lim="800000"/>
                      <a:headEnd/>
                      <a:tailEnd/>
                    </a:ln>
                  </pic:spPr>
                </pic:pic>
              </a:graphicData>
            </a:graphic>
          </wp:inline>
        </w:drawing>
      </w:r>
    </w:p>
    <w:p w:rsidR="002E7A36" w:rsidRDefault="002E7A36" w:rsidP="000A5EB4">
      <w:pPr>
        <w:jc w:val="center"/>
      </w:pPr>
    </w:p>
    <w:p w:rsidR="002E7A36" w:rsidRDefault="002E7A36" w:rsidP="000A5EB4">
      <w:pPr>
        <w:jc w:val="center"/>
      </w:pPr>
    </w:p>
    <w:p w:rsidR="0008426C" w:rsidRDefault="0008426C" w:rsidP="000A5EB4">
      <w:pPr>
        <w:jc w:val="center"/>
      </w:pPr>
    </w:p>
    <w:sectPr w:rsidR="0008426C" w:rsidSect="004C43CE">
      <w:footerReference w:type="even" r:id="rId127"/>
      <w:footerReference w:type="default" r:id="rId128"/>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B3D63" w:rsidRDefault="005B3D63" w:rsidP="003F0303">
      <w:r>
        <w:separator/>
      </w:r>
    </w:p>
  </w:endnote>
  <w:endnote w:type="continuationSeparator" w:id="1">
    <w:p w:rsidR="005B3D63" w:rsidRDefault="005B3D63" w:rsidP="003F03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Perpetua">
    <w:panose1 w:val="02020502060401020303"/>
    <w:charset w:val="00"/>
    <w:family w:val="roman"/>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6F6" w:rsidRDefault="0048473F" w:rsidP="0080386E">
    <w:pPr>
      <w:pStyle w:val="Footer"/>
      <w:framePr w:wrap="around" w:vAnchor="text" w:hAnchor="margin" w:xAlign="right" w:y="1"/>
      <w:rPr>
        <w:rStyle w:val="PageNumber"/>
      </w:rPr>
    </w:pPr>
    <w:r>
      <w:rPr>
        <w:rStyle w:val="PageNumber"/>
      </w:rPr>
      <w:fldChar w:fldCharType="begin"/>
    </w:r>
    <w:r w:rsidR="003926F6">
      <w:rPr>
        <w:rStyle w:val="PageNumber"/>
      </w:rPr>
      <w:instrText xml:space="preserve">PAGE  </w:instrText>
    </w:r>
    <w:r>
      <w:rPr>
        <w:rStyle w:val="PageNumber"/>
      </w:rPr>
      <w:fldChar w:fldCharType="end"/>
    </w:r>
  </w:p>
  <w:p w:rsidR="003926F6" w:rsidRDefault="003926F6" w:rsidP="0080386E">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26F6" w:rsidRDefault="0048473F" w:rsidP="0080386E">
    <w:pPr>
      <w:pStyle w:val="Footer"/>
      <w:framePr w:wrap="around" w:vAnchor="text" w:hAnchor="margin" w:xAlign="right" w:y="1"/>
      <w:rPr>
        <w:rStyle w:val="PageNumber"/>
      </w:rPr>
    </w:pPr>
    <w:r>
      <w:rPr>
        <w:rStyle w:val="PageNumber"/>
      </w:rPr>
      <w:fldChar w:fldCharType="begin"/>
    </w:r>
    <w:r w:rsidR="003926F6">
      <w:rPr>
        <w:rStyle w:val="PageNumber"/>
      </w:rPr>
      <w:instrText xml:space="preserve">PAGE  </w:instrText>
    </w:r>
    <w:r>
      <w:rPr>
        <w:rStyle w:val="PageNumber"/>
      </w:rPr>
      <w:fldChar w:fldCharType="separate"/>
    </w:r>
    <w:r w:rsidR="00DF6BDA">
      <w:rPr>
        <w:rStyle w:val="PageNumber"/>
        <w:noProof/>
      </w:rPr>
      <w:t>7</w:t>
    </w:r>
    <w:r>
      <w:rPr>
        <w:rStyle w:val="PageNumber"/>
      </w:rPr>
      <w:fldChar w:fldCharType="end"/>
    </w:r>
  </w:p>
  <w:p w:rsidR="003926F6" w:rsidRDefault="003926F6" w:rsidP="0080386E">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B3D63" w:rsidRDefault="005B3D63" w:rsidP="003F0303">
      <w:r>
        <w:separator/>
      </w:r>
    </w:p>
  </w:footnote>
  <w:footnote w:type="continuationSeparator" w:id="1">
    <w:p w:rsidR="005B3D63" w:rsidRDefault="005B3D63" w:rsidP="003F0303">
      <w:r>
        <w:continuationSeparator/>
      </w:r>
    </w:p>
  </w:footnote>
  <w:footnote w:id="2">
    <w:p w:rsidR="003926F6" w:rsidRPr="00A37CA8" w:rsidRDefault="003926F6" w:rsidP="00A37CA8">
      <w:pPr>
        <w:pStyle w:val="FootnoteText"/>
        <w:jc w:val="both"/>
        <w:rPr>
          <w:rFonts w:ascii="Perpetua" w:hAnsi="Perpetua"/>
        </w:rPr>
      </w:pPr>
      <w:r w:rsidRPr="00A37CA8">
        <w:rPr>
          <w:rStyle w:val="FootnoteReference"/>
          <w:rFonts w:ascii="Perpetua" w:hAnsi="Perpetua"/>
        </w:rPr>
        <w:footnoteRef/>
      </w:r>
      <w:r w:rsidRPr="00A37CA8">
        <w:rPr>
          <w:rFonts w:ascii="Perpetua" w:hAnsi="Perpetua"/>
        </w:rPr>
        <w:t xml:space="preserve"> Doravante, utilizaremos indistintamente os termos </w:t>
      </w:r>
      <w:r w:rsidRPr="00A37CA8">
        <w:rPr>
          <w:rFonts w:ascii="Perpetua" w:hAnsi="Perpetua"/>
          <w:i/>
        </w:rPr>
        <w:t>serviços judiciais</w:t>
      </w:r>
      <w:r w:rsidRPr="00A37CA8">
        <w:rPr>
          <w:rFonts w:ascii="Perpetua" w:hAnsi="Perpetua"/>
        </w:rPr>
        <w:t xml:space="preserve"> e </w:t>
      </w:r>
      <w:r w:rsidRPr="00A37CA8">
        <w:rPr>
          <w:rFonts w:ascii="Perpetua" w:hAnsi="Perpetua"/>
          <w:i/>
        </w:rPr>
        <w:t>resolução de litígios</w:t>
      </w:r>
      <w:r w:rsidRPr="00A37CA8">
        <w:rPr>
          <w:rFonts w:ascii="Perpetua" w:hAnsi="Perpetua"/>
        </w:rPr>
        <w:t xml:space="preserve"> para nomear os serviços judiciais de resolução de litígios.</w:t>
      </w:r>
    </w:p>
  </w:footnote>
  <w:footnote w:id="3">
    <w:p w:rsidR="003926F6" w:rsidRPr="00A37CA8" w:rsidRDefault="003926F6" w:rsidP="00A37CA8">
      <w:pPr>
        <w:pStyle w:val="FootnoteText"/>
        <w:jc w:val="both"/>
        <w:rPr>
          <w:rFonts w:ascii="Perpetua" w:hAnsi="Perpetua"/>
        </w:rPr>
      </w:pPr>
      <w:r w:rsidRPr="00A37CA8">
        <w:rPr>
          <w:rStyle w:val="FootnoteReference"/>
          <w:rFonts w:ascii="Perpetua" w:hAnsi="Perpetua"/>
        </w:rPr>
        <w:footnoteRef/>
      </w:r>
      <w:r w:rsidRPr="00A37CA8">
        <w:rPr>
          <w:rFonts w:ascii="Perpetua" w:hAnsi="Perpetua"/>
        </w:rPr>
        <w:t xml:space="preserve"> </w:t>
      </w:r>
      <w:r w:rsidRPr="004E5D3A">
        <w:rPr>
          <w:rFonts w:ascii="Perpetua" w:hAnsi="Perpetua"/>
          <w:i/>
        </w:rPr>
        <w:t>Vide</w:t>
      </w:r>
      <w:r w:rsidRPr="00A37CA8">
        <w:rPr>
          <w:rFonts w:ascii="Perpetua" w:hAnsi="Perpetua"/>
        </w:rPr>
        <w:t xml:space="preserve"> Garoupa, Garcia </w:t>
      </w:r>
      <w:r>
        <w:rPr>
          <w:rFonts w:ascii="Perpetua" w:hAnsi="Perpetua"/>
        </w:rPr>
        <w:t>e</w:t>
      </w:r>
      <w:r w:rsidRPr="00A37CA8">
        <w:rPr>
          <w:rFonts w:ascii="Perpetua" w:hAnsi="Perpetua"/>
        </w:rPr>
        <w:t xml:space="preserve"> Vilaça (2007:104-105).</w:t>
      </w:r>
    </w:p>
  </w:footnote>
  <w:footnote w:id="4">
    <w:p w:rsidR="003926F6" w:rsidRPr="00A37CA8" w:rsidRDefault="003926F6" w:rsidP="00A37CA8">
      <w:pPr>
        <w:pStyle w:val="FootnoteText"/>
        <w:jc w:val="both"/>
        <w:rPr>
          <w:rFonts w:ascii="Perpetua" w:hAnsi="Perpetua"/>
        </w:rPr>
      </w:pPr>
      <w:r w:rsidRPr="00A37CA8">
        <w:rPr>
          <w:rStyle w:val="FootnoteReference"/>
          <w:rFonts w:ascii="Perpetua" w:hAnsi="Perpetua"/>
        </w:rPr>
        <w:footnoteRef/>
      </w:r>
      <w:r w:rsidRPr="00A37CA8">
        <w:rPr>
          <w:rFonts w:ascii="Perpetua" w:hAnsi="Perpetua"/>
        </w:rPr>
        <w:t xml:space="preserve"> Corresponde aos termos da língua inglesa </w:t>
      </w:r>
      <w:r w:rsidRPr="00A37CA8">
        <w:rPr>
          <w:rFonts w:ascii="Perpetua" w:hAnsi="Perpetua"/>
          <w:i/>
        </w:rPr>
        <w:t xml:space="preserve">Law </w:t>
      </w:r>
      <w:r>
        <w:rPr>
          <w:rFonts w:ascii="Perpetua" w:hAnsi="Perpetua"/>
          <w:i/>
        </w:rPr>
        <w:t>and</w:t>
      </w:r>
      <w:r w:rsidRPr="00A37CA8">
        <w:rPr>
          <w:rFonts w:ascii="Perpetua" w:hAnsi="Perpetua"/>
          <w:i/>
        </w:rPr>
        <w:t xml:space="preserve"> Economics</w:t>
      </w:r>
      <w:r w:rsidRPr="00A37CA8">
        <w:rPr>
          <w:rFonts w:ascii="Perpetua" w:hAnsi="Perpetua"/>
        </w:rPr>
        <w:t>/</w:t>
      </w:r>
      <w:r w:rsidRPr="00A37CA8">
        <w:rPr>
          <w:rFonts w:ascii="Perpetua" w:hAnsi="Perpetua"/>
          <w:i/>
        </w:rPr>
        <w:t>Economic Analysis of Law</w:t>
      </w:r>
      <w:r w:rsidRPr="00A37CA8">
        <w:rPr>
          <w:rFonts w:ascii="Perpetua" w:hAnsi="Perpetua"/>
        </w:rPr>
        <w:t>.</w:t>
      </w:r>
    </w:p>
  </w:footnote>
  <w:footnote w:id="5">
    <w:p w:rsidR="003926F6" w:rsidRPr="00A37CA8" w:rsidRDefault="003926F6" w:rsidP="00A37CA8">
      <w:pPr>
        <w:pStyle w:val="FootnoteText"/>
        <w:jc w:val="both"/>
        <w:rPr>
          <w:rFonts w:ascii="Perpetua" w:hAnsi="Perpetua"/>
        </w:rPr>
      </w:pPr>
      <w:r w:rsidRPr="00A37CA8">
        <w:rPr>
          <w:rStyle w:val="FootnoteReference"/>
          <w:rFonts w:ascii="Perpetua" w:hAnsi="Perpetua"/>
        </w:rPr>
        <w:footnoteRef/>
      </w:r>
      <w:r w:rsidRPr="00A37CA8">
        <w:rPr>
          <w:rFonts w:ascii="Perpetua" w:hAnsi="Perpetua"/>
        </w:rPr>
        <w:t xml:space="preserve"> </w:t>
      </w:r>
      <w:r w:rsidRPr="004E5D3A">
        <w:rPr>
          <w:rFonts w:ascii="Perpetua" w:hAnsi="Perpetua"/>
          <w:i/>
        </w:rPr>
        <w:t>Vide</w:t>
      </w:r>
      <w:r w:rsidRPr="00A37CA8">
        <w:rPr>
          <w:rFonts w:ascii="Perpetua" w:hAnsi="Perpetua"/>
        </w:rPr>
        <w:t xml:space="preserve"> Aghion (2006:3).</w:t>
      </w:r>
    </w:p>
  </w:footnote>
  <w:footnote w:id="6">
    <w:p w:rsidR="003926F6" w:rsidRPr="00C077AF" w:rsidRDefault="003926F6" w:rsidP="003F0303">
      <w:pPr>
        <w:pStyle w:val="FootnoteText"/>
        <w:jc w:val="both"/>
        <w:rPr>
          <w:rFonts w:ascii="Perpetua" w:hAnsi="Perpetua"/>
        </w:rPr>
      </w:pPr>
      <w:r w:rsidRPr="00C077AF">
        <w:rPr>
          <w:rStyle w:val="FootnoteReference"/>
          <w:rFonts w:ascii="Perpetua" w:hAnsi="Perpetua"/>
        </w:rPr>
        <w:footnoteRef/>
      </w:r>
      <w:r w:rsidRPr="00C077AF">
        <w:rPr>
          <w:rFonts w:ascii="Perpetua" w:hAnsi="Perpetua"/>
        </w:rPr>
        <w:t xml:space="preserve"> </w:t>
      </w:r>
      <w:r w:rsidRPr="004D29E2">
        <w:rPr>
          <w:rFonts w:ascii="Perpetua" w:hAnsi="Perpetua"/>
          <w:i/>
        </w:rPr>
        <w:t>Vide</w:t>
      </w:r>
      <w:r>
        <w:rPr>
          <w:rFonts w:ascii="Perpetua" w:hAnsi="Perpetua"/>
        </w:rPr>
        <w:t xml:space="preserve"> </w:t>
      </w:r>
      <w:r w:rsidRPr="00C077AF">
        <w:rPr>
          <w:rFonts w:ascii="Perpetua" w:hAnsi="Perpetua" w:cs="Arial"/>
        </w:rPr>
        <w:t>Dakolias (1999:1-2).</w:t>
      </w:r>
    </w:p>
  </w:footnote>
  <w:footnote w:id="7">
    <w:p w:rsidR="003926F6" w:rsidRPr="00C077AF" w:rsidRDefault="003926F6" w:rsidP="003F0303">
      <w:pPr>
        <w:pStyle w:val="FootnoteText"/>
        <w:rPr>
          <w:rFonts w:ascii="Perpetua" w:hAnsi="Perpetua"/>
        </w:rPr>
      </w:pPr>
      <w:r w:rsidRPr="00C077AF">
        <w:rPr>
          <w:rStyle w:val="FootnoteReference"/>
          <w:rFonts w:ascii="Perpetua" w:hAnsi="Perpetua"/>
        </w:rPr>
        <w:footnoteRef/>
      </w:r>
      <w:r w:rsidRPr="00C077AF">
        <w:rPr>
          <w:rFonts w:ascii="Perpetua" w:hAnsi="Perpetua"/>
        </w:rPr>
        <w:t xml:space="preserve"> </w:t>
      </w:r>
      <w:r w:rsidRPr="004E5D3A">
        <w:rPr>
          <w:rFonts w:ascii="Perpetua" w:hAnsi="Perpetua"/>
          <w:i/>
        </w:rPr>
        <w:t>Vide</w:t>
      </w:r>
      <w:r w:rsidRPr="00C077AF">
        <w:rPr>
          <w:rFonts w:ascii="Perpetua" w:hAnsi="Perpetua"/>
        </w:rPr>
        <w:t xml:space="preserve"> </w:t>
      </w:r>
      <w:r w:rsidRPr="00C077AF">
        <w:rPr>
          <w:rFonts w:ascii="Perpetua" w:hAnsi="Perpetua" w:cs="Arial"/>
        </w:rPr>
        <w:t>Dakolias (1999: 1).</w:t>
      </w:r>
    </w:p>
  </w:footnote>
  <w:footnote w:id="8">
    <w:p w:rsidR="003926F6" w:rsidRPr="00C077AF" w:rsidRDefault="003926F6" w:rsidP="003F0303">
      <w:pPr>
        <w:pStyle w:val="FootnoteText"/>
        <w:rPr>
          <w:rFonts w:ascii="Perpetua" w:hAnsi="Perpetua"/>
        </w:rPr>
      </w:pPr>
      <w:r w:rsidRPr="00C077AF">
        <w:rPr>
          <w:rStyle w:val="FootnoteReference"/>
          <w:rFonts w:ascii="Perpetua" w:hAnsi="Perpetua"/>
        </w:rPr>
        <w:footnoteRef/>
      </w:r>
      <w:r w:rsidRPr="00C077AF">
        <w:rPr>
          <w:rFonts w:ascii="Perpetua" w:hAnsi="Perpetua"/>
        </w:rPr>
        <w:t xml:space="preserve"> </w:t>
      </w:r>
      <w:r w:rsidRPr="004E5D3A">
        <w:rPr>
          <w:rFonts w:ascii="Perpetua" w:hAnsi="Perpetua"/>
          <w:i/>
        </w:rPr>
        <w:t>Vide</w:t>
      </w:r>
      <w:r w:rsidRPr="00C077AF">
        <w:rPr>
          <w:rFonts w:ascii="Perpetua" w:hAnsi="Perpetua"/>
        </w:rPr>
        <w:t xml:space="preserve"> Breen (2002:77-116) sobre as reformas da Justiça levadas a cabo nos Países Baixos e no Reino Unido.</w:t>
      </w:r>
    </w:p>
  </w:footnote>
  <w:footnote w:id="9">
    <w:p w:rsidR="003926F6" w:rsidRPr="00C077AF" w:rsidRDefault="003926F6" w:rsidP="003F0303">
      <w:pPr>
        <w:pStyle w:val="FootnoteText"/>
        <w:rPr>
          <w:rFonts w:ascii="Perpetua" w:hAnsi="Perpetua"/>
        </w:rPr>
      </w:pPr>
      <w:r w:rsidRPr="00C077AF">
        <w:rPr>
          <w:rStyle w:val="FootnoteReference"/>
          <w:rFonts w:ascii="Perpetua" w:hAnsi="Perpetua"/>
        </w:rPr>
        <w:footnoteRef/>
      </w:r>
      <w:r w:rsidRPr="00C077AF">
        <w:rPr>
          <w:rFonts w:ascii="Perpetua" w:hAnsi="Perpetua"/>
        </w:rPr>
        <w:t xml:space="preserve"> </w:t>
      </w:r>
      <w:r w:rsidRPr="004E5D3A">
        <w:rPr>
          <w:rFonts w:ascii="Perpetua" w:hAnsi="Perpetua"/>
          <w:i/>
        </w:rPr>
        <w:t>Vide</w:t>
      </w:r>
      <w:r w:rsidRPr="00C077AF">
        <w:rPr>
          <w:rFonts w:ascii="Perpetua" w:hAnsi="Perpetua"/>
        </w:rPr>
        <w:t xml:space="preserve"> </w:t>
      </w:r>
      <w:r w:rsidRPr="00C077AF">
        <w:rPr>
          <w:rFonts w:ascii="Perpetua" w:hAnsi="Perpetua" w:cs="Arial"/>
        </w:rPr>
        <w:t xml:space="preserve">Garoupa, Garcia </w:t>
      </w:r>
      <w:r>
        <w:rPr>
          <w:rFonts w:ascii="Perpetua" w:hAnsi="Perpetua" w:cs="Arial"/>
        </w:rPr>
        <w:t>e</w:t>
      </w:r>
      <w:r w:rsidRPr="00C077AF">
        <w:rPr>
          <w:rFonts w:ascii="Perpetua" w:hAnsi="Perpetua" w:cs="Arial"/>
        </w:rPr>
        <w:t xml:space="preserve"> Vilaça (2007:101-102).</w:t>
      </w:r>
    </w:p>
  </w:footnote>
  <w:footnote w:id="10">
    <w:p w:rsidR="003926F6" w:rsidRPr="00117B93" w:rsidRDefault="003926F6" w:rsidP="00117B93">
      <w:pPr>
        <w:pStyle w:val="FootnoteText"/>
        <w:jc w:val="both"/>
        <w:rPr>
          <w:rFonts w:ascii="Perpetua" w:hAnsi="Perpetua"/>
        </w:rPr>
      </w:pPr>
      <w:r w:rsidRPr="00117B93">
        <w:rPr>
          <w:rStyle w:val="FootnoteReference"/>
          <w:rFonts w:ascii="Perpetua" w:hAnsi="Perpetua"/>
        </w:rPr>
        <w:footnoteRef/>
      </w:r>
      <w:r w:rsidRPr="00117B93">
        <w:rPr>
          <w:rFonts w:ascii="Perpetua" w:hAnsi="Perpetua"/>
        </w:rPr>
        <w:t xml:space="preserve"> Por exemplo, Observatório Permanente da Justiça Portuguesa e Sedes – Associação para o Desenvolvimento Económico e Social.</w:t>
      </w:r>
    </w:p>
  </w:footnote>
  <w:footnote w:id="11">
    <w:p w:rsidR="003926F6" w:rsidRPr="00117B93" w:rsidRDefault="003926F6" w:rsidP="00117B93">
      <w:pPr>
        <w:pStyle w:val="FootnoteText"/>
        <w:jc w:val="both"/>
        <w:rPr>
          <w:rFonts w:ascii="Perpetua" w:hAnsi="Perpetua"/>
        </w:rPr>
      </w:pPr>
      <w:r w:rsidRPr="00117B93">
        <w:rPr>
          <w:rStyle w:val="FootnoteReference"/>
          <w:rFonts w:ascii="Perpetua" w:hAnsi="Perpetua"/>
        </w:rPr>
        <w:footnoteRef/>
      </w:r>
      <w:r w:rsidRPr="00117B93">
        <w:rPr>
          <w:rFonts w:ascii="Perpetua" w:hAnsi="Perpetua"/>
        </w:rPr>
        <w:t xml:space="preserve"> </w:t>
      </w:r>
      <w:r w:rsidRPr="004E5D3A">
        <w:rPr>
          <w:rFonts w:ascii="Perpetua" w:hAnsi="Perpetua"/>
          <w:i/>
        </w:rPr>
        <w:t>Vide</w:t>
      </w:r>
      <w:r w:rsidRPr="00117B93">
        <w:rPr>
          <w:rFonts w:ascii="Perpetua" w:hAnsi="Perpetua"/>
        </w:rPr>
        <w:t xml:space="preserve"> </w:t>
      </w:r>
      <w:hyperlink r:id="rId1" w:history="1">
        <w:r w:rsidRPr="00117B93">
          <w:rPr>
            <w:rStyle w:val="Hyperlink"/>
            <w:rFonts w:ascii="Perpetua" w:hAnsi="Perpetua"/>
          </w:rPr>
          <w:t>www.reformadajustiça.blogspot.com</w:t>
        </w:r>
      </w:hyperlink>
      <w:r w:rsidRPr="00117B93">
        <w:rPr>
          <w:rFonts w:ascii="Perpetua" w:hAnsi="Perpetua"/>
        </w:rPr>
        <w:t xml:space="preserve"> para referência directa para inúmeras intervenções orais e escritas, na imprensa nacional e em revistas nacionais de direito, de Nuno Garoupa.</w:t>
      </w:r>
    </w:p>
  </w:footnote>
  <w:footnote w:id="12">
    <w:p w:rsidR="003926F6" w:rsidRPr="00117B93" w:rsidRDefault="003926F6" w:rsidP="00117B93">
      <w:pPr>
        <w:pStyle w:val="FootnoteText"/>
        <w:jc w:val="both"/>
        <w:rPr>
          <w:rFonts w:ascii="Perpetua" w:hAnsi="Perpetua"/>
        </w:rPr>
      </w:pPr>
      <w:r w:rsidRPr="00117B93">
        <w:rPr>
          <w:rStyle w:val="FootnoteReference"/>
          <w:rFonts w:ascii="Perpetua" w:hAnsi="Perpetua"/>
        </w:rPr>
        <w:footnoteRef/>
      </w:r>
      <w:r w:rsidRPr="00117B93">
        <w:rPr>
          <w:rFonts w:ascii="Perpetua" w:hAnsi="Perpetua"/>
        </w:rPr>
        <w:t xml:space="preserve"> </w:t>
      </w:r>
      <w:r w:rsidRPr="004E5D3A">
        <w:rPr>
          <w:rFonts w:ascii="Perpetua" w:hAnsi="Perpetua"/>
          <w:i/>
        </w:rPr>
        <w:t>Vide</w:t>
      </w:r>
      <w:r w:rsidRPr="00117B93">
        <w:rPr>
          <w:rFonts w:ascii="Perpetua" w:hAnsi="Perpetua"/>
        </w:rPr>
        <w:t xml:space="preserve"> Garoupa, Simões </w:t>
      </w:r>
      <w:r>
        <w:rPr>
          <w:rFonts w:ascii="Perpetua" w:hAnsi="Perpetua"/>
        </w:rPr>
        <w:t>e</w:t>
      </w:r>
      <w:r w:rsidRPr="00117B93">
        <w:rPr>
          <w:rFonts w:ascii="Perpetua" w:hAnsi="Perpetua"/>
        </w:rPr>
        <w:t xml:space="preserve"> Silveira (2006:6-8).</w:t>
      </w:r>
    </w:p>
  </w:footnote>
  <w:footnote w:id="13">
    <w:p w:rsidR="003926F6" w:rsidRPr="00C077AF" w:rsidRDefault="003926F6" w:rsidP="003F0303">
      <w:pPr>
        <w:pStyle w:val="FootnoteText"/>
        <w:jc w:val="both"/>
        <w:rPr>
          <w:rFonts w:ascii="Perpetua" w:hAnsi="Perpetua"/>
        </w:rPr>
      </w:pPr>
      <w:r w:rsidRPr="00C077AF">
        <w:rPr>
          <w:rStyle w:val="FootnoteReference"/>
          <w:rFonts w:ascii="Perpetua" w:hAnsi="Perpetua"/>
        </w:rPr>
        <w:footnoteRef/>
      </w:r>
      <w:r w:rsidRPr="00C077AF">
        <w:rPr>
          <w:rFonts w:ascii="Perpetua" w:hAnsi="Perpetua"/>
        </w:rPr>
        <w:t xml:space="preserve"> </w:t>
      </w:r>
      <w:r w:rsidRPr="004E5D3A">
        <w:rPr>
          <w:rFonts w:ascii="Perpetua" w:hAnsi="Perpetua"/>
          <w:i/>
        </w:rPr>
        <w:t>Vide</w:t>
      </w:r>
      <w:r w:rsidRPr="00C077AF">
        <w:rPr>
          <w:rFonts w:ascii="Perpetua" w:hAnsi="Perpetua"/>
        </w:rPr>
        <w:t xml:space="preserve"> Banco Mundial (1997) e OCDE (2005).</w:t>
      </w:r>
    </w:p>
  </w:footnote>
  <w:footnote w:id="14">
    <w:p w:rsidR="003926F6" w:rsidRPr="00EB0D10" w:rsidRDefault="003926F6" w:rsidP="003F0303">
      <w:pPr>
        <w:pStyle w:val="FootnoteText"/>
        <w:jc w:val="both"/>
        <w:rPr>
          <w:rFonts w:ascii="Perpetua" w:hAnsi="Perpetua"/>
        </w:rPr>
      </w:pPr>
      <w:r w:rsidRPr="00EB0D10">
        <w:rPr>
          <w:rStyle w:val="FootnoteReference"/>
          <w:rFonts w:ascii="Perpetua" w:hAnsi="Perpetua"/>
        </w:rPr>
        <w:footnoteRef/>
      </w:r>
      <w:r w:rsidRPr="00EB0D10">
        <w:rPr>
          <w:rFonts w:ascii="Perpetua" w:hAnsi="Perpetua"/>
        </w:rPr>
        <w:t xml:space="preserve"> </w:t>
      </w:r>
      <w:r w:rsidRPr="004E5D3A">
        <w:rPr>
          <w:rFonts w:ascii="Perpetua" w:hAnsi="Perpetua"/>
          <w:i/>
        </w:rPr>
        <w:t>Vide</w:t>
      </w:r>
      <w:r w:rsidRPr="00EB0D10">
        <w:rPr>
          <w:rFonts w:ascii="Perpetua" w:hAnsi="Perpetua"/>
        </w:rPr>
        <w:t xml:space="preserve"> Posner (1996:xiii).</w:t>
      </w:r>
    </w:p>
  </w:footnote>
  <w:footnote w:id="15">
    <w:p w:rsidR="003926F6" w:rsidRPr="00EB0D10" w:rsidRDefault="003926F6" w:rsidP="003F0303">
      <w:pPr>
        <w:pStyle w:val="FootnoteText"/>
        <w:jc w:val="both"/>
        <w:rPr>
          <w:rFonts w:ascii="Perpetua" w:hAnsi="Perpetua"/>
        </w:rPr>
      </w:pPr>
      <w:r w:rsidRPr="00EB0D10">
        <w:rPr>
          <w:rStyle w:val="FootnoteReference"/>
          <w:rFonts w:ascii="Perpetua" w:hAnsi="Perpetua"/>
        </w:rPr>
        <w:footnoteRef/>
      </w:r>
      <w:r w:rsidRPr="00EB0D10">
        <w:rPr>
          <w:rFonts w:ascii="Perpetua" w:hAnsi="Perpetua"/>
        </w:rPr>
        <w:t xml:space="preserve"> </w:t>
      </w:r>
      <w:r w:rsidRPr="004E5D3A">
        <w:rPr>
          <w:rFonts w:ascii="Perpetua" w:hAnsi="Perpetua"/>
          <w:i/>
        </w:rPr>
        <w:t>Vide</w:t>
      </w:r>
      <w:r w:rsidRPr="00EB0D10">
        <w:rPr>
          <w:rFonts w:ascii="Perpetua" w:hAnsi="Perpetua"/>
        </w:rPr>
        <w:t xml:space="preserve"> Ullen </w:t>
      </w:r>
      <w:r>
        <w:rPr>
          <w:rFonts w:ascii="Perpetua" w:hAnsi="Perpetua"/>
        </w:rPr>
        <w:t>e</w:t>
      </w:r>
      <w:r w:rsidRPr="00EB0D10">
        <w:rPr>
          <w:rFonts w:ascii="Perpetua" w:hAnsi="Perpetua"/>
        </w:rPr>
        <w:t xml:space="preserve"> Buscaglia (1997), Buscaglia </w:t>
      </w:r>
      <w:r>
        <w:rPr>
          <w:rFonts w:ascii="Perpetua" w:hAnsi="Perpetua"/>
        </w:rPr>
        <w:t>e</w:t>
      </w:r>
      <w:r w:rsidRPr="00EB0D10">
        <w:rPr>
          <w:rFonts w:ascii="Perpetua" w:hAnsi="Perpetua"/>
        </w:rPr>
        <w:t xml:space="preserve"> Dakolias (1999), Dakolias (1999) e Messick (1999).</w:t>
      </w:r>
    </w:p>
  </w:footnote>
  <w:footnote w:id="16">
    <w:p w:rsidR="003926F6" w:rsidRPr="00282A9B" w:rsidRDefault="003926F6" w:rsidP="003F0303">
      <w:pPr>
        <w:pStyle w:val="FootnoteText"/>
        <w:rPr>
          <w:sz w:val="16"/>
          <w:szCs w:val="16"/>
        </w:rPr>
      </w:pPr>
      <w:r w:rsidRPr="0052311D">
        <w:rPr>
          <w:rStyle w:val="FootnoteReference"/>
          <w:rFonts w:ascii="Perpetua" w:hAnsi="Perpetua"/>
        </w:rPr>
        <w:footnoteRef/>
      </w:r>
      <w:r w:rsidRPr="0052311D">
        <w:rPr>
          <w:rFonts w:ascii="Perpetua" w:hAnsi="Perpetua"/>
        </w:rPr>
        <w:t xml:space="preserve"> </w:t>
      </w:r>
      <w:r w:rsidRPr="004E5D3A">
        <w:rPr>
          <w:rFonts w:ascii="Perpetua" w:hAnsi="Perpetua"/>
          <w:i/>
        </w:rPr>
        <w:t>Vide</w:t>
      </w:r>
      <w:r w:rsidRPr="0052311D">
        <w:rPr>
          <w:rFonts w:ascii="Perpetua" w:hAnsi="Perpetua"/>
        </w:rPr>
        <w:t xml:space="preserve"> o seguinte endereço: </w:t>
      </w:r>
      <w:hyperlink r:id="rId2" w:history="1">
        <w:r w:rsidRPr="00610E8F">
          <w:rPr>
            <w:rStyle w:val="Hyperlink"/>
            <w:rFonts w:ascii="Perpetua" w:hAnsi="Perpetua" w:cs="Arial"/>
          </w:rPr>
          <w:t>www</w:t>
        </w:r>
        <w:r>
          <w:rPr>
            <w:rStyle w:val="Hyperlink"/>
            <w:rFonts w:ascii="Perpetua" w:hAnsi="Perpetua" w:cs="Arial"/>
          </w:rPr>
          <w:t>1</w:t>
        </w:r>
        <w:r w:rsidRPr="00610E8F">
          <w:rPr>
            <w:rStyle w:val="Hyperlink"/>
            <w:rFonts w:ascii="Perpetua" w:hAnsi="Perpetua" w:cs="Arial"/>
          </w:rPr>
          <w:t>.worldbank.org/publicsector/legal/</w:t>
        </w:r>
      </w:hyperlink>
      <w:r>
        <w:rPr>
          <w:rStyle w:val="a"/>
          <w:rFonts w:ascii="Perpetua" w:hAnsi="Perpetua" w:cs="Arial"/>
        </w:rPr>
        <w:t>.</w:t>
      </w:r>
    </w:p>
  </w:footnote>
  <w:footnote w:id="17">
    <w:p w:rsidR="003926F6" w:rsidRPr="004E4FCE" w:rsidRDefault="003926F6" w:rsidP="003F0303">
      <w:pPr>
        <w:pStyle w:val="FootnoteText"/>
        <w:jc w:val="both"/>
        <w:rPr>
          <w:rFonts w:ascii="Perpetua" w:hAnsi="Perpetua"/>
        </w:rPr>
      </w:pPr>
      <w:r w:rsidRPr="004E4FCE">
        <w:rPr>
          <w:rStyle w:val="FootnoteReference"/>
          <w:rFonts w:ascii="Perpetua" w:hAnsi="Perpetua"/>
        </w:rPr>
        <w:footnoteRef/>
      </w:r>
      <w:r w:rsidRPr="004E4FCE">
        <w:rPr>
          <w:rFonts w:ascii="Perpetua" w:hAnsi="Perpetua"/>
        </w:rPr>
        <w:t xml:space="preserve"> É </w:t>
      </w:r>
      <w:r>
        <w:rPr>
          <w:rFonts w:ascii="Perpetua" w:hAnsi="Perpetua"/>
        </w:rPr>
        <w:t xml:space="preserve">significativo que a parte 6 do </w:t>
      </w:r>
      <w:r>
        <w:rPr>
          <w:rFonts w:ascii="Perpetua" w:hAnsi="Perpetua"/>
          <w:i/>
        </w:rPr>
        <w:t>Handbook of Public Economic</w:t>
      </w:r>
      <w:r>
        <w:rPr>
          <w:rFonts w:ascii="Perpetua" w:hAnsi="Perpetua"/>
        </w:rPr>
        <w:t>s</w:t>
      </w:r>
      <w:r w:rsidRPr="004E4FCE">
        <w:rPr>
          <w:rFonts w:ascii="Perpetua" w:hAnsi="Perpetua"/>
        </w:rPr>
        <w:t xml:space="preserve">, denominada </w:t>
      </w:r>
      <w:r>
        <w:rPr>
          <w:rFonts w:ascii="Perpetua" w:hAnsi="Perpetua"/>
          <w:i/>
        </w:rPr>
        <w:t>Public Expenditure Programs</w:t>
      </w:r>
      <w:r>
        <w:rPr>
          <w:rFonts w:ascii="Perpetua" w:hAnsi="Perpetua"/>
        </w:rPr>
        <w:t xml:space="preserve">, inclua três capítulos: </w:t>
      </w:r>
      <w:r>
        <w:rPr>
          <w:rFonts w:ascii="Perpetua" w:hAnsi="Perpetua"/>
          <w:i/>
        </w:rPr>
        <w:t>Publicly Prov</w:t>
      </w:r>
      <w:r w:rsidRPr="004E5D3A">
        <w:rPr>
          <w:rFonts w:ascii="Perpetua" w:hAnsi="Perpetua"/>
          <w:i/>
        </w:rPr>
        <w:t>ide</w:t>
      </w:r>
      <w:r>
        <w:rPr>
          <w:rFonts w:ascii="Perpetua" w:hAnsi="Perpetua"/>
          <w:i/>
        </w:rPr>
        <w:t>d Education</w:t>
      </w:r>
      <w:r>
        <w:rPr>
          <w:rFonts w:ascii="Perpetua" w:hAnsi="Perpetua"/>
        </w:rPr>
        <w:t xml:space="preserve">, </w:t>
      </w:r>
      <w:r>
        <w:rPr>
          <w:rFonts w:ascii="Perpetua" w:hAnsi="Perpetua"/>
          <w:i/>
        </w:rPr>
        <w:t>Health Care and the P</w:t>
      </w:r>
      <w:r w:rsidRPr="00A8346D">
        <w:rPr>
          <w:rFonts w:ascii="Perpetua" w:hAnsi="Perpetua"/>
          <w:i/>
        </w:rPr>
        <w:t>ub</w:t>
      </w:r>
      <w:r>
        <w:rPr>
          <w:rFonts w:ascii="Perpetua" w:hAnsi="Perpetua"/>
          <w:i/>
        </w:rPr>
        <w:t xml:space="preserve">lic Sector </w:t>
      </w:r>
      <w:r>
        <w:rPr>
          <w:rFonts w:ascii="Perpetua" w:hAnsi="Perpetua"/>
        </w:rPr>
        <w:t xml:space="preserve">e </w:t>
      </w:r>
      <w:r>
        <w:rPr>
          <w:rFonts w:ascii="Perpetua" w:hAnsi="Perpetua"/>
          <w:i/>
        </w:rPr>
        <w:t>Social S</w:t>
      </w:r>
      <w:r w:rsidRPr="00A8346D">
        <w:rPr>
          <w:rFonts w:ascii="Perpetua" w:hAnsi="Perpetua"/>
          <w:i/>
        </w:rPr>
        <w:t>ecurity</w:t>
      </w:r>
      <w:r>
        <w:rPr>
          <w:rFonts w:ascii="Perpetua" w:hAnsi="Perpetua"/>
        </w:rPr>
        <w:t>, excluindo qualquer referência aos programas de despesa pública com a Justiça.</w:t>
      </w:r>
      <w:r w:rsidRPr="004E4FCE">
        <w:rPr>
          <w:rFonts w:ascii="Perpetua" w:hAnsi="Perpetua"/>
        </w:rPr>
        <w:t xml:space="preserve"> </w:t>
      </w:r>
    </w:p>
  </w:footnote>
  <w:footnote w:id="18">
    <w:p w:rsidR="003926F6" w:rsidRPr="005C478B" w:rsidRDefault="003926F6" w:rsidP="003F0303">
      <w:pPr>
        <w:pStyle w:val="FootnoteText"/>
        <w:jc w:val="both"/>
        <w:rPr>
          <w:rFonts w:ascii="Perpetua" w:hAnsi="Perpetua"/>
        </w:rPr>
      </w:pPr>
      <w:r w:rsidRPr="005C478B">
        <w:rPr>
          <w:rStyle w:val="FootnoteReference"/>
          <w:rFonts w:ascii="Perpetua" w:hAnsi="Perpetua"/>
        </w:rPr>
        <w:footnoteRef/>
      </w:r>
      <w:r w:rsidRPr="005C478B">
        <w:rPr>
          <w:rFonts w:ascii="Perpetua" w:hAnsi="Perpetua"/>
        </w:rPr>
        <w:t xml:space="preserve"> </w:t>
      </w:r>
      <w:r w:rsidRPr="004E5D3A">
        <w:rPr>
          <w:rFonts w:ascii="Perpetua" w:hAnsi="Perpetua"/>
          <w:i/>
        </w:rPr>
        <w:t>Vide</w:t>
      </w:r>
      <w:r w:rsidRPr="005C478B">
        <w:rPr>
          <w:rFonts w:ascii="Perpetua" w:hAnsi="Perpetua"/>
        </w:rPr>
        <w:t xml:space="preserve"> Posner (2006: 406-407)</w:t>
      </w:r>
      <w:r>
        <w:rPr>
          <w:rFonts w:ascii="Perpetua" w:hAnsi="Perpetua"/>
        </w:rPr>
        <w:t>.</w:t>
      </w:r>
    </w:p>
  </w:footnote>
  <w:footnote w:id="19">
    <w:p w:rsidR="003926F6" w:rsidRPr="00A2767C" w:rsidRDefault="003926F6" w:rsidP="006935CF">
      <w:pPr>
        <w:pStyle w:val="FootnoteText"/>
        <w:jc w:val="both"/>
        <w:rPr>
          <w:rFonts w:ascii="Perpetua" w:hAnsi="Perpetua"/>
        </w:rPr>
      </w:pPr>
      <w:r w:rsidRPr="006935CF">
        <w:rPr>
          <w:rStyle w:val="FootnoteReference"/>
          <w:rFonts w:ascii="Perpetua" w:hAnsi="Perpetua"/>
        </w:rPr>
        <w:footnoteRef/>
      </w:r>
      <w:r w:rsidRPr="00A2767C">
        <w:rPr>
          <w:rFonts w:ascii="Perpetua" w:hAnsi="Perpetua"/>
        </w:rPr>
        <w:t xml:space="preserve"> Correspondente ao termo inglês </w:t>
      </w:r>
      <w:r w:rsidRPr="00A2767C">
        <w:rPr>
          <w:rFonts w:ascii="Perpetua" w:hAnsi="Perpetua"/>
          <w:i/>
        </w:rPr>
        <w:t>Efficiency and Productivity Analysis</w:t>
      </w:r>
      <w:r w:rsidRPr="00A2767C">
        <w:rPr>
          <w:rFonts w:ascii="Perpetua" w:hAnsi="Perpetua"/>
        </w:rPr>
        <w:t>.</w:t>
      </w:r>
    </w:p>
  </w:footnote>
  <w:footnote w:id="20">
    <w:p w:rsidR="003926F6" w:rsidRPr="006935CF" w:rsidRDefault="003926F6" w:rsidP="006935CF">
      <w:pPr>
        <w:pStyle w:val="FootnoteText"/>
        <w:jc w:val="both"/>
        <w:rPr>
          <w:rFonts w:ascii="Perpetua" w:hAnsi="Perpetua"/>
        </w:rPr>
      </w:pPr>
      <w:r w:rsidRPr="006935CF">
        <w:rPr>
          <w:rStyle w:val="FootnoteReference"/>
          <w:rFonts w:ascii="Perpetua" w:hAnsi="Perpetua"/>
        </w:rPr>
        <w:footnoteRef/>
      </w:r>
      <w:r w:rsidRPr="006935CF">
        <w:rPr>
          <w:rFonts w:ascii="Perpetua" w:hAnsi="Perpetua"/>
        </w:rPr>
        <w:t xml:space="preserve"> </w:t>
      </w:r>
      <w:r w:rsidRPr="004E5D3A">
        <w:rPr>
          <w:rFonts w:ascii="Perpetua" w:hAnsi="Perpetua"/>
          <w:i/>
        </w:rPr>
        <w:t>Vide</w:t>
      </w:r>
      <w:r w:rsidRPr="006935CF">
        <w:rPr>
          <w:rFonts w:ascii="Perpetua" w:hAnsi="Perpetua"/>
        </w:rPr>
        <w:t xml:space="preserve"> Coelli, Prasada Rao </w:t>
      </w:r>
      <w:r>
        <w:rPr>
          <w:rFonts w:ascii="Perpetua" w:hAnsi="Perpetua"/>
        </w:rPr>
        <w:t>e</w:t>
      </w:r>
      <w:r w:rsidRPr="006935CF">
        <w:rPr>
          <w:rFonts w:ascii="Perpetua" w:hAnsi="Perpetua"/>
        </w:rPr>
        <w:t xml:space="preserve"> Battese (2001) para uma introdução à literatura da </w:t>
      </w:r>
      <w:r>
        <w:rPr>
          <w:rFonts w:ascii="Perpetua" w:hAnsi="Perpetua"/>
        </w:rPr>
        <w:t>Análise de Eficiência e P</w:t>
      </w:r>
      <w:r w:rsidRPr="006935CF">
        <w:rPr>
          <w:rFonts w:ascii="Perpetua" w:hAnsi="Perpetua"/>
        </w:rPr>
        <w:t>rodutividade e às vária</w:t>
      </w:r>
      <w:r>
        <w:rPr>
          <w:rFonts w:ascii="Perpetua" w:hAnsi="Perpetua"/>
        </w:rPr>
        <w:t>s metodologias nela empregues.</w:t>
      </w:r>
    </w:p>
  </w:footnote>
  <w:footnote w:id="21">
    <w:p w:rsidR="003926F6" w:rsidRPr="00335A3D" w:rsidRDefault="003926F6" w:rsidP="00C24988">
      <w:pPr>
        <w:pStyle w:val="FootnoteText"/>
        <w:jc w:val="both"/>
        <w:rPr>
          <w:rFonts w:ascii="Perpetua" w:hAnsi="Perpetua"/>
        </w:rPr>
      </w:pPr>
      <w:r w:rsidRPr="00B06184">
        <w:rPr>
          <w:rStyle w:val="FootnoteReference"/>
          <w:rFonts w:ascii="Perpetua" w:hAnsi="Perpetua"/>
        </w:rPr>
        <w:footnoteRef/>
      </w:r>
      <w:r w:rsidRPr="00B06184">
        <w:rPr>
          <w:rFonts w:ascii="Perpetua" w:hAnsi="Perpetua"/>
        </w:rPr>
        <w:t xml:space="preserve"> Os elementos apresentados </w:t>
      </w:r>
      <w:r>
        <w:rPr>
          <w:rFonts w:ascii="Perpetua" w:hAnsi="Perpetua"/>
        </w:rPr>
        <w:t xml:space="preserve">neste ponto </w:t>
      </w:r>
      <w:r w:rsidRPr="00B06184">
        <w:rPr>
          <w:rFonts w:ascii="Perpetua" w:hAnsi="Perpetua"/>
        </w:rPr>
        <w:t>base</w:t>
      </w:r>
      <w:r>
        <w:rPr>
          <w:rFonts w:ascii="Perpetua" w:hAnsi="Perpetua"/>
        </w:rPr>
        <w:t>i</w:t>
      </w:r>
      <w:r w:rsidRPr="00B06184">
        <w:rPr>
          <w:rFonts w:ascii="Perpetua" w:hAnsi="Perpetua"/>
        </w:rPr>
        <w:t>a</w:t>
      </w:r>
      <w:r>
        <w:rPr>
          <w:rFonts w:ascii="Perpetua" w:hAnsi="Perpetua"/>
        </w:rPr>
        <w:t xml:space="preserve">m-se </w:t>
      </w:r>
      <w:r w:rsidRPr="00B06184">
        <w:rPr>
          <w:rFonts w:ascii="Perpetua" w:hAnsi="Perpetua"/>
        </w:rPr>
        <w:t>na</w:t>
      </w:r>
      <w:r>
        <w:rPr>
          <w:rFonts w:ascii="Perpetua" w:hAnsi="Perpetua"/>
        </w:rPr>
        <w:t xml:space="preserve"> legislação aplicável, </w:t>
      </w:r>
      <w:r w:rsidRPr="00335A3D">
        <w:rPr>
          <w:rFonts w:ascii="Perpetua" w:hAnsi="Perpetua"/>
        </w:rPr>
        <w:t>consolidada em Costa e Cunha (2003)</w:t>
      </w:r>
      <w:r>
        <w:rPr>
          <w:rFonts w:ascii="Perpetua" w:hAnsi="Perpetua"/>
        </w:rPr>
        <w:t>, nomeadamente a Constituição da República Portuguesa (CRP), a Lei de Organização e Funcionamento dos Tribunais Judiciais (LOFTJ) e o Regulamento da LOFTJ, e na informação disponível no sítio da</w:t>
      </w:r>
      <w:r w:rsidRPr="00335A3D">
        <w:rPr>
          <w:rFonts w:ascii="Perpetua" w:hAnsi="Perpetua"/>
        </w:rPr>
        <w:t xml:space="preserve"> </w:t>
      </w:r>
      <w:r>
        <w:rPr>
          <w:rFonts w:ascii="Perpetua" w:hAnsi="Perpetua"/>
        </w:rPr>
        <w:t xml:space="preserve">Rede Judiciária </w:t>
      </w:r>
      <w:r w:rsidRPr="00B06184">
        <w:rPr>
          <w:rFonts w:ascii="Perpetua" w:hAnsi="Perpetua"/>
        </w:rPr>
        <w:t>Europeia</w:t>
      </w:r>
      <w:r>
        <w:rPr>
          <w:rFonts w:ascii="Perpetua" w:hAnsi="Perpetua"/>
        </w:rPr>
        <w:t xml:space="preserve"> em Matéria Civil e Comercial, disponível em </w:t>
      </w:r>
      <w:hyperlink r:id="rId3" w:history="1">
        <w:r w:rsidRPr="002B28AB">
          <w:rPr>
            <w:rStyle w:val="Hyperlink"/>
            <w:rFonts w:ascii="Perpetua" w:hAnsi="Perpetua"/>
          </w:rPr>
          <w:t>http://www.redecivil.mj.pt/</w:t>
        </w:r>
      </w:hyperlink>
      <w:r>
        <w:t>.</w:t>
      </w:r>
    </w:p>
  </w:footnote>
  <w:footnote w:id="22">
    <w:p w:rsidR="003926F6" w:rsidRPr="00335A3D" w:rsidRDefault="003926F6" w:rsidP="00C24988">
      <w:pPr>
        <w:pStyle w:val="FootnoteText"/>
        <w:jc w:val="both"/>
        <w:rPr>
          <w:rFonts w:ascii="Perpetua" w:hAnsi="Perpetua"/>
          <w:sz w:val="16"/>
          <w:szCs w:val="16"/>
        </w:rPr>
      </w:pPr>
      <w:r w:rsidRPr="00335A3D">
        <w:rPr>
          <w:rStyle w:val="FootnoteReference"/>
          <w:rFonts w:ascii="Perpetua" w:hAnsi="Perpetua"/>
        </w:rPr>
        <w:footnoteRef/>
      </w:r>
      <w:r w:rsidRPr="00335A3D">
        <w:rPr>
          <w:rFonts w:ascii="Perpetua" w:hAnsi="Perpetua"/>
        </w:rPr>
        <w:t xml:space="preserve"> </w:t>
      </w:r>
      <w:r w:rsidRPr="00335A3D">
        <w:rPr>
          <w:rFonts w:ascii="Perpetua" w:hAnsi="Perpetua"/>
          <w:i/>
        </w:rPr>
        <w:t>Vide</w:t>
      </w:r>
      <w:r w:rsidRPr="00335A3D">
        <w:rPr>
          <w:rFonts w:ascii="Perpetua" w:hAnsi="Perpetua"/>
        </w:rPr>
        <w:t xml:space="preserve"> art.º 209.º da Constituição da República Portuguesa.</w:t>
      </w:r>
    </w:p>
  </w:footnote>
  <w:footnote w:id="23">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Para efeitos da análise empírica efectuada </w:t>
      </w:r>
      <w:r>
        <w:rPr>
          <w:rFonts w:ascii="Perpetua" w:hAnsi="Perpetua"/>
        </w:rPr>
        <w:t xml:space="preserve">neste capítulo e no capítulo 5 </w:t>
      </w:r>
      <w:r w:rsidRPr="00C24988">
        <w:rPr>
          <w:rFonts w:ascii="Perpetua" w:hAnsi="Perpetua"/>
        </w:rPr>
        <w:t>não foram considerados os julgados de paz, visto que a</w:t>
      </w:r>
      <w:r>
        <w:rPr>
          <w:rFonts w:ascii="Perpetua" w:hAnsi="Perpetua"/>
        </w:rPr>
        <w:t xml:space="preserve"> </w:t>
      </w:r>
      <w:r w:rsidRPr="00C24988">
        <w:rPr>
          <w:rFonts w:ascii="Perpetua" w:hAnsi="Perpetua"/>
        </w:rPr>
        <w:t xml:space="preserve">sua criação legislativa ocorreu em meados de 2001, através da Lei n.º 78/2001, de 13 de Julho, e que, portanto, a sua actividade </w:t>
      </w:r>
      <w:r>
        <w:rPr>
          <w:rFonts w:ascii="Perpetua" w:hAnsi="Perpetua"/>
        </w:rPr>
        <w:t xml:space="preserve">foi marginal para </w:t>
      </w:r>
      <w:r w:rsidRPr="00C24988">
        <w:rPr>
          <w:rFonts w:ascii="Perpetua" w:hAnsi="Perpetua"/>
        </w:rPr>
        <w:t xml:space="preserve">funcionamento do sistema judicial </w:t>
      </w:r>
      <w:r>
        <w:rPr>
          <w:rFonts w:ascii="Perpetua" w:hAnsi="Perpetua"/>
        </w:rPr>
        <w:t xml:space="preserve">durante </w:t>
      </w:r>
      <w:r w:rsidRPr="00C24988">
        <w:rPr>
          <w:rFonts w:ascii="Perpetua" w:hAnsi="Perpetua"/>
        </w:rPr>
        <w:t xml:space="preserve">esse ano. </w:t>
      </w:r>
    </w:p>
  </w:footnote>
  <w:footnote w:id="24">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Informação consultada em </w:t>
      </w:r>
      <w:hyperlink r:id="rId4" w:history="1">
        <w:r w:rsidRPr="00DA5E0E">
          <w:rPr>
            <w:rStyle w:val="Hyperlink"/>
            <w:rFonts w:ascii="Perpetua" w:hAnsi="Perpetua"/>
          </w:rPr>
          <w:t>http://www.conselhosuperiordamagistratura.pt/index.php?idmenu=8&amp;lg=1</w:t>
        </w:r>
      </w:hyperlink>
      <w:r>
        <w:rPr>
          <w:rFonts w:ascii="Perpetua" w:hAnsi="Perpetua"/>
        </w:rPr>
        <w:t xml:space="preserve"> </w:t>
      </w:r>
      <w:r w:rsidRPr="00C24988">
        <w:rPr>
          <w:rFonts w:ascii="Perpetua" w:hAnsi="Perpetua"/>
        </w:rPr>
        <w:t xml:space="preserve">a 15 de Julho de 2008. </w:t>
      </w:r>
    </w:p>
  </w:footnote>
  <w:footnote w:id="25">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Por exemplo, o tribunal de comarca de competência genérica de Oeiras tem juízos de competência especializada em matéria cível e penal.</w:t>
      </w:r>
    </w:p>
  </w:footnote>
  <w:footnote w:id="26">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Em regra, o tribunal de comarca toma o nome da comarca onde está localizado (</w:t>
      </w:r>
      <w:r w:rsidRPr="00C24988">
        <w:rPr>
          <w:rFonts w:ascii="Perpetua" w:hAnsi="Perpetua"/>
          <w:i/>
        </w:rPr>
        <w:t>v.g.</w:t>
      </w:r>
      <w:r w:rsidRPr="00C24988">
        <w:rPr>
          <w:rFonts w:ascii="Perpetua" w:hAnsi="Perpetua"/>
        </w:rPr>
        <w:t xml:space="preserve"> tribunal de comarca de Loulé). Certos tribunais de comarca podem ter competência para mais que uma comarca; por exemplo, o tribunal de comarca de Setúbal tem competência para as comarcas de Setúbal e de Palmela.</w:t>
      </w:r>
    </w:p>
  </w:footnote>
  <w:footnote w:id="27">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A tradução dos termos empregues na lei para os critérios de classificação estatística não é linear. </w:t>
      </w:r>
      <w:r w:rsidRPr="00C24988">
        <w:rPr>
          <w:rFonts w:ascii="Perpetua" w:hAnsi="Perpetua"/>
          <w:i/>
        </w:rPr>
        <w:t>Vide</w:t>
      </w:r>
      <w:r w:rsidRPr="00C24988">
        <w:rPr>
          <w:rFonts w:ascii="Perpetua" w:hAnsi="Perpetua"/>
        </w:rPr>
        <w:t xml:space="preserve"> capítulo 5.</w:t>
      </w:r>
    </w:p>
  </w:footnote>
  <w:footnote w:id="28">
    <w:p w:rsidR="003926F6" w:rsidRPr="00C24988" w:rsidRDefault="003926F6" w:rsidP="00C24988">
      <w:pPr>
        <w:pStyle w:val="FootnoteText"/>
        <w:jc w:val="both"/>
        <w:rPr>
          <w:rFonts w:ascii="Perpetua" w:hAnsi="Perpetua"/>
        </w:rPr>
      </w:pPr>
      <w:r w:rsidRPr="00C24988">
        <w:rPr>
          <w:rStyle w:val="FootnoteReference"/>
          <w:rFonts w:ascii="Perpetua" w:hAnsi="Perpetua"/>
        </w:rPr>
        <w:footnoteRef/>
      </w:r>
      <w:r w:rsidRPr="00C24988">
        <w:rPr>
          <w:rFonts w:ascii="Perpetua" w:hAnsi="Perpetua"/>
        </w:rPr>
        <w:t xml:space="preserve"> A matéria do processo diz respeito à área de direito a que pertence. De acordo com o Sistema de Informação das Estatísticas da Justiça (SIEJ), distinguem-se cinco áreas processuais: Cível, Penal, Laboral, Laboral Penal e Tutelar. </w:t>
      </w:r>
    </w:p>
  </w:footnote>
  <w:footnote w:id="29">
    <w:p w:rsidR="003926F6" w:rsidRPr="000A3382" w:rsidRDefault="003926F6" w:rsidP="0080386E">
      <w:pPr>
        <w:pStyle w:val="FootnoteText"/>
        <w:jc w:val="both"/>
        <w:rPr>
          <w:rFonts w:ascii="Perpetua" w:hAnsi="Perpetua"/>
        </w:rPr>
      </w:pPr>
      <w:r w:rsidRPr="000A3382">
        <w:rPr>
          <w:rStyle w:val="FootnoteReference"/>
          <w:rFonts w:ascii="Perpetua" w:hAnsi="Perpetua"/>
        </w:rPr>
        <w:footnoteRef/>
      </w:r>
      <w:r w:rsidRPr="000A3382">
        <w:rPr>
          <w:rFonts w:ascii="Perpetua" w:hAnsi="Perpetua"/>
        </w:rPr>
        <w:t xml:space="preserve"> Dados obtidos a partir de </w:t>
      </w:r>
      <w:hyperlink r:id="rId5" w:history="1">
        <w:r w:rsidRPr="000A3382">
          <w:rPr>
            <w:rStyle w:val="Hyperlink"/>
            <w:rFonts w:ascii="Perpetua" w:hAnsi="Perpetua"/>
          </w:rPr>
          <w:t>http://www.ine.pt</w:t>
        </w:r>
      </w:hyperlink>
      <w:r>
        <w:t>,</w:t>
      </w:r>
      <w:r w:rsidRPr="000A3382">
        <w:rPr>
          <w:rFonts w:ascii="Perpetua" w:hAnsi="Perpetua"/>
        </w:rPr>
        <w:t xml:space="preserve"> actualizados a 16 de Janeiro de 2008. Segundo os dados apresentados em Ribeiro (2006), a quantidade, composição e classificação dos tribunais do sistema judicial português ao longo desse período tal como está disposto nas Leis de Organização e Funcionamento dos Tribunais Judiciais (LOFTJ) difere do número, composição e classificação dos tribunais registados estatisticamente. Uma vez que utilizamos dados das Estatísticas da Justiça</w:t>
      </w:r>
      <w:r>
        <w:rPr>
          <w:rFonts w:ascii="Perpetua" w:hAnsi="Perpetua"/>
        </w:rPr>
        <w:t>,</w:t>
      </w:r>
      <w:r w:rsidRPr="000A3382">
        <w:rPr>
          <w:rFonts w:ascii="Perpetua" w:hAnsi="Perpetua"/>
        </w:rPr>
        <w:t xml:space="preserve"> baseamo-nos nessa fonte, através dos dados publicados pelo INE, para descrever a evolução do número, composição e classificação dos tribunais do sistema judicial ao longo do período analisado. </w:t>
      </w:r>
    </w:p>
  </w:footnote>
  <w:footnote w:id="30">
    <w:p w:rsidR="003926F6" w:rsidRPr="000A3382" w:rsidRDefault="003926F6" w:rsidP="0080386E">
      <w:pPr>
        <w:pStyle w:val="FootnoteText"/>
        <w:jc w:val="both"/>
        <w:rPr>
          <w:rFonts w:ascii="Perpetua" w:hAnsi="Perpetua"/>
        </w:rPr>
      </w:pPr>
      <w:r w:rsidRPr="000A3382">
        <w:rPr>
          <w:rStyle w:val="FootnoteReference"/>
          <w:rFonts w:ascii="Perpetua" w:hAnsi="Perpetua"/>
        </w:rPr>
        <w:footnoteRef/>
      </w:r>
      <w:r w:rsidRPr="000A3382">
        <w:rPr>
          <w:rFonts w:ascii="Perpetua" w:hAnsi="Perpetua"/>
        </w:rPr>
        <w:t xml:space="preserve"> Os dados relativos ao n</w:t>
      </w:r>
      <w:r>
        <w:rPr>
          <w:rFonts w:ascii="Perpetua" w:hAnsi="Perpetua"/>
        </w:rPr>
        <w:t>úme</w:t>
      </w:r>
      <w:r w:rsidRPr="000A3382">
        <w:rPr>
          <w:rFonts w:ascii="Perpetua" w:hAnsi="Perpetua"/>
        </w:rPr>
        <w:t>r</w:t>
      </w:r>
      <w:r>
        <w:rPr>
          <w:rFonts w:ascii="Perpetua" w:hAnsi="Perpetua"/>
        </w:rPr>
        <w:t>o</w:t>
      </w:r>
      <w:r w:rsidRPr="000A3382">
        <w:rPr>
          <w:rFonts w:ascii="Perpetua" w:hAnsi="Perpetua"/>
        </w:rPr>
        <w:t xml:space="preserve"> de comarcas </w:t>
      </w:r>
      <w:r>
        <w:rPr>
          <w:rFonts w:ascii="Perpetua" w:hAnsi="Perpetua"/>
        </w:rPr>
        <w:t xml:space="preserve">e distritos judiciais </w:t>
      </w:r>
      <w:r w:rsidRPr="000A3382">
        <w:rPr>
          <w:rFonts w:ascii="Perpetua" w:hAnsi="Perpetua"/>
        </w:rPr>
        <w:t>foram retirados de Ribeiro</w:t>
      </w:r>
      <w:r>
        <w:rPr>
          <w:rFonts w:ascii="Perpetua" w:hAnsi="Perpetua"/>
        </w:rPr>
        <w:t xml:space="preserve"> </w:t>
      </w:r>
      <w:r w:rsidRPr="000A3382">
        <w:rPr>
          <w:rFonts w:ascii="Perpetua" w:hAnsi="Perpetua"/>
        </w:rPr>
        <w:t>(2006).</w:t>
      </w:r>
    </w:p>
  </w:footnote>
  <w:footnote w:id="31">
    <w:p w:rsidR="003926F6" w:rsidRPr="00BA26C2" w:rsidRDefault="003926F6" w:rsidP="0080386E">
      <w:pPr>
        <w:pStyle w:val="FootnoteText"/>
        <w:jc w:val="both"/>
        <w:rPr>
          <w:rFonts w:ascii="Perpetua" w:hAnsi="Perpetua"/>
        </w:rPr>
      </w:pPr>
      <w:r w:rsidRPr="00BA26C2">
        <w:rPr>
          <w:rStyle w:val="FootnoteReference"/>
          <w:rFonts w:ascii="Perpetua" w:hAnsi="Perpetua"/>
        </w:rPr>
        <w:footnoteRef/>
      </w:r>
      <w:r w:rsidRPr="00BA26C2">
        <w:rPr>
          <w:rFonts w:ascii="Perpetua" w:hAnsi="Perpetua"/>
        </w:rPr>
        <w:t xml:space="preserve"> </w:t>
      </w:r>
      <w:r>
        <w:rPr>
          <w:rFonts w:ascii="Perpetua" w:hAnsi="Perpetua"/>
        </w:rPr>
        <w:t>O termo «</w:t>
      </w:r>
      <w:r w:rsidRPr="00BA26C2">
        <w:rPr>
          <w:rFonts w:ascii="Perpetua" w:hAnsi="Perpetua"/>
        </w:rPr>
        <w:t>pendência pro</w:t>
      </w:r>
      <w:r>
        <w:rPr>
          <w:rFonts w:ascii="Perpetua" w:hAnsi="Perpetua"/>
        </w:rPr>
        <w:t xml:space="preserve">cessual» é utilizado para significar </w:t>
      </w:r>
      <w:r w:rsidRPr="00BA26C2">
        <w:rPr>
          <w:rFonts w:ascii="Perpetua" w:hAnsi="Perpetua"/>
        </w:rPr>
        <w:t>o volume de</w:t>
      </w:r>
      <w:r>
        <w:rPr>
          <w:rFonts w:ascii="Perpetua" w:hAnsi="Perpetua"/>
        </w:rPr>
        <w:t xml:space="preserve"> </w:t>
      </w:r>
      <w:r w:rsidRPr="00BA26C2">
        <w:rPr>
          <w:rFonts w:ascii="Perpetua" w:hAnsi="Perpetua"/>
        </w:rPr>
        <w:t xml:space="preserve">processos pendentes num determinado momento temporal, ou seja, a quantidade de processos </w:t>
      </w:r>
      <w:r>
        <w:rPr>
          <w:rFonts w:ascii="Perpetua" w:hAnsi="Perpetua"/>
        </w:rPr>
        <w:t xml:space="preserve">judiciais </w:t>
      </w:r>
      <w:r w:rsidRPr="00BA26C2">
        <w:rPr>
          <w:rFonts w:ascii="Perpetua" w:hAnsi="Perpetua"/>
        </w:rPr>
        <w:t xml:space="preserve">que deram entrada no sistema judicial </w:t>
      </w:r>
      <w:r>
        <w:rPr>
          <w:rFonts w:ascii="Perpetua" w:hAnsi="Perpetua"/>
        </w:rPr>
        <w:t xml:space="preserve">até a esse momento e que </w:t>
      </w:r>
      <w:r w:rsidRPr="00BA26C2">
        <w:rPr>
          <w:rFonts w:ascii="Perpetua" w:hAnsi="Perpetua"/>
        </w:rPr>
        <w:t>a</w:t>
      </w:r>
      <w:r>
        <w:rPr>
          <w:rFonts w:ascii="Perpetua" w:hAnsi="Perpetua"/>
        </w:rPr>
        <w:t>i</w:t>
      </w:r>
      <w:r w:rsidRPr="00BA26C2">
        <w:rPr>
          <w:rFonts w:ascii="Perpetua" w:hAnsi="Perpetua"/>
        </w:rPr>
        <w:t xml:space="preserve">nda não </w:t>
      </w:r>
      <w:r>
        <w:rPr>
          <w:rFonts w:ascii="Perpetua" w:hAnsi="Perpetua"/>
        </w:rPr>
        <w:t>foram resolvidos</w:t>
      </w:r>
      <w:r w:rsidRPr="00BA26C2">
        <w:rPr>
          <w:rFonts w:ascii="Perpetua" w:hAnsi="Perpetua"/>
        </w:rPr>
        <w:t>.</w:t>
      </w:r>
    </w:p>
  </w:footnote>
  <w:footnote w:id="32">
    <w:p w:rsidR="003926F6" w:rsidRPr="00BA26C2" w:rsidRDefault="003926F6" w:rsidP="0080386E">
      <w:pPr>
        <w:pStyle w:val="FootnoteText"/>
        <w:jc w:val="both"/>
        <w:rPr>
          <w:rFonts w:ascii="Perpetua" w:hAnsi="Perpetua"/>
        </w:rPr>
      </w:pPr>
      <w:r w:rsidRPr="00BA26C2">
        <w:rPr>
          <w:rStyle w:val="FootnoteReference"/>
          <w:rFonts w:ascii="Perpetua" w:hAnsi="Perpetua"/>
        </w:rPr>
        <w:footnoteRef/>
      </w:r>
      <w:r w:rsidRPr="00BA26C2">
        <w:rPr>
          <w:rFonts w:ascii="Perpetua" w:hAnsi="Perpetua"/>
        </w:rPr>
        <w:t xml:space="preserve"> </w:t>
      </w:r>
      <w:r w:rsidRPr="004E5D3A">
        <w:rPr>
          <w:rFonts w:ascii="Perpetua" w:hAnsi="Perpetua"/>
          <w:i/>
        </w:rPr>
        <w:t>Vide</w:t>
      </w:r>
      <w:r w:rsidRPr="00BA26C2">
        <w:rPr>
          <w:rFonts w:ascii="Perpetua" w:hAnsi="Perpetua"/>
        </w:rPr>
        <w:t xml:space="preserve"> Garoupa, Simões </w:t>
      </w:r>
      <w:r>
        <w:rPr>
          <w:rFonts w:ascii="Perpetua" w:hAnsi="Perpetua"/>
        </w:rPr>
        <w:t>e</w:t>
      </w:r>
      <w:r w:rsidRPr="00BA26C2">
        <w:rPr>
          <w:rFonts w:ascii="Perpetua" w:hAnsi="Perpetua"/>
        </w:rPr>
        <w:t xml:space="preserve"> </w:t>
      </w:r>
      <w:r>
        <w:rPr>
          <w:rFonts w:ascii="Perpetua" w:hAnsi="Perpetua"/>
        </w:rPr>
        <w:t>Sil</w:t>
      </w:r>
      <w:r w:rsidRPr="00BA26C2">
        <w:rPr>
          <w:rFonts w:ascii="Perpetua" w:hAnsi="Perpetua"/>
        </w:rPr>
        <w:t>veira (2006:10).</w:t>
      </w:r>
    </w:p>
  </w:footnote>
  <w:footnote w:id="33">
    <w:p w:rsidR="003926F6" w:rsidRPr="00203DAD" w:rsidRDefault="003926F6" w:rsidP="0080386E">
      <w:pPr>
        <w:pStyle w:val="FootnoteText"/>
        <w:jc w:val="both"/>
        <w:rPr>
          <w:rFonts w:ascii="Perpetua" w:hAnsi="Perpetua"/>
        </w:rPr>
      </w:pPr>
      <w:r w:rsidRPr="00203DAD">
        <w:rPr>
          <w:rStyle w:val="FootnoteReference"/>
          <w:rFonts w:ascii="Perpetua" w:hAnsi="Perpetua"/>
        </w:rPr>
        <w:footnoteRef/>
      </w:r>
      <w:r w:rsidRPr="00203DAD">
        <w:rPr>
          <w:rFonts w:ascii="Perpetua" w:hAnsi="Perpetua"/>
        </w:rPr>
        <w:t xml:space="preserve"> </w:t>
      </w:r>
      <w:r w:rsidRPr="004E5D3A">
        <w:rPr>
          <w:rFonts w:ascii="Perpetua" w:hAnsi="Perpetua"/>
          <w:i/>
        </w:rPr>
        <w:t>Vide</w:t>
      </w:r>
      <w:r w:rsidRPr="00203DAD">
        <w:rPr>
          <w:rFonts w:ascii="Perpetua" w:hAnsi="Perpetua"/>
        </w:rPr>
        <w:t xml:space="preserve"> Garoupa, Simões </w:t>
      </w:r>
      <w:r>
        <w:rPr>
          <w:rFonts w:ascii="Perpetua" w:hAnsi="Perpetua"/>
        </w:rPr>
        <w:t>e</w:t>
      </w:r>
      <w:r w:rsidRPr="00203DAD">
        <w:rPr>
          <w:rFonts w:ascii="Perpetua" w:hAnsi="Perpetua"/>
        </w:rPr>
        <w:t xml:space="preserve"> </w:t>
      </w:r>
      <w:r>
        <w:rPr>
          <w:rFonts w:ascii="Perpetua" w:hAnsi="Perpetua"/>
        </w:rPr>
        <w:t>Sil</w:t>
      </w:r>
      <w:r w:rsidRPr="00203DAD">
        <w:rPr>
          <w:rFonts w:ascii="Perpetua" w:hAnsi="Perpetua"/>
        </w:rPr>
        <w:t>veira (2006:9).</w:t>
      </w:r>
    </w:p>
  </w:footnote>
  <w:footnote w:id="34">
    <w:p w:rsidR="003926F6" w:rsidRPr="00366942" w:rsidRDefault="003926F6" w:rsidP="00366942">
      <w:pPr>
        <w:pStyle w:val="FootnoteText"/>
        <w:jc w:val="both"/>
        <w:rPr>
          <w:rFonts w:ascii="Perpetua" w:hAnsi="Perpetua"/>
        </w:rPr>
      </w:pPr>
      <w:r w:rsidRPr="00366942">
        <w:rPr>
          <w:rStyle w:val="FootnoteReference"/>
          <w:rFonts w:ascii="Perpetua" w:hAnsi="Perpetua"/>
        </w:rPr>
        <w:footnoteRef/>
      </w:r>
      <w:r w:rsidRPr="00366942">
        <w:rPr>
          <w:rFonts w:ascii="Perpetua" w:hAnsi="Perpetua"/>
        </w:rPr>
        <w:t xml:space="preserve"> </w:t>
      </w:r>
      <w:r w:rsidRPr="004E5D3A">
        <w:rPr>
          <w:rFonts w:ascii="Perpetua" w:hAnsi="Perpetua"/>
          <w:i/>
        </w:rPr>
        <w:t>Vide</w:t>
      </w:r>
      <w:r w:rsidRPr="00366942">
        <w:rPr>
          <w:rFonts w:ascii="Perpetua" w:hAnsi="Perpetua"/>
        </w:rPr>
        <w:t xml:space="preserve"> </w:t>
      </w:r>
      <w:r>
        <w:rPr>
          <w:rFonts w:ascii="Perpetua" w:hAnsi="Perpetua"/>
        </w:rPr>
        <w:t>8</w:t>
      </w:r>
      <w:r w:rsidRPr="00366942">
        <w:rPr>
          <w:rFonts w:ascii="Perpetua" w:hAnsi="Perpetua"/>
        </w:rPr>
        <w:t>.</w:t>
      </w:r>
      <w:r>
        <w:rPr>
          <w:rFonts w:ascii="Perpetua" w:hAnsi="Perpetua"/>
        </w:rPr>
        <w:t>3.</w:t>
      </w:r>
      <w:r w:rsidRPr="00366942">
        <w:rPr>
          <w:rFonts w:ascii="Perpetua" w:hAnsi="Perpetua"/>
        </w:rPr>
        <w:t xml:space="preserve"> para a identificação das áreas processuais</w:t>
      </w:r>
      <w:r>
        <w:rPr>
          <w:rFonts w:ascii="Perpetua" w:hAnsi="Perpetua"/>
        </w:rPr>
        <w:t xml:space="preserve"> do sistema judicial português</w:t>
      </w:r>
      <w:r w:rsidRPr="00366942">
        <w:rPr>
          <w:rFonts w:ascii="Perpetua" w:hAnsi="Perpetua"/>
        </w:rPr>
        <w:t>.</w:t>
      </w:r>
    </w:p>
  </w:footnote>
  <w:footnote w:id="35">
    <w:p w:rsidR="003926F6" w:rsidRPr="00C132D0" w:rsidRDefault="003926F6">
      <w:pPr>
        <w:pStyle w:val="FootnoteText"/>
        <w:rPr>
          <w:rFonts w:ascii="Perpetua" w:hAnsi="Perpetua"/>
        </w:rPr>
      </w:pPr>
      <w:r w:rsidRPr="00C132D0">
        <w:rPr>
          <w:rStyle w:val="FootnoteReference"/>
          <w:rFonts w:ascii="Perpetua" w:hAnsi="Perpetua"/>
        </w:rPr>
        <w:footnoteRef/>
      </w:r>
      <w:r w:rsidRPr="00C132D0">
        <w:rPr>
          <w:rFonts w:ascii="Perpetua" w:hAnsi="Perpetua"/>
        </w:rPr>
        <w:t xml:space="preserve"> </w:t>
      </w:r>
      <w:r w:rsidRPr="004E5D3A">
        <w:rPr>
          <w:rFonts w:ascii="Perpetua" w:hAnsi="Perpetua"/>
          <w:i/>
        </w:rPr>
        <w:t>Vide</w:t>
      </w:r>
      <w:r w:rsidRPr="00C132D0">
        <w:rPr>
          <w:rFonts w:ascii="Perpetua" w:hAnsi="Perpetua"/>
        </w:rPr>
        <w:t xml:space="preserve"> 8.3. para a identificaç</w:t>
      </w:r>
      <w:r>
        <w:rPr>
          <w:rFonts w:ascii="Perpetua" w:hAnsi="Perpetua"/>
        </w:rPr>
        <w:t>ão do</w:t>
      </w:r>
      <w:r w:rsidRPr="00C132D0">
        <w:rPr>
          <w:rFonts w:ascii="Perpetua" w:hAnsi="Perpetua"/>
        </w:rPr>
        <w:t xml:space="preserve">s </w:t>
      </w:r>
      <w:r>
        <w:rPr>
          <w:rFonts w:ascii="Perpetua" w:hAnsi="Perpetua"/>
        </w:rPr>
        <w:t xml:space="preserve">tipos de espécie processual existentes no </w:t>
      </w:r>
      <w:r w:rsidRPr="00C132D0">
        <w:rPr>
          <w:rFonts w:ascii="Perpetua" w:hAnsi="Perpetua"/>
        </w:rPr>
        <w:t>sistema judicial português</w:t>
      </w:r>
      <w:r>
        <w:rPr>
          <w:rFonts w:ascii="Perpetua" w:hAnsi="Perpetua"/>
        </w:rPr>
        <w:t>.</w:t>
      </w:r>
    </w:p>
  </w:footnote>
  <w:footnote w:id="36">
    <w:p w:rsidR="003926F6" w:rsidRPr="00F32251" w:rsidRDefault="003926F6" w:rsidP="00F32251">
      <w:pPr>
        <w:pStyle w:val="FootnoteText"/>
        <w:jc w:val="both"/>
        <w:rPr>
          <w:rFonts w:ascii="Perpetua" w:hAnsi="Perpetua"/>
        </w:rPr>
      </w:pPr>
      <w:r w:rsidRPr="00F32251">
        <w:rPr>
          <w:rStyle w:val="FootnoteReference"/>
          <w:rFonts w:ascii="Perpetua" w:hAnsi="Perpetua"/>
        </w:rPr>
        <w:footnoteRef/>
      </w:r>
      <w:r w:rsidRPr="00F32251">
        <w:rPr>
          <w:rFonts w:ascii="Perpetua" w:hAnsi="Perpetua"/>
        </w:rPr>
        <w:t xml:space="preserve"> O processo penal inicia-se com a notícia do crime, que, por sua vez, dá início à fase de inquérito – à qual corresponde estatisticamente um processo </w:t>
      </w:r>
      <w:r>
        <w:rPr>
          <w:rFonts w:ascii="Perpetua" w:hAnsi="Perpetua"/>
        </w:rPr>
        <w:t>na fase de</w:t>
      </w:r>
      <w:r w:rsidRPr="00F32251">
        <w:rPr>
          <w:rFonts w:ascii="Perpetua" w:hAnsi="Perpetua"/>
        </w:rPr>
        <w:t xml:space="preserve"> inquérito. Caso </w:t>
      </w:r>
      <w:r>
        <w:rPr>
          <w:rFonts w:ascii="Perpetua" w:hAnsi="Perpetua"/>
        </w:rPr>
        <w:t xml:space="preserve">o </w:t>
      </w:r>
      <w:r w:rsidRPr="00F32251">
        <w:rPr>
          <w:rFonts w:ascii="Perpetua" w:hAnsi="Perpetua"/>
        </w:rPr>
        <w:t>processo não seja arquivado ou suspenso, pode iniciar-se</w:t>
      </w:r>
      <w:r>
        <w:rPr>
          <w:rFonts w:ascii="Perpetua" w:hAnsi="Perpetua"/>
        </w:rPr>
        <w:t xml:space="preserve"> </w:t>
      </w:r>
      <w:r w:rsidRPr="00F32251">
        <w:rPr>
          <w:rFonts w:ascii="Perpetua" w:hAnsi="Perpetua"/>
        </w:rPr>
        <w:t>a fase de instrução</w:t>
      </w:r>
      <w:r>
        <w:rPr>
          <w:rFonts w:ascii="Perpetua" w:hAnsi="Perpetua"/>
        </w:rPr>
        <w:t xml:space="preserve"> – que corresponde estatisticamente a um processo em fase de instrução. Por fim, caso o arguido seja pronunciado, o processo segue para a fase de julgamento – à qual corresponde um processo-crime em fase de julgamento, e que é habitualmente publicado nas Estatísticas da Justiça.</w:t>
      </w:r>
    </w:p>
  </w:footnote>
  <w:footnote w:id="37">
    <w:p w:rsidR="003926F6" w:rsidRPr="00F32251" w:rsidRDefault="003926F6" w:rsidP="00F32251">
      <w:pPr>
        <w:pStyle w:val="FootnoteText"/>
        <w:jc w:val="both"/>
        <w:rPr>
          <w:rFonts w:ascii="Perpetua" w:hAnsi="Perpetua"/>
        </w:rPr>
      </w:pPr>
      <w:r w:rsidRPr="00F32251">
        <w:rPr>
          <w:rStyle w:val="FootnoteReference"/>
          <w:rFonts w:ascii="Perpetua" w:hAnsi="Perpetua"/>
        </w:rPr>
        <w:footnoteRef/>
      </w:r>
      <w:r w:rsidRPr="00F32251">
        <w:rPr>
          <w:rFonts w:ascii="Perpetua" w:hAnsi="Perpetua"/>
        </w:rPr>
        <w:t xml:space="preserve"> Não incluímos o movimento dos processos de in</w:t>
      </w:r>
      <w:r>
        <w:rPr>
          <w:rFonts w:ascii="Perpetua" w:hAnsi="Perpetua"/>
        </w:rPr>
        <w:t>strução</w:t>
      </w:r>
      <w:r w:rsidRPr="00F32251">
        <w:rPr>
          <w:rFonts w:ascii="Perpetua" w:hAnsi="Perpetua"/>
        </w:rPr>
        <w:t xml:space="preserve"> porque não tivemos acesso aos dados estatísticos respectivos.</w:t>
      </w:r>
    </w:p>
  </w:footnote>
  <w:footnote w:id="38">
    <w:p w:rsidR="003926F6" w:rsidRPr="003D2802" w:rsidRDefault="003926F6" w:rsidP="0080386E">
      <w:pPr>
        <w:pStyle w:val="FootnoteText"/>
        <w:jc w:val="both"/>
        <w:rPr>
          <w:rFonts w:ascii="Perpetua" w:hAnsi="Perpetua"/>
        </w:rPr>
      </w:pPr>
      <w:r w:rsidRPr="003D2802">
        <w:rPr>
          <w:rStyle w:val="FootnoteReference"/>
          <w:rFonts w:ascii="Perpetua" w:hAnsi="Perpetua"/>
        </w:rPr>
        <w:footnoteRef/>
      </w:r>
      <w:r w:rsidRPr="003D2802">
        <w:rPr>
          <w:rFonts w:ascii="Perpetua" w:hAnsi="Perpetua"/>
        </w:rPr>
        <w:t xml:space="preserve"> </w:t>
      </w:r>
      <w:r>
        <w:rPr>
          <w:rFonts w:ascii="Perpetua" w:hAnsi="Perpetua"/>
        </w:rPr>
        <w:t>O</w:t>
      </w:r>
      <w:r w:rsidRPr="003D2802">
        <w:rPr>
          <w:rFonts w:ascii="Perpetua" w:hAnsi="Perpetua"/>
        </w:rPr>
        <w:t xml:space="preserve"> </w:t>
      </w:r>
      <w:r>
        <w:rPr>
          <w:rFonts w:ascii="Perpetua" w:hAnsi="Perpetua"/>
        </w:rPr>
        <w:t>Gráfico 2.</w:t>
      </w:r>
      <w:r w:rsidRPr="003D2802">
        <w:rPr>
          <w:rFonts w:ascii="Perpetua" w:hAnsi="Perpetua"/>
        </w:rPr>
        <w:t xml:space="preserve">8 não apresenta a quantidade de injunções entradas e pendentes para os anos de 1995 a 1998, pois </w:t>
      </w:r>
      <w:r>
        <w:rPr>
          <w:rFonts w:ascii="Perpetua" w:hAnsi="Perpetua"/>
        </w:rPr>
        <w:t xml:space="preserve">os respectivos dados estatísticos </w:t>
      </w:r>
      <w:r w:rsidRPr="003D2802">
        <w:rPr>
          <w:rFonts w:ascii="Perpetua" w:hAnsi="Perpetua"/>
        </w:rPr>
        <w:t xml:space="preserve">não </w:t>
      </w:r>
      <w:r>
        <w:rPr>
          <w:rFonts w:ascii="Perpetua" w:hAnsi="Perpetua"/>
        </w:rPr>
        <w:t>estavam disponíveis.</w:t>
      </w:r>
    </w:p>
  </w:footnote>
  <w:footnote w:id="39">
    <w:p w:rsidR="003926F6" w:rsidRPr="00AF2E4B" w:rsidRDefault="003926F6" w:rsidP="0080386E">
      <w:pPr>
        <w:pStyle w:val="FootnoteText"/>
        <w:jc w:val="both"/>
        <w:rPr>
          <w:rFonts w:ascii="Perpetua" w:hAnsi="Perpetua"/>
        </w:rPr>
      </w:pPr>
      <w:r w:rsidRPr="00AF2E4B">
        <w:rPr>
          <w:rStyle w:val="FootnoteReference"/>
          <w:rFonts w:ascii="Perpetua" w:hAnsi="Perpetua"/>
        </w:rPr>
        <w:footnoteRef/>
      </w:r>
      <w:r w:rsidRPr="00AF2E4B">
        <w:rPr>
          <w:rFonts w:ascii="Perpetua" w:hAnsi="Perpetua"/>
        </w:rPr>
        <w:t xml:space="preserve"> </w:t>
      </w:r>
      <w:r>
        <w:rPr>
          <w:rFonts w:ascii="Perpetua" w:hAnsi="Perpetua"/>
        </w:rPr>
        <w:t xml:space="preserve">Para além das três carreiras profissionais mencionadas, as </w:t>
      </w:r>
      <w:r w:rsidRPr="00AF2E4B">
        <w:rPr>
          <w:rFonts w:ascii="Perpetua" w:hAnsi="Perpetua"/>
        </w:rPr>
        <w:t xml:space="preserve">Estatísticas da Justiça distinguem </w:t>
      </w:r>
      <w:r>
        <w:rPr>
          <w:rFonts w:ascii="Perpetua" w:hAnsi="Perpetua"/>
        </w:rPr>
        <w:t>duas</w:t>
      </w:r>
      <w:r w:rsidRPr="00AF2E4B">
        <w:rPr>
          <w:rFonts w:ascii="Perpetua" w:hAnsi="Perpetua"/>
        </w:rPr>
        <w:t xml:space="preserve"> outras carreiras</w:t>
      </w:r>
      <w:r>
        <w:rPr>
          <w:rFonts w:ascii="Perpetua" w:hAnsi="Perpetua"/>
        </w:rPr>
        <w:t xml:space="preserve"> profissionais</w:t>
      </w:r>
      <w:r w:rsidRPr="00AF2E4B">
        <w:rPr>
          <w:rFonts w:ascii="Perpetua" w:hAnsi="Perpetua"/>
        </w:rPr>
        <w:t xml:space="preserve">: Assessores e Outras. </w:t>
      </w:r>
      <w:r>
        <w:rPr>
          <w:rFonts w:ascii="Perpetua" w:hAnsi="Perpetua"/>
        </w:rPr>
        <w:t>Porém, a</w:t>
      </w:r>
      <w:r w:rsidRPr="00AF2E4B">
        <w:rPr>
          <w:rFonts w:ascii="Perpetua" w:hAnsi="Perpetua"/>
        </w:rPr>
        <w:t>s frequências anuais absoluta</w:t>
      </w:r>
      <w:r>
        <w:rPr>
          <w:rFonts w:ascii="Perpetua" w:hAnsi="Perpetua"/>
        </w:rPr>
        <w:t>s</w:t>
      </w:r>
      <w:r w:rsidRPr="00AF2E4B">
        <w:rPr>
          <w:rFonts w:ascii="Perpetua" w:hAnsi="Perpetua"/>
        </w:rPr>
        <w:t xml:space="preserve"> e relativa</w:t>
      </w:r>
      <w:r>
        <w:rPr>
          <w:rFonts w:ascii="Perpetua" w:hAnsi="Perpetua"/>
        </w:rPr>
        <w:t>s</w:t>
      </w:r>
      <w:r w:rsidRPr="00AF2E4B">
        <w:rPr>
          <w:rFonts w:ascii="Perpetua" w:hAnsi="Perpetua"/>
        </w:rPr>
        <w:t xml:space="preserve"> dessas carreiras são nulas ou muito reduzi</w:t>
      </w:r>
      <w:r>
        <w:rPr>
          <w:rFonts w:ascii="Perpetua" w:hAnsi="Perpetua"/>
        </w:rPr>
        <w:t xml:space="preserve">das durante o período analisado, pelo que não se justifica uma análise separada das mesmas. Ao longo deste trabalho utiliza-se o termo «trabalhadores judiciais» para significar a totalidade dos recursos humanos utilizados pela 1.ª instância do sistema judicial, ou por uma ou mais unidades produtivas nela integradas, num determinado período temporal. </w:t>
      </w:r>
    </w:p>
  </w:footnote>
  <w:footnote w:id="40">
    <w:p w:rsidR="003926F6" w:rsidRPr="00C6682C" w:rsidRDefault="003926F6" w:rsidP="0080386E">
      <w:pPr>
        <w:pStyle w:val="FootnoteText"/>
        <w:jc w:val="both"/>
        <w:rPr>
          <w:rFonts w:ascii="Perpetua" w:hAnsi="Perpetua"/>
        </w:rPr>
      </w:pPr>
      <w:r w:rsidRPr="00C6682C">
        <w:rPr>
          <w:rStyle w:val="FootnoteReference"/>
          <w:rFonts w:ascii="Perpetua" w:hAnsi="Perpetua"/>
        </w:rPr>
        <w:footnoteRef/>
      </w:r>
      <w:r w:rsidRPr="00C6682C">
        <w:rPr>
          <w:rFonts w:ascii="Perpetua" w:hAnsi="Perpetua"/>
        </w:rPr>
        <w:t xml:space="preserve"> Na carreira funcionários judiciais incluem-se as seguintes categorias: Secretário de tribunal superior/Chefe de Repartição, Secretário de justiça/Secretário técnico, Escrivão de direito ou adjunto/</w:t>
      </w:r>
      <w:r>
        <w:rPr>
          <w:rFonts w:ascii="Perpetua" w:hAnsi="Perpetua"/>
        </w:rPr>
        <w:t>T</w:t>
      </w:r>
      <w:r w:rsidRPr="00C6682C">
        <w:rPr>
          <w:rFonts w:ascii="Perpetua" w:hAnsi="Perpetua"/>
        </w:rPr>
        <w:t>écnico de justiça principal ou adjunto, Escrivão auxiliar</w:t>
      </w:r>
      <w:r>
        <w:rPr>
          <w:rFonts w:ascii="Perpetua" w:hAnsi="Perpetua"/>
        </w:rPr>
        <w:t>/T</w:t>
      </w:r>
      <w:r w:rsidRPr="00C6682C">
        <w:rPr>
          <w:rFonts w:ascii="Perpetua" w:hAnsi="Perpetua"/>
        </w:rPr>
        <w:t>écnico de justiça auxiliar, Pessoal de informática</w:t>
      </w:r>
      <w:r>
        <w:rPr>
          <w:rFonts w:ascii="Perpetua" w:hAnsi="Perpetua"/>
        </w:rPr>
        <w:t>, P</w:t>
      </w:r>
      <w:r w:rsidRPr="00C6682C">
        <w:rPr>
          <w:rFonts w:ascii="Perpetua" w:hAnsi="Perpetua"/>
        </w:rPr>
        <w:t>essoal técnico-profissional e administrativo e Pessoal auxiliar e operário.</w:t>
      </w:r>
      <w:r>
        <w:rPr>
          <w:rFonts w:ascii="Perpetua" w:hAnsi="Perpetua"/>
        </w:rPr>
        <w:t xml:space="preserve"> Devido à forma como os dados estão armazenados na base de dados das Estatísticas da Justiça, não é possível destrinçar os funcionários judiciais que estão afectos aos serviços do M.P., aos serviços Judiciais e aos serviços Comuns. Veja-se 8.4. para uma explicação detalhada das limitações informativas relativas aos dados estatísticos dos recursos humanos do sistema judicial e dos tribunais.</w:t>
      </w:r>
    </w:p>
  </w:footnote>
  <w:footnote w:id="41">
    <w:p w:rsidR="003926F6" w:rsidRPr="00E254F0" w:rsidRDefault="003926F6" w:rsidP="00A54C6E">
      <w:pPr>
        <w:pStyle w:val="FootnoteText"/>
        <w:jc w:val="both"/>
        <w:rPr>
          <w:rFonts w:ascii="Perpetua" w:hAnsi="Perpetua"/>
        </w:rPr>
      </w:pPr>
      <w:r w:rsidRPr="00E254F0">
        <w:rPr>
          <w:rStyle w:val="FootnoteReference"/>
          <w:rFonts w:ascii="Perpetua" w:hAnsi="Perpetua"/>
        </w:rPr>
        <w:footnoteRef/>
      </w:r>
      <w:r w:rsidRPr="00E254F0">
        <w:rPr>
          <w:rFonts w:ascii="Perpetua" w:hAnsi="Perpetua"/>
        </w:rPr>
        <w:t xml:space="preserve"> A taxa de variação anual das injunções entradas refere-se ao período 1999-2006.</w:t>
      </w:r>
    </w:p>
  </w:footnote>
  <w:footnote w:id="42">
    <w:p w:rsidR="003926F6" w:rsidRPr="00E254F0" w:rsidRDefault="003926F6">
      <w:pPr>
        <w:pStyle w:val="FootnoteText"/>
        <w:rPr>
          <w:rFonts w:ascii="Perpetua" w:hAnsi="Perpetua"/>
        </w:rPr>
      </w:pPr>
      <w:r w:rsidRPr="00E254F0">
        <w:rPr>
          <w:rStyle w:val="FootnoteReference"/>
          <w:rFonts w:ascii="Perpetua" w:hAnsi="Perpetua"/>
        </w:rPr>
        <w:footnoteRef/>
      </w:r>
      <w:r w:rsidRPr="00E254F0">
        <w:rPr>
          <w:rFonts w:ascii="Perpetua" w:hAnsi="Perpetua"/>
        </w:rPr>
        <w:t xml:space="preserve"> </w:t>
      </w:r>
      <w:r w:rsidRPr="00E254F0">
        <w:rPr>
          <w:rFonts w:ascii="Perpetua" w:hAnsi="Perpetua"/>
          <w:i/>
        </w:rPr>
        <w:t>Vide</w:t>
      </w:r>
      <w:r w:rsidRPr="00E254F0">
        <w:rPr>
          <w:rFonts w:ascii="Perpetua" w:hAnsi="Perpetua"/>
        </w:rPr>
        <w:t xml:space="preserve"> Decreto-Lei n.º 88/2003, de 26 de Abril.</w:t>
      </w:r>
    </w:p>
  </w:footnote>
  <w:footnote w:id="43">
    <w:p w:rsidR="003926F6" w:rsidRPr="00F00426" w:rsidRDefault="003926F6" w:rsidP="00F00426">
      <w:pPr>
        <w:pStyle w:val="FootnoteText"/>
        <w:jc w:val="both"/>
        <w:rPr>
          <w:rFonts w:ascii="Perpetua" w:hAnsi="Perpetua"/>
        </w:rPr>
      </w:pPr>
      <w:r w:rsidRPr="00F00426">
        <w:rPr>
          <w:rStyle w:val="FootnoteReference"/>
          <w:rFonts w:ascii="Perpetua" w:hAnsi="Perpetua"/>
        </w:rPr>
        <w:footnoteRef/>
      </w:r>
      <w:r w:rsidRPr="00F00426">
        <w:rPr>
          <w:rFonts w:ascii="Perpetua" w:hAnsi="Perpetua"/>
        </w:rPr>
        <w:t xml:space="preserve"> A partir de 2003, ano da entrada em vigor do Decreto-Lei n.º 23/</w:t>
      </w:r>
      <w:r>
        <w:rPr>
          <w:rFonts w:ascii="Perpetua" w:hAnsi="Perpetua"/>
        </w:rPr>
        <w:t>20</w:t>
      </w:r>
      <w:r w:rsidRPr="00F00426">
        <w:rPr>
          <w:rFonts w:ascii="Perpetua" w:hAnsi="Perpetua"/>
        </w:rPr>
        <w:t>02, o número de solicitadores passa a incluir também os solicitadores de execução.</w:t>
      </w:r>
    </w:p>
  </w:footnote>
  <w:footnote w:id="44">
    <w:p w:rsidR="003926F6" w:rsidRPr="00357D67" w:rsidRDefault="003926F6" w:rsidP="0080386E">
      <w:pPr>
        <w:pStyle w:val="FootnoteText"/>
        <w:jc w:val="both"/>
        <w:rPr>
          <w:rFonts w:ascii="Perpetua" w:hAnsi="Perpetua"/>
        </w:rPr>
      </w:pPr>
      <w:r w:rsidRPr="00357D67">
        <w:rPr>
          <w:rStyle w:val="FootnoteReference"/>
          <w:rFonts w:ascii="Perpetua" w:hAnsi="Perpetua"/>
        </w:rPr>
        <w:footnoteRef/>
      </w:r>
      <w:r w:rsidRPr="00357D67">
        <w:rPr>
          <w:rFonts w:ascii="Perpetua" w:hAnsi="Perpetua"/>
        </w:rPr>
        <w:t xml:space="preserve"> Não é possível analisar as áreas processuais Cível e Penal separadamente, visto que </w:t>
      </w:r>
      <w:r>
        <w:rPr>
          <w:rFonts w:ascii="Perpetua" w:hAnsi="Perpetua"/>
        </w:rPr>
        <w:t xml:space="preserve">cerca de metade </w:t>
      </w:r>
      <w:r w:rsidRPr="00357D67">
        <w:rPr>
          <w:rFonts w:ascii="Perpetua" w:hAnsi="Perpetua"/>
        </w:rPr>
        <w:t xml:space="preserve">do movimento </w:t>
      </w:r>
      <w:r>
        <w:rPr>
          <w:rFonts w:ascii="Perpetua" w:hAnsi="Perpetua"/>
        </w:rPr>
        <w:t>Cível e Penal</w:t>
      </w:r>
      <w:r w:rsidRPr="00357D67">
        <w:rPr>
          <w:rFonts w:ascii="Perpetua" w:hAnsi="Perpetua"/>
        </w:rPr>
        <w:t xml:space="preserve"> ocorre </w:t>
      </w:r>
      <w:r>
        <w:rPr>
          <w:rFonts w:ascii="Perpetua" w:hAnsi="Perpetua"/>
        </w:rPr>
        <w:t xml:space="preserve">nos tribunais de competência genérica, que tramitam processos de ambas as áreas processuais. </w:t>
      </w:r>
    </w:p>
  </w:footnote>
  <w:footnote w:id="45">
    <w:p w:rsidR="003926F6" w:rsidRPr="00357D67" w:rsidRDefault="003926F6" w:rsidP="0080386E">
      <w:pPr>
        <w:pStyle w:val="FootnoteText"/>
        <w:jc w:val="both"/>
        <w:rPr>
          <w:rFonts w:ascii="Perpetua" w:hAnsi="Perpetua"/>
        </w:rPr>
      </w:pPr>
      <w:r w:rsidRPr="00357D67">
        <w:rPr>
          <w:rStyle w:val="FootnoteReference"/>
          <w:rFonts w:ascii="Perpetua" w:hAnsi="Perpetua"/>
        </w:rPr>
        <w:footnoteRef/>
      </w:r>
      <w:r w:rsidRPr="00357D67">
        <w:rPr>
          <w:rFonts w:ascii="Perpetua" w:hAnsi="Perpetua"/>
        </w:rPr>
        <w:t xml:space="preserve"> As medidas de produtividade judicial e carga processual laboral apresentadas resultam de combinações de variáveis relativas ao movimento processual da área processual laboral e os magistrados judiciais afectos aos tribunais de trabalho existentes em cada período. Estas medidas são consideradas </w:t>
      </w:r>
      <w:r>
        <w:rPr>
          <w:rFonts w:ascii="Perpetua" w:hAnsi="Perpetua"/>
        </w:rPr>
        <w:t>indirectas</w:t>
      </w:r>
      <w:r w:rsidRPr="00357D67">
        <w:rPr>
          <w:rFonts w:ascii="Perpetua" w:hAnsi="Perpetua"/>
        </w:rPr>
        <w:t>, na medida em que uma ínfima parte (inferior a 1%) do movimento processual laboral tramita nos tribunais de competência genérica.</w:t>
      </w:r>
    </w:p>
  </w:footnote>
  <w:footnote w:id="46">
    <w:p w:rsidR="003926F6" w:rsidRPr="00414CC5" w:rsidRDefault="003926F6" w:rsidP="0080386E">
      <w:pPr>
        <w:pStyle w:val="FootnoteText"/>
        <w:jc w:val="both"/>
        <w:rPr>
          <w:rFonts w:ascii="Perpetua" w:hAnsi="Perpetua"/>
        </w:rPr>
      </w:pPr>
      <w:r w:rsidRPr="00414CC5">
        <w:rPr>
          <w:rStyle w:val="FootnoteReference"/>
          <w:rFonts w:ascii="Perpetua" w:hAnsi="Perpetua"/>
        </w:rPr>
        <w:footnoteRef/>
      </w:r>
      <w:r w:rsidRPr="00414CC5">
        <w:rPr>
          <w:rFonts w:ascii="Perpetua" w:hAnsi="Perpetua"/>
        </w:rPr>
        <w:t xml:space="preserve"> No caso da área processual tutelar as medidas têm </w:t>
      </w:r>
      <w:r>
        <w:rPr>
          <w:rFonts w:ascii="Perpetua" w:hAnsi="Perpetua"/>
        </w:rPr>
        <w:t xml:space="preserve">associado </w:t>
      </w:r>
      <w:r w:rsidRPr="00414CC5">
        <w:rPr>
          <w:rFonts w:ascii="Perpetua" w:hAnsi="Perpetua"/>
        </w:rPr>
        <w:t xml:space="preserve">um erro superior, visto que o movimento processual dos tribunais de competência genérica e </w:t>
      </w:r>
      <w:r>
        <w:rPr>
          <w:rFonts w:ascii="Perpetua" w:hAnsi="Perpetua"/>
        </w:rPr>
        <w:t xml:space="preserve">de </w:t>
      </w:r>
      <w:r w:rsidRPr="00414CC5">
        <w:rPr>
          <w:rFonts w:ascii="Perpetua" w:hAnsi="Perpetua"/>
        </w:rPr>
        <w:t>competência específica representa uma maior percentagem do movimento da área processual tutelar</w:t>
      </w:r>
      <w:r>
        <w:rPr>
          <w:rFonts w:ascii="Perpetua" w:hAnsi="Perpetua"/>
        </w:rPr>
        <w:t xml:space="preserve"> (os tribunais de comarca de competência genérica representam cerca de 30% do movimento processual da área processual tutelar)</w:t>
      </w:r>
      <w:r w:rsidRPr="00414CC5">
        <w:rPr>
          <w:rFonts w:ascii="Perpetua" w:hAnsi="Perpetua"/>
        </w:rPr>
        <w:t>.</w:t>
      </w:r>
    </w:p>
  </w:footnote>
  <w:footnote w:id="47">
    <w:p w:rsidR="003926F6" w:rsidRPr="00414CC5" w:rsidRDefault="003926F6" w:rsidP="0080386E">
      <w:pPr>
        <w:pStyle w:val="FootnoteText"/>
        <w:jc w:val="both"/>
        <w:rPr>
          <w:rFonts w:ascii="Perpetua" w:hAnsi="Perpetua"/>
        </w:rPr>
      </w:pPr>
      <w:r w:rsidRPr="00414CC5">
        <w:rPr>
          <w:rStyle w:val="FootnoteReference"/>
          <w:rFonts w:ascii="Perpetua" w:hAnsi="Perpetua"/>
        </w:rPr>
        <w:footnoteRef/>
      </w:r>
      <w:r w:rsidRPr="00414CC5">
        <w:rPr>
          <w:rFonts w:ascii="Perpetua" w:hAnsi="Perpetua"/>
        </w:rPr>
        <w:t xml:space="preserve"> As medidas apresentadas correspondem a combinações das variáveis do movimento cível e penal na totalidade dos tribunais judiciais de 1.ª instância</w:t>
      </w:r>
      <w:r>
        <w:rPr>
          <w:rFonts w:ascii="Perpetua" w:hAnsi="Perpetua"/>
        </w:rPr>
        <w:t>,</w:t>
      </w:r>
      <w:r w:rsidRPr="00414CC5">
        <w:rPr>
          <w:rFonts w:ascii="Perpetua" w:hAnsi="Perpetua"/>
        </w:rPr>
        <w:t xml:space="preserve"> com excepção dos tribunais de Família, </w:t>
      </w:r>
      <w:r>
        <w:rPr>
          <w:rFonts w:ascii="Perpetua" w:hAnsi="Perpetua"/>
        </w:rPr>
        <w:t xml:space="preserve">de </w:t>
      </w:r>
      <w:r w:rsidRPr="00414CC5">
        <w:rPr>
          <w:rFonts w:ascii="Perpetua" w:hAnsi="Perpetua"/>
        </w:rPr>
        <w:t xml:space="preserve">Menores </w:t>
      </w:r>
      <w:r>
        <w:rPr>
          <w:rFonts w:ascii="Perpetua" w:hAnsi="Perpetua"/>
        </w:rPr>
        <w:t>d</w:t>
      </w:r>
      <w:r w:rsidRPr="00414CC5">
        <w:rPr>
          <w:rFonts w:ascii="Perpetua" w:hAnsi="Perpetua"/>
        </w:rPr>
        <w:t>e Família</w:t>
      </w:r>
      <w:r>
        <w:rPr>
          <w:rFonts w:ascii="Perpetua" w:hAnsi="Perpetua"/>
        </w:rPr>
        <w:t xml:space="preserve"> e Menores e de Trabalho, e os recursos humanos afectos a esses tribunais. </w:t>
      </w:r>
      <w:r w:rsidRPr="00414CC5">
        <w:rPr>
          <w:rFonts w:ascii="Perpetua" w:hAnsi="Perpetua"/>
        </w:rPr>
        <w:t xml:space="preserve"> </w:t>
      </w:r>
    </w:p>
  </w:footnote>
  <w:footnote w:id="48">
    <w:p w:rsidR="003926F6" w:rsidRPr="00FB46E3" w:rsidRDefault="003926F6" w:rsidP="00FB46E3">
      <w:pPr>
        <w:pStyle w:val="FootnoteText"/>
        <w:jc w:val="both"/>
        <w:rPr>
          <w:rFonts w:ascii="Perpetua" w:hAnsi="Perpetua"/>
        </w:rPr>
      </w:pPr>
      <w:r w:rsidRPr="00FB46E3">
        <w:rPr>
          <w:rStyle w:val="FootnoteReference"/>
          <w:rFonts w:ascii="Perpetua" w:hAnsi="Perpetua"/>
        </w:rPr>
        <w:footnoteRef/>
      </w:r>
      <w:r w:rsidRPr="00FB46E3">
        <w:rPr>
          <w:rFonts w:ascii="Perpetua" w:hAnsi="Perpetua"/>
        </w:rPr>
        <w:t xml:space="preserve"> A teoria da endogeneidade da produtividade judicial será desenvolvida com maior detalhe no capítulo 3.</w:t>
      </w:r>
    </w:p>
  </w:footnote>
  <w:footnote w:id="49">
    <w:p w:rsidR="003926F6" w:rsidRPr="00AC68C4" w:rsidRDefault="003926F6" w:rsidP="0080386E">
      <w:pPr>
        <w:pStyle w:val="FootnoteText"/>
        <w:jc w:val="both"/>
        <w:rPr>
          <w:rFonts w:ascii="Perpetua" w:hAnsi="Perpetua"/>
        </w:rPr>
      </w:pPr>
      <w:r w:rsidRPr="00AC68C4">
        <w:rPr>
          <w:rStyle w:val="FootnoteReference"/>
          <w:rFonts w:ascii="Perpetua" w:hAnsi="Perpetua"/>
        </w:rPr>
        <w:footnoteRef/>
      </w:r>
      <w:r w:rsidRPr="00AC68C4">
        <w:rPr>
          <w:rFonts w:ascii="Perpetua" w:hAnsi="Perpetua"/>
        </w:rPr>
        <w:t xml:space="preserve"> </w:t>
      </w:r>
      <w:r>
        <w:rPr>
          <w:rFonts w:ascii="Perpetua" w:hAnsi="Perpetua"/>
        </w:rPr>
        <w:t>A</w:t>
      </w:r>
      <w:r w:rsidRPr="00AC68C4">
        <w:rPr>
          <w:rFonts w:ascii="Perpetua" w:hAnsi="Perpetua"/>
        </w:rPr>
        <w:t xml:space="preserve"> questão da heterogeneidade das intensidades de trabalho judicial </w:t>
      </w:r>
      <w:r>
        <w:rPr>
          <w:rFonts w:ascii="Perpetua" w:hAnsi="Perpetua"/>
        </w:rPr>
        <w:t>é</w:t>
      </w:r>
      <w:r w:rsidRPr="00AC68C4">
        <w:rPr>
          <w:rFonts w:ascii="Perpetua" w:hAnsi="Perpetua"/>
        </w:rPr>
        <w:t xml:space="preserve"> mais importante para a análise da produtividade judicial a um nível mais desagregado, designadamente ao nível dos tribunais</w:t>
      </w:r>
      <w:r>
        <w:rPr>
          <w:rFonts w:ascii="Perpetua" w:hAnsi="Perpetua"/>
        </w:rPr>
        <w:t xml:space="preserve"> (ver secção 4.3.)</w:t>
      </w:r>
      <w:r w:rsidRPr="00AC68C4">
        <w:rPr>
          <w:rFonts w:ascii="Perpetua" w:hAnsi="Perpetua"/>
        </w:rPr>
        <w:t xml:space="preserve">.  </w:t>
      </w:r>
    </w:p>
  </w:footnote>
  <w:footnote w:id="50">
    <w:p w:rsidR="003926F6" w:rsidRPr="00FC788D" w:rsidRDefault="003926F6" w:rsidP="00FC788D">
      <w:pPr>
        <w:pStyle w:val="FootnoteText"/>
        <w:jc w:val="both"/>
        <w:rPr>
          <w:rFonts w:ascii="Perpetua" w:hAnsi="Perpetua"/>
        </w:rPr>
      </w:pPr>
      <w:r w:rsidRPr="00FC788D">
        <w:rPr>
          <w:rStyle w:val="FootnoteReference"/>
          <w:rFonts w:ascii="Perpetua" w:hAnsi="Perpetua"/>
        </w:rPr>
        <w:footnoteRef/>
      </w:r>
      <w:r w:rsidRPr="00FC788D">
        <w:rPr>
          <w:rFonts w:ascii="Perpetua" w:hAnsi="Perpetua"/>
        </w:rPr>
        <w:t xml:space="preserve"> Esta questão é discutida em maior detalhe nas secções 3.3 e 5.3.</w:t>
      </w:r>
    </w:p>
  </w:footnote>
  <w:footnote w:id="51">
    <w:p w:rsidR="003926F6" w:rsidRPr="008D3E5A" w:rsidRDefault="003926F6" w:rsidP="00AA7C25">
      <w:pPr>
        <w:pStyle w:val="FootnoteText"/>
        <w:jc w:val="both"/>
        <w:rPr>
          <w:rFonts w:ascii="Perpetua" w:hAnsi="Perpetua"/>
        </w:rPr>
      </w:pPr>
      <w:r w:rsidRPr="008D3E5A">
        <w:rPr>
          <w:rStyle w:val="FootnoteReference"/>
          <w:rFonts w:ascii="Perpetua" w:hAnsi="Perpetua"/>
        </w:rPr>
        <w:footnoteRef/>
      </w:r>
      <w:r w:rsidRPr="008D3E5A">
        <w:rPr>
          <w:rFonts w:ascii="Perpetua" w:hAnsi="Perpetua"/>
        </w:rPr>
        <w:t xml:space="preserve"> Esta questão será abordada mais adiante, nas secç</w:t>
      </w:r>
      <w:r>
        <w:rPr>
          <w:rFonts w:ascii="Perpetua" w:hAnsi="Perpetua"/>
        </w:rPr>
        <w:t>ões</w:t>
      </w:r>
      <w:r w:rsidRPr="008D3E5A">
        <w:rPr>
          <w:rFonts w:ascii="Perpetua" w:hAnsi="Perpetua"/>
        </w:rPr>
        <w:t xml:space="preserve"> 3.3. e 4.3.</w:t>
      </w:r>
    </w:p>
  </w:footnote>
  <w:footnote w:id="52">
    <w:p w:rsidR="003926F6" w:rsidRPr="00D9510B" w:rsidRDefault="003926F6" w:rsidP="00826DD8">
      <w:pPr>
        <w:pStyle w:val="FootnoteText"/>
        <w:jc w:val="both"/>
        <w:rPr>
          <w:rFonts w:ascii="Perpetua" w:hAnsi="Perpetua"/>
          <w:lang w:val="en-US"/>
        </w:rPr>
      </w:pPr>
      <w:r w:rsidRPr="00AA7C25">
        <w:rPr>
          <w:rStyle w:val="FootnoteReference"/>
          <w:rFonts w:ascii="Perpetua" w:hAnsi="Perpetua"/>
        </w:rPr>
        <w:footnoteRef/>
      </w:r>
      <w:r w:rsidRPr="00D9510B">
        <w:rPr>
          <w:rFonts w:ascii="Perpetua" w:hAnsi="Perpetua"/>
          <w:lang w:val="en-US"/>
        </w:rPr>
        <w:t xml:space="preserve"> </w:t>
      </w:r>
      <w:r w:rsidRPr="004E5D3A">
        <w:rPr>
          <w:rFonts w:ascii="Perpetua" w:hAnsi="Perpetua"/>
          <w:i/>
          <w:lang w:val="en-US"/>
        </w:rPr>
        <w:t>Vide</w:t>
      </w:r>
      <w:r w:rsidRPr="00D9510B">
        <w:rPr>
          <w:rFonts w:ascii="Perpetua" w:hAnsi="Perpetua"/>
          <w:lang w:val="en-US"/>
        </w:rPr>
        <w:t xml:space="preserve"> Lewin, Morey </w:t>
      </w:r>
      <w:r>
        <w:rPr>
          <w:rFonts w:ascii="Perpetua" w:hAnsi="Perpetua"/>
          <w:lang w:val="en-US"/>
        </w:rPr>
        <w:t>e</w:t>
      </w:r>
      <w:r w:rsidRPr="00D9510B">
        <w:rPr>
          <w:rFonts w:ascii="Perpetua" w:hAnsi="Perpetua"/>
          <w:lang w:val="en-US"/>
        </w:rPr>
        <w:t xml:space="preserve"> Cook (1982: 405).</w:t>
      </w:r>
    </w:p>
  </w:footnote>
  <w:footnote w:id="53">
    <w:p w:rsidR="003926F6" w:rsidRPr="00A73DFA" w:rsidRDefault="003926F6" w:rsidP="00081B4F">
      <w:pPr>
        <w:pStyle w:val="FootnoteText"/>
        <w:jc w:val="both"/>
        <w:rPr>
          <w:rFonts w:ascii="Perpetua" w:hAnsi="Perpetua"/>
          <w:lang w:val="en-US"/>
        </w:rPr>
      </w:pPr>
      <w:r w:rsidRPr="00A73DFA">
        <w:rPr>
          <w:rStyle w:val="FootnoteReference"/>
          <w:rFonts w:ascii="Perpetua" w:hAnsi="Perpetua"/>
        </w:rPr>
        <w:footnoteRef/>
      </w:r>
      <w:r w:rsidRPr="00A73DFA">
        <w:rPr>
          <w:rFonts w:ascii="Perpetua" w:hAnsi="Perpetua"/>
          <w:lang w:val="en-US"/>
        </w:rPr>
        <w:t xml:space="preserve"> </w:t>
      </w:r>
      <w:r w:rsidRPr="004E5D3A">
        <w:rPr>
          <w:rFonts w:ascii="Perpetua" w:hAnsi="Perpetua"/>
          <w:i/>
          <w:lang w:val="en-US"/>
        </w:rPr>
        <w:t>Vide</w:t>
      </w:r>
      <w:r w:rsidRPr="00A73DFA">
        <w:rPr>
          <w:rFonts w:ascii="Perpetua" w:hAnsi="Perpetua"/>
          <w:lang w:val="en-US"/>
        </w:rPr>
        <w:t xml:space="preserve"> Kittelsen </w:t>
      </w:r>
      <w:r>
        <w:rPr>
          <w:rFonts w:ascii="Perpetua" w:hAnsi="Perpetua"/>
          <w:lang w:val="en-US"/>
        </w:rPr>
        <w:t>e</w:t>
      </w:r>
      <w:r w:rsidRPr="00A73DFA">
        <w:rPr>
          <w:rFonts w:ascii="Perpetua" w:hAnsi="Perpetua"/>
          <w:lang w:val="en-US"/>
        </w:rPr>
        <w:t xml:space="preserve"> Forsund (1992:286-288).</w:t>
      </w:r>
    </w:p>
  </w:footnote>
  <w:footnote w:id="54">
    <w:p w:rsidR="003926F6" w:rsidRPr="00C234BE" w:rsidRDefault="003926F6" w:rsidP="00A73DFA">
      <w:pPr>
        <w:pStyle w:val="FootnoteText"/>
        <w:jc w:val="both"/>
        <w:rPr>
          <w:rFonts w:ascii="Perpetua" w:hAnsi="Perpetua"/>
          <w:lang w:val="en-US"/>
        </w:rPr>
      </w:pPr>
      <w:r w:rsidRPr="00A73DFA">
        <w:rPr>
          <w:rStyle w:val="FootnoteReference"/>
          <w:rFonts w:ascii="Perpetua" w:hAnsi="Perpetua"/>
        </w:rPr>
        <w:footnoteRef/>
      </w:r>
      <w:r w:rsidRPr="00C234BE">
        <w:rPr>
          <w:rFonts w:ascii="Perpetua" w:hAnsi="Perpetua"/>
          <w:lang w:val="en-US"/>
        </w:rPr>
        <w:t xml:space="preserve"> </w:t>
      </w:r>
      <w:r w:rsidRPr="004E5D3A">
        <w:rPr>
          <w:rFonts w:ascii="Perpetua" w:hAnsi="Perpetua"/>
          <w:i/>
          <w:lang w:val="en-US"/>
        </w:rPr>
        <w:t>Vide</w:t>
      </w:r>
      <w:r w:rsidRPr="00C234BE">
        <w:rPr>
          <w:rFonts w:ascii="Perpetua" w:hAnsi="Perpetua"/>
          <w:lang w:val="en-US"/>
        </w:rPr>
        <w:t xml:space="preserve"> Kittelsen </w:t>
      </w:r>
      <w:r>
        <w:rPr>
          <w:rFonts w:ascii="Perpetua" w:hAnsi="Perpetua"/>
          <w:lang w:val="en-US"/>
        </w:rPr>
        <w:t>e</w:t>
      </w:r>
      <w:r w:rsidRPr="00C234BE">
        <w:rPr>
          <w:rFonts w:ascii="Perpetua" w:hAnsi="Perpetua"/>
          <w:lang w:val="en-US"/>
        </w:rPr>
        <w:t xml:space="preserve"> Forsund (1992:293).</w:t>
      </w:r>
    </w:p>
  </w:footnote>
  <w:footnote w:id="55">
    <w:p w:rsidR="003926F6" w:rsidRPr="0077492D" w:rsidRDefault="003926F6" w:rsidP="00A73DFA">
      <w:pPr>
        <w:pStyle w:val="FootnoteText"/>
        <w:jc w:val="both"/>
        <w:rPr>
          <w:rFonts w:ascii="Perpetua" w:hAnsi="Perpetua"/>
        </w:rPr>
      </w:pPr>
      <w:r w:rsidRPr="00A73DFA">
        <w:rPr>
          <w:rStyle w:val="FootnoteReference"/>
          <w:rFonts w:ascii="Perpetua" w:hAnsi="Perpetua"/>
        </w:rPr>
        <w:footnoteRef/>
      </w:r>
      <w:r w:rsidRPr="0077492D">
        <w:rPr>
          <w:rFonts w:ascii="Perpetua" w:hAnsi="Perpetua"/>
        </w:rPr>
        <w:t xml:space="preserve"> </w:t>
      </w:r>
      <w:r w:rsidRPr="0077492D">
        <w:rPr>
          <w:rFonts w:ascii="Perpetua" w:hAnsi="Perpetua"/>
          <w:i/>
        </w:rPr>
        <w:t>Vide</w:t>
      </w:r>
      <w:r w:rsidRPr="0077492D">
        <w:rPr>
          <w:rFonts w:ascii="Perpetua" w:hAnsi="Perpetua"/>
        </w:rPr>
        <w:t xml:space="preserve"> Tulkens (1993:183-192).</w:t>
      </w:r>
    </w:p>
  </w:footnote>
  <w:footnote w:id="56">
    <w:p w:rsidR="003926F6" w:rsidRPr="00A73DFA" w:rsidRDefault="003926F6" w:rsidP="00A73DFA">
      <w:pPr>
        <w:pStyle w:val="FootnoteText"/>
        <w:jc w:val="both"/>
        <w:rPr>
          <w:rFonts w:ascii="Perpetua" w:hAnsi="Perpetua"/>
        </w:rPr>
      </w:pPr>
      <w:r w:rsidRPr="00A73DFA">
        <w:rPr>
          <w:rStyle w:val="FootnoteReference"/>
          <w:rFonts w:ascii="Perpetua" w:hAnsi="Perpetua"/>
        </w:rPr>
        <w:footnoteRef/>
      </w:r>
      <w:r w:rsidRPr="00A73DFA">
        <w:rPr>
          <w:rFonts w:ascii="Perpetua" w:hAnsi="Perpetua"/>
        </w:rPr>
        <w:t xml:space="preserve"> </w:t>
      </w:r>
      <w:r w:rsidRPr="004E5D3A">
        <w:rPr>
          <w:rFonts w:ascii="Perpetua" w:hAnsi="Perpetua"/>
          <w:i/>
        </w:rPr>
        <w:t>Vide</w:t>
      </w:r>
      <w:r w:rsidRPr="00A73DFA">
        <w:rPr>
          <w:rFonts w:ascii="Perpetua" w:hAnsi="Perpetua"/>
        </w:rPr>
        <w:t xml:space="preserve"> Tulkens (1993:200).</w:t>
      </w:r>
    </w:p>
  </w:footnote>
  <w:footnote w:id="57">
    <w:p w:rsidR="003926F6" w:rsidRPr="000A1299" w:rsidRDefault="003926F6" w:rsidP="008D3E5A">
      <w:pPr>
        <w:pStyle w:val="FootnoteText"/>
        <w:jc w:val="both"/>
        <w:rPr>
          <w:rFonts w:ascii="Perpetua" w:hAnsi="Perpetua"/>
        </w:rPr>
      </w:pPr>
      <w:r w:rsidRPr="000A1299">
        <w:rPr>
          <w:rStyle w:val="FootnoteReference"/>
          <w:rFonts w:ascii="Perpetua" w:hAnsi="Perpetua"/>
        </w:rPr>
        <w:footnoteRef/>
      </w:r>
      <w:r w:rsidRPr="000A1299">
        <w:rPr>
          <w:rFonts w:ascii="Perpetua" w:hAnsi="Perpetua"/>
        </w:rPr>
        <w:t xml:space="preserve"> Para Posner a procura judicial revelada é dada pela dimensão da carga judicial (</w:t>
      </w:r>
      <w:r w:rsidRPr="000A1299">
        <w:rPr>
          <w:rFonts w:ascii="Perpetua" w:hAnsi="Perpetua"/>
          <w:i/>
        </w:rPr>
        <w:t>size of the caseload</w:t>
      </w:r>
      <w:r w:rsidRPr="000A1299">
        <w:rPr>
          <w:rFonts w:ascii="Perpetua" w:hAnsi="Perpetua"/>
        </w:rPr>
        <w:t xml:space="preserve">). </w:t>
      </w:r>
    </w:p>
  </w:footnote>
  <w:footnote w:id="58">
    <w:p w:rsidR="003926F6" w:rsidRPr="000A1299" w:rsidRDefault="003926F6" w:rsidP="0080386E">
      <w:pPr>
        <w:pStyle w:val="FootnoteText"/>
        <w:rPr>
          <w:rFonts w:ascii="Perpetua" w:hAnsi="Perpetua"/>
          <w:lang w:val="en-US"/>
        </w:rPr>
      </w:pPr>
      <w:r w:rsidRPr="000A1299">
        <w:rPr>
          <w:rStyle w:val="FootnoteReference"/>
          <w:rFonts w:ascii="Perpetua" w:hAnsi="Perpetua"/>
        </w:rPr>
        <w:footnoteRef/>
      </w:r>
      <w:r w:rsidRPr="000A1299">
        <w:rPr>
          <w:rFonts w:ascii="Perpetua" w:hAnsi="Perpetua"/>
          <w:lang w:val="en-US"/>
        </w:rPr>
        <w:t xml:space="preserve"> </w:t>
      </w:r>
      <w:r w:rsidRPr="004E5D3A">
        <w:rPr>
          <w:rFonts w:ascii="Perpetua" w:hAnsi="Perpetua"/>
          <w:i/>
          <w:lang w:val="en-US"/>
        </w:rPr>
        <w:t>Vide</w:t>
      </w:r>
      <w:r w:rsidRPr="000A1299">
        <w:rPr>
          <w:rFonts w:ascii="Perpetua" w:hAnsi="Perpetua"/>
          <w:lang w:val="en-US"/>
        </w:rPr>
        <w:t xml:space="preserve"> Posner (1996:130-132).</w:t>
      </w:r>
    </w:p>
  </w:footnote>
  <w:footnote w:id="59">
    <w:p w:rsidR="003926F6" w:rsidRPr="000A1299" w:rsidRDefault="003926F6" w:rsidP="0080386E">
      <w:pPr>
        <w:pStyle w:val="FootnoteText"/>
        <w:rPr>
          <w:rFonts w:ascii="Perpetua" w:hAnsi="Perpetua"/>
          <w:lang w:val="en-US"/>
        </w:rPr>
      </w:pPr>
      <w:r w:rsidRPr="000A1299">
        <w:rPr>
          <w:rStyle w:val="FootnoteReference"/>
          <w:rFonts w:ascii="Perpetua" w:hAnsi="Perpetua"/>
        </w:rPr>
        <w:footnoteRef/>
      </w:r>
      <w:r w:rsidRPr="000A1299">
        <w:rPr>
          <w:rFonts w:ascii="Perpetua" w:hAnsi="Perpetua"/>
          <w:lang w:val="en-US"/>
        </w:rPr>
        <w:t xml:space="preserve"> </w:t>
      </w:r>
      <w:r w:rsidRPr="004E5D3A">
        <w:rPr>
          <w:rFonts w:ascii="Perpetua" w:hAnsi="Perpetua"/>
          <w:i/>
          <w:lang w:val="en-US"/>
        </w:rPr>
        <w:t>Vide</w:t>
      </w:r>
      <w:r w:rsidRPr="000A1299">
        <w:rPr>
          <w:rFonts w:ascii="Perpetua" w:hAnsi="Perpetua"/>
          <w:lang w:val="en-US"/>
        </w:rPr>
        <w:t xml:space="preserve"> Posner</w:t>
      </w:r>
      <w:r>
        <w:rPr>
          <w:rFonts w:ascii="Perpetua" w:hAnsi="Perpetua"/>
          <w:lang w:val="en-US"/>
        </w:rPr>
        <w:t xml:space="preserve"> (</w:t>
      </w:r>
      <w:r w:rsidRPr="000A1299">
        <w:rPr>
          <w:rFonts w:ascii="Perpetua" w:hAnsi="Perpetua"/>
          <w:lang w:val="en-US"/>
        </w:rPr>
        <w:t>1996:234-236).</w:t>
      </w:r>
    </w:p>
  </w:footnote>
  <w:footnote w:id="60">
    <w:p w:rsidR="003926F6" w:rsidRPr="008B62D5" w:rsidRDefault="003926F6" w:rsidP="0080386E">
      <w:pPr>
        <w:pStyle w:val="FootnoteText"/>
        <w:jc w:val="both"/>
        <w:rPr>
          <w:rFonts w:ascii="Perpetua" w:hAnsi="Perpetua"/>
          <w:lang w:val="en-US"/>
        </w:rPr>
      </w:pPr>
      <w:r w:rsidRPr="000A1299">
        <w:rPr>
          <w:rStyle w:val="FootnoteReference"/>
          <w:rFonts w:ascii="Perpetua" w:hAnsi="Perpetua"/>
        </w:rPr>
        <w:footnoteRef/>
      </w:r>
      <w:r w:rsidRPr="000A1299">
        <w:rPr>
          <w:rFonts w:ascii="Perpetua" w:hAnsi="Perpetua"/>
          <w:lang w:val="en-GB"/>
        </w:rPr>
        <w:t xml:space="preserve"> As três medidas apresentadas são: i</w:t>
      </w:r>
      <w:r>
        <w:rPr>
          <w:rFonts w:ascii="Perpetua" w:hAnsi="Perpetua"/>
          <w:lang w:val="en-GB"/>
        </w:rPr>
        <w:t>)</w:t>
      </w:r>
      <w:r w:rsidRPr="000A1299">
        <w:rPr>
          <w:rFonts w:ascii="Perpetua" w:hAnsi="Perpetua"/>
          <w:lang w:val="en-GB"/>
        </w:rPr>
        <w:t xml:space="preserve"> </w:t>
      </w:r>
      <w:r>
        <w:rPr>
          <w:rFonts w:ascii="Perpetua" w:hAnsi="Perpetua"/>
          <w:lang w:val="en-GB"/>
        </w:rPr>
        <w:t xml:space="preserve">a </w:t>
      </w:r>
      <w:r w:rsidRPr="000A1299">
        <w:rPr>
          <w:rFonts w:ascii="Perpetua" w:hAnsi="Perpetua"/>
          <w:lang w:val="en-GB"/>
        </w:rPr>
        <w:t>taxa de diferimento sumário (</w:t>
      </w:r>
      <w:r w:rsidRPr="000A1299">
        <w:rPr>
          <w:rFonts w:ascii="Perpetua" w:hAnsi="Perpetua"/>
          <w:i/>
          <w:lang w:val="en-GB"/>
        </w:rPr>
        <w:t xml:space="preserve">summary reversals rate </w:t>
      </w:r>
      <w:r>
        <w:rPr>
          <w:rFonts w:ascii="Perpetua" w:hAnsi="Perpetua"/>
          <w:i/>
          <w:lang w:val="en-GB"/>
        </w:rPr>
        <w:t>–</w:t>
      </w:r>
      <w:r w:rsidRPr="000A1299">
        <w:rPr>
          <w:rFonts w:ascii="Perpetua" w:hAnsi="Perpetua"/>
          <w:i/>
          <w:lang w:val="en-GB"/>
        </w:rPr>
        <w:t xml:space="preserve"> number of decisions summarily reversed by the Supreme Court over the number of decisions classified as ‘on the merits’</w:t>
      </w:r>
      <w:r>
        <w:rPr>
          <w:rFonts w:ascii="Perpetua" w:hAnsi="Perpetua"/>
          <w:lang w:val="en-GB"/>
        </w:rPr>
        <w:t>), ii)</w:t>
      </w:r>
      <w:r w:rsidRPr="000A1299">
        <w:rPr>
          <w:rFonts w:ascii="Perpetua" w:hAnsi="Perpetua"/>
          <w:lang w:val="en-GB"/>
        </w:rPr>
        <w:t xml:space="preserve"> </w:t>
      </w:r>
      <w:r>
        <w:rPr>
          <w:rFonts w:ascii="Perpetua" w:hAnsi="Perpetua"/>
          <w:lang w:val="en-GB"/>
        </w:rPr>
        <w:t xml:space="preserve">a </w:t>
      </w:r>
      <w:r w:rsidRPr="000A1299">
        <w:rPr>
          <w:rFonts w:ascii="Perpetua" w:hAnsi="Perpetua"/>
          <w:lang w:val="en-GB"/>
        </w:rPr>
        <w:t xml:space="preserve">taxa de diferimento sumária de concessões </w:t>
      </w:r>
      <w:r w:rsidRPr="000A1299">
        <w:rPr>
          <w:rFonts w:ascii="Perpetua" w:hAnsi="Perpetua"/>
          <w:i/>
          <w:lang w:val="en-GB"/>
        </w:rPr>
        <w:t>a certiorari</w:t>
      </w:r>
      <w:r w:rsidRPr="000A1299">
        <w:rPr>
          <w:rFonts w:ascii="Perpetua" w:hAnsi="Perpetua"/>
          <w:lang w:val="en-GB"/>
        </w:rPr>
        <w:t xml:space="preserve"> (</w:t>
      </w:r>
      <w:r w:rsidRPr="000A1299">
        <w:rPr>
          <w:rFonts w:ascii="Perpetua" w:hAnsi="Perpetua"/>
          <w:i/>
          <w:lang w:val="en-GB"/>
        </w:rPr>
        <w:t>a certiorari grants summary reversal rate – number of decisions summarily reversed by the Supreme Court over the number of a certiorati grants</w:t>
      </w:r>
      <w:r>
        <w:rPr>
          <w:rFonts w:ascii="Perpetua" w:hAnsi="Perpetua"/>
          <w:lang w:val="en-GB"/>
        </w:rPr>
        <w:t>; e iii)</w:t>
      </w:r>
      <w:r w:rsidRPr="000A1299">
        <w:rPr>
          <w:rFonts w:ascii="Perpetua" w:hAnsi="Perpetua"/>
          <w:lang w:val="en-GB"/>
        </w:rPr>
        <w:t xml:space="preserve"> </w:t>
      </w:r>
      <w:r>
        <w:rPr>
          <w:rFonts w:ascii="Perpetua" w:hAnsi="Perpetua"/>
          <w:lang w:val="en-GB"/>
        </w:rPr>
        <w:t>o n</w:t>
      </w:r>
      <w:r w:rsidRPr="000A1299">
        <w:rPr>
          <w:rFonts w:ascii="Perpetua" w:hAnsi="Perpetua"/>
          <w:lang w:val="en-GB"/>
        </w:rPr>
        <w:t>úmero de citações por outros tribunais (</w:t>
      </w:r>
      <w:r w:rsidRPr="000A1299">
        <w:rPr>
          <w:rFonts w:ascii="Perpetua" w:hAnsi="Perpetua"/>
          <w:i/>
          <w:lang w:val="en-GB"/>
        </w:rPr>
        <w:t>number of citations by other courts, corrected for the court size, since lower courts have relative less opportunity of being cited</w:t>
      </w:r>
      <w:r>
        <w:rPr>
          <w:rFonts w:ascii="Perpetua" w:hAnsi="Perpetua"/>
          <w:i/>
          <w:lang w:val="en-GB"/>
        </w:rPr>
        <w:t xml:space="preserve">) </w:t>
      </w:r>
      <w:r>
        <w:rPr>
          <w:rFonts w:ascii="Perpetua" w:hAnsi="Perpetua"/>
          <w:lang w:val="en-GB"/>
        </w:rPr>
        <w:t xml:space="preserve">–  </w:t>
      </w:r>
      <w:r w:rsidRPr="008B62D5">
        <w:rPr>
          <w:rFonts w:ascii="Perpetua" w:hAnsi="Perpetua"/>
          <w:i/>
          <w:lang w:val="en-GB"/>
        </w:rPr>
        <w:t>vide</w:t>
      </w:r>
      <w:r>
        <w:rPr>
          <w:rFonts w:ascii="Perpetua" w:hAnsi="Perpetua"/>
          <w:lang w:val="en-GB"/>
        </w:rPr>
        <w:t xml:space="preserve"> P</w:t>
      </w:r>
      <w:r w:rsidRPr="008B62D5">
        <w:rPr>
          <w:rFonts w:ascii="Perpetua" w:hAnsi="Perpetua"/>
          <w:lang w:val="en-US"/>
        </w:rPr>
        <w:t>osner</w:t>
      </w:r>
      <w:r>
        <w:rPr>
          <w:rFonts w:ascii="Perpetua" w:hAnsi="Perpetua"/>
          <w:lang w:val="en-US"/>
        </w:rPr>
        <w:t xml:space="preserve"> (</w:t>
      </w:r>
      <w:r w:rsidRPr="008B62D5">
        <w:rPr>
          <w:rFonts w:ascii="Perpetua" w:hAnsi="Perpetua"/>
          <w:lang w:val="en-US"/>
        </w:rPr>
        <w:t>2000:713).</w:t>
      </w:r>
    </w:p>
  </w:footnote>
  <w:footnote w:id="61">
    <w:p w:rsidR="003926F6" w:rsidRPr="003E3EE2" w:rsidRDefault="003926F6" w:rsidP="0080386E">
      <w:pPr>
        <w:pStyle w:val="FootnoteText"/>
        <w:jc w:val="both"/>
        <w:rPr>
          <w:rFonts w:ascii="Perpetua" w:hAnsi="Perpetua"/>
        </w:rPr>
      </w:pPr>
      <w:r w:rsidRPr="003E3EE2">
        <w:rPr>
          <w:rStyle w:val="FootnoteReference"/>
          <w:rFonts w:ascii="Perpetua" w:hAnsi="Perpetua"/>
        </w:rPr>
        <w:footnoteRef/>
      </w:r>
      <w:r w:rsidRPr="003E3EE2">
        <w:rPr>
          <w:rFonts w:ascii="Perpetua" w:hAnsi="Perpetua"/>
        </w:rPr>
        <w:t xml:space="preserve"> </w:t>
      </w:r>
      <w:r w:rsidRPr="004E5D3A">
        <w:rPr>
          <w:rFonts w:ascii="Perpetua" w:hAnsi="Perpetua"/>
          <w:i/>
        </w:rPr>
        <w:t>Vide</w:t>
      </w:r>
      <w:r w:rsidRPr="003E3EE2">
        <w:rPr>
          <w:rFonts w:ascii="Perpetua" w:hAnsi="Perpetua"/>
        </w:rPr>
        <w:t xml:space="preserve"> Posner (2000:712).</w:t>
      </w:r>
    </w:p>
  </w:footnote>
  <w:footnote w:id="62">
    <w:p w:rsidR="003926F6" w:rsidRPr="003E3EE2" w:rsidRDefault="003926F6" w:rsidP="0080386E">
      <w:pPr>
        <w:pStyle w:val="FootnoteText"/>
        <w:jc w:val="both"/>
        <w:rPr>
          <w:rFonts w:ascii="Perpetua" w:hAnsi="Perpetua"/>
        </w:rPr>
      </w:pPr>
      <w:r w:rsidRPr="003E3EE2">
        <w:rPr>
          <w:rStyle w:val="FootnoteReference"/>
          <w:rFonts w:ascii="Perpetua" w:hAnsi="Perpetua"/>
        </w:rPr>
        <w:footnoteRef/>
      </w:r>
      <w:r w:rsidRPr="003E3EE2">
        <w:rPr>
          <w:rFonts w:ascii="Perpetua" w:hAnsi="Perpetua"/>
        </w:rPr>
        <w:t xml:space="preserve"> Os autores apresentam resultados para uma medida puramente quantitativa da produtividade judicial, mas referem que estes sãos robustos para uma desagregação por área processual (cível e penal) e por obj</w:t>
      </w:r>
      <w:r>
        <w:rPr>
          <w:rFonts w:ascii="Perpetua" w:hAnsi="Perpetua"/>
        </w:rPr>
        <w:t>e</w:t>
      </w:r>
      <w:r w:rsidRPr="003E3EE2">
        <w:rPr>
          <w:rFonts w:ascii="Perpetua" w:hAnsi="Perpetua"/>
        </w:rPr>
        <w:t>cto de acção (</w:t>
      </w:r>
      <w:r w:rsidRPr="003E3EE2">
        <w:rPr>
          <w:rFonts w:ascii="Perpetua" w:hAnsi="Perpetua"/>
          <w:i/>
        </w:rPr>
        <w:t>case matter</w:t>
      </w:r>
      <w:r>
        <w:rPr>
          <w:rFonts w:ascii="Perpetua" w:hAnsi="Perpetua"/>
        </w:rPr>
        <w:t>) –</w:t>
      </w:r>
      <w:r w:rsidRPr="003E3EE2">
        <w:rPr>
          <w:rFonts w:ascii="Perpetua" w:hAnsi="Perpetua"/>
        </w:rPr>
        <w:t xml:space="preserve"> </w:t>
      </w:r>
      <w:r w:rsidRPr="008B62D5">
        <w:rPr>
          <w:rFonts w:ascii="Perpetua" w:hAnsi="Perpetua"/>
          <w:i/>
        </w:rPr>
        <w:t>vide</w:t>
      </w:r>
      <w:r w:rsidRPr="003E3EE2">
        <w:rPr>
          <w:rFonts w:ascii="Perpetua" w:hAnsi="Perpetua"/>
        </w:rPr>
        <w:t xml:space="preserve"> Beenstock </w:t>
      </w:r>
      <w:r>
        <w:rPr>
          <w:rFonts w:ascii="Perpetua" w:hAnsi="Perpetua"/>
        </w:rPr>
        <w:t>e</w:t>
      </w:r>
      <w:r w:rsidRPr="003E3EE2">
        <w:rPr>
          <w:rFonts w:ascii="Perpetua" w:hAnsi="Perpetua"/>
        </w:rPr>
        <w:t xml:space="preserve"> Haitovsky (</w:t>
      </w:r>
      <w:r>
        <w:rPr>
          <w:rFonts w:ascii="Perpetua" w:hAnsi="Perpetua"/>
        </w:rPr>
        <w:t>2004:364</w:t>
      </w:r>
      <w:r w:rsidRPr="003E3EE2">
        <w:rPr>
          <w:rFonts w:ascii="Perpetua" w:hAnsi="Perpetua"/>
        </w:rPr>
        <w:t>).</w:t>
      </w:r>
    </w:p>
  </w:footnote>
  <w:footnote w:id="63">
    <w:p w:rsidR="003926F6" w:rsidRPr="003E3EE2" w:rsidRDefault="003926F6" w:rsidP="0080386E">
      <w:pPr>
        <w:pStyle w:val="FootnoteText"/>
        <w:jc w:val="both"/>
        <w:rPr>
          <w:rFonts w:ascii="Perpetua" w:hAnsi="Perpetua"/>
        </w:rPr>
      </w:pPr>
      <w:r w:rsidRPr="003E3EE2">
        <w:rPr>
          <w:rStyle w:val="FootnoteReference"/>
          <w:rFonts w:ascii="Perpetua" w:hAnsi="Perpetua"/>
        </w:rPr>
        <w:footnoteRef/>
      </w:r>
      <w:r>
        <w:rPr>
          <w:rFonts w:ascii="Perpetua" w:hAnsi="Perpetua"/>
        </w:rPr>
        <w:t xml:space="preserve"> Utilizo a expressão «</w:t>
      </w:r>
      <w:r w:rsidRPr="003E3EE2">
        <w:rPr>
          <w:rFonts w:ascii="Perpetua" w:hAnsi="Perpetua"/>
        </w:rPr>
        <w:t>carga judicial</w:t>
      </w:r>
      <w:r>
        <w:rPr>
          <w:rFonts w:ascii="Perpetua" w:hAnsi="Perpetua"/>
        </w:rPr>
        <w:t>»</w:t>
      </w:r>
      <w:r w:rsidRPr="003E3EE2">
        <w:rPr>
          <w:rFonts w:ascii="Perpetua" w:hAnsi="Perpetua"/>
        </w:rPr>
        <w:t xml:space="preserve"> para traduzir o termo inglês </w:t>
      </w:r>
      <w:r w:rsidRPr="003E3EE2">
        <w:rPr>
          <w:rFonts w:ascii="Perpetua" w:hAnsi="Perpetua"/>
          <w:i/>
        </w:rPr>
        <w:t>caseload</w:t>
      </w:r>
      <w:r w:rsidRPr="003E3EE2">
        <w:rPr>
          <w:rFonts w:ascii="Perpetua" w:hAnsi="Perpetua"/>
        </w:rPr>
        <w:t xml:space="preserve">, que corresponde à soma de processos entrados e dos processos pendentes no início do ano para um tribunal (Beenstock </w:t>
      </w:r>
      <w:r>
        <w:rPr>
          <w:rFonts w:ascii="Perpetua" w:hAnsi="Perpetua"/>
        </w:rPr>
        <w:t>e</w:t>
      </w:r>
      <w:r w:rsidRPr="003E3EE2">
        <w:rPr>
          <w:rFonts w:ascii="Perpetua" w:hAnsi="Perpetua"/>
        </w:rPr>
        <w:t xml:space="preserve"> Haitovsky, 2004:366).</w:t>
      </w:r>
    </w:p>
  </w:footnote>
  <w:footnote w:id="64">
    <w:p w:rsidR="003926F6" w:rsidRPr="003E3EE2" w:rsidRDefault="003926F6" w:rsidP="0080386E">
      <w:pPr>
        <w:pStyle w:val="FootnoteText"/>
        <w:jc w:val="both"/>
        <w:rPr>
          <w:rFonts w:ascii="Perpetua" w:hAnsi="Perpetua"/>
        </w:rPr>
      </w:pPr>
      <w:r w:rsidRPr="003E3EE2">
        <w:rPr>
          <w:rStyle w:val="FootnoteReference"/>
          <w:rFonts w:ascii="Perpetua" w:hAnsi="Perpetua"/>
        </w:rPr>
        <w:footnoteRef/>
      </w:r>
      <w:r w:rsidRPr="003E3EE2">
        <w:rPr>
          <w:rFonts w:ascii="Perpetua" w:hAnsi="Perpetua"/>
        </w:rPr>
        <w:t xml:space="preserve"> Posner (1996:85-86) reitera o resultado mas não apresenta nenhuma análise estatística de causalidade.</w:t>
      </w:r>
    </w:p>
  </w:footnote>
  <w:footnote w:id="65">
    <w:p w:rsidR="003926F6" w:rsidRPr="003E3EE2" w:rsidRDefault="003926F6" w:rsidP="0080386E">
      <w:pPr>
        <w:pStyle w:val="FootnoteText"/>
        <w:jc w:val="both"/>
        <w:rPr>
          <w:rFonts w:ascii="Perpetua" w:hAnsi="Perpetua"/>
        </w:rPr>
      </w:pPr>
      <w:r w:rsidRPr="003E3EE2">
        <w:rPr>
          <w:rStyle w:val="FootnoteReference"/>
          <w:rFonts w:ascii="Perpetua" w:hAnsi="Perpetua"/>
        </w:rPr>
        <w:footnoteRef/>
      </w:r>
      <w:r w:rsidRPr="003E3EE2">
        <w:rPr>
          <w:rFonts w:ascii="Perpetua" w:hAnsi="Perpetua"/>
        </w:rPr>
        <w:t xml:space="preserve"> </w:t>
      </w:r>
      <w:r w:rsidRPr="004E5D3A">
        <w:rPr>
          <w:rFonts w:ascii="Perpetua" w:hAnsi="Perpetua"/>
          <w:i/>
        </w:rPr>
        <w:t>Vide</w:t>
      </w:r>
      <w:r w:rsidRPr="003E3EE2">
        <w:rPr>
          <w:rFonts w:ascii="Perpetua" w:hAnsi="Perpetua"/>
        </w:rPr>
        <w:t xml:space="preserve"> Beenstock </w:t>
      </w:r>
      <w:r>
        <w:rPr>
          <w:rFonts w:ascii="Perpetua" w:hAnsi="Perpetua"/>
        </w:rPr>
        <w:t>e</w:t>
      </w:r>
      <w:r w:rsidRPr="003E3EE2">
        <w:rPr>
          <w:rFonts w:ascii="Perpetua" w:hAnsi="Perpetua"/>
        </w:rPr>
        <w:t xml:space="preserve"> Haitovsky (2004:367-368).</w:t>
      </w:r>
    </w:p>
  </w:footnote>
  <w:footnote w:id="66">
    <w:p w:rsidR="003926F6" w:rsidRPr="00C842B0" w:rsidRDefault="003926F6" w:rsidP="0080386E">
      <w:pPr>
        <w:pStyle w:val="FootnoteText"/>
        <w:jc w:val="both"/>
        <w:rPr>
          <w:rFonts w:ascii="Perpetua" w:hAnsi="Perpetua"/>
        </w:rPr>
      </w:pPr>
      <w:r w:rsidRPr="00C842B0">
        <w:rPr>
          <w:rStyle w:val="FootnoteReference"/>
          <w:rFonts w:ascii="Perpetua" w:hAnsi="Perpetua"/>
        </w:rPr>
        <w:footnoteRef/>
      </w:r>
      <w:r w:rsidRPr="00C842B0">
        <w:rPr>
          <w:rFonts w:ascii="Perpetua" w:hAnsi="Perpetua"/>
        </w:rPr>
        <w:t xml:space="preserve"> No entanto, o indicador utilizado apresenta alguns problemas, designadamente o facto de não distinguir entre compromissos induzidos pelo juiz e os propostos pelas partes em litígio. </w:t>
      </w:r>
    </w:p>
  </w:footnote>
  <w:footnote w:id="67">
    <w:p w:rsidR="003926F6" w:rsidRPr="00DA3E7B" w:rsidRDefault="003926F6" w:rsidP="00DA3E7B">
      <w:pPr>
        <w:pStyle w:val="FootnoteText"/>
        <w:jc w:val="both"/>
        <w:rPr>
          <w:rFonts w:ascii="Perpetua" w:hAnsi="Perpetua"/>
        </w:rPr>
      </w:pPr>
      <w:r w:rsidRPr="00DA3E7B">
        <w:rPr>
          <w:rStyle w:val="FootnoteReference"/>
          <w:rFonts w:ascii="Perpetua" w:hAnsi="Perpetua"/>
        </w:rPr>
        <w:footnoteRef/>
      </w:r>
      <w:r w:rsidRPr="00DA3E7B">
        <w:rPr>
          <w:rFonts w:ascii="Perpetua" w:hAnsi="Perpetua"/>
        </w:rPr>
        <w:t xml:space="preserve"> Na verdade, sendo a resolução judicial de litígios uma actividade intensiva em recursos humanos, os incentivos dos trabalhadores judiciais constituem um dos factores institucionais mais importantes para o desempenho do sistema judicial e a dificuldade da introdução </w:t>
      </w:r>
      <w:r>
        <w:rPr>
          <w:rFonts w:ascii="Perpetua" w:hAnsi="Perpetua"/>
        </w:rPr>
        <w:t xml:space="preserve">desses incentivos </w:t>
      </w:r>
      <w:r w:rsidRPr="00DA3E7B">
        <w:rPr>
          <w:rFonts w:ascii="Perpetua" w:hAnsi="Perpetua"/>
        </w:rPr>
        <w:t>está directamente relacionada com a natureza do serviço prestado. Esta questão será</w:t>
      </w:r>
      <w:r>
        <w:rPr>
          <w:rFonts w:ascii="Perpetua" w:hAnsi="Perpetua"/>
        </w:rPr>
        <w:t xml:space="preserve"> discutida com maior pormenor na secção </w:t>
      </w:r>
      <w:r w:rsidRPr="00DA3E7B">
        <w:rPr>
          <w:rFonts w:ascii="Perpetua" w:hAnsi="Perpetua"/>
        </w:rPr>
        <w:t>4.</w:t>
      </w:r>
      <w:r>
        <w:rPr>
          <w:rFonts w:ascii="Perpetua" w:hAnsi="Perpetua"/>
        </w:rPr>
        <w:t>2.</w:t>
      </w:r>
    </w:p>
  </w:footnote>
  <w:footnote w:id="68">
    <w:p w:rsidR="003926F6" w:rsidRPr="00307D5B" w:rsidRDefault="003926F6" w:rsidP="00DA3E7B">
      <w:pPr>
        <w:pStyle w:val="FootnoteText"/>
        <w:jc w:val="both"/>
        <w:rPr>
          <w:rFonts w:ascii="Perpetua" w:hAnsi="Perpetua"/>
        </w:rPr>
      </w:pPr>
      <w:r w:rsidRPr="00DA3E7B">
        <w:rPr>
          <w:rStyle w:val="FootnoteReference"/>
          <w:rFonts w:ascii="Perpetua" w:hAnsi="Perpetua"/>
        </w:rPr>
        <w:footnoteRef/>
      </w:r>
      <w:r w:rsidRPr="00DA3E7B">
        <w:rPr>
          <w:rFonts w:ascii="Perpetua" w:hAnsi="Perpetua"/>
        </w:rPr>
        <w:t xml:space="preserve"> Na teoria económica tradicional, utiliza-se o termo «empresas» no lugar de «unidades produtivas». Porém, os conceitos utilizados aplicam-se</w:t>
      </w:r>
      <w:r>
        <w:rPr>
          <w:rFonts w:ascii="Perpetua" w:hAnsi="Perpetua"/>
        </w:rPr>
        <w:t>,</w:t>
      </w:r>
      <w:r w:rsidRPr="00DA3E7B">
        <w:rPr>
          <w:rFonts w:ascii="Perpetua" w:hAnsi="Perpetua"/>
        </w:rPr>
        <w:t xml:space="preserve"> </w:t>
      </w:r>
      <w:r w:rsidRPr="00DA3E7B">
        <w:rPr>
          <w:rFonts w:ascii="Perpetua" w:hAnsi="Perpetua"/>
          <w:i/>
        </w:rPr>
        <w:t>mutatis mutandis</w:t>
      </w:r>
      <w:r>
        <w:rPr>
          <w:rFonts w:ascii="Perpetua" w:hAnsi="Perpetua"/>
        </w:rPr>
        <w:t xml:space="preserve">, </w:t>
      </w:r>
      <w:r w:rsidRPr="00DA3E7B">
        <w:rPr>
          <w:rFonts w:ascii="Perpetua" w:hAnsi="Perpetua"/>
        </w:rPr>
        <w:t>a qualquer outra unidade que transforme factores produtivos em</w:t>
      </w:r>
      <w:r>
        <w:rPr>
          <w:rFonts w:ascii="Perpetua" w:hAnsi="Perpetua"/>
        </w:rPr>
        <w:t xml:space="preserve"> bens ou</w:t>
      </w:r>
      <w:r w:rsidRPr="00307D5B">
        <w:rPr>
          <w:rFonts w:ascii="Perpetua" w:hAnsi="Perpetua"/>
        </w:rPr>
        <w:t xml:space="preserve"> serviços. A </w:t>
      </w:r>
      <w:r>
        <w:rPr>
          <w:rFonts w:ascii="Perpetua" w:hAnsi="Perpetua"/>
        </w:rPr>
        <w:t xml:space="preserve">literatura </w:t>
      </w:r>
      <w:r w:rsidRPr="00307D5B">
        <w:rPr>
          <w:rFonts w:ascii="Perpetua" w:hAnsi="Perpetua"/>
        </w:rPr>
        <w:t>d</w:t>
      </w:r>
      <w:r>
        <w:rPr>
          <w:rFonts w:ascii="Perpetua" w:hAnsi="Perpetua"/>
        </w:rPr>
        <w:t>a</w:t>
      </w:r>
      <w:r w:rsidRPr="00307D5B">
        <w:rPr>
          <w:rFonts w:ascii="Perpetua" w:hAnsi="Perpetua"/>
        </w:rPr>
        <w:t xml:space="preserve"> </w:t>
      </w:r>
      <w:r>
        <w:rPr>
          <w:rFonts w:ascii="Perpetua" w:hAnsi="Perpetua"/>
        </w:rPr>
        <w:t>Análise da E</w:t>
      </w:r>
      <w:r w:rsidRPr="00307D5B">
        <w:rPr>
          <w:rFonts w:ascii="Perpetua" w:hAnsi="Perpetua"/>
        </w:rPr>
        <w:t xml:space="preserve">ficiência </w:t>
      </w:r>
      <w:r>
        <w:rPr>
          <w:rFonts w:ascii="Perpetua" w:hAnsi="Perpetua"/>
        </w:rPr>
        <w:t xml:space="preserve">e Produtividade </w:t>
      </w:r>
      <w:r w:rsidRPr="00307D5B">
        <w:rPr>
          <w:rFonts w:ascii="Perpetua" w:hAnsi="Perpetua"/>
        </w:rPr>
        <w:t xml:space="preserve">com métodos de fronteira exemplifica bem a abrangência da teoria económica da produção </w:t>
      </w:r>
      <w:r>
        <w:rPr>
          <w:rFonts w:ascii="Perpetua" w:hAnsi="Perpetua"/>
        </w:rPr>
        <w:t>para estudar</w:t>
      </w:r>
      <w:r w:rsidRPr="00307D5B">
        <w:rPr>
          <w:rFonts w:ascii="Perpetua" w:hAnsi="Perpetua"/>
        </w:rPr>
        <w:t xml:space="preserve"> sectores exteriores à economia de mercado. </w:t>
      </w:r>
      <w:r w:rsidRPr="004E5D3A">
        <w:rPr>
          <w:rFonts w:ascii="Perpetua" w:hAnsi="Perpetua"/>
          <w:i/>
        </w:rPr>
        <w:t>Vide</w:t>
      </w:r>
      <w:r w:rsidRPr="00307D5B">
        <w:rPr>
          <w:rFonts w:ascii="Perpetua" w:hAnsi="Perpetua"/>
        </w:rPr>
        <w:t xml:space="preserve">, para o efeito, Blank (2000).  </w:t>
      </w:r>
    </w:p>
  </w:footnote>
  <w:footnote w:id="69">
    <w:p w:rsidR="003926F6" w:rsidRPr="00307D5B" w:rsidRDefault="003926F6" w:rsidP="0080386E">
      <w:pPr>
        <w:pStyle w:val="FootnoteText"/>
        <w:jc w:val="both"/>
        <w:rPr>
          <w:rFonts w:ascii="Perpetua" w:hAnsi="Perpetua"/>
        </w:rPr>
      </w:pPr>
      <w:r w:rsidRPr="00307D5B">
        <w:rPr>
          <w:rStyle w:val="FootnoteReference"/>
          <w:rFonts w:ascii="Perpetua" w:hAnsi="Perpetua"/>
        </w:rPr>
        <w:footnoteRef/>
      </w:r>
      <w:r w:rsidRPr="00307D5B">
        <w:rPr>
          <w:rFonts w:ascii="Perpetua" w:hAnsi="Perpetua"/>
        </w:rPr>
        <w:t xml:space="preserve"> Como é referido em Landes </w:t>
      </w:r>
      <w:r>
        <w:rPr>
          <w:rFonts w:ascii="Perpetua" w:hAnsi="Perpetua"/>
        </w:rPr>
        <w:t>e</w:t>
      </w:r>
      <w:r w:rsidRPr="00307D5B">
        <w:rPr>
          <w:rFonts w:ascii="Perpetua" w:hAnsi="Perpetua"/>
        </w:rPr>
        <w:t xml:space="preserve"> Posner (1979:236), a resolução judicial de litígios não constitui em rigor um bem económico final, mas antes um bem intermédio na produção do bem final </w:t>
      </w:r>
      <w:r w:rsidRPr="004B3830">
        <w:rPr>
          <w:rFonts w:ascii="Perpetua" w:hAnsi="Perpetua"/>
          <w:i/>
        </w:rPr>
        <w:t xml:space="preserve">cumprimento com o </w:t>
      </w:r>
      <w:r>
        <w:rPr>
          <w:rFonts w:ascii="Perpetua" w:hAnsi="Perpetua"/>
          <w:i/>
        </w:rPr>
        <w:t>comportamento socialmente desejado</w:t>
      </w:r>
      <w:r w:rsidRPr="00307D5B">
        <w:rPr>
          <w:rFonts w:ascii="Perpetua" w:hAnsi="Perpetua"/>
        </w:rPr>
        <w:t>.</w:t>
      </w:r>
    </w:p>
  </w:footnote>
  <w:footnote w:id="70">
    <w:p w:rsidR="003926F6" w:rsidRPr="00F22DE3" w:rsidRDefault="003926F6" w:rsidP="0080386E">
      <w:pPr>
        <w:pStyle w:val="FootnoteText"/>
        <w:jc w:val="both"/>
        <w:rPr>
          <w:rFonts w:ascii="Perpetua" w:hAnsi="Perpetua"/>
          <w:lang w:val="en-US"/>
        </w:rPr>
      </w:pPr>
      <w:r w:rsidRPr="0041323A">
        <w:rPr>
          <w:rStyle w:val="FootnoteReference"/>
          <w:rFonts w:ascii="Perpetua" w:hAnsi="Perpetua"/>
        </w:rPr>
        <w:footnoteRef/>
      </w:r>
      <w:r w:rsidRPr="00F22DE3">
        <w:rPr>
          <w:rFonts w:ascii="Perpetua" w:hAnsi="Perpetua"/>
          <w:lang w:val="en-US"/>
        </w:rPr>
        <w:t xml:space="preserve"> </w:t>
      </w:r>
      <w:r w:rsidRPr="004E5D3A">
        <w:rPr>
          <w:rFonts w:ascii="Perpetua" w:hAnsi="Perpetua"/>
          <w:i/>
          <w:lang w:val="en-US"/>
        </w:rPr>
        <w:t>Vide</w:t>
      </w:r>
      <w:r w:rsidRPr="00F22DE3">
        <w:rPr>
          <w:rFonts w:ascii="Perpetua" w:hAnsi="Perpetua"/>
          <w:lang w:val="en-US"/>
        </w:rPr>
        <w:t xml:space="preserve"> Kittelsen </w:t>
      </w:r>
      <w:r>
        <w:rPr>
          <w:rFonts w:ascii="Perpetua" w:hAnsi="Perpetua"/>
          <w:lang w:val="en-US"/>
        </w:rPr>
        <w:t>e</w:t>
      </w:r>
      <w:r w:rsidRPr="00F22DE3">
        <w:rPr>
          <w:rFonts w:ascii="Perpetua" w:hAnsi="Perpetua"/>
          <w:lang w:val="en-US"/>
        </w:rPr>
        <w:t xml:space="preserve"> Forsund (1992:282).</w:t>
      </w:r>
    </w:p>
  </w:footnote>
  <w:footnote w:id="71">
    <w:p w:rsidR="003926F6" w:rsidRPr="0044145E" w:rsidRDefault="003926F6" w:rsidP="0080386E">
      <w:pPr>
        <w:pStyle w:val="FootnoteText"/>
        <w:jc w:val="both"/>
        <w:rPr>
          <w:rFonts w:ascii="Perpetua" w:hAnsi="Perpetua"/>
          <w:lang w:val="en-GB"/>
        </w:rPr>
      </w:pPr>
      <w:r w:rsidRPr="0044145E">
        <w:rPr>
          <w:rStyle w:val="FootnoteReference"/>
          <w:rFonts w:ascii="Perpetua" w:hAnsi="Perpetua"/>
        </w:rPr>
        <w:footnoteRef/>
      </w:r>
      <w:r w:rsidRPr="0044145E">
        <w:rPr>
          <w:rFonts w:ascii="Perpetua" w:hAnsi="Perpetua"/>
          <w:lang w:val="en-GB"/>
        </w:rPr>
        <w:t xml:space="preserve"> A motivação é bem resumida </w:t>
      </w:r>
      <w:r>
        <w:rPr>
          <w:rFonts w:ascii="Perpetua" w:hAnsi="Perpetua"/>
          <w:lang w:val="en-GB"/>
        </w:rPr>
        <w:t>em Posner (1996:64):</w:t>
      </w:r>
      <w:r w:rsidRPr="0044145E">
        <w:rPr>
          <w:rFonts w:ascii="Perpetua" w:hAnsi="Perpetua"/>
          <w:lang w:val="en-GB"/>
        </w:rPr>
        <w:t xml:space="preserve"> «</w:t>
      </w:r>
      <w:r w:rsidRPr="0044145E">
        <w:rPr>
          <w:rFonts w:ascii="Perpetua" w:hAnsi="Perpetua"/>
          <w:i/>
          <w:lang w:val="en-GB"/>
        </w:rPr>
        <w:t>to translate caseload statistics into workload statistics, cases must somehow be weighted by their difficulty</w:t>
      </w:r>
      <w:r w:rsidRPr="0044145E">
        <w:rPr>
          <w:rFonts w:ascii="Perpetua" w:hAnsi="Perpetua"/>
          <w:lang w:val="en-GB"/>
        </w:rPr>
        <w:t>».</w:t>
      </w:r>
    </w:p>
  </w:footnote>
  <w:footnote w:id="72">
    <w:p w:rsidR="003926F6" w:rsidRPr="008D0624" w:rsidRDefault="003926F6" w:rsidP="008D0624">
      <w:pPr>
        <w:pStyle w:val="FootnoteText"/>
        <w:jc w:val="both"/>
        <w:rPr>
          <w:rFonts w:ascii="Perpetua" w:hAnsi="Perpetua"/>
        </w:rPr>
      </w:pPr>
      <w:r w:rsidRPr="008D0624">
        <w:rPr>
          <w:rStyle w:val="FootnoteReference"/>
          <w:rFonts w:ascii="Perpetua" w:hAnsi="Perpetua"/>
        </w:rPr>
        <w:footnoteRef/>
      </w:r>
      <w:r w:rsidRPr="008D0624">
        <w:rPr>
          <w:rFonts w:ascii="Perpetua" w:hAnsi="Perpetua"/>
        </w:rPr>
        <w:t xml:space="preserve"> Vide a secção 8.2. do Anexo – Dados </w:t>
      </w:r>
      <w:r>
        <w:rPr>
          <w:rFonts w:ascii="Perpetua" w:hAnsi="Perpetua"/>
        </w:rPr>
        <w:t>e</w:t>
      </w:r>
      <w:r w:rsidRPr="008D0624">
        <w:rPr>
          <w:rFonts w:ascii="Perpetua" w:hAnsi="Perpetua"/>
        </w:rPr>
        <w:t>statísticos.</w:t>
      </w:r>
    </w:p>
  </w:footnote>
  <w:footnote w:id="73">
    <w:p w:rsidR="003926F6" w:rsidRPr="0033195E" w:rsidRDefault="003926F6" w:rsidP="0033195E">
      <w:pPr>
        <w:pStyle w:val="FootnoteText"/>
        <w:jc w:val="both"/>
        <w:rPr>
          <w:rFonts w:ascii="Perpetua" w:hAnsi="Perpetua"/>
        </w:rPr>
      </w:pPr>
      <w:r w:rsidRPr="0033195E">
        <w:rPr>
          <w:rStyle w:val="FootnoteReference"/>
          <w:rFonts w:ascii="Perpetua" w:hAnsi="Perpetua"/>
        </w:rPr>
        <w:footnoteRef/>
      </w:r>
      <w:r w:rsidRPr="0033195E">
        <w:rPr>
          <w:rFonts w:ascii="Perpetua" w:hAnsi="Perpetua"/>
        </w:rPr>
        <w:t xml:space="preserve"> </w:t>
      </w:r>
      <w:r w:rsidRPr="004E5D3A">
        <w:rPr>
          <w:rFonts w:ascii="Perpetua" w:hAnsi="Perpetua"/>
          <w:i/>
        </w:rPr>
        <w:t>Vide</w:t>
      </w:r>
      <w:r w:rsidRPr="0033195E">
        <w:rPr>
          <w:rFonts w:ascii="Perpetua" w:hAnsi="Perpetua"/>
        </w:rPr>
        <w:t xml:space="preserve"> Heathfield </w:t>
      </w:r>
      <w:r>
        <w:rPr>
          <w:rFonts w:ascii="Perpetua" w:hAnsi="Perpetua"/>
        </w:rPr>
        <w:t>e</w:t>
      </w:r>
      <w:r w:rsidRPr="0033195E">
        <w:rPr>
          <w:rFonts w:ascii="Perpetua" w:hAnsi="Perpetua"/>
        </w:rPr>
        <w:t xml:space="preserve"> Wibe (1987) para uma introdução à abordagem clássica da função de produção.</w:t>
      </w:r>
    </w:p>
  </w:footnote>
  <w:footnote w:id="74">
    <w:p w:rsidR="003926F6" w:rsidRPr="0033195E" w:rsidRDefault="003926F6" w:rsidP="0033195E">
      <w:pPr>
        <w:pStyle w:val="FootnoteText"/>
        <w:jc w:val="both"/>
        <w:rPr>
          <w:rFonts w:ascii="Perpetua" w:hAnsi="Perpetua"/>
        </w:rPr>
      </w:pPr>
      <w:r w:rsidRPr="0033195E">
        <w:rPr>
          <w:rStyle w:val="FootnoteReference"/>
          <w:rFonts w:ascii="Perpetua" w:hAnsi="Perpetua"/>
        </w:rPr>
        <w:footnoteRef/>
      </w:r>
      <w:r w:rsidRPr="0033195E">
        <w:rPr>
          <w:rFonts w:ascii="Perpetua" w:hAnsi="Perpetua"/>
        </w:rPr>
        <w:t xml:space="preserve"> </w:t>
      </w:r>
      <w:r w:rsidRPr="004E5D3A">
        <w:rPr>
          <w:rFonts w:ascii="Perpetua" w:hAnsi="Perpetua"/>
          <w:i/>
        </w:rPr>
        <w:t>Vide</w:t>
      </w:r>
      <w:r w:rsidRPr="0033195E">
        <w:rPr>
          <w:rFonts w:ascii="Perpetua" w:hAnsi="Perpetua"/>
        </w:rPr>
        <w:t xml:space="preserve"> Coelli (2000:2-5).</w:t>
      </w:r>
    </w:p>
  </w:footnote>
  <w:footnote w:id="75">
    <w:p w:rsidR="003926F6" w:rsidRPr="0033195E" w:rsidRDefault="003926F6" w:rsidP="0033195E">
      <w:pPr>
        <w:pStyle w:val="FootnoteText"/>
        <w:jc w:val="both"/>
        <w:rPr>
          <w:rFonts w:ascii="Perpetua" w:hAnsi="Perpetua"/>
        </w:rPr>
      </w:pPr>
      <w:r w:rsidRPr="0033195E">
        <w:rPr>
          <w:rStyle w:val="FootnoteReference"/>
          <w:rFonts w:ascii="Perpetua" w:hAnsi="Perpetua"/>
        </w:rPr>
        <w:footnoteRef/>
      </w:r>
      <w:r w:rsidRPr="0033195E">
        <w:rPr>
          <w:rFonts w:ascii="Perpetua" w:hAnsi="Perpetua"/>
        </w:rPr>
        <w:t xml:space="preserve"> </w:t>
      </w:r>
      <w:r w:rsidRPr="004E5D3A">
        <w:rPr>
          <w:rFonts w:ascii="Perpetua" w:hAnsi="Perpetua"/>
          <w:i/>
        </w:rPr>
        <w:t>Vide</w:t>
      </w:r>
      <w:r w:rsidRPr="0033195E">
        <w:rPr>
          <w:rFonts w:ascii="Perpetua" w:hAnsi="Perpetua"/>
        </w:rPr>
        <w:t xml:space="preserve"> parágrafo seguinte.</w:t>
      </w:r>
    </w:p>
  </w:footnote>
  <w:footnote w:id="76">
    <w:p w:rsidR="003926F6" w:rsidRPr="00922A3B" w:rsidRDefault="003926F6" w:rsidP="0080386E">
      <w:pPr>
        <w:pStyle w:val="FootnoteText"/>
        <w:jc w:val="both"/>
        <w:rPr>
          <w:rFonts w:ascii="Perpetua" w:hAnsi="Perpetua"/>
        </w:rPr>
      </w:pPr>
      <w:r w:rsidRPr="00922A3B">
        <w:rPr>
          <w:rStyle w:val="FootnoteReference"/>
          <w:rFonts w:ascii="Perpetua" w:hAnsi="Perpetua"/>
        </w:rPr>
        <w:footnoteRef/>
      </w:r>
      <w:r w:rsidRPr="00922A3B">
        <w:rPr>
          <w:rFonts w:ascii="Perpetua" w:hAnsi="Perpetua"/>
        </w:rPr>
        <w:t xml:space="preserve"> </w:t>
      </w:r>
      <w:r w:rsidRPr="004E5D3A">
        <w:rPr>
          <w:rFonts w:ascii="Perpetua" w:hAnsi="Perpetua"/>
          <w:i/>
        </w:rPr>
        <w:t>Vide</w:t>
      </w:r>
      <w:r w:rsidRPr="00922A3B">
        <w:rPr>
          <w:rFonts w:ascii="Perpetua" w:hAnsi="Perpetua"/>
        </w:rPr>
        <w:t xml:space="preserve"> Coelli, Prasada </w:t>
      </w:r>
      <w:r>
        <w:rPr>
          <w:rFonts w:ascii="Perpetua" w:hAnsi="Perpetua"/>
        </w:rPr>
        <w:t>e</w:t>
      </w:r>
      <w:r w:rsidRPr="00922A3B">
        <w:rPr>
          <w:rFonts w:ascii="Perpetua" w:hAnsi="Perpetua"/>
        </w:rPr>
        <w:t xml:space="preserve"> Rao (1998) para uma apresentação detalhada da abordagem da fronteira de produção de melhor prática e das técnicas utilizadas para a sua estimação, </w:t>
      </w:r>
      <w:r w:rsidRPr="004E5D3A">
        <w:rPr>
          <w:rFonts w:ascii="Perpetua" w:hAnsi="Perpetua"/>
          <w:i/>
        </w:rPr>
        <w:t>i.e.</w:t>
      </w:r>
      <w:r w:rsidRPr="00922A3B">
        <w:rPr>
          <w:rFonts w:ascii="Perpetua" w:hAnsi="Perpetua"/>
        </w:rPr>
        <w:t xml:space="preserve"> os métodos de fronteira.</w:t>
      </w:r>
    </w:p>
  </w:footnote>
  <w:footnote w:id="77">
    <w:p w:rsidR="003926F6" w:rsidRPr="00684F95" w:rsidRDefault="003926F6" w:rsidP="0080386E">
      <w:pPr>
        <w:pStyle w:val="FootnoteText"/>
        <w:jc w:val="both"/>
        <w:rPr>
          <w:rFonts w:ascii="Perpetua" w:hAnsi="Perpetua"/>
        </w:rPr>
      </w:pPr>
      <w:r w:rsidRPr="00684F95">
        <w:rPr>
          <w:rStyle w:val="FootnoteReference"/>
          <w:rFonts w:ascii="Perpetua" w:hAnsi="Perpetua"/>
        </w:rPr>
        <w:footnoteRef/>
      </w:r>
      <w:r w:rsidRPr="00684F95">
        <w:rPr>
          <w:rFonts w:ascii="Perpetua" w:hAnsi="Perpetua"/>
        </w:rPr>
        <w:t xml:space="preserve"> </w:t>
      </w:r>
      <w:r w:rsidRPr="004E5D3A">
        <w:rPr>
          <w:rFonts w:ascii="Perpetua" w:hAnsi="Perpetua"/>
          <w:i/>
        </w:rPr>
        <w:t>Vide</w:t>
      </w:r>
      <w:r w:rsidRPr="00684F95">
        <w:rPr>
          <w:rFonts w:ascii="Perpetua" w:hAnsi="Perpetua"/>
        </w:rPr>
        <w:t xml:space="preserve"> Lovell (2000:24-26).</w:t>
      </w:r>
    </w:p>
  </w:footnote>
  <w:footnote w:id="78">
    <w:p w:rsidR="003926F6" w:rsidRPr="00684F95" w:rsidRDefault="003926F6" w:rsidP="0080386E">
      <w:pPr>
        <w:pStyle w:val="FootnoteText"/>
        <w:jc w:val="both"/>
        <w:rPr>
          <w:rFonts w:ascii="Perpetua" w:hAnsi="Perpetua"/>
        </w:rPr>
      </w:pPr>
      <w:r w:rsidRPr="00684F95">
        <w:rPr>
          <w:rStyle w:val="FootnoteReference"/>
          <w:rFonts w:ascii="Perpetua" w:hAnsi="Perpetua"/>
        </w:rPr>
        <w:footnoteRef/>
      </w:r>
      <w:r w:rsidRPr="00684F95">
        <w:rPr>
          <w:rFonts w:ascii="Perpetua" w:hAnsi="Perpetua"/>
        </w:rPr>
        <w:t xml:space="preserve"> </w:t>
      </w:r>
      <w:r w:rsidRPr="004E5D3A">
        <w:rPr>
          <w:rFonts w:ascii="Perpetua" w:hAnsi="Perpetua"/>
          <w:i/>
        </w:rPr>
        <w:t>Vide</w:t>
      </w:r>
      <w:r w:rsidRPr="00684F95">
        <w:rPr>
          <w:rFonts w:ascii="Perpetua" w:hAnsi="Perpetua"/>
        </w:rPr>
        <w:t xml:space="preserve"> Coelli, Prasada </w:t>
      </w:r>
      <w:r>
        <w:rPr>
          <w:rFonts w:ascii="Perpetua" w:hAnsi="Perpetua"/>
        </w:rPr>
        <w:t>e</w:t>
      </w:r>
      <w:r w:rsidRPr="00684F95">
        <w:rPr>
          <w:rFonts w:ascii="Perpetua" w:hAnsi="Perpetua"/>
        </w:rPr>
        <w:t xml:space="preserve"> Rao (1998:133-140).</w:t>
      </w:r>
    </w:p>
  </w:footnote>
  <w:footnote w:id="79">
    <w:p w:rsidR="003926F6" w:rsidRPr="003F36A0" w:rsidRDefault="003926F6" w:rsidP="0080386E">
      <w:pPr>
        <w:pStyle w:val="FootnoteText"/>
        <w:jc w:val="both"/>
        <w:rPr>
          <w:rFonts w:ascii="Perpetua" w:hAnsi="Perpetua"/>
        </w:rPr>
      </w:pPr>
      <w:r w:rsidRPr="003F36A0">
        <w:rPr>
          <w:rStyle w:val="FootnoteReference"/>
          <w:rFonts w:ascii="Perpetua" w:hAnsi="Perpetua"/>
        </w:rPr>
        <w:footnoteRef/>
      </w:r>
      <w:r w:rsidRPr="003F36A0">
        <w:rPr>
          <w:rFonts w:ascii="Perpetua" w:hAnsi="Perpetua"/>
        </w:rPr>
        <w:t xml:space="preserve"> </w:t>
      </w:r>
      <w:r w:rsidRPr="004E5D3A">
        <w:rPr>
          <w:rFonts w:ascii="Perpetua" w:hAnsi="Perpetua"/>
          <w:i/>
        </w:rPr>
        <w:t>Vide</w:t>
      </w:r>
      <w:r w:rsidRPr="003F36A0">
        <w:rPr>
          <w:rFonts w:ascii="Perpetua" w:hAnsi="Perpetua"/>
        </w:rPr>
        <w:t xml:space="preserve"> Blank </w:t>
      </w:r>
      <w:r>
        <w:rPr>
          <w:rFonts w:ascii="Perpetua" w:hAnsi="Perpetua"/>
        </w:rPr>
        <w:t xml:space="preserve">(ed.) </w:t>
      </w:r>
      <w:r w:rsidRPr="003F36A0">
        <w:rPr>
          <w:rFonts w:ascii="Perpetua" w:hAnsi="Perpetua"/>
        </w:rPr>
        <w:t>(200</w:t>
      </w:r>
      <w:r>
        <w:rPr>
          <w:rFonts w:ascii="Perpetua" w:hAnsi="Perpetua"/>
        </w:rPr>
        <w:t>0</w:t>
      </w:r>
      <w:r w:rsidRPr="003F36A0">
        <w:rPr>
          <w:rFonts w:ascii="Perpetua" w:hAnsi="Perpetua"/>
        </w:rPr>
        <w:t xml:space="preserve">) para uma exposição não técnica dos métodos </w:t>
      </w:r>
      <w:r>
        <w:rPr>
          <w:rFonts w:ascii="Perpetua" w:hAnsi="Perpetua"/>
        </w:rPr>
        <w:t xml:space="preserve">de fronteira e, em particular, as várias aplicações empíricas a diferentes serviços </w:t>
      </w:r>
      <w:r w:rsidRPr="003F36A0">
        <w:rPr>
          <w:rFonts w:ascii="Perpetua" w:hAnsi="Perpetua"/>
        </w:rPr>
        <w:t>público</w:t>
      </w:r>
      <w:r>
        <w:rPr>
          <w:rFonts w:ascii="Perpetua" w:hAnsi="Perpetua"/>
        </w:rPr>
        <w:t>s reunidas no volume</w:t>
      </w:r>
      <w:r w:rsidRPr="003F36A0">
        <w:rPr>
          <w:rFonts w:ascii="Perpetua" w:hAnsi="Perpetua"/>
        </w:rPr>
        <w:t xml:space="preserve">.  </w:t>
      </w:r>
    </w:p>
  </w:footnote>
  <w:footnote w:id="80">
    <w:p w:rsidR="003926F6" w:rsidRPr="007F6FCE" w:rsidRDefault="003926F6" w:rsidP="0080386E">
      <w:pPr>
        <w:pStyle w:val="FootnoteText"/>
        <w:jc w:val="both"/>
        <w:rPr>
          <w:rFonts w:ascii="Perpetua" w:hAnsi="Perpetua"/>
        </w:rPr>
      </w:pPr>
      <w:r w:rsidRPr="007F6FCE">
        <w:rPr>
          <w:rStyle w:val="FootnoteReference"/>
          <w:rFonts w:ascii="Perpetua" w:hAnsi="Perpetua"/>
        </w:rPr>
        <w:footnoteRef/>
      </w:r>
      <w:r w:rsidRPr="007F6FCE">
        <w:rPr>
          <w:rFonts w:ascii="Perpetua" w:hAnsi="Perpetua"/>
        </w:rPr>
        <w:t xml:space="preserve"> </w:t>
      </w:r>
      <w:r w:rsidRPr="004E5D3A">
        <w:rPr>
          <w:rFonts w:ascii="Perpetua" w:hAnsi="Perpetua"/>
          <w:i/>
        </w:rPr>
        <w:t>Vide</w:t>
      </w:r>
      <w:r w:rsidRPr="007F6FCE">
        <w:rPr>
          <w:rFonts w:ascii="Perpetua" w:hAnsi="Perpetua"/>
        </w:rPr>
        <w:t xml:space="preserve"> Kornhauser (1999) para uma revisão da literatura sobre a organização e administração do sistema judicial.</w:t>
      </w:r>
    </w:p>
  </w:footnote>
  <w:footnote w:id="81">
    <w:p w:rsidR="003926F6" w:rsidRPr="007F6FCE" w:rsidRDefault="003926F6" w:rsidP="0080386E">
      <w:pPr>
        <w:pStyle w:val="FootnoteText"/>
        <w:jc w:val="both"/>
        <w:rPr>
          <w:rFonts w:ascii="Perpetua" w:hAnsi="Perpetua"/>
        </w:rPr>
      </w:pPr>
      <w:r w:rsidRPr="007F6FCE">
        <w:rPr>
          <w:rStyle w:val="FootnoteReference"/>
          <w:rFonts w:ascii="Perpetua" w:hAnsi="Perpetua"/>
        </w:rPr>
        <w:footnoteRef/>
      </w:r>
      <w:r w:rsidRPr="007F6FCE">
        <w:rPr>
          <w:rFonts w:ascii="Perpetua" w:hAnsi="Perpetua"/>
        </w:rPr>
        <w:t xml:space="preserve"> N</w:t>
      </w:r>
      <w:r>
        <w:rPr>
          <w:rFonts w:ascii="Perpetua" w:hAnsi="Perpetua"/>
        </w:rPr>
        <w:t xml:space="preserve">a secção 4.3.2 </w:t>
      </w:r>
      <w:r w:rsidRPr="007F6FCE">
        <w:rPr>
          <w:rFonts w:ascii="Perpetua" w:hAnsi="Perpetua"/>
        </w:rPr>
        <w:t>estabelecem</w:t>
      </w:r>
      <w:r>
        <w:rPr>
          <w:rFonts w:ascii="Perpetua" w:hAnsi="Perpetua"/>
        </w:rPr>
        <w:t>-se</w:t>
      </w:r>
      <w:r w:rsidRPr="007F6FCE">
        <w:rPr>
          <w:rFonts w:ascii="Perpetua" w:hAnsi="Perpetua"/>
        </w:rPr>
        <w:t xml:space="preserve"> as condições em que a produtividade judicial média dos tribunais é uma medida aceitável da eficiência produtiva </w:t>
      </w:r>
      <w:r>
        <w:rPr>
          <w:rFonts w:ascii="Perpetua" w:hAnsi="Perpetua"/>
        </w:rPr>
        <w:t>dos tribu</w:t>
      </w:r>
      <w:r w:rsidRPr="007F6FCE">
        <w:rPr>
          <w:rFonts w:ascii="Perpetua" w:hAnsi="Perpetua"/>
        </w:rPr>
        <w:t>n</w:t>
      </w:r>
      <w:r>
        <w:rPr>
          <w:rFonts w:ascii="Perpetua" w:hAnsi="Perpetua"/>
        </w:rPr>
        <w:t>a</w:t>
      </w:r>
      <w:r w:rsidRPr="007F6FCE">
        <w:rPr>
          <w:rFonts w:ascii="Perpetua" w:hAnsi="Perpetua"/>
        </w:rPr>
        <w:t>is.</w:t>
      </w:r>
    </w:p>
  </w:footnote>
  <w:footnote w:id="82">
    <w:p w:rsidR="003926F6" w:rsidRPr="00F55947" w:rsidRDefault="003926F6" w:rsidP="00F55947">
      <w:pPr>
        <w:pStyle w:val="FootnoteText"/>
        <w:jc w:val="both"/>
        <w:rPr>
          <w:rFonts w:ascii="Perpetua" w:hAnsi="Perpetua"/>
        </w:rPr>
      </w:pPr>
      <w:r w:rsidRPr="00F55947">
        <w:rPr>
          <w:rStyle w:val="FootnoteReference"/>
          <w:rFonts w:ascii="Perpetua" w:hAnsi="Perpetua"/>
        </w:rPr>
        <w:footnoteRef/>
      </w:r>
      <w:r w:rsidRPr="00F55947">
        <w:rPr>
          <w:rFonts w:ascii="Perpetua" w:hAnsi="Perpetua"/>
        </w:rPr>
        <w:t xml:space="preserve"> A assunção d</w:t>
      </w:r>
      <w:r>
        <w:rPr>
          <w:rFonts w:ascii="Perpetua" w:hAnsi="Perpetua"/>
        </w:rPr>
        <w:t>est</w:t>
      </w:r>
      <w:r w:rsidRPr="00F55947">
        <w:rPr>
          <w:rFonts w:ascii="Perpetua" w:hAnsi="Perpetua"/>
        </w:rPr>
        <w:t xml:space="preserve">a hipótese </w:t>
      </w:r>
      <w:r>
        <w:rPr>
          <w:rFonts w:ascii="Perpetua" w:hAnsi="Perpetua"/>
        </w:rPr>
        <w:t>merece uma justificação. A sua adopção é fundamentada não nas disposições legais relativas aos critérios de avaliação dos juízes (</w:t>
      </w:r>
      <w:r w:rsidRPr="00456968">
        <w:rPr>
          <w:rFonts w:ascii="Perpetua" w:hAnsi="Perpetua"/>
          <w:i/>
        </w:rPr>
        <w:t>vide</w:t>
      </w:r>
      <w:r>
        <w:rPr>
          <w:rFonts w:ascii="Perpetua" w:hAnsi="Perpetua"/>
        </w:rPr>
        <w:t xml:space="preserve"> Machado, M.J. (2005)), mas na observação do sistema judicial. Um acompanhamento atento do discurso dos vários actores do sistema judicial (Governo, associações sindicais e profissionais, investigadores, articulistas, etc.) sobre o desempenho desse sistema permite concluir que o nível da pendência processual é o principal (senão o único) indicador de desempenho do sistema. Esta observação não deve, contudo, causar surpresa, visto que os restantes critérios de avaliação do sistema judicial (</w:t>
      </w:r>
      <w:r w:rsidRPr="00545786">
        <w:rPr>
          <w:rFonts w:ascii="Perpetua" w:hAnsi="Perpetua"/>
          <w:i/>
        </w:rPr>
        <w:t>v.g.,</w:t>
      </w:r>
      <w:r>
        <w:rPr>
          <w:rFonts w:ascii="Perpetua" w:hAnsi="Perpetua"/>
        </w:rPr>
        <w:t xml:space="preserve"> a qualidade da decisão judicial) e dos juízes (</w:t>
      </w:r>
      <w:r w:rsidRPr="00545786">
        <w:rPr>
          <w:rFonts w:ascii="Perpetua" w:hAnsi="Perpetua"/>
          <w:i/>
        </w:rPr>
        <w:t>e.g.</w:t>
      </w:r>
      <w:r>
        <w:rPr>
          <w:rFonts w:ascii="Perpetua" w:hAnsi="Perpetua"/>
        </w:rPr>
        <w:t>, idoneidade, bom senso, etc.) são dificilmente observáveis – não há estatísticas, nem são publicados relatórios sobre essas dimensões do sistema judicial. Por fim, o volume de processos findos e entrados, cujas estatísticas são produzidas em conjunto com o volume de processos pendentes e que permitem uma análise mais detalhada do desempenho do sistema, são raramente mencionados, como é facilmente comprovável pela leitura de qualquer intervenção no espaço público que mencione o desempenho do sistema judicial.</w:t>
      </w:r>
    </w:p>
  </w:footnote>
  <w:footnote w:id="83">
    <w:p w:rsidR="003926F6" w:rsidRPr="00F55947" w:rsidRDefault="003926F6" w:rsidP="00F55947">
      <w:pPr>
        <w:pStyle w:val="FootnoteText"/>
        <w:jc w:val="both"/>
        <w:rPr>
          <w:rFonts w:ascii="Perpetua" w:hAnsi="Perpetua"/>
        </w:rPr>
      </w:pPr>
      <w:r w:rsidRPr="00F55947">
        <w:rPr>
          <w:rStyle w:val="FootnoteReference"/>
          <w:rFonts w:ascii="Perpetua" w:hAnsi="Perpetua"/>
        </w:rPr>
        <w:footnoteRef/>
      </w:r>
      <w:r w:rsidRPr="00F55947">
        <w:rPr>
          <w:rFonts w:ascii="Perpetua" w:hAnsi="Perpetua"/>
        </w:rPr>
        <w:t xml:space="preserve"> Assim, uma vez aceite a leitura de Posner (2005), a caracterização aqui efectuada aplica-se igualmente a todos os trabalhadores judiciais, salvo, obviamente, diferenças que não podem ser acomodadas, dada a necessidade de alguma generalização.</w:t>
      </w:r>
    </w:p>
  </w:footnote>
  <w:footnote w:id="84">
    <w:p w:rsidR="003926F6" w:rsidRPr="00796CF1" w:rsidRDefault="003926F6" w:rsidP="00D66125">
      <w:pPr>
        <w:pStyle w:val="FootnoteText"/>
        <w:jc w:val="both"/>
        <w:rPr>
          <w:rFonts w:ascii="Perpetua" w:hAnsi="Perpetua"/>
        </w:rPr>
      </w:pPr>
      <w:r w:rsidRPr="00796CF1">
        <w:rPr>
          <w:rStyle w:val="FootnoteReference"/>
          <w:rFonts w:ascii="Perpetua" w:hAnsi="Perpetua"/>
        </w:rPr>
        <w:footnoteRef/>
      </w:r>
      <w:r w:rsidRPr="00796CF1">
        <w:rPr>
          <w:rFonts w:ascii="Perpetua" w:hAnsi="Perpetua"/>
        </w:rPr>
        <w:t xml:space="preserve"> </w:t>
      </w:r>
      <w:r>
        <w:rPr>
          <w:rFonts w:ascii="Perpetua" w:hAnsi="Perpetua"/>
        </w:rPr>
        <w:t>Sobretudo devido à</w:t>
      </w:r>
      <w:r w:rsidRPr="00796CF1">
        <w:rPr>
          <w:rFonts w:ascii="Perpetua" w:hAnsi="Perpetua"/>
        </w:rPr>
        <w:t xml:space="preserve"> questão da heterogeneidade </w:t>
      </w:r>
      <w:r>
        <w:rPr>
          <w:rFonts w:ascii="Perpetua" w:hAnsi="Perpetua"/>
        </w:rPr>
        <w:t xml:space="preserve">das </w:t>
      </w:r>
      <w:r w:rsidRPr="00796CF1">
        <w:rPr>
          <w:rFonts w:ascii="Perpetua" w:hAnsi="Perpetua"/>
        </w:rPr>
        <w:t>intensidades relativas de trabalho judicial</w:t>
      </w:r>
      <w:r w:rsidRPr="00AA3A9A">
        <w:rPr>
          <w:rFonts w:ascii="Perpetua" w:hAnsi="Perpetua"/>
        </w:rPr>
        <w:t xml:space="preserve"> </w:t>
      </w:r>
      <w:r w:rsidRPr="00796CF1">
        <w:rPr>
          <w:rFonts w:ascii="Perpetua" w:hAnsi="Perpetua"/>
        </w:rPr>
        <w:t xml:space="preserve">dos serviços judiciais. O objectivo da determinação do sistema de ponderadores das intensidades relativas de trabalho judicial das categorias de litígio é, justamente, colmatar uma falha informativa, de modo a permitir, </w:t>
      </w:r>
      <w:r w:rsidRPr="00796CF1">
        <w:rPr>
          <w:rFonts w:ascii="Perpetua" w:hAnsi="Perpetua"/>
          <w:i/>
        </w:rPr>
        <w:t>inter alia</w:t>
      </w:r>
      <w:r w:rsidRPr="00796CF1">
        <w:rPr>
          <w:rFonts w:ascii="Perpetua" w:hAnsi="Perpetua"/>
        </w:rPr>
        <w:t xml:space="preserve">, uma melhor monitorização do </w:t>
      </w:r>
      <w:r>
        <w:rPr>
          <w:rFonts w:ascii="Perpetua" w:hAnsi="Perpetua"/>
        </w:rPr>
        <w:t xml:space="preserve">trabalho e </w:t>
      </w:r>
      <w:r w:rsidRPr="00796CF1">
        <w:rPr>
          <w:rFonts w:ascii="Perpetua" w:hAnsi="Perpetua"/>
        </w:rPr>
        <w:t>esforço dos trabalhadores judiciais.</w:t>
      </w:r>
    </w:p>
  </w:footnote>
  <w:footnote w:id="85">
    <w:p w:rsidR="003926F6" w:rsidRPr="00545786" w:rsidRDefault="003926F6" w:rsidP="00545786">
      <w:pPr>
        <w:pStyle w:val="FootnoteText"/>
        <w:jc w:val="both"/>
        <w:rPr>
          <w:rFonts w:ascii="Perpetua" w:hAnsi="Perpetua"/>
        </w:rPr>
      </w:pPr>
      <w:r w:rsidRPr="00545786">
        <w:rPr>
          <w:rStyle w:val="FootnoteReference"/>
          <w:rFonts w:ascii="Perpetua" w:hAnsi="Perpetua"/>
        </w:rPr>
        <w:footnoteRef/>
      </w:r>
      <w:r w:rsidRPr="00545786">
        <w:rPr>
          <w:rFonts w:ascii="Perpetua" w:hAnsi="Perpetua"/>
        </w:rPr>
        <w:t xml:space="preserve"> Esta última estratégia está condicionada à existência de uma componente importante da compensação remuneratória na estrutura de motivação dos trabalhadores judiciais (</w:t>
      </w:r>
      <w:r w:rsidRPr="00545786">
        <w:rPr>
          <w:rFonts w:ascii="Perpetua" w:hAnsi="Perpetua"/>
          <w:i/>
        </w:rPr>
        <w:t>i.e.</w:t>
      </w:r>
      <w:r w:rsidRPr="00545786">
        <w:rPr>
          <w:rFonts w:ascii="Perpetua" w:hAnsi="Perpetua"/>
        </w:rPr>
        <w:t>, da sua função de utilidade).</w:t>
      </w:r>
    </w:p>
  </w:footnote>
  <w:footnote w:id="86">
    <w:p w:rsidR="003926F6" w:rsidRPr="00545786" w:rsidRDefault="003926F6" w:rsidP="00545786">
      <w:pPr>
        <w:pStyle w:val="FootnoteText"/>
        <w:jc w:val="both"/>
        <w:rPr>
          <w:rFonts w:ascii="Perpetua" w:hAnsi="Perpetua"/>
        </w:rPr>
      </w:pPr>
      <w:r w:rsidRPr="00545786">
        <w:rPr>
          <w:rStyle w:val="FootnoteReference"/>
          <w:rFonts w:ascii="Perpetua" w:hAnsi="Perpetua"/>
        </w:rPr>
        <w:footnoteRef/>
      </w:r>
      <w:r w:rsidRPr="00545786">
        <w:rPr>
          <w:rFonts w:ascii="Perpetua" w:hAnsi="Perpetua"/>
          <w:i/>
        </w:rPr>
        <w:t xml:space="preserve"> Vide</w:t>
      </w:r>
      <w:r w:rsidRPr="00545786">
        <w:rPr>
          <w:rFonts w:ascii="Perpetua" w:hAnsi="Perpetua"/>
        </w:rPr>
        <w:t xml:space="preserve"> CEPEJ (2006a:29)</w:t>
      </w:r>
      <w:r>
        <w:rPr>
          <w:rFonts w:ascii="Perpetua" w:hAnsi="Perpetua"/>
        </w:rPr>
        <w:t>.</w:t>
      </w:r>
    </w:p>
  </w:footnote>
  <w:footnote w:id="87">
    <w:p w:rsidR="003926F6" w:rsidRPr="00246966" w:rsidRDefault="003926F6" w:rsidP="00246966">
      <w:pPr>
        <w:pStyle w:val="FootnoteText"/>
        <w:jc w:val="both"/>
        <w:rPr>
          <w:rFonts w:ascii="Perpetua" w:hAnsi="Perpetua"/>
        </w:rPr>
      </w:pPr>
      <w:r w:rsidRPr="00246966">
        <w:rPr>
          <w:rStyle w:val="FootnoteReference"/>
          <w:rFonts w:ascii="Perpetua" w:hAnsi="Perpetua"/>
        </w:rPr>
        <w:footnoteRef/>
      </w:r>
      <w:r w:rsidRPr="00246966">
        <w:rPr>
          <w:rFonts w:ascii="Perpetua" w:hAnsi="Perpetua"/>
        </w:rPr>
        <w:t xml:space="preserve"> </w:t>
      </w:r>
      <w:r w:rsidRPr="00246966">
        <w:rPr>
          <w:rFonts w:ascii="Perpetua" w:hAnsi="Perpetua"/>
          <w:i/>
        </w:rPr>
        <w:t>Vide</w:t>
      </w:r>
      <w:r w:rsidRPr="00246966">
        <w:rPr>
          <w:rFonts w:ascii="Perpetua" w:hAnsi="Perpetua"/>
        </w:rPr>
        <w:t xml:space="preserve"> 4.3.2.</w:t>
      </w:r>
    </w:p>
  </w:footnote>
  <w:footnote w:id="88">
    <w:p w:rsidR="003926F6" w:rsidRPr="00FF0130" w:rsidRDefault="003926F6" w:rsidP="00FF0130">
      <w:pPr>
        <w:pStyle w:val="FootnoteText"/>
        <w:jc w:val="both"/>
        <w:rPr>
          <w:rFonts w:ascii="Perpetua" w:hAnsi="Perpetua"/>
        </w:rPr>
      </w:pPr>
      <w:r w:rsidRPr="00FF0130">
        <w:rPr>
          <w:rStyle w:val="FootnoteReference"/>
          <w:rFonts w:ascii="Perpetua" w:hAnsi="Perpetua"/>
        </w:rPr>
        <w:footnoteRef/>
      </w:r>
      <w:r w:rsidRPr="00FF0130">
        <w:rPr>
          <w:rFonts w:ascii="Perpetua" w:hAnsi="Perpetua"/>
        </w:rPr>
        <w:t xml:space="preserve"> </w:t>
      </w:r>
      <w:r w:rsidRPr="00FF0130">
        <w:rPr>
          <w:rFonts w:ascii="Perpetua" w:hAnsi="Perpetua"/>
          <w:i/>
        </w:rPr>
        <w:t>Shirking</w:t>
      </w:r>
      <w:r w:rsidRPr="00FF0130">
        <w:rPr>
          <w:rFonts w:ascii="Perpetua" w:hAnsi="Perpetua"/>
        </w:rPr>
        <w:t xml:space="preserve"> </w:t>
      </w:r>
      <w:r>
        <w:rPr>
          <w:rFonts w:ascii="Perpetua" w:hAnsi="Perpetua"/>
        </w:rPr>
        <w:t xml:space="preserve">é o gerúndio do verbo </w:t>
      </w:r>
      <w:r w:rsidRPr="0012598B">
        <w:rPr>
          <w:rFonts w:ascii="Perpetua" w:hAnsi="Perpetua"/>
          <w:i/>
        </w:rPr>
        <w:t>to shirk</w:t>
      </w:r>
      <w:r>
        <w:rPr>
          <w:rFonts w:ascii="Perpetua" w:hAnsi="Perpetua"/>
        </w:rPr>
        <w:t>, que significa o acto de</w:t>
      </w:r>
      <w:r w:rsidRPr="00FF0130">
        <w:rPr>
          <w:rFonts w:ascii="Perpetua" w:hAnsi="Perpetua"/>
        </w:rPr>
        <w:t xml:space="preserve"> </w:t>
      </w:r>
      <w:r>
        <w:rPr>
          <w:rFonts w:ascii="Perpetua" w:hAnsi="Perpetua"/>
        </w:rPr>
        <w:t>eximir-se do cumprimento de</w:t>
      </w:r>
      <w:r w:rsidRPr="00FF0130">
        <w:rPr>
          <w:rFonts w:ascii="Perpetua" w:hAnsi="Perpetua"/>
        </w:rPr>
        <w:t xml:space="preserve"> um dever</w:t>
      </w:r>
      <w:r>
        <w:rPr>
          <w:rFonts w:ascii="Perpetua" w:hAnsi="Perpetua"/>
        </w:rPr>
        <w:t xml:space="preserve"> sem se fazer notar.</w:t>
      </w:r>
      <w:r w:rsidRPr="00FF0130">
        <w:rPr>
          <w:rFonts w:ascii="Perpetua" w:hAnsi="Perpetua"/>
        </w:rPr>
        <w:t xml:space="preserve"> </w:t>
      </w:r>
    </w:p>
  </w:footnote>
  <w:footnote w:id="89">
    <w:p w:rsidR="003926F6" w:rsidRPr="009173F1" w:rsidRDefault="003926F6" w:rsidP="009173F1">
      <w:pPr>
        <w:pStyle w:val="FootnoteText"/>
        <w:jc w:val="both"/>
        <w:rPr>
          <w:rFonts w:ascii="Perpetua" w:hAnsi="Perpetua"/>
        </w:rPr>
      </w:pPr>
      <w:r w:rsidRPr="009173F1">
        <w:rPr>
          <w:rStyle w:val="FootnoteReference"/>
          <w:rFonts w:ascii="Perpetua" w:hAnsi="Perpetua"/>
        </w:rPr>
        <w:footnoteRef/>
      </w:r>
      <w:r w:rsidRPr="009173F1">
        <w:rPr>
          <w:rFonts w:ascii="Perpetua" w:hAnsi="Perpetua"/>
        </w:rPr>
        <w:t xml:space="preserve"> </w:t>
      </w:r>
      <w:r w:rsidRPr="009173F1">
        <w:rPr>
          <w:rFonts w:ascii="Perpetua" w:hAnsi="Perpetua"/>
          <w:i/>
        </w:rPr>
        <w:t>Vide</w:t>
      </w:r>
      <w:r w:rsidRPr="009173F1">
        <w:rPr>
          <w:rFonts w:ascii="Perpetua" w:hAnsi="Perpetua"/>
        </w:rPr>
        <w:t xml:space="preserve"> Antunes </w:t>
      </w:r>
      <w:r w:rsidRPr="009173F1">
        <w:rPr>
          <w:rFonts w:ascii="Perpetua" w:hAnsi="Perpetua"/>
          <w:i/>
        </w:rPr>
        <w:t>et al</w:t>
      </w:r>
      <w:r w:rsidRPr="009173F1">
        <w:rPr>
          <w:rFonts w:ascii="Perpetua" w:hAnsi="Perpetua"/>
        </w:rPr>
        <w:t>. (2007: 46)</w:t>
      </w:r>
      <w:r>
        <w:rPr>
          <w:rFonts w:ascii="Perpetua" w:hAnsi="Perpetua"/>
        </w:rPr>
        <w:t>.</w:t>
      </w:r>
    </w:p>
  </w:footnote>
  <w:footnote w:id="90">
    <w:p w:rsidR="003926F6" w:rsidRPr="00286168" w:rsidRDefault="003926F6" w:rsidP="00286168">
      <w:pPr>
        <w:pStyle w:val="FootnoteText"/>
        <w:jc w:val="both"/>
        <w:rPr>
          <w:rFonts w:ascii="Perpetua" w:hAnsi="Perpetua"/>
        </w:rPr>
      </w:pPr>
      <w:r w:rsidRPr="00286168">
        <w:rPr>
          <w:rStyle w:val="FootnoteReference"/>
          <w:rFonts w:ascii="Perpetua" w:hAnsi="Perpetua"/>
        </w:rPr>
        <w:footnoteRef/>
      </w:r>
      <w:r w:rsidRPr="00286168">
        <w:rPr>
          <w:rFonts w:ascii="Perpetua" w:hAnsi="Perpetua"/>
        </w:rPr>
        <w:t xml:space="preserve"> </w:t>
      </w:r>
      <w:r w:rsidRPr="00286168">
        <w:rPr>
          <w:rFonts w:ascii="Perpetua" w:hAnsi="Perpetua"/>
          <w:i/>
        </w:rPr>
        <w:t>Vide</w:t>
      </w:r>
      <w:r w:rsidRPr="00286168">
        <w:rPr>
          <w:rFonts w:ascii="Perpetua" w:hAnsi="Perpetua"/>
        </w:rPr>
        <w:t xml:space="preserve"> secção 8.4.</w:t>
      </w:r>
      <w:r>
        <w:rPr>
          <w:rFonts w:ascii="Perpetua" w:hAnsi="Perpetua"/>
        </w:rPr>
        <w:t xml:space="preserve"> sobre os problemas com encontrados na </w:t>
      </w:r>
      <w:r w:rsidRPr="00286168">
        <w:rPr>
          <w:rFonts w:ascii="Perpetua" w:hAnsi="Perpetua"/>
        </w:rPr>
        <w:t xml:space="preserve">medição das variáveis </w:t>
      </w:r>
      <w:r>
        <w:rPr>
          <w:rFonts w:ascii="Perpetua" w:hAnsi="Perpetua"/>
        </w:rPr>
        <w:t>relativas à quantidade de funcionários judiciais.</w:t>
      </w:r>
    </w:p>
  </w:footnote>
  <w:footnote w:id="91">
    <w:p w:rsidR="003926F6" w:rsidRPr="0028563B" w:rsidRDefault="003926F6" w:rsidP="00F72F49">
      <w:pPr>
        <w:pStyle w:val="FootnoteText"/>
        <w:rPr>
          <w:rFonts w:ascii="Perpetua" w:hAnsi="Perpetua"/>
        </w:rPr>
      </w:pPr>
      <w:r w:rsidRPr="0028563B">
        <w:rPr>
          <w:rStyle w:val="FootnoteReference"/>
          <w:rFonts w:ascii="Perpetua" w:hAnsi="Perpetua"/>
        </w:rPr>
        <w:footnoteRef/>
      </w:r>
      <w:r w:rsidRPr="0028563B">
        <w:rPr>
          <w:rFonts w:ascii="Perpetua" w:hAnsi="Perpetua"/>
        </w:rPr>
        <w:t xml:space="preserve"> </w:t>
      </w:r>
      <w:r w:rsidRPr="004E5D3A">
        <w:rPr>
          <w:rFonts w:ascii="Perpetua" w:hAnsi="Perpetua"/>
          <w:i/>
        </w:rPr>
        <w:t>Vide</w:t>
      </w:r>
      <w:r w:rsidRPr="0028563B">
        <w:rPr>
          <w:rFonts w:ascii="Perpetua" w:hAnsi="Perpetua"/>
        </w:rPr>
        <w:t xml:space="preserve"> OPJ (2005:107-122) para uma proposta de unidade produtiva alternativa, o juízo cível.</w:t>
      </w:r>
    </w:p>
  </w:footnote>
  <w:footnote w:id="92">
    <w:p w:rsidR="003926F6" w:rsidRPr="0058441E" w:rsidRDefault="003926F6" w:rsidP="00F72F49">
      <w:pPr>
        <w:pStyle w:val="FootnoteText"/>
        <w:jc w:val="both"/>
        <w:rPr>
          <w:rFonts w:ascii="Perpetua" w:hAnsi="Perpetua"/>
        </w:rPr>
      </w:pPr>
      <w:r w:rsidRPr="0058441E">
        <w:rPr>
          <w:rStyle w:val="FootnoteReference"/>
          <w:rFonts w:ascii="Perpetua" w:hAnsi="Perpetua"/>
        </w:rPr>
        <w:footnoteRef/>
      </w:r>
      <w:r w:rsidRPr="0058441E">
        <w:rPr>
          <w:rFonts w:ascii="Perpetua" w:hAnsi="Perpetua"/>
        </w:rPr>
        <w:t xml:space="preserve"> As percentagens foram calculadas a partir de uma amostra de 218 dos 221 tribunais de comarca de competência genér</w:t>
      </w:r>
      <w:r>
        <w:rPr>
          <w:rFonts w:ascii="Perpetua" w:hAnsi="Perpetua"/>
        </w:rPr>
        <w:t>ica, tendo sido excluídos os tribunais das comarcas da Amadora, de Boticas e de Penamacor.</w:t>
      </w:r>
    </w:p>
  </w:footnote>
  <w:footnote w:id="93">
    <w:p w:rsidR="003926F6" w:rsidRPr="00E41693" w:rsidRDefault="003926F6" w:rsidP="00E41693">
      <w:pPr>
        <w:pStyle w:val="FootnoteText"/>
        <w:jc w:val="both"/>
        <w:rPr>
          <w:rFonts w:ascii="Perpetua" w:hAnsi="Perpetua"/>
        </w:rPr>
      </w:pPr>
      <w:r w:rsidRPr="00E41693">
        <w:rPr>
          <w:rStyle w:val="FootnoteReference"/>
          <w:rFonts w:ascii="Perpetua" w:hAnsi="Perpetua"/>
        </w:rPr>
        <w:footnoteRef/>
      </w:r>
      <w:r w:rsidRPr="00E41693">
        <w:rPr>
          <w:rFonts w:ascii="Perpetua" w:hAnsi="Perpetua"/>
        </w:rPr>
        <w:t xml:space="preserve"> Os tribunais da 1.ª instância integram três departamentos</w:t>
      </w:r>
      <w:r>
        <w:rPr>
          <w:rFonts w:ascii="Perpetua" w:hAnsi="Perpetua"/>
        </w:rPr>
        <w:t xml:space="preserve"> ou secções</w:t>
      </w:r>
      <w:r w:rsidRPr="00E41693">
        <w:rPr>
          <w:rFonts w:ascii="Perpetua" w:hAnsi="Perpetua"/>
        </w:rPr>
        <w:t>: a secretaria judicial, o serviço do Ministério Público e os juízos judiciais.</w:t>
      </w:r>
    </w:p>
  </w:footnote>
  <w:footnote w:id="94">
    <w:p w:rsidR="003926F6" w:rsidRPr="00A0257B" w:rsidRDefault="003926F6" w:rsidP="00A0257B">
      <w:pPr>
        <w:pStyle w:val="FootnoteText"/>
        <w:jc w:val="both"/>
        <w:rPr>
          <w:rFonts w:ascii="Perpetua" w:hAnsi="Perpetua"/>
        </w:rPr>
      </w:pPr>
      <w:r w:rsidRPr="00A0257B">
        <w:rPr>
          <w:rStyle w:val="FootnoteReference"/>
          <w:rFonts w:ascii="Perpetua" w:hAnsi="Perpetua"/>
        </w:rPr>
        <w:footnoteRef/>
      </w:r>
      <w:r w:rsidRPr="00A0257B">
        <w:rPr>
          <w:rFonts w:ascii="Perpetua" w:hAnsi="Perpetua"/>
        </w:rPr>
        <w:t xml:space="preserve"> </w:t>
      </w:r>
      <w:r w:rsidRPr="004E5D3A">
        <w:rPr>
          <w:rFonts w:ascii="Perpetua" w:hAnsi="Perpetua"/>
          <w:i/>
        </w:rPr>
        <w:t>Vide</w:t>
      </w:r>
      <w:r w:rsidRPr="00A0257B">
        <w:rPr>
          <w:rFonts w:ascii="Perpetua" w:hAnsi="Perpetua"/>
        </w:rPr>
        <w:t xml:space="preserve"> </w:t>
      </w:r>
      <w:r>
        <w:rPr>
          <w:rFonts w:ascii="Perpetua" w:hAnsi="Perpetua"/>
        </w:rPr>
        <w:t xml:space="preserve">no ponto 2.3.4. </w:t>
      </w:r>
      <w:r w:rsidRPr="00A0257B">
        <w:rPr>
          <w:rFonts w:ascii="Perpetua" w:hAnsi="Perpetua"/>
        </w:rPr>
        <w:t xml:space="preserve">as estatísticas sobre os coeficientes de factores produtivos observados </w:t>
      </w:r>
      <w:r>
        <w:rPr>
          <w:rFonts w:ascii="Perpetua" w:hAnsi="Perpetua"/>
        </w:rPr>
        <w:t xml:space="preserve">em termos </w:t>
      </w:r>
      <w:r w:rsidRPr="00A0257B">
        <w:rPr>
          <w:rFonts w:ascii="Perpetua" w:hAnsi="Perpetua"/>
        </w:rPr>
        <w:t>macroeconómico</w:t>
      </w:r>
      <w:r>
        <w:rPr>
          <w:rFonts w:ascii="Perpetua" w:hAnsi="Perpetua"/>
        </w:rPr>
        <w:t>s</w:t>
      </w:r>
      <w:r w:rsidRPr="00A0257B">
        <w:rPr>
          <w:rFonts w:ascii="Perpetua" w:hAnsi="Perpetua"/>
        </w:rPr>
        <w:t xml:space="preserve"> na produção de serviços judiciais</w:t>
      </w:r>
      <w:r>
        <w:rPr>
          <w:rFonts w:ascii="Perpetua" w:hAnsi="Perpetua"/>
        </w:rPr>
        <w:t>.</w:t>
      </w:r>
    </w:p>
  </w:footnote>
  <w:footnote w:id="95">
    <w:p w:rsidR="003926F6" w:rsidRPr="00FF0FB7" w:rsidRDefault="003926F6" w:rsidP="00FF0FB7">
      <w:pPr>
        <w:pStyle w:val="FootnoteText"/>
        <w:jc w:val="both"/>
        <w:rPr>
          <w:rFonts w:ascii="Perpetua" w:hAnsi="Perpetua"/>
        </w:rPr>
      </w:pPr>
      <w:r w:rsidRPr="00FF0FB7">
        <w:rPr>
          <w:rStyle w:val="FootnoteReference"/>
          <w:rFonts w:ascii="Perpetua" w:hAnsi="Perpetua"/>
        </w:rPr>
        <w:footnoteRef/>
      </w:r>
      <w:r w:rsidRPr="00FF0FB7">
        <w:rPr>
          <w:rFonts w:ascii="Perpetua" w:hAnsi="Perpetua"/>
        </w:rPr>
        <w:t xml:space="preserve"> </w:t>
      </w:r>
      <w:r w:rsidRPr="00FF0FB7">
        <w:rPr>
          <w:rFonts w:ascii="Perpetua" w:hAnsi="Perpetua"/>
          <w:i/>
        </w:rPr>
        <w:t>Vide</w:t>
      </w:r>
      <w:r w:rsidRPr="00FF0FB7">
        <w:rPr>
          <w:rFonts w:ascii="Perpetua" w:hAnsi="Perpetua"/>
        </w:rPr>
        <w:t xml:space="preserve"> o ponto seguinte, 4.3.2.1.</w:t>
      </w:r>
    </w:p>
  </w:footnote>
  <w:footnote w:id="96">
    <w:p w:rsidR="003926F6" w:rsidRPr="00FF0FB7" w:rsidRDefault="003926F6" w:rsidP="00FF0FB7">
      <w:pPr>
        <w:pStyle w:val="FootnoteText"/>
        <w:jc w:val="both"/>
        <w:rPr>
          <w:rFonts w:ascii="Perpetua" w:hAnsi="Perpetua"/>
        </w:rPr>
      </w:pPr>
      <w:r w:rsidRPr="00FF0FB7">
        <w:rPr>
          <w:rStyle w:val="FootnoteReference"/>
          <w:rFonts w:ascii="Perpetua" w:hAnsi="Perpetua"/>
        </w:rPr>
        <w:footnoteRef/>
      </w:r>
      <w:r w:rsidRPr="00FF0FB7">
        <w:rPr>
          <w:rFonts w:ascii="Perpetua" w:hAnsi="Perpetua"/>
        </w:rPr>
        <w:t xml:space="preserve"> Importa não confundir o emprego do termo </w:t>
      </w:r>
      <w:r>
        <w:rPr>
          <w:rFonts w:ascii="Perpetua" w:hAnsi="Perpetua"/>
        </w:rPr>
        <w:t>«</w:t>
      </w:r>
      <w:r w:rsidRPr="00FF0FB7">
        <w:rPr>
          <w:rFonts w:ascii="Perpetua" w:hAnsi="Perpetua"/>
        </w:rPr>
        <w:t>bem final</w:t>
      </w:r>
      <w:r>
        <w:rPr>
          <w:rFonts w:ascii="Perpetua" w:hAnsi="Perpetua"/>
        </w:rPr>
        <w:t>»</w:t>
      </w:r>
      <w:r w:rsidRPr="00FF0FB7">
        <w:rPr>
          <w:rFonts w:ascii="Perpetua" w:hAnsi="Perpetua"/>
        </w:rPr>
        <w:t xml:space="preserve"> neste contexto com a noção de </w:t>
      </w:r>
      <w:r>
        <w:rPr>
          <w:rFonts w:ascii="Perpetua" w:hAnsi="Perpetua"/>
        </w:rPr>
        <w:t>«</w:t>
      </w:r>
      <w:r w:rsidRPr="00FF0FB7">
        <w:rPr>
          <w:rFonts w:ascii="Perpetua" w:hAnsi="Perpetua"/>
        </w:rPr>
        <w:t>bem económico final</w:t>
      </w:r>
      <w:r>
        <w:rPr>
          <w:rFonts w:ascii="Perpetua" w:hAnsi="Perpetua"/>
        </w:rPr>
        <w:t>»</w:t>
      </w:r>
      <w:r w:rsidRPr="00FF0FB7">
        <w:rPr>
          <w:rFonts w:ascii="Perpetua" w:hAnsi="Perpetua"/>
        </w:rPr>
        <w:t xml:space="preserve"> produzido pelos tribunais (o cumprimento </w:t>
      </w:r>
      <w:r>
        <w:rPr>
          <w:rFonts w:ascii="Perpetua" w:hAnsi="Perpetua"/>
        </w:rPr>
        <w:t>d</w:t>
      </w:r>
      <w:r w:rsidRPr="00FF0FB7">
        <w:rPr>
          <w:rFonts w:ascii="Perpetua" w:hAnsi="Perpetua"/>
        </w:rPr>
        <w:t xml:space="preserve">os comportamentos socialmente desejados) </w:t>
      </w:r>
      <w:r>
        <w:rPr>
          <w:rFonts w:ascii="Perpetua" w:hAnsi="Perpetua"/>
        </w:rPr>
        <w:t>utilizada</w:t>
      </w:r>
      <w:r w:rsidRPr="00FF0FB7">
        <w:rPr>
          <w:rFonts w:ascii="Perpetua" w:hAnsi="Perpetua"/>
        </w:rPr>
        <w:t xml:space="preserve"> na secção 3.3.</w:t>
      </w:r>
    </w:p>
  </w:footnote>
  <w:footnote w:id="97">
    <w:p w:rsidR="003926F6" w:rsidRPr="00FF0FB7" w:rsidRDefault="003926F6" w:rsidP="00FF0FB7">
      <w:pPr>
        <w:pStyle w:val="FootnoteText"/>
        <w:jc w:val="both"/>
        <w:rPr>
          <w:rFonts w:ascii="Perpetua" w:hAnsi="Perpetua"/>
        </w:rPr>
      </w:pPr>
      <w:r w:rsidRPr="00FF0FB7">
        <w:rPr>
          <w:rStyle w:val="FootnoteReference"/>
          <w:rFonts w:ascii="Perpetua" w:hAnsi="Perpetua"/>
        </w:rPr>
        <w:footnoteRef/>
      </w:r>
      <w:r w:rsidRPr="00FF0FB7">
        <w:rPr>
          <w:rFonts w:ascii="Perpetua" w:hAnsi="Perpetua"/>
        </w:rPr>
        <w:t xml:space="preserve"> Note-se que o facto de os coeficientes de funcionários judiciais por magistrado judicial não serem homogéneos no conjunto dos tribunais analisados não invalida a utilização da produtividade ju</w:t>
      </w:r>
      <w:r>
        <w:rPr>
          <w:rFonts w:ascii="Perpetua" w:hAnsi="Perpetua"/>
        </w:rPr>
        <w:t>d</w:t>
      </w:r>
      <w:r w:rsidRPr="00FF0FB7">
        <w:rPr>
          <w:rFonts w:ascii="Perpetua" w:hAnsi="Perpetua"/>
        </w:rPr>
        <w:t xml:space="preserve">icial como variável explicada, desde que essa heterogeneidade seja controlada na análise de regressão. </w:t>
      </w:r>
      <w:r w:rsidRPr="00FF0FB7">
        <w:rPr>
          <w:rFonts w:ascii="Perpetua" w:hAnsi="Perpetua"/>
          <w:i/>
        </w:rPr>
        <w:t>Vide</w:t>
      </w:r>
      <w:r w:rsidRPr="00FF0FB7">
        <w:rPr>
          <w:rFonts w:ascii="Perpetua" w:hAnsi="Perpetua"/>
        </w:rPr>
        <w:t xml:space="preserve"> secção 5.3. </w:t>
      </w:r>
    </w:p>
  </w:footnote>
  <w:footnote w:id="98">
    <w:p w:rsidR="003926F6" w:rsidRPr="0041323A" w:rsidRDefault="003926F6" w:rsidP="00F72F49">
      <w:pPr>
        <w:pStyle w:val="FootnoteText"/>
        <w:jc w:val="both"/>
        <w:rPr>
          <w:rFonts w:ascii="Perpetua" w:hAnsi="Perpetua"/>
        </w:rPr>
      </w:pPr>
      <w:r w:rsidRPr="0041323A">
        <w:rPr>
          <w:rStyle w:val="FootnoteReference"/>
          <w:rFonts w:ascii="Perpetua" w:hAnsi="Perpetua"/>
        </w:rPr>
        <w:footnoteRef/>
      </w:r>
      <w:r w:rsidRPr="0041323A">
        <w:rPr>
          <w:rFonts w:ascii="Perpetua" w:hAnsi="Perpetua"/>
        </w:rPr>
        <w:t xml:space="preserve"> Na</w:t>
      </w:r>
      <w:r>
        <w:rPr>
          <w:rFonts w:ascii="Perpetua" w:hAnsi="Perpetua"/>
        </w:rPr>
        <w:t>s E</w:t>
      </w:r>
      <w:r w:rsidRPr="0041323A">
        <w:rPr>
          <w:rFonts w:ascii="Perpetua" w:hAnsi="Perpetua"/>
        </w:rPr>
        <w:t>statísticas da Justiça, os serviços judiciais agregam-se em cinco áreas judiciais: Cível, Penal, Laboral, Laboral Penal e Tutelar.</w:t>
      </w:r>
      <w:r>
        <w:rPr>
          <w:rFonts w:ascii="Perpetua" w:hAnsi="Perpetua"/>
        </w:rPr>
        <w:t xml:space="preserve"> </w:t>
      </w:r>
      <w:r w:rsidRPr="0099691F">
        <w:rPr>
          <w:rFonts w:ascii="Perpetua" w:hAnsi="Perpetua"/>
          <w:i/>
        </w:rPr>
        <w:t>Vide</w:t>
      </w:r>
      <w:r>
        <w:rPr>
          <w:rFonts w:ascii="Perpetua" w:hAnsi="Perpetua"/>
        </w:rPr>
        <w:t xml:space="preserve"> secção 8.3. do Anexo – Dados estatísticos.</w:t>
      </w:r>
    </w:p>
  </w:footnote>
  <w:footnote w:id="99">
    <w:p w:rsidR="003926F6" w:rsidRPr="0041323A" w:rsidRDefault="003926F6" w:rsidP="00F72F49">
      <w:pPr>
        <w:pStyle w:val="FootnoteText"/>
        <w:jc w:val="both"/>
        <w:rPr>
          <w:rFonts w:ascii="Perpetua" w:hAnsi="Perpetua"/>
        </w:rPr>
      </w:pPr>
      <w:r w:rsidRPr="0041323A">
        <w:rPr>
          <w:rStyle w:val="FootnoteReference"/>
          <w:rFonts w:ascii="Perpetua" w:hAnsi="Perpetua"/>
        </w:rPr>
        <w:footnoteRef/>
      </w:r>
      <w:r w:rsidRPr="0041323A">
        <w:rPr>
          <w:rFonts w:ascii="Perpetua" w:hAnsi="Perpetua"/>
        </w:rPr>
        <w:t xml:space="preserve"> </w:t>
      </w:r>
      <w:r>
        <w:rPr>
          <w:rFonts w:ascii="Perpetua" w:hAnsi="Perpetua"/>
        </w:rPr>
        <w:t>Neste trabalho considerou-se apenas OPJ (2005), que usa como variável de diferenciação o tempo médio de trabalho exigido ao juiz por categoria de processo.</w:t>
      </w:r>
    </w:p>
  </w:footnote>
  <w:footnote w:id="100">
    <w:p w:rsidR="003926F6" w:rsidRPr="00FE2320" w:rsidRDefault="003926F6" w:rsidP="00F72F49">
      <w:pPr>
        <w:pStyle w:val="FootnoteText"/>
        <w:jc w:val="both"/>
        <w:rPr>
          <w:rFonts w:ascii="Perpetua" w:hAnsi="Perpetua"/>
        </w:rPr>
      </w:pPr>
      <w:r w:rsidRPr="00FE2320">
        <w:rPr>
          <w:rStyle w:val="FootnoteReference"/>
          <w:rFonts w:ascii="Perpetua" w:hAnsi="Perpetua"/>
        </w:rPr>
        <w:footnoteRef/>
      </w:r>
      <w:r w:rsidRPr="00FE2320">
        <w:rPr>
          <w:rFonts w:ascii="Perpetua" w:hAnsi="Perpetua"/>
        </w:rPr>
        <w:t xml:space="preserve"> A importância deste instrumento para a gestão dos tribunais pode ser inferida pelo período da sua existência no sistema judicial norte</w:t>
      </w:r>
      <w:r>
        <w:rPr>
          <w:rFonts w:ascii="Perpetua" w:hAnsi="Perpetua"/>
        </w:rPr>
        <w:t>-americano – pelo menos desde</w:t>
      </w:r>
      <w:r w:rsidRPr="00FE2320">
        <w:rPr>
          <w:rFonts w:ascii="Perpetua" w:hAnsi="Perpetua"/>
        </w:rPr>
        <w:t xml:space="preserve"> 1968. Gillespie (1976:247-248) utiliza, para dados de 1968- 1974, um vector de ponderação de 42 categorias de litígios pelos minutos necessários do tempo do juiz.</w:t>
      </w:r>
    </w:p>
  </w:footnote>
  <w:footnote w:id="101">
    <w:p w:rsidR="003926F6" w:rsidRPr="00FE2320" w:rsidRDefault="003926F6" w:rsidP="00F72F49">
      <w:pPr>
        <w:pStyle w:val="FootnoteText"/>
        <w:jc w:val="both"/>
        <w:rPr>
          <w:rFonts w:ascii="Perpetua" w:hAnsi="Perpetua"/>
        </w:rPr>
      </w:pPr>
      <w:r w:rsidRPr="00FE2320">
        <w:rPr>
          <w:rStyle w:val="FootnoteReference"/>
          <w:rFonts w:ascii="Perpetua" w:hAnsi="Perpetua"/>
        </w:rPr>
        <w:footnoteRef/>
      </w:r>
      <w:r w:rsidRPr="00FE2320">
        <w:rPr>
          <w:rFonts w:ascii="Perpetua" w:hAnsi="Perpetua"/>
        </w:rPr>
        <w:t xml:space="preserve"> Not</w:t>
      </w:r>
      <w:r>
        <w:rPr>
          <w:rFonts w:ascii="Perpetua" w:hAnsi="Perpetua"/>
        </w:rPr>
        <w:t xml:space="preserve">e-se </w:t>
      </w:r>
      <w:r w:rsidRPr="00FE2320">
        <w:rPr>
          <w:rFonts w:ascii="Perpetua" w:hAnsi="Perpetua"/>
        </w:rPr>
        <w:t xml:space="preserve">que esta não é uma crítica ao vector concreto proposto </w:t>
      </w:r>
      <w:r>
        <w:rPr>
          <w:rFonts w:ascii="Perpetua" w:hAnsi="Perpetua"/>
        </w:rPr>
        <w:t>em</w:t>
      </w:r>
      <w:r w:rsidRPr="00FE2320">
        <w:rPr>
          <w:rFonts w:ascii="Perpetua" w:hAnsi="Perpetua"/>
        </w:rPr>
        <w:t xml:space="preserve"> OPJ (2005), mas apenas a constatação </w:t>
      </w:r>
      <w:r>
        <w:rPr>
          <w:rFonts w:ascii="Perpetua" w:hAnsi="Perpetua"/>
        </w:rPr>
        <w:t xml:space="preserve">de </w:t>
      </w:r>
      <w:r w:rsidRPr="00FE2320">
        <w:rPr>
          <w:rFonts w:ascii="Perpetua" w:hAnsi="Perpetua"/>
        </w:rPr>
        <w:t xml:space="preserve">que os objectivos que presidiram </w:t>
      </w:r>
      <w:r>
        <w:rPr>
          <w:rFonts w:ascii="Perpetua" w:hAnsi="Perpetua"/>
        </w:rPr>
        <w:t>a</w:t>
      </w:r>
      <w:r w:rsidRPr="00FE2320">
        <w:rPr>
          <w:rFonts w:ascii="Perpetua" w:hAnsi="Perpetua"/>
        </w:rPr>
        <w:t xml:space="preserve"> construção do</w:t>
      </w:r>
      <w:r>
        <w:rPr>
          <w:rFonts w:ascii="Perpetua" w:hAnsi="Perpetua"/>
        </w:rPr>
        <w:t xml:space="preserve"> vector de</w:t>
      </w:r>
      <w:r w:rsidRPr="00FE2320">
        <w:rPr>
          <w:rFonts w:ascii="Perpetua" w:hAnsi="Perpetua"/>
        </w:rPr>
        <w:t xml:space="preserve"> ponderadores não estavam correc</w:t>
      </w:r>
      <w:r>
        <w:rPr>
          <w:rFonts w:ascii="Perpetua" w:hAnsi="Perpetua"/>
        </w:rPr>
        <w:t>tamente especificados.</w:t>
      </w:r>
    </w:p>
  </w:footnote>
  <w:footnote w:id="102">
    <w:p w:rsidR="003926F6" w:rsidRPr="00EA48FA" w:rsidRDefault="003926F6" w:rsidP="00EA48FA">
      <w:pPr>
        <w:pStyle w:val="FootnoteText"/>
        <w:jc w:val="both"/>
        <w:rPr>
          <w:rFonts w:ascii="Perpetua" w:hAnsi="Perpetua"/>
        </w:rPr>
      </w:pPr>
      <w:r w:rsidRPr="00EA48FA">
        <w:rPr>
          <w:rStyle w:val="FootnoteReference"/>
          <w:rFonts w:ascii="Perpetua" w:hAnsi="Perpetua"/>
        </w:rPr>
        <w:footnoteRef/>
      </w:r>
      <w:r w:rsidRPr="00EA48FA">
        <w:rPr>
          <w:rFonts w:ascii="Perpetua" w:hAnsi="Perpetua"/>
        </w:rPr>
        <w:t xml:space="preserve"> </w:t>
      </w:r>
      <w:r w:rsidRPr="004E5D3A">
        <w:rPr>
          <w:rFonts w:ascii="Perpetua" w:hAnsi="Perpetua"/>
          <w:i/>
        </w:rPr>
        <w:t>Vide</w:t>
      </w:r>
      <w:r w:rsidRPr="00EA48FA">
        <w:rPr>
          <w:rFonts w:ascii="Perpetua" w:hAnsi="Perpetua"/>
        </w:rPr>
        <w:t xml:space="preserve"> </w:t>
      </w:r>
      <w:r>
        <w:rPr>
          <w:rFonts w:ascii="Perpetua" w:hAnsi="Perpetua"/>
        </w:rPr>
        <w:t xml:space="preserve">a secção 8.3. do </w:t>
      </w:r>
      <w:r w:rsidRPr="00EA48FA">
        <w:rPr>
          <w:rFonts w:ascii="Perpetua" w:hAnsi="Perpetua"/>
        </w:rPr>
        <w:t>Anexo – Dados estatísticos.</w:t>
      </w:r>
    </w:p>
  </w:footnote>
  <w:footnote w:id="103">
    <w:p w:rsidR="003926F6" w:rsidRPr="00ED7380" w:rsidRDefault="003926F6" w:rsidP="00C33D5F">
      <w:pPr>
        <w:pStyle w:val="FootnoteText"/>
        <w:rPr>
          <w:rFonts w:ascii="Perpetua" w:hAnsi="Perpetua"/>
        </w:rPr>
      </w:pPr>
      <w:r w:rsidRPr="00ED7380">
        <w:rPr>
          <w:rStyle w:val="FootnoteReference"/>
          <w:rFonts w:ascii="Perpetua" w:hAnsi="Perpetua"/>
        </w:rPr>
        <w:footnoteRef/>
      </w:r>
      <w:r w:rsidRPr="00ED7380">
        <w:rPr>
          <w:rFonts w:ascii="Perpetua" w:hAnsi="Perpetua"/>
        </w:rPr>
        <w:t xml:space="preserve"> O código correspondente a cada variável é apresentado entre parêntesis a seguir ao nome da variável</w:t>
      </w:r>
      <w:r>
        <w:rPr>
          <w:rFonts w:ascii="Perpetua" w:hAnsi="Perpetua"/>
        </w:rPr>
        <w:t>. O código auxilia a leitura dos quadros e gráficos contidos no Anexo – Gráficos e quadros auxiliares.</w:t>
      </w:r>
    </w:p>
  </w:footnote>
  <w:footnote w:id="104">
    <w:p w:rsidR="003926F6" w:rsidRPr="002E57D1" w:rsidRDefault="003926F6" w:rsidP="002E57D1">
      <w:pPr>
        <w:pStyle w:val="FootnoteText"/>
        <w:jc w:val="both"/>
        <w:rPr>
          <w:rFonts w:ascii="Perpetua" w:hAnsi="Perpetua"/>
        </w:rPr>
      </w:pPr>
      <w:r w:rsidRPr="002E57D1">
        <w:rPr>
          <w:rStyle w:val="FootnoteReference"/>
          <w:rFonts w:ascii="Perpetua" w:hAnsi="Perpetua"/>
        </w:rPr>
        <w:footnoteRef/>
      </w:r>
      <w:r w:rsidRPr="002E57D1">
        <w:rPr>
          <w:rFonts w:ascii="Perpetua" w:hAnsi="Perpetua"/>
        </w:rPr>
        <w:t xml:space="preserve"> </w:t>
      </w:r>
      <w:r w:rsidRPr="004E5D3A">
        <w:rPr>
          <w:rFonts w:ascii="Perpetua" w:hAnsi="Perpetua"/>
          <w:i/>
        </w:rPr>
        <w:t>Vide</w:t>
      </w:r>
      <w:r w:rsidRPr="002E57D1">
        <w:rPr>
          <w:rFonts w:ascii="Perpetua" w:hAnsi="Perpetua"/>
        </w:rPr>
        <w:t xml:space="preserve"> </w:t>
      </w:r>
      <w:r>
        <w:rPr>
          <w:rFonts w:ascii="Perpetua" w:hAnsi="Perpetua"/>
        </w:rPr>
        <w:t xml:space="preserve">secção </w:t>
      </w:r>
      <w:r w:rsidRPr="002E57D1">
        <w:rPr>
          <w:rFonts w:ascii="Perpetua" w:hAnsi="Perpetua"/>
        </w:rPr>
        <w:t xml:space="preserve">8.4. </w:t>
      </w:r>
      <w:r>
        <w:rPr>
          <w:rFonts w:ascii="Perpetua" w:hAnsi="Perpetua"/>
        </w:rPr>
        <w:t>do Anexo – Dados estatísticos.</w:t>
      </w:r>
    </w:p>
  </w:footnote>
  <w:footnote w:id="105">
    <w:p w:rsidR="003926F6" w:rsidRPr="00DC424D" w:rsidRDefault="003926F6" w:rsidP="00F72F49">
      <w:pPr>
        <w:pStyle w:val="FootnoteText"/>
        <w:rPr>
          <w:rFonts w:ascii="Perpetua" w:hAnsi="Perpetua"/>
        </w:rPr>
      </w:pPr>
      <w:r w:rsidRPr="00DC424D">
        <w:rPr>
          <w:rStyle w:val="FootnoteReference"/>
          <w:rFonts w:ascii="Perpetua" w:hAnsi="Perpetua"/>
        </w:rPr>
        <w:footnoteRef/>
      </w:r>
      <w:r w:rsidRPr="00DC424D">
        <w:rPr>
          <w:rFonts w:ascii="Perpetua" w:hAnsi="Perpetua"/>
        </w:rPr>
        <w:t xml:space="preserve"> </w:t>
      </w:r>
      <w:r w:rsidRPr="004E5D3A">
        <w:rPr>
          <w:rFonts w:ascii="Perpetua" w:hAnsi="Perpetua"/>
          <w:i/>
        </w:rPr>
        <w:t>Vide</w:t>
      </w:r>
      <w:r w:rsidRPr="00DC424D">
        <w:rPr>
          <w:rFonts w:ascii="Perpetua" w:hAnsi="Perpetua"/>
        </w:rPr>
        <w:t xml:space="preserve"> INE (2002).</w:t>
      </w:r>
    </w:p>
  </w:footnote>
  <w:footnote w:id="106">
    <w:p w:rsidR="003926F6" w:rsidRPr="009371AB" w:rsidRDefault="003926F6" w:rsidP="00F72F49">
      <w:pPr>
        <w:pStyle w:val="FootnoteText"/>
        <w:jc w:val="both"/>
        <w:rPr>
          <w:rFonts w:ascii="Perpetua" w:hAnsi="Perpetua"/>
        </w:rPr>
      </w:pPr>
      <w:r w:rsidRPr="009371AB">
        <w:rPr>
          <w:rStyle w:val="FootnoteReference"/>
          <w:rFonts w:ascii="Perpetua" w:hAnsi="Perpetua"/>
        </w:rPr>
        <w:footnoteRef/>
      </w:r>
      <w:r w:rsidRPr="009371AB">
        <w:rPr>
          <w:rFonts w:ascii="Perpetua" w:hAnsi="Perpetua"/>
        </w:rPr>
        <w:t xml:space="preserve"> Das 218 observações inicialmente consideradas,</w:t>
      </w:r>
      <w:r>
        <w:rPr>
          <w:rFonts w:ascii="Perpetua" w:hAnsi="Perpetua"/>
        </w:rPr>
        <w:t xml:space="preserve"> excluíram-se</w:t>
      </w:r>
      <w:r w:rsidRPr="009371AB">
        <w:rPr>
          <w:rFonts w:ascii="Perpetua" w:hAnsi="Perpetua"/>
        </w:rPr>
        <w:t xml:space="preserve"> 7 observações por terem pelo menos um valor nulo nas variáveis do</w:t>
      </w:r>
      <w:r>
        <w:rPr>
          <w:rFonts w:ascii="Perpetua" w:hAnsi="Perpetua"/>
        </w:rPr>
        <w:t>s</w:t>
      </w:r>
      <w:r w:rsidRPr="009371AB">
        <w:rPr>
          <w:rFonts w:ascii="Perpetua" w:hAnsi="Perpetua"/>
        </w:rPr>
        <w:t xml:space="preserve"> recursos humanos</w:t>
      </w:r>
      <w:r>
        <w:rPr>
          <w:rFonts w:ascii="Perpetua" w:hAnsi="Perpetua"/>
        </w:rPr>
        <w:t xml:space="preserve"> em 2001</w:t>
      </w:r>
      <w:r w:rsidRPr="009371AB">
        <w:rPr>
          <w:rFonts w:ascii="Perpetua" w:hAnsi="Perpetua"/>
        </w:rPr>
        <w:t xml:space="preserve">. Os tribunais excluídos </w:t>
      </w:r>
      <w:r>
        <w:rPr>
          <w:rFonts w:ascii="Perpetua" w:hAnsi="Perpetua"/>
        </w:rPr>
        <w:t>são os das comarcas de</w:t>
      </w:r>
      <w:r w:rsidRPr="009371AB">
        <w:rPr>
          <w:rFonts w:ascii="Perpetua" w:hAnsi="Perpetua"/>
        </w:rPr>
        <w:t xml:space="preserve"> Alij</w:t>
      </w:r>
      <w:r>
        <w:rPr>
          <w:rFonts w:ascii="Perpetua" w:hAnsi="Perpetua"/>
        </w:rPr>
        <w:t>ó,</w:t>
      </w:r>
      <w:r w:rsidRPr="009371AB">
        <w:rPr>
          <w:rFonts w:ascii="Perpetua" w:hAnsi="Perpetua"/>
        </w:rPr>
        <w:t xml:space="preserve"> Monchique, Olhão da Restauração, Oliveira do Bairro, Reguengos de Monsaraz, Sever do Vouga e Vimioso.</w:t>
      </w:r>
    </w:p>
  </w:footnote>
  <w:footnote w:id="107">
    <w:p w:rsidR="003926F6" w:rsidRPr="002F233D" w:rsidRDefault="003926F6" w:rsidP="002F233D">
      <w:pPr>
        <w:pStyle w:val="FootnoteText"/>
        <w:jc w:val="both"/>
        <w:rPr>
          <w:rFonts w:ascii="Perpetua" w:hAnsi="Perpetua"/>
        </w:rPr>
      </w:pPr>
      <w:r w:rsidRPr="002F233D">
        <w:rPr>
          <w:rStyle w:val="FootnoteReference"/>
          <w:rFonts w:ascii="Perpetua" w:hAnsi="Perpetua"/>
        </w:rPr>
        <w:footnoteRef/>
      </w:r>
      <w:r w:rsidRPr="002F233D">
        <w:rPr>
          <w:rFonts w:ascii="Perpetua" w:hAnsi="Perpetua"/>
        </w:rPr>
        <w:t xml:space="preserve"> </w:t>
      </w:r>
      <w:r w:rsidRPr="006936E3">
        <w:rPr>
          <w:rFonts w:ascii="Perpetua" w:hAnsi="Perpetua"/>
          <w:i/>
        </w:rPr>
        <w:t>Vide</w:t>
      </w:r>
      <w:r w:rsidRPr="002F233D">
        <w:rPr>
          <w:rFonts w:ascii="Perpetua" w:hAnsi="Perpetua"/>
        </w:rPr>
        <w:t xml:space="preserve"> secção 9.1 do Anexo 9 – Gráficos e quadros auxiliares.</w:t>
      </w:r>
    </w:p>
  </w:footnote>
  <w:footnote w:id="108">
    <w:p w:rsidR="003926F6" w:rsidRPr="008957EA" w:rsidRDefault="003926F6" w:rsidP="00AD0F32">
      <w:pPr>
        <w:pStyle w:val="FootnoteText"/>
        <w:jc w:val="both"/>
        <w:rPr>
          <w:rFonts w:ascii="Perpetua" w:hAnsi="Perpetua"/>
        </w:rPr>
      </w:pPr>
      <w:r w:rsidRPr="008957EA">
        <w:rPr>
          <w:rStyle w:val="FootnoteReference"/>
          <w:rFonts w:ascii="Perpetua" w:hAnsi="Perpetua"/>
        </w:rPr>
        <w:footnoteRef/>
      </w:r>
      <w:r w:rsidRPr="008957EA">
        <w:rPr>
          <w:rFonts w:ascii="Perpetua" w:hAnsi="Perpetua"/>
        </w:rPr>
        <w:t xml:space="preserve"> </w:t>
      </w:r>
      <w:r w:rsidRPr="008957EA">
        <w:rPr>
          <w:rFonts w:ascii="Perpetua" w:hAnsi="Perpetua"/>
          <w:i/>
        </w:rPr>
        <w:t>Vide</w:t>
      </w:r>
      <w:r w:rsidRPr="008957EA">
        <w:rPr>
          <w:rFonts w:ascii="Perpetua" w:hAnsi="Perpetua"/>
        </w:rPr>
        <w:t xml:space="preserve"> </w:t>
      </w:r>
      <w:r w:rsidRPr="008957EA">
        <w:rPr>
          <w:rFonts w:ascii="Perpetua" w:hAnsi="Perpetua"/>
          <w:i/>
        </w:rPr>
        <w:t>infra</w:t>
      </w:r>
      <w:r w:rsidRPr="008957EA">
        <w:rPr>
          <w:rFonts w:ascii="Perpetua" w:hAnsi="Perpetua"/>
        </w:rPr>
        <w:t xml:space="preserve"> </w:t>
      </w:r>
      <w:r>
        <w:rPr>
          <w:rFonts w:ascii="Perpetua" w:hAnsi="Perpetua"/>
        </w:rPr>
        <w:t xml:space="preserve">a </w:t>
      </w:r>
      <w:r w:rsidRPr="008957EA">
        <w:rPr>
          <w:rFonts w:ascii="Perpetua" w:hAnsi="Perpetua"/>
        </w:rPr>
        <w:t>secção 8.4. do Anexo – Dados estatísticos para uma descrição pormenorizada desta questão.</w:t>
      </w:r>
    </w:p>
  </w:footnote>
  <w:footnote w:id="109">
    <w:p w:rsidR="003926F6" w:rsidRPr="008957EA" w:rsidRDefault="003926F6" w:rsidP="008957EA">
      <w:pPr>
        <w:pStyle w:val="FootnoteText"/>
        <w:jc w:val="both"/>
        <w:rPr>
          <w:rFonts w:ascii="Perpetua" w:hAnsi="Perpetua"/>
        </w:rPr>
      </w:pPr>
      <w:r w:rsidRPr="008957EA">
        <w:rPr>
          <w:rStyle w:val="FootnoteReference"/>
          <w:rFonts w:ascii="Perpetua" w:hAnsi="Perpetua"/>
        </w:rPr>
        <w:footnoteRef/>
      </w:r>
      <w:r w:rsidRPr="008957EA">
        <w:rPr>
          <w:rFonts w:ascii="Perpetua" w:hAnsi="Perpetua"/>
        </w:rPr>
        <w:t xml:space="preserve"> </w:t>
      </w:r>
      <w:r w:rsidRPr="008957EA">
        <w:rPr>
          <w:rFonts w:ascii="Perpetua" w:hAnsi="Perpetua"/>
          <w:i/>
        </w:rPr>
        <w:t>Vide</w:t>
      </w:r>
      <w:r w:rsidRPr="008957EA">
        <w:rPr>
          <w:rFonts w:ascii="Perpetua" w:hAnsi="Perpetua"/>
        </w:rPr>
        <w:t xml:space="preserve"> </w:t>
      </w:r>
      <w:r>
        <w:rPr>
          <w:rFonts w:ascii="Perpetua" w:hAnsi="Perpetua"/>
        </w:rPr>
        <w:t xml:space="preserve">a </w:t>
      </w:r>
      <w:r w:rsidRPr="008957EA">
        <w:rPr>
          <w:rFonts w:ascii="Perpetua" w:hAnsi="Perpetua"/>
        </w:rPr>
        <w:t>secção 9.1. do Anexo – Gráficos e quadros auxiliares.</w:t>
      </w:r>
      <w:r>
        <w:rPr>
          <w:rFonts w:ascii="Perpetua" w:hAnsi="Perpetua"/>
        </w:rPr>
        <w:t xml:space="preserve"> </w:t>
      </w:r>
    </w:p>
  </w:footnote>
  <w:footnote w:id="110">
    <w:p w:rsidR="003926F6" w:rsidRPr="006936E3" w:rsidRDefault="003926F6">
      <w:pPr>
        <w:pStyle w:val="FootnoteText"/>
        <w:rPr>
          <w:rFonts w:ascii="Perpetua" w:hAnsi="Perpetua"/>
        </w:rPr>
      </w:pPr>
      <w:r w:rsidRPr="006936E3">
        <w:rPr>
          <w:rStyle w:val="FootnoteReference"/>
          <w:rFonts w:ascii="Perpetua" w:hAnsi="Perpetua"/>
        </w:rPr>
        <w:footnoteRef/>
      </w:r>
      <w:r w:rsidRPr="006936E3">
        <w:rPr>
          <w:rFonts w:ascii="Perpetua" w:hAnsi="Perpetua"/>
        </w:rPr>
        <w:t xml:space="preserve"> </w:t>
      </w:r>
      <w:r w:rsidRPr="006936E3">
        <w:rPr>
          <w:rFonts w:ascii="Perpetua" w:hAnsi="Perpetua"/>
          <w:i/>
        </w:rPr>
        <w:t>Vide</w:t>
      </w:r>
      <w:r>
        <w:rPr>
          <w:rFonts w:ascii="Perpetua" w:hAnsi="Perpetua"/>
        </w:rPr>
        <w:t xml:space="preserve"> a sec</w:t>
      </w:r>
      <w:r w:rsidRPr="006936E3">
        <w:rPr>
          <w:rFonts w:ascii="Perpetua" w:hAnsi="Perpetua"/>
        </w:rPr>
        <w:t>ção 8.2. do Anexo – Dados estatísticos.</w:t>
      </w:r>
    </w:p>
  </w:footnote>
  <w:footnote w:id="111">
    <w:p w:rsidR="003926F6" w:rsidRPr="006936E3" w:rsidRDefault="003926F6">
      <w:pPr>
        <w:pStyle w:val="FootnoteText"/>
        <w:rPr>
          <w:rFonts w:ascii="Perpetua" w:hAnsi="Perpetua"/>
        </w:rPr>
      </w:pPr>
      <w:r w:rsidRPr="006936E3">
        <w:rPr>
          <w:rStyle w:val="FootnoteReference"/>
          <w:rFonts w:ascii="Perpetua" w:hAnsi="Perpetua"/>
        </w:rPr>
        <w:footnoteRef/>
      </w:r>
      <w:r w:rsidRPr="006936E3">
        <w:rPr>
          <w:rFonts w:ascii="Perpetua" w:hAnsi="Perpetua"/>
        </w:rPr>
        <w:t xml:space="preserve"> </w:t>
      </w:r>
      <w:r w:rsidRPr="006936E3">
        <w:rPr>
          <w:rFonts w:ascii="Perpetua" w:hAnsi="Perpetua"/>
          <w:i/>
        </w:rPr>
        <w:t>Vide</w:t>
      </w:r>
      <w:r>
        <w:rPr>
          <w:rFonts w:ascii="Perpetua" w:hAnsi="Perpetua"/>
        </w:rPr>
        <w:t xml:space="preserve"> o ponto </w:t>
      </w:r>
      <w:r w:rsidRPr="006936E3">
        <w:rPr>
          <w:rFonts w:ascii="Perpetua" w:hAnsi="Perpetua"/>
        </w:rPr>
        <w:t xml:space="preserve">9.2.2. do Anexo – </w:t>
      </w:r>
      <w:r>
        <w:rPr>
          <w:rFonts w:ascii="Perpetua" w:hAnsi="Perpetua"/>
        </w:rPr>
        <w:t>Gr</w:t>
      </w:r>
      <w:r w:rsidRPr="006936E3">
        <w:rPr>
          <w:rFonts w:ascii="Perpetua" w:hAnsi="Perpetua"/>
        </w:rPr>
        <w:t xml:space="preserve">áficos </w:t>
      </w:r>
      <w:r>
        <w:rPr>
          <w:rFonts w:ascii="Perpetua" w:hAnsi="Perpetua"/>
        </w:rPr>
        <w:t xml:space="preserve">e quadros </w:t>
      </w:r>
      <w:r w:rsidRPr="006936E3">
        <w:rPr>
          <w:rFonts w:ascii="Perpetua" w:hAnsi="Perpetua"/>
        </w:rPr>
        <w:t>auxiliares.</w:t>
      </w:r>
    </w:p>
  </w:footnote>
  <w:footnote w:id="112">
    <w:p w:rsidR="003926F6" w:rsidRPr="006936E3" w:rsidRDefault="003926F6" w:rsidP="006936E3">
      <w:pPr>
        <w:pStyle w:val="FootnoteText"/>
        <w:jc w:val="both"/>
        <w:rPr>
          <w:rFonts w:ascii="Perpetua" w:hAnsi="Perpetua"/>
        </w:rPr>
      </w:pPr>
      <w:r w:rsidRPr="006936E3">
        <w:rPr>
          <w:rStyle w:val="FootnoteReference"/>
          <w:rFonts w:ascii="Perpetua" w:hAnsi="Perpetua"/>
        </w:rPr>
        <w:footnoteRef/>
      </w:r>
      <w:r w:rsidRPr="006936E3">
        <w:rPr>
          <w:rFonts w:ascii="Perpetua" w:hAnsi="Perpetua"/>
        </w:rPr>
        <w:t xml:space="preserve"> </w:t>
      </w:r>
      <w:r w:rsidRPr="006936E3">
        <w:rPr>
          <w:rFonts w:ascii="Perpetua" w:hAnsi="Perpetua"/>
          <w:i/>
        </w:rPr>
        <w:t>Vide</w:t>
      </w:r>
      <w:r w:rsidRPr="006936E3">
        <w:rPr>
          <w:rFonts w:ascii="Perpetua" w:hAnsi="Perpetua"/>
        </w:rPr>
        <w:t xml:space="preserve"> o ponto 9.1.2. do Anexo</w:t>
      </w:r>
      <w:r>
        <w:rPr>
          <w:rFonts w:ascii="Perpetua" w:hAnsi="Perpetua"/>
        </w:rPr>
        <w:t xml:space="preserve"> – </w:t>
      </w:r>
      <w:r w:rsidRPr="006936E3">
        <w:rPr>
          <w:rFonts w:ascii="Perpetua" w:hAnsi="Perpetua"/>
        </w:rPr>
        <w:t>Gráficos e quadros auxiliares.</w:t>
      </w:r>
    </w:p>
  </w:footnote>
  <w:footnote w:id="113">
    <w:p w:rsidR="003926F6" w:rsidRPr="004B117A" w:rsidRDefault="003926F6" w:rsidP="004B117A">
      <w:pPr>
        <w:pStyle w:val="FootnoteText"/>
        <w:jc w:val="both"/>
        <w:rPr>
          <w:rFonts w:ascii="Perpetua" w:hAnsi="Perpetua"/>
        </w:rPr>
      </w:pPr>
      <w:r w:rsidRPr="004B117A">
        <w:rPr>
          <w:rStyle w:val="FootnoteReference"/>
          <w:rFonts w:ascii="Perpetua" w:hAnsi="Perpetua"/>
        </w:rPr>
        <w:footnoteRef/>
      </w:r>
      <w:r w:rsidRPr="004B117A">
        <w:rPr>
          <w:rFonts w:ascii="Perpetua" w:hAnsi="Perpetua"/>
        </w:rPr>
        <w:t xml:space="preserve"> A medida de Kaiser-Meyer-Olkin </w:t>
      </w:r>
      <w:r>
        <w:rPr>
          <w:rFonts w:ascii="Perpetua" w:hAnsi="Perpetua"/>
        </w:rPr>
        <w:t xml:space="preserve">de </w:t>
      </w:r>
      <w:r w:rsidRPr="004B117A">
        <w:rPr>
          <w:rFonts w:ascii="Perpetua" w:hAnsi="Perpetua"/>
        </w:rPr>
        <w:t>avaliação de adequação dos factores às variáveis da amostra é sempre inferior a 40% para os factores resultantes da análise factorial aplicada a qualquer um dos crité</w:t>
      </w:r>
      <w:r>
        <w:rPr>
          <w:rFonts w:ascii="Perpetua" w:hAnsi="Perpetua"/>
        </w:rPr>
        <w:t xml:space="preserve">rios de agregação e ao conjunto deles resultantes, </w:t>
      </w:r>
      <w:r w:rsidRPr="004B117A">
        <w:rPr>
          <w:rFonts w:ascii="Perpetua" w:hAnsi="Perpetua"/>
        </w:rPr>
        <w:t>quer pelo método de componentes principais quer pelo método da máxima verosimilhança</w:t>
      </w:r>
      <w:r>
        <w:rPr>
          <w:rFonts w:ascii="Perpetua" w:hAnsi="Perpetua"/>
        </w:rPr>
        <w:t xml:space="preserve">. Os resultados da análise factorial não foram incluídos no texto da tese, mas podem ser pedidos ao autor através do endereço electrónico </w:t>
      </w:r>
      <w:hyperlink r:id="rId6" w:history="1">
        <w:r w:rsidRPr="00E67090">
          <w:rPr>
            <w:rStyle w:val="Hyperlink"/>
            <w:rFonts w:ascii="Perpetua" w:hAnsi="Perpetua"/>
          </w:rPr>
          <w:t>danielbm@gmail.com</w:t>
        </w:r>
      </w:hyperlink>
      <w:r>
        <w:rPr>
          <w:rFonts w:ascii="Perpetua" w:hAnsi="Perpetua"/>
        </w:rPr>
        <w:t>.</w:t>
      </w:r>
    </w:p>
  </w:footnote>
  <w:footnote w:id="114">
    <w:p w:rsidR="003926F6" w:rsidRPr="00C1241C" w:rsidRDefault="003926F6" w:rsidP="00C1241C">
      <w:pPr>
        <w:pStyle w:val="FootnoteText"/>
        <w:jc w:val="both"/>
        <w:rPr>
          <w:rFonts w:ascii="Perpetua" w:hAnsi="Perpetua"/>
        </w:rPr>
      </w:pPr>
      <w:r w:rsidRPr="00C1241C">
        <w:rPr>
          <w:rStyle w:val="FootnoteReference"/>
          <w:rFonts w:ascii="Perpetua" w:hAnsi="Perpetua"/>
        </w:rPr>
        <w:footnoteRef/>
      </w:r>
      <w:r w:rsidRPr="00C1241C">
        <w:rPr>
          <w:rFonts w:ascii="Perpetua" w:hAnsi="Perpetua"/>
        </w:rPr>
        <w:t xml:space="preserve"> O </w:t>
      </w:r>
      <w:r>
        <w:rPr>
          <w:rFonts w:ascii="Perpetua" w:hAnsi="Perpetua"/>
        </w:rPr>
        <w:t xml:space="preserve">resultado do </w:t>
      </w:r>
      <w:r w:rsidRPr="00C1241C">
        <w:rPr>
          <w:rFonts w:ascii="Perpetua" w:hAnsi="Perpetua"/>
        </w:rPr>
        <w:t xml:space="preserve">teste de Bartlett de igualdade das variâncias </w:t>
      </w:r>
      <w:r>
        <w:rPr>
          <w:rFonts w:ascii="Perpetua" w:hAnsi="Perpetua"/>
        </w:rPr>
        <w:t xml:space="preserve">indica que a variância da produtividade judicial média não é homogénea para os 3 clusters, porém, dado que as distribuições da produtividade judicial média por </w:t>
      </w:r>
      <w:r w:rsidRPr="00D000FD">
        <w:rPr>
          <w:rFonts w:ascii="Perpetua" w:hAnsi="Perpetua"/>
          <w:i/>
        </w:rPr>
        <w:t>cluster</w:t>
      </w:r>
      <w:r>
        <w:rPr>
          <w:rFonts w:ascii="Perpetua" w:hAnsi="Perpetua"/>
        </w:rPr>
        <w:t xml:space="preserve"> não são excessivamente enviesadas, consideramos o resultado da ANOVA estatisticamente válido. As distribuições de frequência de Kernel constam do ponto 9.1.3 do Anexo – Gráficos e quadros auxiliares.</w:t>
      </w:r>
    </w:p>
  </w:footnote>
  <w:footnote w:id="115">
    <w:p w:rsidR="003926F6" w:rsidRPr="00D11F7D" w:rsidRDefault="003926F6" w:rsidP="00D11F7D">
      <w:pPr>
        <w:pStyle w:val="FootnoteText"/>
        <w:jc w:val="both"/>
        <w:rPr>
          <w:rFonts w:ascii="Perpetua" w:hAnsi="Perpetua"/>
        </w:rPr>
      </w:pPr>
      <w:r w:rsidRPr="00D11F7D">
        <w:rPr>
          <w:rStyle w:val="FootnoteReference"/>
          <w:rFonts w:ascii="Perpetua" w:hAnsi="Perpetua"/>
        </w:rPr>
        <w:footnoteRef/>
      </w:r>
      <w:r w:rsidRPr="00D11F7D">
        <w:rPr>
          <w:rFonts w:ascii="Perpetua" w:hAnsi="Perpetua"/>
        </w:rPr>
        <w:t xml:space="preserve"> </w:t>
      </w:r>
      <w:r w:rsidRPr="00D11F7D">
        <w:rPr>
          <w:rFonts w:ascii="Perpetua" w:hAnsi="Perpetua"/>
          <w:i/>
        </w:rPr>
        <w:t>Vide</w:t>
      </w:r>
      <w:r w:rsidRPr="00D11F7D">
        <w:rPr>
          <w:rFonts w:ascii="Perpetua" w:hAnsi="Perpetua"/>
        </w:rPr>
        <w:t xml:space="preserve"> secção 9.2</w:t>
      </w:r>
      <w:r>
        <w:rPr>
          <w:rFonts w:ascii="Perpetua" w:hAnsi="Perpetua"/>
        </w:rPr>
        <w:t>.</w:t>
      </w:r>
      <w:r w:rsidRPr="00D11F7D">
        <w:rPr>
          <w:rFonts w:ascii="Perpetua" w:hAnsi="Perpetua"/>
        </w:rPr>
        <w:t xml:space="preserve"> do Anexo</w:t>
      </w:r>
      <w:r>
        <w:rPr>
          <w:rFonts w:ascii="Perpetua" w:hAnsi="Perpetua"/>
        </w:rPr>
        <w:t xml:space="preserve"> – </w:t>
      </w:r>
      <w:r w:rsidRPr="00D11F7D">
        <w:rPr>
          <w:rFonts w:ascii="Perpetua" w:hAnsi="Perpetua"/>
        </w:rPr>
        <w:t>Gráficos e quadros auxiliares.</w:t>
      </w:r>
    </w:p>
  </w:footnote>
  <w:footnote w:id="116">
    <w:p w:rsidR="003926F6" w:rsidRDefault="003926F6" w:rsidP="00DE0A2D">
      <w:pPr>
        <w:pStyle w:val="FootnoteText"/>
        <w:jc w:val="both"/>
      </w:pPr>
      <w:r w:rsidRPr="00DE0A2D">
        <w:rPr>
          <w:rStyle w:val="FootnoteReference"/>
          <w:rFonts w:ascii="Perpetua" w:hAnsi="Perpetua"/>
        </w:rPr>
        <w:footnoteRef/>
      </w:r>
      <w:r w:rsidRPr="00DE0A2D">
        <w:rPr>
          <w:rFonts w:ascii="Perpetua" w:hAnsi="Perpetua"/>
        </w:rPr>
        <w:t xml:space="preserve"> </w:t>
      </w:r>
      <w:r w:rsidRPr="00DE0A2D">
        <w:rPr>
          <w:rFonts w:ascii="Perpetua" w:hAnsi="Perpetua"/>
          <w:i/>
        </w:rPr>
        <w:t>Vide</w:t>
      </w:r>
      <w:r w:rsidRPr="00DE0A2D">
        <w:rPr>
          <w:rFonts w:ascii="Perpetua" w:hAnsi="Perpetua"/>
        </w:rPr>
        <w:t xml:space="preserve"> ponto 9.1.1. do Anexo – Gráficos e quadros auxiliares</w:t>
      </w:r>
      <w:r>
        <w:t>.</w:t>
      </w:r>
    </w:p>
  </w:footnote>
  <w:footnote w:id="117">
    <w:p w:rsidR="003926F6" w:rsidRDefault="003926F6" w:rsidP="00DE0A2D">
      <w:pPr>
        <w:pStyle w:val="FootnoteText"/>
        <w:jc w:val="both"/>
      </w:pPr>
      <w:r w:rsidRPr="00DE0A2D">
        <w:rPr>
          <w:rStyle w:val="FootnoteReference"/>
          <w:rFonts w:ascii="Perpetua" w:hAnsi="Perpetua"/>
        </w:rPr>
        <w:footnoteRef/>
      </w:r>
      <w:r w:rsidRPr="00DE0A2D">
        <w:rPr>
          <w:rFonts w:ascii="Perpetua" w:hAnsi="Perpetua"/>
        </w:rPr>
        <w:t xml:space="preserve"> </w:t>
      </w:r>
      <w:r w:rsidRPr="00DE0A2D">
        <w:rPr>
          <w:rFonts w:ascii="Perpetua" w:hAnsi="Perpetua"/>
          <w:i/>
        </w:rPr>
        <w:t>Idem</w:t>
      </w:r>
      <w:r>
        <w:rPr>
          <w:rFonts w:ascii="Perpetua" w:hAnsi="Perpetua"/>
        </w:rPr>
        <w:t>.</w:t>
      </w:r>
    </w:p>
  </w:footnote>
  <w:footnote w:id="118">
    <w:p w:rsidR="003926F6" w:rsidRPr="00A96AE7" w:rsidRDefault="003926F6" w:rsidP="00DE0A2D">
      <w:pPr>
        <w:pStyle w:val="FootnoteText"/>
        <w:jc w:val="both"/>
      </w:pPr>
      <w:r w:rsidRPr="00DE0A2D">
        <w:rPr>
          <w:rStyle w:val="FootnoteReference"/>
          <w:rFonts w:ascii="Perpetua" w:hAnsi="Perpetua"/>
        </w:rPr>
        <w:footnoteRef/>
      </w:r>
      <w:r w:rsidRPr="00A96AE7">
        <w:rPr>
          <w:rFonts w:ascii="Perpetua" w:hAnsi="Perpetua"/>
        </w:rPr>
        <w:t xml:space="preserve"> O</w:t>
      </w:r>
      <w:r>
        <w:rPr>
          <w:rFonts w:ascii="Perpetua" w:hAnsi="Perpetua"/>
        </w:rPr>
        <w:t xml:space="preserve"> coeficiente de correlação de Pearson é inferior a 1%.</w:t>
      </w:r>
    </w:p>
  </w:footnote>
  <w:footnote w:id="119">
    <w:p w:rsidR="003926F6" w:rsidRDefault="003926F6" w:rsidP="00DE0A2D">
      <w:pPr>
        <w:pStyle w:val="FootnoteText"/>
        <w:jc w:val="both"/>
      </w:pPr>
      <w:r w:rsidRPr="00DE0A2D">
        <w:rPr>
          <w:rStyle w:val="FootnoteReference"/>
          <w:rFonts w:ascii="Perpetua" w:hAnsi="Perpetua"/>
        </w:rPr>
        <w:footnoteRef/>
      </w:r>
      <w:r w:rsidRPr="00DE0A2D">
        <w:rPr>
          <w:rFonts w:ascii="Perpetua" w:hAnsi="Perpetua"/>
        </w:rPr>
        <w:t xml:space="preserve"> </w:t>
      </w:r>
      <w:r w:rsidRPr="00DE0A2D">
        <w:rPr>
          <w:rFonts w:ascii="Perpetua" w:hAnsi="Perpetua"/>
          <w:i/>
        </w:rPr>
        <w:t>Vide</w:t>
      </w:r>
      <w:r w:rsidRPr="00DE0A2D">
        <w:rPr>
          <w:rFonts w:ascii="Perpetua" w:hAnsi="Perpetua"/>
        </w:rPr>
        <w:t xml:space="preserve"> ponto </w:t>
      </w:r>
      <w:r>
        <w:rPr>
          <w:rFonts w:ascii="Perpetua" w:hAnsi="Perpetua"/>
        </w:rPr>
        <w:t>9.1.4</w:t>
      </w:r>
      <w:r w:rsidRPr="00DE0A2D">
        <w:rPr>
          <w:rFonts w:ascii="Perpetua" w:hAnsi="Perpetua"/>
        </w:rPr>
        <w:t>. do Anexo – Gráficos e quadros auxiliares</w:t>
      </w:r>
      <w:r>
        <w:t>.</w:t>
      </w:r>
    </w:p>
  </w:footnote>
  <w:footnote w:id="120">
    <w:p w:rsidR="003926F6" w:rsidRPr="009B346E" w:rsidRDefault="003926F6" w:rsidP="009B346E">
      <w:pPr>
        <w:pStyle w:val="FootnoteText"/>
        <w:jc w:val="both"/>
        <w:rPr>
          <w:rFonts w:ascii="Perpetua" w:hAnsi="Perpetua"/>
        </w:rPr>
      </w:pPr>
      <w:r w:rsidRPr="009B346E">
        <w:rPr>
          <w:rStyle w:val="FootnoteReference"/>
          <w:rFonts w:ascii="Perpetua" w:hAnsi="Perpetua"/>
        </w:rPr>
        <w:footnoteRef/>
      </w:r>
      <w:r w:rsidRPr="009B346E">
        <w:rPr>
          <w:rFonts w:ascii="Perpetua" w:hAnsi="Perpetua"/>
        </w:rPr>
        <w:t xml:space="preserve"> O efeito é estatisticamente significativo para um grau de confiança de 95% para todas as estimações efectuadas</w:t>
      </w:r>
      <w:r>
        <w:rPr>
          <w:rFonts w:ascii="Perpetua" w:hAnsi="Perpetua"/>
        </w:rPr>
        <w:t>,</w:t>
      </w:r>
      <w:r w:rsidRPr="009B346E">
        <w:rPr>
          <w:rFonts w:ascii="Perpetua" w:hAnsi="Perpetua"/>
        </w:rPr>
        <w:t xml:space="preserve"> excepto </w:t>
      </w:r>
      <w:r>
        <w:rPr>
          <w:rFonts w:ascii="Perpetua" w:hAnsi="Perpetua"/>
        </w:rPr>
        <w:t>na</w:t>
      </w:r>
      <w:r w:rsidRPr="009B346E">
        <w:rPr>
          <w:rFonts w:ascii="Perpetua" w:hAnsi="Perpetua"/>
        </w:rPr>
        <w:t xml:space="preserve"> equação (9), em que o grau de confiança estatística é de 90%.</w:t>
      </w:r>
    </w:p>
  </w:footnote>
  <w:footnote w:id="121">
    <w:p w:rsidR="003926F6" w:rsidRPr="009B346E" w:rsidRDefault="003926F6" w:rsidP="009B346E">
      <w:pPr>
        <w:pStyle w:val="FootnoteText"/>
        <w:jc w:val="both"/>
        <w:rPr>
          <w:rFonts w:ascii="Perpetua" w:hAnsi="Perpetua"/>
        </w:rPr>
      </w:pPr>
      <w:r w:rsidRPr="009B346E">
        <w:rPr>
          <w:rStyle w:val="FootnoteReference"/>
          <w:rFonts w:ascii="Perpetua" w:hAnsi="Perpetua"/>
        </w:rPr>
        <w:footnoteRef/>
      </w:r>
      <w:r w:rsidRPr="009B346E">
        <w:rPr>
          <w:rFonts w:ascii="Perpetua" w:hAnsi="Perpetua"/>
        </w:rPr>
        <w:t xml:space="preserve"> Vide os resultados das estimações (7), (8) e (9) na secção 9.2 do Anexo – Gráficos e quadros auxiliares.  </w:t>
      </w:r>
    </w:p>
  </w:footnote>
  <w:footnote w:id="122">
    <w:p w:rsidR="003926F6" w:rsidRPr="002B2BCD" w:rsidRDefault="003926F6" w:rsidP="00F72F49">
      <w:pPr>
        <w:pStyle w:val="FootnoteText"/>
        <w:jc w:val="both"/>
        <w:rPr>
          <w:rFonts w:ascii="Perpetua" w:hAnsi="Perpetua"/>
        </w:rPr>
      </w:pPr>
      <w:r w:rsidRPr="002B2BCD">
        <w:rPr>
          <w:rStyle w:val="FootnoteReference"/>
          <w:rFonts w:ascii="Perpetua" w:hAnsi="Perpetua"/>
        </w:rPr>
        <w:footnoteRef/>
      </w:r>
      <w:r w:rsidRPr="002B2BCD">
        <w:rPr>
          <w:rFonts w:ascii="Perpetua" w:hAnsi="Perpetua"/>
        </w:rPr>
        <w:t xml:space="preserve"> </w:t>
      </w:r>
      <w:r>
        <w:rPr>
          <w:rFonts w:ascii="Perpetua" w:hAnsi="Perpetua"/>
        </w:rPr>
        <w:t>Ver secção 8.4 do anexo relativo aos dados estatísticos utilizados.</w:t>
      </w:r>
    </w:p>
  </w:footnote>
  <w:footnote w:id="123">
    <w:p w:rsidR="003926F6" w:rsidRPr="00200032" w:rsidRDefault="003926F6" w:rsidP="00200032">
      <w:pPr>
        <w:pStyle w:val="FootnoteText"/>
        <w:jc w:val="both"/>
        <w:rPr>
          <w:rFonts w:ascii="Perpetua" w:hAnsi="Perpetua"/>
        </w:rPr>
      </w:pPr>
      <w:r w:rsidRPr="00200032">
        <w:rPr>
          <w:rStyle w:val="FootnoteReference"/>
          <w:rFonts w:ascii="Perpetua" w:hAnsi="Perpetua"/>
        </w:rPr>
        <w:footnoteRef/>
      </w:r>
      <w:r w:rsidRPr="00200032">
        <w:rPr>
          <w:rFonts w:ascii="Perpetua" w:hAnsi="Perpetua"/>
        </w:rPr>
        <w:t xml:space="preserve"> </w:t>
      </w:r>
      <w:r w:rsidRPr="00200032">
        <w:rPr>
          <w:rFonts w:ascii="Perpetua" w:hAnsi="Perpetua"/>
          <w:i/>
        </w:rPr>
        <w:t>Vide</w:t>
      </w:r>
      <w:r w:rsidRPr="00200032">
        <w:rPr>
          <w:rFonts w:ascii="Perpetua" w:hAnsi="Perpetua"/>
        </w:rPr>
        <w:t xml:space="preserve"> ponto 9.1.3 do Anexo</w:t>
      </w:r>
      <w:r>
        <w:rPr>
          <w:rFonts w:ascii="Perpetua" w:hAnsi="Perpetua"/>
        </w:rPr>
        <w:t xml:space="preserve"> – </w:t>
      </w:r>
      <w:r w:rsidRPr="00200032">
        <w:rPr>
          <w:rFonts w:ascii="Perpetua" w:hAnsi="Perpetua"/>
        </w:rPr>
        <w:t>Gráficos e quadros auxiliares.</w:t>
      </w:r>
    </w:p>
  </w:footnote>
  <w:footnote w:id="124">
    <w:p w:rsidR="003926F6" w:rsidRPr="00200032" w:rsidRDefault="003926F6" w:rsidP="00200032">
      <w:pPr>
        <w:pStyle w:val="FootnoteText"/>
        <w:jc w:val="both"/>
        <w:rPr>
          <w:rFonts w:ascii="Perpetua" w:hAnsi="Perpetua"/>
        </w:rPr>
      </w:pPr>
      <w:r w:rsidRPr="00200032">
        <w:rPr>
          <w:rStyle w:val="FootnoteReference"/>
          <w:rFonts w:ascii="Perpetua" w:hAnsi="Perpetua"/>
        </w:rPr>
        <w:footnoteRef/>
      </w:r>
      <w:r w:rsidRPr="00200032">
        <w:rPr>
          <w:rFonts w:ascii="Perpetua" w:hAnsi="Perpetua"/>
        </w:rPr>
        <w:t xml:space="preserve"> </w:t>
      </w:r>
      <w:r w:rsidRPr="00A44A7C">
        <w:rPr>
          <w:rFonts w:ascii="Perpetua" w:hAnsi="Perpetua"/>
          <w:i/>
        </w:rPr>
        <w:t>Vide</w:t>
      </w:r>
      <w:r>
        <w:rPr>
          <w:rFonts w:ascii="Perpetua" w:hAnsi="Perpetua"/>
        </w:rPr>
        <w:t xml:space="preserve"> </w:t>
      </w:r>
      <w:r w:rsidRPr="00A44A7C">
        <w:rPr>
          <w:rFonts w:ascii="Perpetua" w:hAnsi="Perpetua"/>
          <w:i/>
        </w:rPr>
        <w:t>supra</w:t>
      </w:r>
      <w:r>
        <w:rPr>
          <w:rFonts w:ascii="Perpetua" w:hAnsi="Perpetua"/>
        </w:rPr>
        <w:t xml:space="preserve"> Quadros 5.11 e 5.13 e secção 9.2 do Anexo – Gráficos e quadros auxiliares. </w:t>
      </w:r>
    </w:p>
  </w:footnote>
  <w:footnote w:id="125">
    <w:p w:rsidR="003926F6" w:rsidRPr="00986CF7" w:rsidRDefault="003926F6" w:rsidP="00986CF7">
      <w:pPr>
        <w:pStyle w:val="FootnoteText"/>
        <w:jc w:val="both"/>
        <w:rPr>
          <w:rFonts w:ascii="Perpetua" w:hAnsi="Perpetua"/>
        </w:rPr>
      </w:pPr>
      <w:r w:rsidRPr="00986CF7">
        <w:rPr>
          <w:rStyle w:val="FootnoteReference"/>
          <w:rFonts w:ascii="Perpetua" w:hAnsi="Perpetua"/>
        </w:rPr>
        <w:footnoteRef/>
      </w:r>
      <w:r w:rsidRPr="00986CF7">
        <w:rPr>
          <w:rFonts w:ascii="Perpetua" w:hAnsi="Perpetua"/>
        </w:rPr>
        <w:t xml:space="preserve"> </w:t>
      </w:r>
      <w:r>
        <w:rPr>
          <w:rFonts w:ascii="Perpetua" w:hAnsi="Perpetua"/>
        </w:rPr>
        <w:t>Os resultados descritos foram verificados para todas as estimações efectuadas com excepção da regressão (4).</w:t>
      </w:r>
    </w:p>
  </w:footnote>
  <w:footnote w:id="126">
    <w:p w:rsidR="003926F6" w:rsidRPr="00916EC9" w:rsidRDefault="003926F6" w:rsidP="00916EC9">
      <w:pPr>
        <w:pStyle w:val="FootnoteText"/>
        <w:jc w:val="both"/>
        <w:rPr>
          <w:rFonts w:ascii="Perpetua" w:hAnsi="Perpetua"/>
        </w:rPr>
      </w:pPr>
      <w:r w:rsidRPr="00916EC9">
        <w:rPr>
          <w:rStyle w:val="FootnoteReference"/>
          <w:rFonts w:ascii="Perpetua" w:hAnsi="Perpetua"/>
        </w:rPr>
        <w:footnoteRef/>
      </w:r>
      <w:r w:rsidRPr="00916EC9">
        <w:rPr>
          <w:rFonts w:ascii="Perpetua" w:hAnsi="Perpetua"/>
        </w:rPr>
        <w:t xml:space="preserve"> Vide ponto 9.1.4. do Anexo – Gráficos e quadros auxiliares. </w:t>
      </w:r>
    </w:p>
  </w:footnote>
  <w:footnote w:id="127">
    <w:p w:rsidR="003926F6" w:rsidRPr="00F8134B" w:rsidRDefault="003926F6" w:rsidP="00F8134B">
      <w:pPr>
        <w:pStyle w:val="FootnoteText"/>
        <w:jc w:val="both"/>
        <w:rPr>
          <w:rFonts w:ascii="Perpetua" w:hAnsi="Perpetua"/>
        </w:rPr>
      </w:pPr>
      <w:r w:rsidRPr="00F8134B">
        <w:rPr>
          <w:rStyle w:val="FootnoteReference"/>
          <w:rFonts w:ascii="Perpetua" w:hAnsi="Perpetua"/>
        </w:rPr>
        <w:footnoteRef/>
      </w:r>
      <w:r w:rsidRPr="00F8134B">
        <w:rPr>
          <w:rFonts w:ascii="Perpetua" w:hAnsi="Perpetua"/>
        </w:rPr>
        <w:t xml:space="preserve"> O </w:t>
      </w:r>
      <w:r>
        <w:rPr>
          <w:rFonts w:ascii="Perpetua" w:hAnsi="Perpetua"/>
        </w:rPr>
        <w:t xml:space="preserve">coeficiente do </w:t>
      </w:r>
      <w:r w:rsidRPr="00F8134B">
        <w:rPr>
          <w:rFonts w:ascii="Perpetua" w:hAnsi="Perpetua"/>
        </w:rPr>
        <w:t xml:space="preserve">índice de poder de compra da comarca revelou-se </w:t>
      </w:r>
      <w:r>
        <w:rPr>
          <w:rFonts w:ascii="Perpetua" w:hAnsi="Perpetua"/>
        </w:rPr>
        <w:t xml:space="preserve">de sinal negativo e </w:t>
      </w:r>
      <w:r w:rsidRPr="00F8134B">
        <w:rPr>
          <w:rFonts w:ascii="Perpetua" w:hAnsi="Perpetua"/>
        </w:rPr>
        <w:t>estati</w:t>
      </w:r>
      <w:r>
        <w:rPr>
          <w:rFonts w:ascii="Perpetua" w:hAnsi="Perpetua"/>
        </w:rPr>
        <w:t>s</w:t>
      </w:r>
      <w:r w:rsidRPr="00F8134B">
        <w:rPr>
          <w:rFonts w:ascii="Perpetua" w:hAnsi="Perpetua"/>
        </w:rPr>
        <w:t xml:space="preserve">ticamente não significativo </w:t>
      </w:r>
      <w:r>
        <w:rPr>
          <w:rFonts w:ascii="Perpetua" w:hAnsi="Perpetua"/>
        </w:rPr>
        <w:t>e</w:t>
      </w:r>
      <w:r w:rsidRPr="00F8134B">
        <w:rPr>
          <w:rFonts w:ascii="Perpetua" w:hAnsi="Perpetua"/>
        </w:rPr>
        <w:t>m especificações que inclu</w:t>
      </w:r>
      <w:r>
        <w:rPr>
          <w:rFonts w:ascii="Perpetua" w:hAnsi="Perpetua"/>
        </w:rPr>
        <w:t xml:space="preserve">íam e </w:t>
      </w:r>
      <w:r w:rsidRPr="00F8134B">
        <w:rPr>
          <w:rFonts w:ascii="Perpetua" w:hAnsi="Perpetua"/>
        </w:rPr>
        <w:t xml:space="preserve">excluíam o PIB </w:t>
      </w:r>
      <w:r w:rsidRPr="00F8134B">
        <w:rPr>
          <w:rFonts w:ascii="Perpetua" w:hAnsi="Perpetua"/>
          <w:i/>
        </w:rPr>
        <w:t>per capita</w:t>
      </w:r>
      <w:r w:rsidRPr="00F8134B">
        <w:rPr>
          <w:rFonts w:ascii="Perpetua" w:hAnsi="Perpetua"/>
        </w:rPr>
        <w:t>.</w:t>
      </w:r>
    </w:p>
  </w:footnote>
  <w:footnote w:id="128">
    <w:p w:rsidR="003926F6" w:rsidRPr="0061509A" w:rsidRDefault="003926F6" w:rsidP="0061509A">
      <w:pPr>
        <w:pStyle w:val="FootnoteText"/>
        <w:jc w:val="both"/>
        <w:rPr>
          <w:rFonts w:ascii="Perpetua" w:hAnsi="Perpetua"/>
        </w:rPr>
      </w:pPr>
      <w:r w:rsidRPr="0061509A">
        <w:rPr>
          <w:rStyle w:val="FootnoteReference"/>
          <w:rFonts w:ascii="Perpetua" w:hAnsi="Perpetua"/>
        </w:rPr>
        <w:footnoteRef/>
      </w:r>
      <w:r w:rsidRPr="0061509A">
        <w:rPr>
          <w:rFonts w:ascii="Perpetua" w:hAnsi="Perpetua"/>
        </w:rPr>
        <w:t xml:space="preserve"> Sem que nunca tenham sido publicados trabalhos que verifiquem empiricamente a hipótese de que a maior parte dos tribunais do sistema judicial português operam em zonas subóptimas</w:t>
      </w:r>
      <w:r>
        <w:rPr>
          <w:rFonts w:ascii="Perpetua" w:hAnsi="Perpetua"/>
        </w:rPr>
        <w:t>,</w:t>
      </w:r>
      <w:r w:rsidRPr="0061509A">
        <w:rPr>
          <w:rFonts w:ascii="Perpetua" w:hAnsi="Perpetua"/>
        </w:rPr>
        <w:t xml:space="preserve"> devido à existência de economias de escala e especialização, estas </w:t>
      </w:r>
      <w:r>
        <w:rPr>
          <w:rFonts w:ascii="Perpetua" w:hAnsi="Perpetua"/>
        </w:rPr>
        <w:t xml:space="preserve">propriedades da tecnologia de produção </w:t>
      </w:r>
      <w:r w:rsidRPr="0061509A">
        <w:rPr>
          <w:rFonts w:ascii="Perpetua" w:hAnsi="Perpetua"/>
        </w:rPr>
        <w:t xml:space="preserve">são frequentemente assumidas na definição e avaliação das políticas públicas do sistema judicial. </w:t>
      </w:r>
      <w:r w:rsidRPr="0061509A">
        <w:rPr>
          <w:rFonts w:ascii="Perpetua" w:hAnsi="Perpetua"/>
          <w:i/>
        </w:rPr>
        <w:t>Vide</w:t>
      </w:r>
      <w:r w:rsidRPr="0061509A">
        <w:rPr>
          <w:rFonts w:ascii="Perpetua" w:hAnsi="Perpetua"/>
        </w:rPr>
        <w:t>, p</w:t>
      </w:r>
      <w:r>
        <w:rPr>
          <w:rFonts w:ascii="Perpetua" w:hAnsi="Perpetua"/>
        </w:rPr>
        <w:t>o</w:t>
      </w:r>
      <w:r w:rsidRPr="0061509A">
        <w:rPr>
          <w:rFonts w:ascii="Perpetua" w:hAnsi="Perpetua"/>
        </w:rPr>
        <w:t xml:space="preserve">r </w:t>
      </w:r>
      <w:r>
        <w:rPr>
          <w:rFonts w:ascii="Perpetua" w:hAnsi="Perpetua"/>
        </w:rPr>
        <w:t xml:space="preserve">exemplo, Antunes </w:t>
      </w:r>
      <w:r w:rsidRPr="0061509A">
        <w:rPr>
          <w:rFonts w:ascii="Perpetua" w:hAnsi="Perpetua"/>
          <w:i/>
        </w:rPr>
        <w:t>et al.</w:t>
      </w:r>
      <w:r>
        <w:rPr>
          <w:rFonts w:ascii="Perpetua" w:hAnsi="Perpetua"/>
        </w:rPr>
        <w:t xml:space="preserve"> (2007:44-46).</w:t>
      </w:r>
    </w:p>
  </w:footnote>
  <w:footnote w:id="129">
    <w:p w:rsidR="003926F6" w:rsidRPr="0041760E" w:rsidRDefault="003926F6" w:rsidP="0041760E">
      <w:pPr>
        <w:pStyle w:val="FootnoteText"/>
        <w:jc w:val="both"/>
        <w:rPr>
          <w:rFonts w:ascii="Perpetua" w:hAnsi="Perpetua"/>
        </w:rPr>
      </w:pPr>
      <w:r w:rsidRPr="0041760E">
        <w:rPr>
          <w:rStyle w:val="FootnoteReference"/>
          <w:rFonts w:ascii="Perpetua" w:hAnsi="Perpetua"/>
        </w:rPr>
        <w:footnoteRef/>
      </w:r>
      <w:r w:rsidRPr="0041760E">
        <w:rPr>
          <w:rFonts w:ascii="Perpetua" w:hAnsi="Perpetua"/>
        </w:rPr>
        <w:t xml:space="preserve"> </w:t>
      </w:r>
      <w:r w:rsidRPr="0041760E">
        <w:rPr>
          <w:rFonts w:ascii="Perpetua" w:hAnsi="Perpetua"/>
          <w:i/>
        </w:rPr>
        <w:t>Vide</w:t>
      </w:r>
      <w:r w:rsidRPr="0041760E">
        <w:rPr>
          <w:rFonts w:ascii="Perpetua" w:hAnsi="Perpetua"/>
        </w:rPr>
        <w:t xml:space="preserve"> Antunes </w:t>
      </w:r>
      <w:r w:rsidRPr="0041760E">
        <w:rPr>
          <w:rFonts w:ascii="Perpetua" w:hAnsi="Perpetua"/>
          <w:i/>
        </w:rPr>
        <w:t>et al</w:t>
      </w:r>
      <w:r w:rsidRPr="0041760E">
        <w:rPr>
          <w:rFonts w:ascii="Perpetua" w:hAnsi="Perpetua"/>
        </w:rPr>
        <w:t>. (2007).</w:t>
      </w:r>
    </w:p>
  </w:footnote>
  <w:footnote w:id="130">
    <w:p w:rsidR="003926F6" w:rsidRPr="0041760E" w:rsidRDefault="003926F6" w:rsidP="0041760E">
      <w:pPr>
        <w:pStyle w:val="FootnoteText"/>
        <w:jc w:val="both"/>
        <w:rPr>
          <w:rFonts w:ascii="Perpetua" w:hAnsi="Perpetua"/>
        </w:rPr>
      </w:pPr>
      <w:r w:rsidRPr="0041760E">
        <w:rPr>
          <w:rStyle w:val="FootnoteReference"/>
          <w:rFonts w:ascii="Perpetua" w:hAnsi="Perpetua"/>
        </w:rPr>
        <w:footnoteRef/>
      </w:r>
      <w:r w:rsidRPr="0041760E">
        <w:rPr>
          <w:rFonts w:ascii="Perpetua" w:hAnsi="Perpetua"/>
        </w:rPr>
        <w:t xml:space="preserve"> </w:t>
      </w:r>
      <w:r>
        <w:rPr>
          <w:rFonts w:ascii="Perpetua" w:hAnsi="Perpetua"/>
        </w:rPr>
        <w:t>A</w:t>
      </w:r>
      <w:r w:rsidRPr="0041760E">
        <w:rPr>
          <w:rFonts w:ascii="Perpetua" w:hAnsi="Perpetua"/>
        </w:rPr>
        <w:t xml:space="preserve"> investigação sobre o sistema judicial beneficiaria muito da publicação de um livro que, de forma sintética e sem citar constantemente os textos legislativos, descrevesse, no plano legislativo e empírico, as principais instituições (</w:t>
      </w:r>
      <w:r w:rsidRPr="0041760E">
        <w:rPr>
          <w:rFonts w:ascii="Perpetua" w:hAnsi="Perpetua"/>
          <w:i/>
        </w:rPr>
        <w:t>lato sensu</w:t>
      </w:r>
      <w:r w:rsidRPr="0041760E">
        <w:rPr>
          <w:rFonts w:ascii="Perpetua" w:hAnsi="Perpetua"/>
        </w:rPr>
        <w:t>) do sistema judicial português.</w:t>
      </w:r>
    </w:p>
  </w:footnote>
  <w:footnote w:id="131">
    <w:p w:rsidR="003926F6" w:rsidRPr="00A3428F" w:rsidRDefault="003926F6" w:rsidP="00F72F49">
      <w:pPr>
        <w:pStyle w:val="FootnoteText"/>
        <w:jc w:val="both"/>
        <w:rPr>
          <w:rFonts w:ascii="Perpetua" w:hAnsi="Perpetua"/>
        </w:rPr>
      </w:pPr>
      <w:r w:rsidRPr="00A3428F">
        <w:rPr>
          <w:rStyle w:val="FootnoteReference"/>
          <w:rFonts w:ascii="Perpetua" w:hAnsi="Perpetua"/>
        </w:rPr>
        <w:footnoteRef/>
      </w:r>
      <w:r w:rsidRPr="00A3428F">
        <w:rPr>
          <w:rFonts w:ascii="Perpetua" w:hAnsi="Perpetua"/>
        </w:rPr>
        <w:t xml:space="preserve"> As Estatísticas da Justiça </w:t>
      </w:r>
      <w:r>
        <w:rPr>
          <w:rFonts w:ascii="Perpetua" w:hAnsi="Perpetua"/>
        </w:rPr>
        <w:t xml:space="preserve">eram publicadas em papel e com frequência anual até 2002, inclusive, e estão </w:t>
      </w:r>
      <w:r w:rsidRPr="00A3428F">
        <w:rPr>
          <w:rFonts w:ascii="Perpetua" w:hAnsi="Perpetua"/>
        </w:rPr>
        <w:t>ace</w:t>
      </w:r>
      <w:r>
        <w:rPr>
          <w:rFonts w:ascii="Perpetua" w:hAnsi="Perpetua"/>
        </w:rPr>
        <w:t>ssíveis na biblioteca do Instituto Nacional de Estatística (INE). As Estatísticas da Justiça dos anos subsequentes estão disponíveis ao</w:t>
      </w:r>
      <w:r w:rsidRPr="00A3428F">
        <w:rPr>
          <w:rFonts w:ascii="Perpetua" w:hAnsi="Perpetua"/>
        </w:rPr>
        <w:t xml:space="preserve"> público em </w:t>
      </w:r>
      <w:hyperlink r:id="rId7" w:history="1">
        <w:r w:rsidRPr="00A3428F">
          <w:rPr>
            <w:rStyle w:val="Hyperlink"/>
            <w:rFonts w:ascii="Perpetua" w:hAnsi="Perpetua"/>
          </w:rPr>
          <w:t>www.siej.dgpj.mj.pt/estatisticas.html</w:t>
        </w:r>
      </w:hyperlink>
      <w:r w:rsidRPr="00A3428F">
        <w:rPr>
          <w:rFonts w:ascii="Perpetua" w:hAnsi="Perpetua"/>
        </w:rPr>
        <w:t xml:space="preserve">. </w:t>
      </w:r>
      <w:r>
        <w:rPr>
          <w:rFonts w:ascii="Perpetua" w:hAnsi="Perpetua"/>
        </w:rPr>
        <w:t>O Instituto Nacional de Estatística (INE) assegurou a produção das Estatísticas da Justiça até 1982, estando desde então essa competência delegada na DGPJ (ex-Gabinete de Política Legislativa e Planeamento, GPLP).</w:t>
      </w:r>
    </w:p>
  </w:footnote>
  <w:footnote w:id="132">
    <w:p w:rsidR="003926F6" w:rsidRPr="00637678" w:rsidRDefault="003926F6" w:rsidP="00F72F49">
      <w:pPr>
        <w:pStyle w:val="FootnoteText"/>
        <w:jc w:val="both"/>
        <w:rPr>
          <w:rFonts w:ascii="Perpetua" w:hAnsi="Perpetua"/>
        </w:rPr>
      </w:pPr>
      <w:r w:rsidRPr="00637678">
        <w:rPr>
          <w:rStyle w:val="FootnoteReference"/>
          <w:rFonts w:ascii="Perpetua" w:hAnsi="Perpetua"/>
        </w:rPr>
        <w:footnoteRef/>
      </w:r>
      <w:r w:rsidRPr="00637678">
        <w:rPr>
          <w:rFonts w:ascii="Perpetua" w:hAnsi="Perpetua"/>
        </w:rPr>
        <w:t xml:space="preserve"> Aplica-se também aos processos de execução de penas, mas as categorias são outras específicas desse tipo de espécie de processo.</w:t>
      </w:r>
    </w:p>
  </w:footnote>
  <w:footnote w:id="133">
    <w:p w:rsidR="003926F6" w:rsidRPr="0003674D" w:rsidRDefault="003926F6" w:rsidP="00F72F49">
      <w:pPr>
        <w:pStyle w:val="FootnoteText"/>
        <w:jc w:val="both"/>
        <w:rPr>
          <w:rFonts w:ascii="Perpetua" w:hAnsi="Perpetua"/>
        </w:rPr>
      </w:pPr>
      <w:r w:rsidRPr="0003674D">
        <w:rPr>
          <w:rStyle w:val="FootnoteReference"/>
          <w:rFonts w:ascii="Perpetua" w:hAnsi="Perpetua"/>
        </w:rPr>
        <w:footnoteRef/>
      </w:r>
      <w:r w:rsidRPr="0003674D">
        <w:rPr>
          <w:rFonts w:ascii="Perpetua" w:hAnsi="Perpetua"/>
        </w:rPr>
        <w:t xml:space="preserve"> Exclui as formas de processo associadas aos processos de execução de penas, no âmbito da justiça penal.</w:t>
      </w:r>
    </w:p>
  </w:footnote>
  <w:footnote w:id="134">
    <w:p w:rsidR="003926F6" w:rsidRPr="0003674D" w:rsidRDefault="003926F6" w:rsidP="00F72F49">
      <w:pPr>
        <w:pStyle w:val="FootnoteText"/>
        <w:jc w:val="both"/>
        <w:rPr>
          <w:rFonts w:ascii="Perpetua" w:hAnsi="Perpetua"/>
        </w:rPr>
      </w:pPr>
      <w:r w:rsidRPr="0003674D">
        <w:rPr>
          <w:rStyle w:val="FootnoteReference"/>
          <w:rFonts w:ascii="Perpetua" w:hAnsi="Perpetua"/>
        </w:rPr>
        <w:footnoteRef/>
      </w:r>
      <w:r w:rsidRPr="0003674D">
        <w:rPr>
          <w:rFonts w:ascii="Perpetua" w:hAnsi="Perpetua"/>
        </w:rPr>
        <w:t xml:space="preserve"> A não compatibilidade entre os dois instrumentos de notação estatística foi explicada com maior detalhe </w:t>
      </w:r>
      <w:r>
        <w:rPr>
          <w:rFonts w:ascii="Perpetua" w:hAnsi="Perpetua"/>
        </w:rPr>
        <w:t xml:space="preserve">em </w:t>
      </w:r>
      <w:r w:rsidRPr="0003674D">
        <w:rPr>
          <w:rFonts w:ascii="Perpetua" w:hAnsi="Perpetua"/>
        </w:rPr>
        <w:t>OPJ (2005:344-346).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C13BC"/>
    <w:multiLevelType w:val="multilevel"/>
    <w:tmpl w:val="0E9AA4F2"/>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
    <w:nsid w:val="06ED67D1"/>
    <w:multiLevelType w:val="multilevel"/>
    <w:tmpl w:val="2B68C1C4"/>
    <w:lvl w:ilvl="0">
      <w:start w:val="1"/>
      <w:numFmt w:val="decimal"/>
      <w:pStyle w:val="Heading1"/>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4"/>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
    <w:nsid w:val="11D9569B"/>
    <w:multiLevelType w:val="hybridMultilevel"/>
    <w:tmpl w:val="A5A064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175A1BD0"/>
    <w:multiLevelType w:val="hybridMultilevel"/>
    <w:tmpl w:val="E788E75E"/>
    <w:lvl w:ilvl="0" w:tplc="08160015">
      <w:start w:val="1"/>
      <w:numFmt w:val="upperLetter"/>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
    <w:nsid w:val="20290824"/>
    <w:multiLevelType w:val="hybridMultilevel"/>
    <w:tmpl w:val="7350328C"/>
    <w:lvl w:ilvl="0" w:tplc="FB6E72A4">
      <w:start w:val="1"/>
      <w:numFmt w:val="decimal"/>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5">
    <w:nsid w:val="341C66D8"/>
    <w:multiLevelType w:val="hybridMultilevel"/>
    <w:tmpl w:val="697640E6"/>
    <w:lvl w:ilvl="0" w:tplc="91E80E06">
      <w:start w:val="1"/>
      <w:numFmt w:val="decimal"/>
      <w:lvlText w:val="%1."/>
      <w:lvlJc w:val="left"/>
      <w:pPr>
        <w:ind w:left="1080" w:hanging="360"/>
      </w:p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6">
    <w:nsid w:val="45227083"/>
    <w:multiLevelType w:val="hybridMultilevel"/>
    <w:tmpl w:val="6EFA014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nsid w:val="4B5E1850"/>
    <w:multiLevelType w:val="hybridMultilevel"/>
    <w:tmpl w:val="D4507FAC"/>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8">
    <w:nsid w:val="62A35D34"/>
    <w:multiLevelType w:val="hybridMultilevel"/>
    <w:tmpl w:val="D9E4BCA0"/>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9">
    <w:nsid w:val="77D85920"/>
    <w:multiLevelType w:val="hybridMultilevel"/>
    <w:tmpl w:val="3B0CA58C"/>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8"/>
  </w:num>
  <w:num w:numId="2">
    <w:abstractNumId w:val="0"/>
  </w:num>
  <w:num w:numId="3">
    <w:abstractNumId w:val="4"/>
  </w:num>
  <w:num w:numId="4">
    <w:abstractNumId w:val="9"/>
  </w:num>
  <w:num w:numId="5">
    <w:abstractNumId w:val="1"/>
  </w:num>
  <w:num w:numId="6">
    <w:abstractNumId w:val="5"/>
  </w:num>
  <w:num w:numId="7">
    <w:abstractNumId w:val="2"/>
  </w:num>
  <w:num w:numId="8">
    <w:abstractNumId w:val="3"/>
  </w:num>
  <w:num w:numId="9">
    <w:abstractNumId w:val="6"/>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ocumentProtection w:edit="readOnly" w:formatting="1" w:enforcement="1" w:cryptProviderType="rsaFull" w:cryptAlgorithmClass="hash" w:cryptAlgorithmType="typeAny" w:cryptAlgorithmSid="4" w:cryptSpinCount="50000" w:hash="9FsievvX2ASU0U9ABQtgFuJRZZ0=" w:salt="smbderoHUpGnulG8RisPJQ=="/>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3F0303"/>
    <w:rsid w:val="00001091"/>
    <w:rsid w:val="0000114F"/>
    <w:rsid w:val="00001B9B"/>
    <w:rsid w:val="00001BF7"/>
    <w:rsid w:val="00003E5F"/>
    <w:rsid w:val="000043AA"/>
    <w:rsid w:val="00004B72"/>
    <w:rsid w:val="00016489"/>
    <w:rsid w:val="00021DA8"/>
    <w:rsid w:val="00023D2C"/>
    <w:rsid w:val="00024B14"/>
    <w:rsid w:val="000276FC"/>
    <w:rsid w:val="00032388"/>
    <w:rsid w:val="00033AD2"/>
    <w:rsid w:val="00043617"/>
    <w:rsid w:val="00046408"/>
    <w:rsid w:val="00047ABC"/>
    <w:rsid w:val="0005176B"/>
    <w:rsid w:val="0005518B"/>
    <w:rsid w:val="000563A0"/>
    <w:rsid w:val="00062E4C"/>
    <w:rsid w:val="000652C8"/>
    <w:rsid w:val="00066D30"/>
    <w:rsid w:val="0007289A"/>
    <w:rsid w:val="00074D82"/>
    <w:rsid w:val="00075322"/>
    <w:rsid w:val="00081B4F"/>
    <w:rsid w:val="0008294A"/>
    <w:rsid w:val="000834DF"/>
    <w:rsid w:val="0008426C"/>
    <w:rsid w:val="0008507C"/>
    <w:rsid w:val="000867F1"/>
    <w:rsid w:val="000A3FBA"/>
    <w:rsid w:val="000A5EB4"/>
    <w:rsid w:val="000A6808"/>
    <w:rsid w:val="000D22C2"/>
    <w:rsid w:val="000D290D"/>
    <w:rsid w:val="000D3AF1"/>
    <w:rsid w:val="000D46E5"/>
    <w:rsid w:val="000D64B3"/>
    <w:rsid w:val="000D66F0"/>
    <w:rsid w:val="000D6D7D"/>
    <w:rsid w:val="000E5B21"/>
    <w:rsid w:val="000E64E3"/>
    <w:rsid w:val="000E75AA"/>
    <w:rsid w:val="000F3B93"/>
    <w:rsid w:val="000F4036"/>
    <w:rsid w:val="000F61D4"/>
    <w:rsid w:val="00100526"/>
    <w:rsid w:val="00101158"/>
    <w:rsid w:val="001037C2"/>
    <w:rsid w:val="00112BCD"/>
    <w:rsid w:val="00113AEB"/>
    <w:rsid w:val="00114491"/>
    <w:rsid w:val="00116029"/>
    <w:rsid w:val="00117B93"/>
    <w:rsid w:val="00124B2F"/>
    <w:rsid w:val="0012598B"/>
    <w:rsid w:val="00134115"/>
    <w:rsid w:val="001341D0"/>
    <w:rsid w:val="00136D27"/>
    <w:rsid w:val="00140215"/>
    <w:rsid w:val="001405D9"/>
    <w:rsid w:val="00150548"/>
    <w:rsid w:val="00152B7C"/>
    <w:rsid w:val="00163AC2"/>
    <w:rsid w:val="001658CE"/>
    <w:rsid w:val="001758CA"/>
    <w:rsid w:val="0019051F"/>
    <w:rsid w:val="001912A0"/>
    <w:rsid w:val="00194D59"/>
    <w:rsid w:val="00197580"/>
    <w:rsid w:val="001A0442"/>
    <w:rsid w:val="001A4B0F"/>
    <w:rsid w:val="001A72BC"/>
    <w:rsid w:val="001A74AF"/>
    <w:rsid w:val="001B41BD"/>
    <w:rsid w:val="001B48A6"/>
    <w:rsid w:val="001B4F29"/>
    <w:rsid w:val="001C286C"/>
    <w:rsid w:val="001D30CE"/>
    <w:rsid w:val="001E2385"/>
    <w:rsid w:val="001E5B3A"/>
    <w:rsid w:val="001E7F2B"/>
    <w:rsid w:val="001F0455"/>
    <w:rsid w:val="001F0D7F"/>
    <w:rsid w:val="001F165C"/>
    <w:rsid w:val="001F23A9"/>
    <w:rsid w:val="00200032"/>
    <w:rsid w:val="00203A89"/>
    <w:rsid w:val="0020785C"/>
    <w:rsid w:val="00207CB5"/>
    <w:rsid w:val="00214DA4"/>
    <w:rsid w:val="00223166"/>
    <w:rsid w:val="00223784"/>
    <w:rsid w:val="00233FE7"/>
    <w:rsid w:val="00236E0E"/>
    <w:rsid w:val="002371D7"/>
    <w:rsid w:val="00243FBA"/>
    <w:rsid w:val="00244789"/>
    <w:rsid w:val="00246966"/>
    <w:rsid w:val="002510ED"/>
    <w:rsid w:val="002538BA"/>
    <w:rsid w:val="00255007"/>
    <w:rsid w:val="00257B82"/>
    <w:rsid w:val="00260F8E"/>
    <w:rsid w:val="00261BD1"/>
    <w:rsid w:val="00265411"/>
    <w:rsid w:val="00266E4D"/>
    <w:rsid w:val="0028201E"/>
    <w:rsid w:val="00284F86"/>
    <w:rsid w:val="00286168"/>
    <w:rsid w:val="002871C2"/>
    <w:rsid w:val="00294D02"/>
    <w:rsid w:val="0029523E"/>
    <w:rsid w:val="002A56EA"/>
    <w:rsid w:val="002B0F29"/>
    <w:rsid w:val="002B481A"/>
    <w:rsid w:val="002B48BB"/>
    <w:rsid w:val="002B621E"/>
    <w:rsid w:val="002B7CAE"/>
    <w:rsid w:val="002C0D86"/>
    <w:rsid w:val="002C11FE"/>
    <w:rsid w:val="002C4C83"/>
    <w:rsid w:val="002C52A9"/>
    <w:rsid w:val="002C6D1F"/>
    <w:rsid w:val="002E3DC5"/>
    <w:rsid w:val="002E55FE"/>
    <w:rsid w:val="002E57D1"/>
    <w:rsid w:val="002E7A36"/>
    <w:rsid w:val="002F233D"/>
    <w:rsid w:val="002F5F38"/>
    <w:rsid w:val="002F697D"/>
    <w:rsid w:val="00300CAC"/>
    <w:rsid w:val="00301127"/>
    <w:rsid w:val="003018B8"/>
    <w:rsid w:val="003042EF"/>
    <w:rsid w:val="0030599F"/>
    <w:rsid w:val="00305B73"/>
    <w:rsid w:val="003065B4"/>
    <w:rsid w:val="003110A9"/>
    <w:rsid w:val="00313C4C"/>
    <w:rsid w:val="003225E1"/>
    <w:rsid w:val="003275EC"/>
    <w:rsid w:val="003307E7"/>
    <w:rsid w:val="0033195E"/>
    <w:rsid w:val="00333D35"/>
    <w:rsid w:val="00335A3D"/>
    <w:rsid w:val="00335FED"/>
    <w:rsid w:val="00337857"/>
    <w:rsid w:val="00340DFD"/>
    <w:rsid w:val="0034382C"/>
    <w:rsid w:val="00347102"/>
    <w:rsid w:val="003607F6"/>
    <w:rsid w:val="00364021"/>
    <w:rsid w:val="0036554A"/>
    <w:rsid w:val="00366942"/>
    <w:rsid w:val="00371A0E"/>
    <w:rsid w:val="00373EEE"/>
    <w:rsid w:val="00374F60"/>
    <w:rsid w:val="00383A71"/>
    <w:rsid w:val="00384EC7"/>
    <w:rsid w:val="00385134"/>
    <w:rsid w:val="0038553F"/>
    <w:rsid w:val="0038606A"/>
    <w:rsid w:val="003903D0"/>
    <w:rsid w:val="003926F6"/>
    <w:rsid w:val="00392AC1"/>
    <w:rsid w:val="003A79EC"/>
    <w:rsid w:val="003B4AE8"/>
    <w:rsid w:val="003C1B6C"/>
    <w:rsid w:val="003C247E"/>
    <w:rsid w:val="003C59E8"/>
    <w:rsid w:val="003C6762"/>
    <w:rsid w:val="003D1345"/>
    <w:rsid w:val="003E1D20"/>
    <w:rsid w:val="003E60C5"/>
    <w:rsid w:val="003F016B"/>
    <w:rsid w:val="003F0303"/>
    <w:rsid w:val="003F04AC"/>
    <w:rsid w:val="0041216C"/>
    <w:rsid w:val="0041266D"/>
    <w:rsid w:val="0041268E"/>
    <w:rsid w:val="004165D5"/>
    <w:rsid w:val="0041760E"/>
    <w:rsid w:val="0042072E"/>
    <w:rsid w:val="00420EEE"/>
    <w:rsid w:val="0042197A"/>
    <w:rsid w:val="00421B0D"/>
    <w:rsid w:val="00422133"/>
    <w:rsid w:val="00437A83"/>
    <w:rsid w:val="00447101"/>
    <w:rsid w:val="00451732"/>
    <w:rsid w:val="00452271"/>
    <w:rsid w:val="00453C5E"/>
    <w:rsid w:val="004565DC"/>
    <w:rsid w:val="00456968"/>
    <w:rsid w:val="00466996"/>
    <w:rsid w:val="00467CB1"/>
    <w:rsid w:val="00470EB1"/>
    <w:rsid w:val="00473BA0"/>
    <w:rsid w:val="004745EF"/>
    <w:rsid w:val="0048473F"/>
    <w:rsid w:val="00484CA8"/>
    <w:rsid w:val="00491142"/>
    <w:rsid w:val="00491B01"/>
    <w:rsid w:val="00494E37"/>
    <w:rsid w:val="00495A48"/>
    <w:rsid w:val="004A3131"/>
    <w:rsid w:val="004A5E65"/>
    <w:rsid w:val="004A7A47"/>
    <w:rsid w:val="004B117A"/>
    <w:rsid w:val="004B1E5A"/>
    <w:rsid w:val="004B3830"/>
    <w:rsid w:val="004B387F"/>
    <w:rsid w:val="004B6165"/>
    <w:rsid w:val="004B7547"/>
    <w:rsid w:val="004B7B96"/>
    <w:rsid w:val="004C16B2"/>
    <w:rsid w:val="004C43CE"/>
    <w:rsid w:val="004C4E17"/>
    <w:rsid w:val="004C5A33"/>
    <w:rsid w:val="004C778C"/>
    <w:rsid w:val="004D29E2"/>
    <w:rsid w:val="004D2B75"/>
    <w:rsid w:val="004D3394"/>
    <w:rsid w:val="004D4992"/>
    <w:rsid w:val="004D68A8"/>
    <w:rsid w:val="004E1CF2"/>
    <w:rsid w:val="004E5D3A"/>
    <w:rsid w:val="004E5E2C"/>
    <w:rsid w:val="004E74B7"/>
    <w:rsid w:val="004F0847"/>
    <w:rsid w:val="004F095F"/>
    <w:rsid w:val="004F33CE"/>
    <w:rsid w:val="004F5CE4"/>
    <w:rsid w:val="004F62C2"/>
    <w:rsid w:val="00504CB2"/>
    <w:rsid w:val="005116F1"/>
    <w:rsid w:val="00513304"/>
    <w:rsid w:val="0051394F"/>
    <w:rsid w:val="005209B3"/>
    <w:rsid w:val="00522AEC"/>
    <w:rsid w:val="00522FBB"/>
    <w:rsid w:val="0052311D"/>
    <w:rsid w:val="00531146"/>
    <w:rsid w:val="00545786"/>
    <w:rsid w:val="0056393A"/>
    <w:rsid w:val="00564D8F"/>
    <w:rsid w:val="005708D9"/>
    <w:rsid w:val="0058032C"/>
    <w:rsid w:val="00581148"/>
    <w:rsid w:val="005830C0"/>
    <w:rsid w:val="00583BAE"/>
    <w:rsid w:val="00593732"/>
    <w:rsid w:val="005A512D"/>
    <w:rsid w:val="005A5B23"/>
    <w:rsid w:val="005A70A9"/>
    <w:rsid w:val="005B1AC1"/>
    <w:rsid w:val="005B3D63"/>
    <w:rsid w:val="005B61B3"/>
    <w:rsid w:val="005B70AC"/>
    <w:rsid w:val="005C53FB"/>
    <w:rsid w:val="005C65BF"/>
    <w:rsid w:val="005D0EE1"/>
    <w:rsid w:val="005D16DD"/>
    <w:rsid w:val="005D2136"/>
    <w:rsid w:val="005D381B"/>
    <w:rsid w:val="005D7933"/>
    <w:rsid w:val="005D7E0A"/>
    <w:rsid w:val="005D7E8C"/>
    <w:rsid w:val="005E0CFA"/>
    <w:rsid w:val="005E4978"/>
    <w:rsid w:val="005F1383"/>
    <w:rsid w:val="005F43C6"/>
    <w:rsid w:val="005F4573"/>
    <w:rsid w:val="005F4CCF"/>
    <w:rsid w:val="00605FDF"/>
    <w:rsid w:val="00611C32"/>
    <w:rsid w:val="00612EB1"/>
    <w:rsid w:val="00614B4C"/>
    <w:rsid w:val="0061509A"/>
    <w:rsid w:val="00616B80"/>
    <w:rsid w:val="0061700C"/>
    <w:rsid w:val="006215F8"/>
    <w:rsid w:val="00621630"/>
    <w:rsid w:val="006216D5"/>
    <w:rsid w:val="006220F9"/>
    <w:rsid w:val="0062363F"/>
    <w:rsid w:val="006261B6"/>
    <w:rsid w:val="00626D7C"/>
    <w:rsid w:val="00637907"/>
    <w:rsid w:val="00640DD9"/>
    <w:rsid w:val="00641166"/>
    <w:rsid w:val="0064421D"/>
    <w:rsid w:val="00650C5D"/>
    <w:rsid w:val="00666595"/>
    <w:rsid w:val="006738AA"/>
    <w:rsid w:val="00674E69"/>
    <w:rsid w:val="00676D5F"/>
    <w:rsid w:val="0068291A"/>
    <w:rsid w:val="00686A0A"/>
    <w:rsid w:val="006902F2"/>
    <w:rsid w:val="006935CF"/>
    <w:rsid w:val="006936E3"/>
    <w:rsid w:val="0069764C"/>
    <w:rsid w:val="00697A22"/>
    <w:rsid w:val="006A02A0"/>
    <w:rsid w:val="006A203A"/>
    <w:rsid w:val="006A2A38"/>
    <w:rsid w:val="006B11DD"/>
    <w:rsid w:val="006B13D3"/>
    <w:rsid w:val="006B56CA"/>
    <w:rsid w:val="006C2BA3"/>
    <w:rsid w:val="006C45D8"/>
    <w:rsid w:val="006C588A"/>
    <w:rsid w:val="006C6659"/>
    <w:rsid w:val="006D0C0A"/>
    <w:rsid w:val="006D248E"/>
    <w:rsid w:val="006D38CE"/>
    <w:rsid w:val="006E38A4"/>
    <w:rsid w:val="006E47D9"/>
    <w:rsid w:val="006E63C3"/>
    <w:rsid w:val="006F1624"/>
    <w:rsid w:val="006F298D"/>
    <w:rsid w:val="006F6EAA"/>
    <w:rsid w:val="006F7830"/>
    <w:rsid w:val="00700A96"/>
    <w:rsid w:val="00701011"/>
    <w:rsid w:val="00702091"/>
    <w:rsid w:val="007170E2"/>
    <w:rsid w:val="00717DE7"/>
    <w:rsid w:val="00720983"/>
    <w:rsid w:val="00723265"/>
    <w:rsid w:val="007244D9"/>
    <w:rsid w:val="00731C18"/>
    <w:rsid w:val="007333B3"/>
    <w:rsid w:val="00734342"/>
    <w:rsid w:val="007374A3"/>
    <w:rsid w:val="007402D7"/>
    <w:rsid w:val="0074453C"/>
    <w:rsid w:val="00744CBE"/>
    <w:rsid w:val="00745F10"/>
    <w:rsid w:val="0076276C"/>
    <w:rsid w:val="007635C8"/>
    <w:rsid w:val="00764600"/>
    <w:rsid w:val="007648DC"/>
    <w:rsid w:val="007722BE"/>
    <w:rsid w:val="007735F2"/>
    <w:rsid w:val="0077398C"/>
    <w:rsid w:val="0077492D"/>
    <w:rsid w:val="007750D1"/>
    <w:rsid w:val="007821DD"/>
    <w:rsid w:val="0078380B"/>
    <w:rsid w:val="00784046"/>
    <w:rsid w:val="007848CA"/>
    <w:rsid w:val="00784A6C"/>
    <w:rsid w:val="00785FBD"/>
    <w:rsid w:val="00787973"/>
    <w:rsid w:val="00787B7F"/>
    <w:rsid w:val="00792F18"/>
    <w:rsid w:val="00797EEB"/>
    <w:rsid w:val="007A4344"/>
    <w:rsid w:val="007B1EAA"/>
    <w:rsid w:val="007B2B0C"/>
    <w:rsid w:val="007B30C1"/>
    <w:rsid w:val="007C1F13"/>
    <w:rsid w:val="007C4EFF"/>
    <w:rsid w:val="007D00E8"/>
    <w:rsid w:val="007D3F20"/>
    <w:rsid w:val="007E00D3"/>
    <w:rsid w:val="007E527C"/>
    <w:rsid w:val="007E6423"/>
    <w:rsid w:val="007F01BB"/>
    <w:rsid w:val="007F1308"/>
    <w:rsid w:val="007F1B7D"/>
    <w:rsid w:val="00800500"/>
    <w:rsid w:val="008022BA"/>
    <w:rsid w:val="0080386E"/>
    <w:rsid w:val="00806D9D"/>
    <w:rsid w:val="00810D9D"/>
    <w:rsid w:val="00816EED"/>
    <w:rsid w:val="0082218B"/>
    <w:rsid w:val="00823DBA"/>
    <w:rsid w:val="008255AE"/>
    <w:rsid w:val="00825F90"/>
    <w:rsid w:val="00826DD8"/>
    <w:rsid w:val="008310BE"/>
    <w:rsid w:val="00833BF5"/>
    <w:rsid w:val="008346A0"/>
    <w:rsid w:val="0083494D"/>
    <w:rsid w:val="00834FDF"/>
    <w:rsid w:val="0084508E"/>
    <w:rsid w:val="008465E3"/>
    <w:rsid w:val="00847A35"/>
    <w:rsid w:val="008529DD"/>
    <w:rsid w:val="00852B6A"/>
    <w:rsid w:val="00852CC4"/>
    <w:rsid w:val="00857017"/>
    <w:rsid w:val="00873439"/>
    <w:rsid w:val="00875A4B"/>
    <w:rsid w:val="008826C5"/>
    <w:rsid w:val="00884D01"/>
    <w:rsid w:val="00886063"/>
    <w:rsid w:val="00890FA0"/>
    <w:rsid w:val="008932FB"/>
    <w:rsid w:val="008957EA"/>
    <w:rsid w:val="008966B6"/>
    <w:rsid w:val="008A252D"/>
    <w:rsid w:val="008B0EDF"/>
    <w:rsid w:val="008B62D5"/>
    <w:rsid w:val="008C2B43"/>
    <w:rsid w:val="008C5DB7"/>
    <w:rsid w:val="008D0624"/>
    <w:rsid w:val="008D3E5A"/>
    <w:rsid w:val="008F0B4B"/>
    <w:rsid w:val="008F4840"/>
    <w:rsid w:val="008F4F25"/>
    <w:rsid w:val="008F5235"/>
    <w:rsid w:val="009001AF"/>
    <w:rsid w:val="009039F6"/>
    <w:rsid w:val="00904C23"/>
    <w:rsid w:val="00916EC9"/>
    <w:rsid w:val="009173F1"/>
    <w:rsid w:val="009174FA"/>
    <w:rsid w:val="00923AAB"/>
    <w:rsid w:val="00924AAB"/>
    <w:rsid w:val="009260BF"/>
    <w:rsid w:val="00927CDD"/>
    <w:rsid w:val="00927CE0"/>
    <w:rsid w:val="00927E88"/>
    <w:rsid w:val="009329B8"/>
    <w:rsid w:val="009360CA"/>
    <w:rsid w:val="00941AEA"/>
    <w:rsid w:val="0094314A"/>
    <w:rsid w:val="00944B98"/>
    <w:rsid w:val="009458BD"/>
    <w:rsid w:val="009525EB"/>
    <w:rsid w:val="00954D44"/>
    <w:rsid w:val="0095596E"/>
    <w:rsid w:val="009675D9"/>
    <w:rsid w:val="0096787E"/>
    <w:rsid w:val="009746B0"/>
    <w:rsid w:val="00976059"/>
    <w:rsid w:val="009840DA"/>
    <w:rsid w:val="00986CF7"/>
    <w:rsid w:val="0099691F"/>
    <w:rsid w:val="009974F0"/>
    <w:rsid w:val="00997577"/>
    <w:rsid w:val="0099765F"/>
    <w:rsid w:val="009A1ABD"/>
    <w:rsid w:val="009A21B7"/>
    <w:rsid w:val="009A4F4F"/>
    <w:rsid w:val="009A6043"/>
    <w:rsid w:val="009B346E"/>
    <w:rsid w:val="009B45C6"/>
    <w:rsid w:val="009B5C46"/>
    <w:rsid w:val="009B63F1"/>
    <w:rsid w:val="009B6519"/>
    <w:rsid w:val="009B761C"/>
    <w:rsid w:val="009C409E"/>
    <w:rsid w:val="009D4D85"/>
    <w:rsid w:val="009D6D11"/>
    <w:rsid w:val="009D7A17"/>
    <w:rsid w:val="009F0998"/>
    <w:rsid w:val="009F1342"/>
    <w:rsid w:val="009F3D9D"/>
    <w:rsid w:val="009F5820"/>
    <w:rsid w:val="009F6799"/>
    <w:rsid w:val="00A00C71"/>
    <w:rsid w:val="00A023D8"/>
    <w:rsid w:val="00A0257B"/>
    <w:rsid w:val="00A02985"/>
    <w:rsid w:val="00A02A55"/>
    <w:rsid w:val="00A03D75"/>
    <w:rsid w:val="00A03DF2"/>
    <w:rsid w:val="00A042F8"/>
    <w:rsid w:val="00A1402B"/>
    <w:rsid w:val="00A143C5"/>
    <w:rsid w:val="00A145F0"/>
    <w:rsid w:val="00A17588"/>
    <w:rsid w:val="00A2767C"/>
    <w:rsid w:val="00A31F18"/>
    <w:rsid w:val="00A31F57"/>
    <w:rsid w:val="00A37CA8"/>
    <w:rsid w:val="00A40150"/>
    <w:rsid w:val="00A44A7C"/>
    <w:rsid w:val="00A46952"/>
    <w:rsid w:val="00A501D9"/>
    <w:rsid w:val="00A52DF1"/>
    <w:rsid w:val="00A54C6E"/>
    <w:rsid w:val="00A61427"/>
    <w:rsid w:val="00A629BB"/>
    <w:rsid w:val="00A66E20"/>
    <w:rsid w:val="00A72793"/>
    <w:rsid w:val="00A730A0"/>
    <w:rsid w:val="00A73DFA"/>
    <w:rsid w:val="00A73ED0"/>
    <w:rsid w:val="00A74873"/>
    <w:rsid w:val="00A751DF"/>
    <w:rsid w:val="00A8346D"/>
    <w:rsid w:val="00A84FE3"/>
    <w:rsid w:val="00A9475A"/>
    <w:rsid w:val="00A96AE7"/>
    <w:rsid w:val="00A974C7"/>
    <w:rsid w:val="00A97DDF"/>
    <w:rsid w:val="00AA0DAE"/>
    <w:rsid w:val="00AA10EE"/>
    <w:rsid w:val="00AA17E2"/>
    <w:rsid w:val="00AA3A9A"/>
    <w:rsid w:val="00AA7C25"/>
    <w:rsid w:val="00AB08C0"/>
    <w:rsid w:val="00AB6A96"/>
    <w:rsid w:val="00AC08B1"/>
    <w:rsid w:val="00AC204D"/>
    <w:rsid w:val="00AC5AF8"/>
    <w:rsid w:val="00AD0F32"/>
    <w:rsid w:val="00AD7F52"/>
    <w:rsid w:val="00AE2B7D"/>
    <w:rsid w:val="00AE6823"/>
    <w:rsid w:val="00AF1752"/>
    <w:rsid w:val="00AF2B27"/>
    <w:rsid w:val="00AF3F93"/>
    <w:rsid w:val="00B0366A"/>
    <w:rsid w:val="00B03D60"/>
    <w:rsid w:val="00B06B0C"/>
    <w:rsid w:val="00B10928"/>
    <w:rsid w:val="00B10DE7"/>
    <w:rsid w:val="00B11067"/>
    <w:rsid w:val="00B14066"/>
    <w:rsid w:val="00B16C5B"/>
    <w:rsid w:val="00B27A2D"/>
    <w:rsid w:val="00B27B9D"/>
    <w:rsid w:val="00B32547"/>
    <w:rsid w:val="00B332ED"/>
    <w:rsid w:val="00B402E5"/>
    <w:rsid w:val="00B41A39"/>
    <w:rsid w:val="00B41EAA"/>
    <w:rsid w:val="00B45AE5"/>
    <w:rsid w:val="00B46656"/>
    <w:rsid w:val="00B54092"/>
    <w:rsid w:val="00B60517"/>
    <w:rsid w:val="00B6282E"/>
    <w:rsid w:val="00B63093"/>
    <w:rsid w:val="00B6413D"/>
    <w:rsid w:val="00B65AFB"/>
    <w:rsid w:val="00B6634F"/>
    <w:rsid w:val="00B670EA"/>
    <w:rsid w:val="00B72E9D"/>
    <w:rsid w:val="00B76857"/>
    <w:rsid w:val="00B81B1B"/>
    <w:rsid w:val="00B84398"/>
    <w:rsid w:val="00B872A1"/>
    <w:rsid w:val="00B87904"/>
    <w:rsid w:val="00BA03E0"/>
    <w:rsid w:val="00BA5227"/>
    <w:rsid w:val="00BA5A33"/>
    <w:rsid w:val="00BA6C26"/>
    <w:rsid w:val="00BB22CA"/>
    <w:rsid w:val="00BB265E"/>
    <w:rsid w:val="00BC2A5F"/>
    <w:rsid w:val="00BC417D"/>
    <w:rsid w:val="00BC52EB"/>
    <w:rsid w:val="00BC6CA3"/>
    <w:rsid w:val="00BC70CB"/>
    <w:rsid w:val="00BD0872"/>
    <w:rsid w:val="00BD14A9"/>
    <w:rsid w:val="00BD39D4"/>
    <w:rsid w:val="00BD5871"/>
    <w:rsid w:val="00BD764B"/>
    <w:rsid w:val="00BE1F22"/>
    <w:rsid w:val="00BF551A"/>
    <w:rsid w:val="00BF5D17"/>
    <w:rsid w:val="00BF5D66"/>
    <w:rsid w:val="00BF6760"/>
    <w:rsid w:val="00BF6C66"/>
    <w:rsid w:val="00BF7B9F"/>
    <w:rsid w:val="00C019C3"/>
    <w:rsid w:val="00C024D6"/>
    <w:rsid w:val="00C1241C"/>
    <w:rsid w:val="00C1273A"/>
    <w:rsid w:val="00C132D0"/>
    <w:rsid w:val="00C14902"/>
    <w:rsid w:val="00C15979"/>
    <w:rsid w:val="00C177C6"/>
    <w:rsid w:val="00C179EF"/>
    <w:rsid w:val="00C20968"/>
    <w:rsid w:val="00C21FB2"/>
    <w:rsid w:val="00C234BE"/>
    <w:rsid w:val="00C24988"/>
    <w:rsid w:val="00C253AC"/>
    <w:rsid w:val="00C26085"/>
    <w:rsid w:val="00C3008D"/>
    <w:rsid w:val="00C326E9"/>
    <w:rsid w:val="00C33D5F"/>
    <w:rsid w:val="00C35CDF"/>
    <w:rsid w:val="00C36B64"/>
    <w:rsid w:val="00C455A5"/>
    <w:rsid w:val="00C46F86"/>
    <w:rsid w:val="00C56E48"/>
    <w:rsid w:val="00C605E3"/>
    <w:rsid w:val="00C66BA0"/>
    <w:rsid w:val="00C741D1"/>
    <w:rsid w:val="00C813E2"/>
    <w:rsid w:val="00C82BCA"/>
    <w:rsid w:val="00CA68FA"/>
    <w:rsid w:val="00CA708E"/>
    <w:rsid w:val="00CA75DF"/>
    <w:rsid w:val="00CB1C6C"/>
    <w:rsid w:val="00CB1DE2"/>
    <w:rsid w:val="00CB378C"/>
    <w:rsid w:val="00CC2629"/>
    <w:rsid w:val="00CC264B"/>
    <w:rsid w:val="00CD0007"/>
    <w:rsid w:val="00CD5FE5"/>
    <w:rsid w:val="00CD77BB"/>
    <w:rsid w:val="00CE2C8B"/>
    <w:rsid w:val="00CE59EA"/>
    <w:rsid w:val="00CE6829"/>
    <w:rsid w:val="00CE6CFF"/>
    <w:rsid w:val="00D000FD"/>
    <w:rsid w:val="00D00790"/>
    <w:rsid w:val="00D033C8"/>
    <w:rsid w:val="00D06D31"/>
    <w:rsid w:val="00D071BF"/>
    <w:rsid w:val="00D11F7D"/>
    <w:rsid w:val="00D14440"/>
    <w:rsid w:val="00D14731"/>
    <w:rsid w:val="00D15C35"/>
    <w:rsid w:val="00D16EDA"/>
    <w:rsid w:val="00D177DB"/>
    <w:rsid w:val="00D208AA"/>
    <w:rsid w:val="00D24907"/>
    <w:rsid w:val="00D2504F"/>
    <w:rsid w:val="00D32B8B"/>
    <w:rsid w:val="00D34069"/>
    <w:rsid w:val="00D41D22"/>
    <w:rsid w:val="00D44BC6"/>
    <w:rsid w:val="00D47E19"/>
    <w:rsid w:val="00D53056"/>
    <w:rsid w:val="00D55CCF"/>
    <w:rsid w:val="00D627C6"/>
    <w:rsid w:val="00D66125"/>
    <w:rsid w:val="00D75032"/>
    <w:rsid w:val="00D7663F"/>
    <w:rsid w:val="00D776F7"/>
    <w:rsid w:val="00D83647"/>
    <w:rsid w:val="00D84231"/>
    <w:rsid w:val="00D84E63"/>
    <w:rsid w:val="00D912E2"/>
    <w:rsid w:val="00D94880"/>
    <w:rsid w:val="00D9510B"/>
    <w:rsid w:val="00D95A62"/>
    <w:rsid w:val="00D97AFB"/>
    <w:rsid w:val="00DA064D"/>
    <w:rsid w:val="00DA1D6F"/>
    <w:rsid w:val="00DA3E7B"/>
    <w:rsid w:val="00DA59DF"/>
    <w:rsid w:val="00DB182C"/>
    <w:rsid w:val="00DB29A5"/>
    <w:rsid w:val="00DC14DA"/>
    <w:rsid w:val="00DC4BBA"/>
    <w:rsid w:val="00DC5E09"/>
    <w:rsid w:val="00DC5FB8"/>
    <w:rsid w:val="00DC64F2"/>
    <w:rsid w:val="00DD272E"/>
    <w:rsid w:val="00DD50FD"/>
    <w:rsid w:val="00DD5273"/>
    <w:rsid w:val="00DE0A2D"/>
    <w:rsid w:val="00DE1285"/>
    <w:rsid w:val="00DE4144"/>
    <w:rsid w:val="00DF2238"/>
    <w:rsid w:val="00DF2DCD"/>
    <w:rsid w:val="00DF301B"/>
    <w:rsid w:val="00DF6BDA"/>
    <w:rsid w:val="00E00D51"/>
    <w:rsid w:val="00E04650"/>
    <w:rsid w:val="00E07FEF"/>
    <w:rsid w:val="00E111BE"/>
    <w:rsid w:val="00E254F0"/>
    <w:rsid w:val="00E276D6"/>
    <w:rsid w:val="00E3037C"/>
    <w:rsid w:val="00E3158F"/>
    <w:rsid w:val="00E3551E"/>
    <w:rsid w:val="00E41693"/>
    <w:rsid w:val="00E464C5"/>
    <w:rsid w:val="00E54747"/>
    <w:rsid w:val="00E65CA1"/>
    <w:rsid w:val="00E71552"/>
    <w:rsid w:val="00E73914"/>
    <w:rsid w:val="00E763E1"/>
    <w:rsid w:val="00E77E46"/>
    <w:rsid w:val="00E836AF"/>
    <w:rsid w:val="00E8395D"/>
    <w:rsid w:val="00E85769"/>
    <w:rsid w:val="00E925C5"/>
    <w:rsid w:val="00E96C72"/>
    <w:rsid w:val="00EA081D"/>
    <w:rsid w:val="00EA3556"/>
    <w:rsid w:val="00EA48FA"/>
    <w:rsid w:val="00EA4C14"/>
    <w:rsid w:val="00EA7D0E"/>
    <w:rsid w:val="00EA7F2D"/>
    <w:rsid w:val="00EB54A3"/>
    <w:rsid w:val="00EB73B7"/>
    <w:rsid w:val="00EC3260"/>
    <w:rsid w:val="00EC330B"/>
    <w:rsid w:val="00ED7380"/>
    <w:rsid w:val="00EE3DC3"/>
    <w:rsid w:val="00EE685E"/>
    <w:rsid w:val="00EE6ED6"/>
    <w:rsid w:val="00EF095D"/>
    <w:rsid w:val="00EF1113"/>
    <w:rsid w:val="00EF16FC"/>
    <w:rsid w:val="00EF6F40"/>
    <w:rsid w:val="00F00426"/>
    <w:rsid w:val="00F06D9C"/>
    <w:rsid w:val="00F06DC9"/>
    <w:rsid w:val="00F2427F"/>
    <w:rsid w:val="00F2441C"/>
    <w:rsid w:val="00F26E0A"/>
    <w:rsid w:val="00F26FAB"/>
    <w:rsid w:val="00F302E3"/>
    <w:rsid w:val="00F31D20"/>
    <w:rsid w:val="00F32251"/>
    <w:rsid w:val="00F33C60"/>
    <w:rsid w:val="00F34B1F"/>
    <w:rsid w:val="00F36ED7"/>
    <w:rsid w:val="00F42EA9"/>
    <w:rsid w:val="00F4409C"/>
    <w:rsid w:val="00F45260"/>
    <w:rsid w:val="00F456AB"/>
    <w:rsid w:val="00F51A2B"/>
    <w:rsid w:val="00F55947"/>
    <w:rsid w:val="00F62620"/>
    <w:rsid w:val="00F655AB"/>
    <w:rsid w:val="00F72F49"/>
    <w:rsid w:val="00F73C55"/>
    <w:rsid w:val="00F74B34"/>
    <w:rsid w:val="00F8134B"/>
    <w:rsid w:val="00F85D06"/>
    <w:rsid w:val="00F93426"/>
    <w:rsid w:val="00F93CB5"/>
    <w:rsid w:val="00F94124"/>
    <w:rsid w:val="00FA3796"/>
    <w:rsid w:val="00FB2239"/>
    <w:rsid w:val="00FB46E3"/>
    <w:rsid w:val="00FB4828"/>
    <w:rsid w:val="00FB666C"/>
    <w:rsid w:val="00FB6C6C"/>
    <w:rsid w:val="00FC428B"/>
    <w:rsid w:val="00FC4BEB"/>
    <w:rsid w:val="00FC5401"/>
    <w:rsid w:val="00FC58D3"/>
    <w:rsid w:val="00FC788D"/>
    <w:rsid w:val="00FD2F17"/>
    <w:rsid w:val="00FD37E2"/>
    <w:rsid w:val="00FD7A04"/>
    <w:rsid w:val="00FD7A8E"/>
    <w:rsid w:val="00FE0496"/>
    <w:rsid w:val="00FE5135"/>
    <w:rsid w:val="00FE701D"/>
    <w:rsid w:val="00FF0130"/>
    <w:rsid w:val="00FF0FB7"/>
    <w:rsid w:val="00FF15C4"/>
    <w:rsid w:val="00FF3053"/>
    <w:rsid w:val="00FF37B9"/>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martTagType w:namespaceuri="SmartTagTypeLegixLinks" w:name="LegixLinks"/>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country-region"/>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1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semiHidden="0" w:uiPriority="35" w:unhideWhenUsed="0"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6F1624"/>
    <w:rPr>
      <w:rFonts w:ascii="Times New Roman" w:eastAsia="Times New Roman" w:hAnsi="Times New Roman"/>
      <w:sz w:val="24"/>
      <w:szCs w:val="24"/>
    </w:rPr>
  </w:style>
  <w:style w:type="paragraph" w:styleId="Heading1">
    <w:name w:val="heading 1"/>
    <w:basedOn w:val="Normal"/>
    <w:next w:val="Normal"/>
    <w:link w:val="Heading1Char"/>
    <w:autoRedefine/>
    <w:qFormat/>
    <w:rsid w:val="006D0C0A"/>
    <w:pPr>
      <w:numPr>
        <w:numId w:val="5"/>
      </w:numPr>
      <w:ind w:left="360"/>
      <w:outlineLvl w:val="0"/>
    </w:pPr>
    <w:rPr>
      <w:rFonts w:ascii="Perpetua" w:hAnsi="Perpetua"/>
      <w:b/>
    </w:rPr>
  </w:style>
  <w:style w:type="paragraph" w:styleId="Heading2">
    <w:name w:val="heading 2"/>
    <w:basedOn w:val="Normal"/>
    <w:next w:val="Normal"/>
    <w:link w:val="Heading2Char"/>
    <w:uiPriority w:val="9"/>
    <w:qFormat/>
    <w:rsid w:val="00A66E20"/>
    <w:pPr>
      <w:keepNext/>
      <w:keepLines/>
      <w:spacing w:before="200"/>
      <w:outlineLvl w:val="1"/>
    </w:pPr>
    <w:rPr>
      <w:rFonts w:ascii="Perpetua" w:hAnsi="Perpetua"/>
      <w:b/>
      <w:bCs/>
      <w:szCs w:val="26"/>
    </w:rPr>
  </w:style>
  <w:style w:type="paragraph" w:styleId="Heading3">
    <w:name w:val="heading 3"/>
    <w:basedOn w:val="Normal"/>
    <w:next w:val="Normal"/>
    <w:link w:val="Heading3Char"/>
    <w:autoRedefine/>
    <w:uiPriority w:val="9"/>
    <w:qFormat/>
    <w:rsid w:val="004B7547"/>
    <w:pPr>
      <w:keepNext/>
      <w:keepLines/>
      <w:spacing w:before="200"/>
      <w:outlineLvl w:val="2"/>
    </w:pPr>
    <w:rPr>
      <w:rFonts w:ascii="Perpetua" w:hAnsi="Perpetua"/>
      <w:bCs/>
    </w:rPr>
  </w:style>
  <w:style w:type="paragraph" w:styleId="Heading4">
    <w:name w:val="heading 4"/>
    <w:basedOn w:val="Normal"/>
    <w:next w:val="Normal"/>
    <w:link w:val="Heading4Char"/>
    <w:autoRedefine/>
    <w:uiPriority w:val="9"/>
    <w:qFormat/>
    <w:rsid w:val="004B7547"/>
    <w:pPr>
      <w:keepNext/>
      <w:keepLines/>
      <w:spacing w:before="200"/>
      <w:ind w:left="708"/>
      <w:outlineLvl w:val="3"/>
    </w:pPr>
    <w:rPr>
      <w:rFonts w:ascii="Perpetua" w:hAnsi="Perpetua"/>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D0C0A"/>
    <w:rPr>
      <w:rFonts w:ascii="Perpetua" w:eastAsia="Times New Roman" w:hAnsi="Perpetua" w:cs="Times New Roman"/>
      <w:b/>
      <w:sz w:val="24"/>
      <w:szCs w:val="24"/>
      <w:lang w:eastAsia="pt-PT"/>
    </w:rPr>
  </w:style>
  <w:style w:type="paragraph" w:styleId="FootnoteText">
    <w:name w:val="footnote text"/>
    <w:basedOn w:val="Normal"/>
    <w:link w:val="FootnoteTextChar"/>
    <w:rsid w:val="003F0303"/>
    <w:rPr>
      <w:sz w:val="20"/>
      <w:szCs w:val="20"/>
    </w:rPr>
  </w:style>
  <w:style w:type="character" w:customStyle="1" w:styleId="FootnoteTextChar">
    <w:name w:val="Footnote Text Char"/>
    <w:basedOn w:val="DefaultParagraphFont"/>
    <w:link w:val="FootnoteText"/>
    <w:rsid w:val="003F0303"/>
    <w:rPr>
      <w:rFonts w:ascii="Times New Roman" w:eastAsia="Times New Roman" w:hAnsi="Times New Roman" w:cs="Times New Roman"/>
      <w:sz w:val="20"/>
      <w:szCs w:val="20"/>
      <w:lang w:eastAsia="pt-PT"/>
    </w:rPr>
  </w:style>
  <w:style w:type="character" w:styleId="FootnoteReference">
    <w:name w:val="footnote reference"/>
    <w:basedOn w:val="DefaultParagraphFont"/>
    <w:rsid w:val="003F0303"/>
    <w:rPr>
      <w:vertAlign w:val="superscript"/>
    </w:rPr>
  </w:style>
  <w:style w:type="paragraph" w:styleId="Footer">
    <w:name w:val="footer"/>
    <w:basedOn w:val="Normal"/>
    <w:link w:val="FooterChar"/>
    <w:rsid w:val="003F0303"/>
    <w:pPr>
      <w:tabs>
        <w:tab w:val="center" w:pos="4252"/>
        <w:tab w:val="right" w:pos="8504"/>
      </w:tabs>
    </w:pPr>
  </w:style>
  <w:style w:type="character" w:customStyle="1" w:styleId="FooterChar">
    <w:name w:val="Footer Char"/>
    <w:basedOn w:val="DefaultParagraphFont"/>
    <w:link w:val="Footer"/>
    <w:rsid w:val="003F0303"/>
    <w:rPr>
      <w:rFonts w:ascii="Times New Roman" w:eastAsia="Times New Roman" w:hAnsi="Times New Roman" w:cs="Times New Roman"/>
      <w:sz w:val="24"/>
      <w:szCs w:val="24"/>
      <w:lang w:eastAsia="pt-PT"/>
    </w:rPr>
  </w:style>
  <w:style w:type="character" w:styleId="PageNumber">
    <w:name w:val="page number"/>
    <w:basedOn w:val="DefaultParagraphFont"/>
    <w:rsid w:val="003F0303"/>
  </w:style>
  <w:style w:type="character" w:styleId="Hyperlink">
    <w:name w:val="Hyperlink"/>
    <w:basedOn w:val="DefaultParagraphFont"/>
    <w:uiPriority w:val="99"/>
    <w:rsid w:val="003F0303"/>
    <w:rPr>
      <w:color w:val="0000FF"/>
      <w:u w:val="single"/>
    </w:rPr>
  </w:style>
  <w:style w:type="character" w:customStyle="1" w:styleId="Heading2Char">
    <w:name w:val="Heading 2 Char"/>
    <w:basedOn w:val="DefaultParagraphFont"/>
    <w:link w:val="Heading2"/>
    <w:uiPriority w:val="9"/>
    <w:rsid w:val="00A66E20"/>
    <w:rPr>
      <w:rFonts w:ascii="Perpetua" w:eastAsia="Times New Roman" w:hAnsi="Perpetua" w:cs="Times New Roman"/>
      <w:b/>
      <w:bCs/>
      <w:sz w:val="24"/>
      <w:szCs w:val="26"/>
      <w:lang w:eastAsia="pt-PT"/>
    </w:rPr>
  </w:style>
  <w:style w:type="paragraph" w:styleId="BalloonText">
    <w:name w:val="Balloon Text"/>
    <w:basedOn w:val="Normal"/>
    <w:link w:val="BalloonTextChar"/>
    <w:uiPriority w:val="99"/>
    <w:semiHidden/>
    <w:unhideWhenUsed/>
    <w:rsid w:val="0076276C"/>
    <w:rPr>
      <w:rFonts w:ascii="Tahoma" w:hAnsi="Tahoma" w:cs="Tahoma"/>
      <w:sz w:val="16"/>
      <w:szCs w:val="16"/>
    </w:rPr>
  </w:style>
  <w:style w:type="character" w:customStyle="1" w:styleId="BalloonTextChar">
    <w:name w:val="Balloon Text Char"/>
    <w:basedOn w:val="DefaultParagraphFont"/>
    <w:link w:val="BalloonText"/>
    <w:uiPriority w:val="99"/>
    <w:semiHidden/>
    <w:rsid w:val="0076276C"/>
    <w:rPr>
      <w:rFonts w:ascii="Tahoma" w:eastAsia="Times New Roman" w:hAnsi="Tahoma" w:cs="Tahoma"/>
      <w:sz w:val="16"/>
      <w:szCs w:val="16"/>
      <w:lang w:eastAsia="pt-PT"/>
    </w:rPr>
  </w:style>
  <w:style w:type="paragraph" w:styleId="Caption">
    <w:name w:val="caption"/>
    <w:basedOn w:val="Normal"/>
    <w:next w:val="Normal"/>
    <w:uiPriority w:val="35"/>
    <w:qFormat/>
    <w:rsid w:val="0080386E"/>
    <w:rPr>
      <w:b/>
      <w:bCs/>
      <w:sz w:val="20"/>
      <w:szCs w:val="20"/>
    </w:rPr>
  </w:style>
  <w:style w:type="paragraph" w:styleId="ListParagraph">
    <w:name w:val="List Paragraph"/>
    <w:basedOn w:val="Normal"/>
    <w:uiPriority w:val="34"/>
    <w:qFormat/>
    <w:rsid w:val="0080386E"/>
    <w:pPr>
      <w:ind w:left="720"/>
      <w:contextualSpacing/>
    </w:pPr>
  </w:style>
  <w:style w:type="paragraph" w:styleId="TOCHeading">
    <w:name w:val="TOC Heading"/>
    <w:basedOn w:val="Heading1"/>
    <w:next w:val="Normal"/>
    <w:uiPriority w:val="39"/>
    <w:qFormat/>
    <w:rsid w:val="00F72F49"/>
    <w:pPr>
      <w:keepNext/>
      <w:keepLines/>
      <w:spacing w:before="480" w:line="276" w:lineRule="auto"/>
      <w:outlineLvl w:val="9"/>
    </w:pPr>
    <w:rPr>
      <w:rFonts w:ascii="Cambria" w:hAnsi="Cambria"/>
      <w:bCs/>
      <w:color w:val="365F91"/>
      <w:sz w:val="28"/>
      <w:szCs w:val="28"/>
      <w:lang w:val="en-US" w:eastAsia="en-US"/>
    </w:rPr>
  </w:style>
  <w:style w:type="paragraph" w:styleId="TOC2">
    <w:name w:val="toc 2"/>
    <w:basedOn w:val="Normal"/>
    <w:next w:val="Normal"/>
    <w:autoRedefine/>
    <w:uiPriority w:val="39"/>
    <w:unhideWhenUsed/>
    <w:qFormat/>
    <w:rsid w:val="00420EEE"/>
    <w:pPr>
      <w:spacing w:after="100" w:line="276" w:lineRule="auto"/>
      <w:ind w:left="220"/>
    </w:pPr>
    <w:rPr>
      <w:rFonts w:ascii="Perpetua" w:hAnsi="Perpetua"/>
      <w:sz w:val="22"/>
      <w:szCs w:val="22"/>
      <w:lang w:val="en-US" w:eastAsia="en-US"/>
    </w:rPr>
  </w:style>
  <w:style w:type="paragraph" w:styleId="TOC1">
    <w:name w:val="toc 1"/>
    <w:basedOn w:val="Normal"/>
    <w:next w:val="Normal"/>
    <w:autoRedefine/>
    <w:uiPriority w:val="39"/>
    <w:unhideWhenUsed/>
    <w:qFormat/>
    <w:rsid w:val="00E8395D"/>
    <w:pPr>
      <w:tabs>
        <w:tab w:val="left" w:pos="440"/>
        <w:tab w:val="right" w:leader="dot" w:pos="8494"/>
      </w:tabs>
      <w:spacing w:after="100" w:line="276" w:lineRule="auto"/>
    </w:pPr>
    <w:rPr>
      <w:rFonts w:ascii="Perpetua" w:hAnsi="Perpetua"/>
      <w:b/>
      <w:sz w:val="22"/>
      <w:lang w:val="en-US" w:eastAsia="en-US"/>
    </w:rPr>
  </w:style>
  <w:style w:type="paragraph" w:styleId="TOC3">
    <w:name w:val="toc 3"/>
    <w:basedOn w:val="Normal"/>
    <w:next w:val="Normal"/>
    <w:autoRedefine/>
    <w:uiPriority w:val="39"/>
    <w:unhideWhenUsed/>
    <w:qFormat/>
    <w:rsid w:val="00420EEE"/>
    <w:pPr>
      <w:spacing w:after="100" w:line="276" w:lineRule="auto"/>
      <w:ind w:left="440"/>
    </w:pPr>
    <w:rPr>
      <w:rFonts w:ascii="Perpetua" w:hAnsi="Perpetua"/>
      <w:sz w:val="22"/>
      <w:szCs w:val="22"/>
      <w:lang w:val="en-US" w:eastAsia="en-US"/>
    </w:rPr>
  </w:style>
  <w:style w:type="character" w:customStyle="1" w:styleId="Heading3Char">
    <w:name w:val="Heading 3 Char"/>
    <w:basedOn w:val="DefaultParagraphFont"/>
    <w:link w:val="Heading3"/>
    <w:uiPriority w:val="9"/>
    <w:rsid w:val="004B7547"/>
    <w:rPr>
      <w:rFonts w:ascii="Perpetua" w:eastAsia="Times New Roman" w:hAnsi="Perpetua" w:cs="Times New Roman"/>
      <w:bCs/>
      <w:sz w:val="24"/>
      <w:szCs w:val="24"/>
      <w:lang w:eastAsia="pt-PT"/>
    </w:rPr>
  </w:style>
  <w:style w:type="character" w:customStyle="1" w:styleId="Heading4Char">
    <w:name w:val="Heading 4 Char"/>
    <w:basedOn w:val="DefaultParagraphFont"/>
    <w:link w:val="Heading4"/>
    <w:uiPriority w:val="9"/>
    <w:rsid w:val="004B7547"/>
    <w:rPr>
      <w:rFonts w:ascii="Perpetua" w:eastAsia="Times New Roman" w:hAnsi="Perpetua" w:cs="Times New Roman"/>
      <w:bCs/>
      <w:iCs/>
      <w:sz w:val="24"/>
      <w:szCs w:val="24"/>
      <w:lang w:eastAsia="pt-PT"/>
    </w:rPr>
  </w:style>
  <w:style w:type="paragraph" w:styleId="TOC4">
    <w:name w:val="toc 4"/>
    <w:basedOn w:val="Normal"/>
    <w:next w:val="Normal"/>
    <w:autoRedefine/>
    <w:uiPriority w:val="39"/>
    <w:unhideWhenUsed/>
    <w:rsid w:val="00420EEE"/>
    <w:pPr>
      <w:spacing w:after="100"/>
      <w:ind w:left="720"/>
    </w:pPr>
    <w:rPr>
      <w:rFonts w:ascii="Perpetua" w:hAnsi="Perpetua"/>
      <w:sz w:val="22"/>
    </w:rPr>
  </w:style>
  <w:style w:type="paragraph" w:styleId="TableofFigures">
    <w:name w:val="table of figures"/>
    <w:basedOn w:val="Normal"/>
    <w:next w:val="Normal"/>
    <w:uiPriority w:val="99"/>
    <w:unhideWhenUsed/>
    <w:rsid w:val="00E925C5"/>
    <w:rPr>
      <w:rFonts w:ascii="Perpetua" w:hAnsi="Perpetua"/>
    </w:rPr>
  </w:style>
  <w:style w:type="character" w:styleId="FollowedHyperlink">
    <w:name w:val="FollowedHyperlink"/>
    <w:basedOn w:val="DefaultParagraphFont"/>
    <w:uiPriority w:val="99"/>
    <w:semiHidden/>
    <w:unhideWhenUsed/>
    <w:rsid w:val="0052311D"/>
    <w:rPr>
      <w:color w:val="800080"/>
      <w:u w:val="single"/>
    </w:rPr>
  </w:style>
  <w:style w:type="character" w:customStyle="1" w:styleId="a">
    <w:name w:val="a"/>
    <w:basedOn w:val="DefaultParagraphFont"/>
    <w:rsid w:val="0052311D"/>
  </w:style>
  <w:style w:type="character" w:styleId="CommentReference">
    <w:name w:val="annotation reference"/>
    <w:basedOn w:val="DefaultParagraphFont"/>
    <w:semiHidden/>
    <w:rsid w:val="00EC330B"/>
    <w:rPr>
      <w:sz w:val="16"/>
      <w:szCs w:val="16"/>
    </w:rPr>
  </w:style>
  <w:style w:type="paragraph" w:styleId="CommentText">
    <w:name w:val="annotation text"/>
    <w:basedOn w:val="Normal"/>
    <w:semiHidden/>
    <w:rsid w:val="00EC330B"/>
    <w:rPr>
      <w:sz w:val="20"/>
      <w:szCs w:val="20"/>
    </w:rPr>
  </w:style>
  <w:style w:type="paragraph" w:styleId="CommentSubject">
    <w:name w:val="annotation subject"/>
    <w:basedOn w:val="CommentText"/>
    <w:next w:val="CommentText"/>
    <w:semiHidden/>
    <w:rsid w:val="00EC330B"/>
    <w:rPr>
      <w:b/>
      <w:bCs/>
    </w:rPr>
  </w:style>
  <w:style w:type="paragraph" w:styleId="DocumentMap">
    <w:name w:val="Document Map"/>
    <w:basedOn w:val="Normal"/>
    <w:link w:val="DocumentMapChar"/>
    <w:uiPriority w:val="99"/>
    <w:semiHidden/>
    <w:unhideWhenUsed/>
    <w:rsid w:val="00D208AA"/>
    <w:rPr>
      <w:rFonts w:ascii="Tahoma" w:hAnsi="Tahoma" w:cs="Tahoma"/>
      <w:sz w:val="16"/>
      <w:szCs w:val="16"/>
    </w:rPr>
  </w:style>
  <w:style w:type="character" w:customStyle="1" w:styleId="DocumentMapChar">
    <w:name w:val="Document Map Char"/>
    <w:basedOn w:val="DefaultParagraphFont"/>
    <w:link w:val="DocumentMap"/>
    <w:uiPriority w:val="99"/>
    <w:semiHidden/>
    <w:rsid w:val="00D208AA"/>
    <w:rPr>
      <w:rFonts w:ascii="Tahoma" w:eastAsia="Times New Roman" w:hAnsi="Tahoma" w:cs="Tahoma"/>
      <w:sz w:val="16"/>
      <w:szCs w:val="16"/>
    </w:rPr>
  </w:style>
  <w:style w:type="paragraph" w:styleId="Header">
    <w:name w:val="header"/>
    <w:basedOn w:val="Normal"/>
    <w:link w:val="HeaderChar"/>
    <w:uiPriority w:val="99"/>
    <w:semiHidden/>
    <w:unhideWhenUsed/>
    <w:rsid w:val="00BF551A"/>
    <w:pPr>
      <w:tabs>
        <w:tab w:val="center" w:pos="4252"/>
        <w:tab w:val="right" w:pos="8504"/>
      </w:tabs>
    </w:pPr>
  </w:style>
  <w:style w:type="character" w:customStyle="1" w:styleId="HeaderChar">
    <w:name w:val="Header Char"/>
    <w:basedOn w:val="DefaultParagraphFont"/>
    <w:link w:val="Header"/>
    <w:uiPriority w:val="99"/>
    <w:semiHidden/>
    <w:rsid w:val="00BF551A"/>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49620114">
      <w:bodyDiv w:val="1"/>
      <w:marLeft w:val="0"/>
      <w:marRight w:val="0"/>
      <w:marTop w:val="0"/>
      <w:marBottom w:val="0"/>
      <w:divBdr>
        <w:top w:val="none" w:sz="0" w:space="0" w:color="auto"/>
        <w:left w:val="none" w:sz="0" w:space="0" w:color="auto"/>
        <w:bottom w:val="none" w:sz="0" w:space="0" w:color="auto"/>
        <w:right w:val="none" w:sz="0" w:space="0" w:color="auto"/>
      </w:divBdr>
    </w:div>
    <w:div w:id="86269121">
      <w:bodyDiv w:val="1"/>
      <w:marLeft w:val="0"/>
      <w:marRight w:val="0"/>
      <w:marTop w:val="0"/>
      <w:marBottom w:val="0"/>
      <w:divBdr>
        <w:top w:val="none" w:sz="0" w:space="0" w:color="auto"/>
        <w:left w:val="none" w:sz="0" w:space="0" w:color="auto"/>
        <w:bottom w:val="none" w:sz="0" w:space="0" w:color="auto"/>
        <w:right w:val="none" w:sz="0" w:space="0" w:color="auto"/>
      </w:divBdr>
    </w:div>
    <w:div w:id="113183852">
      <w:bodyDiv w:val="1"/>
      <w:marLeft w:val="0"/>
      <w:marRight w:val="0"/>
      <w:marTop w:val="0"/>
      <w:marBottom w:val="0"/>
      <w:divBdr>
        <w:top w:val="none" w:sz="0" w:space="0" w:color="auto"/>
        <w:left w:val="none" w:sz="0" w:space="0" w:color="auto"/>
        <w:bottom w:val="none" w:sz="0" w:space="0" w:color="auto"/>
        <w:right w:val="none" w:sz="0" w:space="0" w:color="auto"/>
      </w:divBdr>
    </w:div>
    <w:div w:id="134025839">
      <w:bodyDiv w:val="1"/>
      <w:marLeft w:val="0"/>
      <w:marRight w:val="0"/>
      <w:marTop w:val="0"/>
      <w:marBottom w:val="0"/>
      <w:divBdr>
        <w:top w:val="none" w:sz="0" w:space="0" w:color="auto"/>
        <w:left w:val="none" w:sz="0" w:space="0" w:color="auto"/>
        <w:bottom w:val="none" w:sz="0" w:space="0" w:color="auto"/>
        <w:right w:val="none" w:sz="0" w:space="0" w:color="auto"/>
      </w:divBdr>
    </w:div>
    <w:div w:id="187447051">
      <w:bodyDiv w:val="1"/>
      <w:marLeft w:val="0"/>
      <w:marRight w:val="0"/>
      <w:marTop w:val="0"/>
      <w:marBottom w:val="0"/>
      <w:divBdr>
        <w:top w:val="none" w:sz="0" w:space="0" w:color="auto"/>
        <w:left w:val="none" w:sz="0" w:space="0" w:color="auto"/>
        <w:bottom w:val="none" w:sz="0" w:space="0" w:color="auto"/>
        <w:right w:val="none" w:sz="0" w:space="0" w:color="auto"/>
      </w:divBdr>
    </w:div>
    <w:div w:id="190609379">
      <w:bodyDiv w:val="1"/>
      <w:marLeft w:val="0"/>
      <w:marRight w:val="0"/>
      <w:marTop w:val="0"/>
      <w:marBottom w:val="0"/>
      <w:divBdr>
        <w:top w:val="none" w:sz="0" w:space="0" w:color="auto"/>
        <w:left w:val="none" w:sz="0" w:space="0" w:color="auto"/>
        <w:bottom w:val="none" w:sz="0" w:space="0" w:color="auto"/>
        <w:right w:val="none" w:sz="0" w:space="0" w:color="auto"/>
      </w:divBdr>
    </w:div>
    <w:div w:id="325938427">
      <w:bodyDiv w:val="1"/>
      <w:marLeft w:val="0"/>
      <w:marRight w:val="0"/>
      <w:marTop w:val="0"/>
      <w:marBottom w:val="0"/>
      <w:divBdr>
        <w:top w:val="none" w:sz="0" w:space="0" w:color="auto"/>
        <w:left w:val="none" w:sz="0" w:space="0" w:color="auto"/>
        <w:bottom w:val="none" w:sz="0" w:space="0" w:color="auto"/>
        <w:right w:val="none" w:sz="0" w:space="0" w:color="auto"/>
      </w:divBdr>
    </w:div>
    <w:div w:id="504368022">
      <w:bodyDiv w:val="1"/>
      <w:marLeft w:val="0"/>
      <w:marRight w:val="0"/>
      <w:marTop w:val="0"/>
      <w:marBottom w:val="0"/>
      <w:divBdr>
        <w:top w:val="none" w:sz="0" w:space="0" w:color="auto"/>
        <w:left w:val="none" w:sz="0" w:space="0" w:color="auto"/>
        <w:bottom w:val="none" w:sz="0" w:space="0" w:color="auto"/>
        <w:right w:val="none" w:sz="0" w:space="0" w:color="auto"/>
      </w:divBdr>
    </w:div>
    <w:div w:id="521671941">
      <w:bodyDiv w:val="1"/>
      <w:marLeft w:val="0"/>
      <w:marRight w:val="0"/>
      <w:marTop w:val="0"/>
      <w:marBottom w:val="0"/>
      <w:divBdr>
        <w:top w:val="none" w:sz="0" w:space="0" w:color="auto"/>
        <w:left w:val="none" w:sz="0" w:space="0" w:color="auto"/>
        <w:bottom w:val="none" w:sz="0" w:space="0" w:color="auto"/>
        <w:right w:val="none" w:sz="0" w:space="0" w:color="auto"/>
      </w:divBdr>
    </w:div>
    <w:div w:id="568730143">
      <w:bodyDiv w:val="1"/>
      <w:marLeft w:val="0"/>
      <w:marRight w:val="0"/>
      <w:marTop w:val="0"/>
      <w:marBottom w:val="0"/>
      <w:divBdr>
        <w:top w:val="none" w:sz="0" w:space="0" w:color="auto"/>
        <w:left w:val="none" w:sz="0" w:space="0" w:color="auto"/>
        <w:bottom w:val="none" w:sz="0" w:space="0" w:color="auto"/>
        <w:right w:val="none" w:sz="0" w:space="0" w:color="auto"/>
      </w:divBdr>
    </w:div>
    <w:div w:id="573245200">
      <w:bodyDiv w:val="1"/>
      <w:marLeft w:val="0"/>
      <w:marRight w:val="0"/>
      <w:marTop w:val="0"/>
      <w:marBottom w:val="0"/>
      <w:divBdr>
        <w:top w:val="none" w:sz="0" w:space="0" w:color="auto"/>
        <w:left w:val="none" w:sz="0" w:space="0" w:color="auto"/>
        <w:bottom w:val="none" w:sz="0" w:space="0" w:color="auto"/>
        <w:right w:val="none" w:sz="0" w:space="0" w:color="auto"/>
      </w:divBdr>
    </w:div>
    <w:div w:id="579871295">
      <w:bodyDiv w:val="1"/>
      <w:marLeft w:val="0"/>
      <w:marRight w:val="0"/>
      <w:marTop w:val="0"/>
      <w:marBottom w:val="0"/>
      <w:divBdr>
        <w:top w:val="none" w:sz="0" w:space="0" w:color="auto"/>
        <w:left w:val="none" w:sz="0" w:space="0" w:color="auto"/>
        <w:bottom w:val="none" w:sz="0" w:space="0" w:color="auto"/>
        <w:right w:val="none" w:sz="0" w:space="0" w:color="auto"/>
      </w:divBdr>
    </w:div>
    <w:div w:id="582683374">
      <w:bodyDiv w:val="1"/>
      <w:marLeft w:val="0"/>
      <w:marRight w:val="0"/>
      <w:marTop w:val="0"/>
      <w:marBottom w:val="0"/>
      <w:divBdr>
        <w:top w:val="none" w:sz="0" w:space="0" w:color="auto"/>
        <w:left w:val="none" w:sz="0" w:space="0" w:color="auto"/>
        <w:bottom w:val="none" w:sz="0" w:space="0" w:color="auto"/>
        <w:right w:val="none" w:sz="0" w:space="0" w:color="auto"/>
      </w:divBdr>
    </w:div>
    <w:div w:id="597568811">
      <w:bodyDiv w:val="1"/>
      <w:marLeft w:val="0"/>
      <w:marRight w:val="0"/>
      <w:marTop w:val="0"/>
      <w:marBottom w:val="0"/>
      <w:divBdr>
        <w:top w:val="none" w:sz="0" w:space="0" w:color="auto"/>
        <w:left w:val="none" w:sz="0" w:space="0" w:color="auto"/>
        <w:bottom w:val="none" w:sz="0" w:space="0" w:color="auto"/>
        <w:right w:val="none" w:sz="0" w:space="0" w:color="auto"/>
      </w:divBdr>
    </w:div>
    <w:div w:id="636574023">
      <w:bodyDiv w:val="1"/>
      <w:marLeft w:val="0"/>
      <w:marRight w:val="0"/>
      <w:marTop w:val="0"/>
      <w:marBottom w:val="0"/>
      <w:divBdr>
        <w:top w:val="none" w:sz="0" w:space="0" w:color="auto"/>
        <w:left w:val="none" w:sz="0" w:space="0" w:color="auto"/>
        <w:bottom w:val="none" w:sz="0" w:space="0" w:color="auto"/>
        <w:right w:val="none" w:sz="0" w:space="0" w:color="auto"/>
      </w:divBdr>
    </w:div>
    <w:div w:id="720251801">
      <w:bodyDiv w:val="1"/>
      <w:marLeft w:val="0"/>
      <w:marRight w:val="0"/>
      <w:marTop w:val="0"/>
      <w:marBottom w:val="0"/>
      <w:divBdr>
        <w:top w:val="none" w:sz="0" w:space="0" w:color="auto"/>
        <w:left w:val="none" w:sz="0" w:space="0" w:color="auto"/>
        <w:bottom w:val="none" w:sz="0" w:space="0" w:color="auto"/>
        <w:right w:val="none" w:sz="0" w:space="0" w:color="auto"/>
      </w:divBdr>
    </w:div>
    <w:div w:id="726952922">
      <w:bodyDiv w:val="1"/>
      <w:marLeft w:val="0"/>
      <w:marRight w:val="0"/>
      <w:marTop w:val="0"/>
      <w:marBottom w:val="0"/>
      <w:divBdr>
        <w:top w:val="none" w:sz="0" w:space="0" w:color="auto"/>
        <w:left w:val="none" w:sz="0" w:space="0" w:color="auto"/>
        <w:bottom w:val="none" w:sz="0" w:space="0" w:color="auto"/>
        <w:right w:val="none" w:sz="0" w:space="0" w:color="auto"/>
      </w:divBdr>
    </w:div>
    <w:div w:id="809399503">
      <w:bodyDiv w:val="1"/>
      <w:marLeft w:val="0"/>
      <w:marRight w:val="0"/>
      <w:marTop w:val="0"/>
      <w:marBottom w:val="0"/>
      <w:divBdr>
        <w:top w:val="none" w:sz="0" w:space="0" w:color="auto"/>
        <w:left w:val="none" w:sz="0" w:space="0" w:color="auto"/>
        <w:bottom w:val="none" w:sz="0" w:space="0" w:color="auto"/>
        <w:right w:val="none" w:sz="0" w:space="0" w:color="auto"/>
      </w:divBdr>
    </w:div>
    <w:div w:id="839152255">
      <w:bodyDiv w:val="1"/>
      <w:marLeft w:val="0"/>
      <w:marRight w:val="0"/>
      <w:marTop w:val="0"/>
      <w:marBottom w:val="0"/>
      <w:divBdr>
        <w:top w:val="none" w:sz="0" w:space="0" w:color="auto"/>
        <w:left w:val="none" w:sz="0" w:space="0" w:color="auto"/>
        <w:bottom w:val="none" w:sz="0" w:space="0" w:color="auto"/>
        <w:right w:val="none" w:sz="0" w:space="0" w:color="auto"/>
      </w:divBdr>
    </w:div>
    <w:div w:id="928391815">
      <w:bodyDiv w:val="1"/>
      <w:marLeft w:val="0"/>
      <w:marRight w:val="0"/>
      <w:marTop w:val="0"/>
      <w:marBottom w:val="0"/>
      <w:divBdr>
        <w:top w:val="none" w:sz="0" w:space="0" w:color="auto"/>
        <w:left w:val="none" w:sz="0" w:space="0" w:color="auto"/>
        <w:bottom w:val="none" w:sz="0" w:space="0" w:color="auto"/>
        <w:right w:val="none" w:sz="0" w:space="0" w:color="auto"/>
      </w:divBdr>
    </w:div>
    <w:div w:id="944069677">
      <w:bodyDiv w:val="1"/>
      <w:marLeft w:val="0"/>
      <w:marRight w:val="0"/>
      <w:marTop w:val="0"/>
      <w:marBottom w:val="0"/>
      <w:divBdr>
        <w:top w:val="none" w:sz="0" w:space="0" w:color="auto"/>
        <w:left w:val="none" w:sz="0" w:space="0" w:color="auto"/>
        <w:bottom w:val="none" w:sz="0" w:space="0" w:color="auto"/>
        <w:right w:val="none" w:sz="0" w:space="0" w:color="auto"/>
      </w:divBdr>
    </w:div>
    <w:div w:id="967128461">
      <w:bodyDiv w:val="1"/>
      <w:marLeft w:val="0"/>
      <w:marRight w:val="0"/>
      <w:marTop w:val="0"/>
      <w:marBottom w:val="0"/>
      <w:divBdr>
        <w:top w:val="none" w:sz="0" w:space="0" w:color="auto"/>
        <w:left w:val="none" w:sz="0" w:space="0" w:color="auto"/>
        <w:bottom w:val="none" w:sz="0" w:space="0" w:color="auto"/>
        <w:right w:val="none" w:sz="0" w:space="0" w:color="auto"/>
      </w:divBdr>
    </w:div>
    <w:div w:id="1015688566">
      <w:bodyDiv w:val="1"/>
      <w:marLeft w:val="0"/>
      <w:marRight w:val="0"/>
      <w:marTop w:val="0"/>
      <w:marBottom w:val="0"/>
      <w:divBdr>
        <w:top w:val="none" w:sz="0" w:space="0" w:color="auto"/>
        <w:left w:val="none" w:sz="0" w:space="0" w:color="auto"/>
        <w:bottom w:val="none" w:sz="0" w:space="0" w:color="auto"/>
        <w:right w:val="none" w:sz="0" w:space="0" w:color="auto"/>
      </w:divBdr>
    </w:div>
    <w:div w:id="1018049077">
      <w:bodyDiv w:val="1"/>
      <w:marLeft w:val="0"/>
      <w:marRight w:val="0"/>
      <w:marTop w:val="0"/>
      <w:marBottom w:val="0"/>
      <w:divBdr>
        <w:top w:val="none" w:sz="0" w:space="0" w:color="auto"/>
        <w:left w:val="none" w:sz="0" w:space="0" w:color="auto"/>
        <w:bottom w:val="none" w:sz="0" w:space="0" w:color="auto"/>
        <w:right w:val="none" w:sz="0" w:space="0" w:color="auto"/>
      </w:divBdr>
    </w:div>
    <w:div w:id="1025404782">
      <w:bodyDiv w:val="1"/>
      <w:marLeft w:val="0"/>
      <w:marRight w:val="0"/>
      <w:marTop w:val="0"/>
      <w:marBottom w:val="0"/>
      <w:divBdr>
        <w:top w:val="none" w:sz="0" w:space="0" w:color="auto"/>
        <w:left w:val="none" w:sz="0" w:space="0" w:color="auto"/>
        <w:bottom w:val="none" w:sz="0" w:space="0" w:color="auto"/>
        <w:right w:val="none" w:sz="0" w:space="0" w:color="auto"/>
      </w:divBdr>
    </w:div>
    <w:div w:id="1027170870">
      <w:bodyDiv w:val="1"/>
      <w:marLeft w:val="0"/>
      <w:marRight w:val="0"/>
      <w:marTop w:val="0"/>
      <w:marBottom w:val="0"/>
      <w:divBdr>
        <w:top w:val="none" w:sz="0" w:space="0" w:color="auto"/>
        <w:left w:val="none" w:sz="0" w:space="0" w:color="auto"/>
        <w:bottom w:val="none" w:sz="0" w:space="0" w:color="auto"/>
        <w:right w:val="none" w:sz="0" w:space="0" w:color="auto"/>
      </w:divBdr>
    </w:div>
    <w:div w:id="1118376913">
      <w:bodyDiv w:val="1"/>
      <w:marLeft w:val="0"/>
      <w:marRight w:val="0"/>
      <w:marTop w:val="0"/>
      <w:marBottom w:val="0"/>
      <w:divBdr>
        <w:top w:val="none" w:sz="0" w:space="0" w:color="auto"/>
        <w:left w:val="none" w:sz="0" w:space="0" w:color="auto"/>
        <w:bottom w:val="none" w:sz="0" w:space="0" w:color="auto"/>
        <w:right w:val="none" w:sz="0" w:space="0" w:color="auto"/>
      </w:divBdr>
    </w:div>
    <w:div w:id="1253009286">
      <w:bodyDiv w:val="1"/>
      <w:marLeft w:val="0"/>
      <w:marRight w:val="0"/>
      <w:marTop w:val="0"/>
      <w:marBottom w:val="0"/>
      <w:divBdr>
        <w:top w:val="none" w:sz="0" w:space="0" w:color="auto"/>
        <w:left w:val="none" w:sz="0" w:space="0" w:color="auto"/>
        <w:bottom w:val="none" w:sz="0" w:space="0" w:color="auto"/>
        <w:right w:val="none" w:sz="0" w:space="0" w:color="auto"/>
      </w:divBdr>
    </w:div>
    <w:div w:id="1285428595">
      <w:bodyDiv w:val="1"/>
      <w:marLeft w:val="0"/>
      <w:marRight w:val="0"/>
      <w:marTop w:val="0"/>
      <w:marBottom w:val="0"/>
      <w:divBdr>
        <w:top w:val="none" w:sz="0" w:space="0" w:color="auto"/>
        <w:left w:val="none" w:sz="0" w:space="0" w:color="auto"/>
        <w:bottom w:val="none" w:sz="0" w:space="0" w:color="auto"/>
        <w:right w:val="none" w:sz="0" w:space="0" w:color="auto"/>
      </w:divBdr>
    </w:div>
    <w:div w:id="1312976205">
      <w:bodyDiv w:val="1"/>
      <w:marLeft w:val="0"/>
      <w:marRight w:val="0"/>
      <w:marTop w:val="0"/>
      <w:marBottom w:val="0"/>
      <w:divBdr>
        <w:top w:val="none" w:sz="0" w:space="0" w:color="auto"/>
        <w:left w:val="none" w:sz="0" w:space="0" w:color="auto"/>
        <w:bottom w:val="none" w:sz="0" w:space="0" w:color="auto"/>
        <w:right w:val="none" w:sz="0" w:space="0" w:color="auto"/>
      </w:divBdr>
    </w:div>
    <w:div w:id="1368526980">
      <w:bodyDiv w:val="1"/>
      <w:marLeft w:val="0"/>
      <w:marRight w:val="0"/>
      <w:marTop w:val="0"/>
      <w:marBottom w:val="0"/>
      <w:divBdr>
        <w:top w:val="none" w:sz="0" w:space="0" w:color="auto"/>
        <w:left w:val="none" w:sz="0" w:space="0" w:color="auto"/>
        <w:bottom w:val="none" w:sz="0" w:space="0" w:color="auto"/>
        <w:right w:val="none" w:sz="0" w:space="0" w:color="auto"/>
      </w:divBdr>
    </w:div>
    <w:div w:id="1377464116">
      <w:bodyDiv w:val="1"/>
      <w:marLeft w:val="0"/>
      <w:marRight w:val="0"/>
      <w:marTop w:val="0"/>
      <w:marBottom w:val="0"/>
      <w:divBdr>
        <w:top w:val="none" w:sz="0" w:space="0" w:color="auto"/>
        <w:left w:val="none" w:sz="0" w:space="0" w:color="auto"/>
        <w:bottom w:val="none" w:sz="0" w:space="0" w:color="auto"/>
        <w:right w:val="none" w:sz="0" w:space="0" w:color="auto"/>
      </w:divBdr>
    </w:div>
    <w:div w:id="1379165564">
      <w:bodyDiv w:val="1"/>
      <w:marLeft w:val="0"/>
      <w:marRight w:val="0"/>
      <w:marTop w:val="0"/>
      <w:marBottom w:val="0"/>
      <w:divBdr>
        <w:top w:val="none" w:sz="0" w:space="0" w:color="auto"/>
        <w:left w:val="none" w:sz="0" w:space="0" w:color="auto"/>
        <w:bottom w:val="none" w:sz="0" w:space="0" w:color="auto"/>
        <w:right w:val="none" w:sz="0" w:space="0" w:color="auto"/>
      </w:divBdr>
    </w:div>
    <w:div w:id="1475637845">
      <w:bodyDiv w:val="1"/>
      <w:marLeft w:val="0"/>
      <w:marRight w:val="0"/>
      <w:marTop w:val="0"/>
      <w:marBottom w:val="0"/>
      <w:divBdr>
        <w:top w:val="none" w:sz="0" w:space="0" w:color="auto"/>
        <w:left w:val="none" w:sz="0" w:space="0" w:color="auto"/>
        <w:bottom w:val="none" w:sz="0" w:space="0" w:color="auto"/>
        <w:right w:val="none" w:sz="0" w:space="0" w:color="auto"/>
      </w:divBdr>
    </w:div>
    <w:div w:id="1477601014">
      <w:bodyDiv w:val="1"/>
      <w:marLeft w:val="0"/>
      <w:marRight w:val="0"/>
      <w:marTop w:val="0"/>
      <w:marBottom w:val="0"/>
      <w:divBdr>
        <w:top w:val="none" w:sz="0" w:space="0" w:color="auto"/>
        <w:left w:val="none" w:sz="0" w:space="0" w:color="auto"/>
        <w:bottom w:val="none" w:sz="0" w:space="0" w:color="auto"/>
        <w:right w:val="none" w:sz="0" w:space="0" w:color="auto"/>
      </w:divBdr>
    </w:div>
    <w:div w:id="1485509914">
      <w:bodyDiv w:val="1"/>
      <w:marLeft w:val="0"/>
      <w:marRight w:val="0"/>
      <w:marTop w:val="0"/>
      <w:marBottom w:val="0"/>
      <w:divBdr>
        <w:top w:val="none" w:sz="0" w:space="0" w:color="auto"/>
        <w:left w:val="none" w:sz="0" w:space="0" w:color="auto"/>
        <w:bottom w:val="none" w:sz="0" w:space="0" w:color="auto"/>
        <w:right w:val="none" w:sz="0" w:space="0" w:color="auto"/>
      </w:divBdr>
    </w:div>
    <w:div w:id="1529485895">
      <w:bodyDiv w:val="1"/>
      <w:marLeft w:val="0"/>
      <w:marRight w:val="0"/>
      <w:marTop w:val="0"/>
      <w:marBottom w:val="0"/>
      <w:divBdr>
        <w:top w:val="none" w:sz="0" w:space="0" w:color="auto"/>
        <w:left w:val="none" w:sz="0" w:space="0" w:color="auto"/>
        <w:bottom w:val="none" w:sz="0" w:space="0" w:color="auto"/>
        <w:right w:val="none" w:sz="0" w:space="0" w:color="auto"/>
      </w:divBdr>
    </w:div>
    <w:div w:id="1560819695">
      <w:bodyDiv w:val="1"/>
      <w:marLeft w:val="0"/>
      <w:marRight w:val="0"/>
      <w:marTop w:val="0"/>
      <w:marBottom w:val="0"/>
      <w:divBdr>
        <w:top w:val="none" w:sz="0" w:space="0" w:color="auto"/>
        <w:left w:val="none" w:sz="0" w:space="0" w:color="auto"/>
        <w:bottom w:val="none" w:sz="0" w:space="0" w:color="auto"/>
        <w:right w:val="none" w:sz="0" w:space="0" w:color="auto"/>
      </w:divBdr>
    </w:div>
    <w:div w:id="1572234695">
      <w:bodyDiv w:val="1"/>
      <w:marLeft w:val="0"/>
      <w:marRight w:val="0"/>
      <w:marTop w:val="0"/>
      <w:marBottom w:val="0"/>
      <w:divBdr>
        <w:top w:val="none" w:sz="0" w:space="0" w:color="auto"/>
        <w:left w:val="none" w:sz="0" w:space="0" w:color="auto"/>
        <w:bottom w:val="none" w:sz="0" w:space="0" w:color="auto"/>
        <w:right w:val="none" w:sz="0" w:space="0" w:color="auto"/>
      </w:divBdr>
    </w:div>
    <w:div w:id="1590892793">
      <w:bodyDiv w:val="1"/>
      <w:marLeft w:val="0"/>
      <w:marRight w:val="0"/>
      <w:marTop w:val="0"/>
      <w:marBottom w:val="0"/>
      <w:divBdr>
        <w:top w:val="none" w:sz="0" w:space="0" w:color="auto"/>
        <w:left w:val="none" w:sz="0" w:space="0" w:color="auto"/>
        <w:bottom w:val="none" w:sz="0" w:space="0" w:color="auto"/>
        <w:right w:val="none" w:sz="0" w:space="0" w:color="auto"/>
      </w:divBdr>
    </w:div>
    <w:div w:id="1613855260">
      <w:bodyDiv w:val="1"/>
      <w:marLeft w:val="0"/>
      <w:marRight w:val="0"/>
      <w:marTop w:val="0"/>
      <w:marBottom w:val="0"/>
      <w:divBdr>
        <w:top w:val="none" w:sz="0" w:space="0" w:color="auto"/>
        <w:left w:val="none" w:sz="0" w:space="0" w:color="auto"/>
        <w:bottom w:val="none" w:sz="0" w:space="0" w:color="auto"/>
        <w:right w:val="none" w:sz="0" w:space="0" w:color="auto"/>
      </w:divBdr>
    </w:div>
    <w:div w:id="1622035390">
      <w:bodyDiv w:val="1"/>
      <w:marLeft w:val="0"/>
      <w:marRight w:val="0"/>
      <w:marTop w:val="0"/>
      <w:marBottom w:val="0"/>
      <w:divBdr>
        <w:top w:val="none" w:sz="0" w:space="0" w:color="auto"/>
        <w:left w:val="none" w:sz="0" w:space="0" w:color="auto"/>
        <w:bottom w:val="none" w:sz="0" w:space="0" w:color="auto"/>
        <w:right w:val="none" w:sz="0" w:space="0" w:color="auto"/>
      </w:divBdr>
    </w:div>
    <w:div w:id="1633975706">
      <w:bodyDiv w:val="1"/>
      <w:marLeft w:val="0"/>
      <w:marRight w:val="0"/>
      <w:marTop w:val="0"/>
      <w:marBottom w:val="0"/>
      <w:divBdr>
        <w:top w:val="none" w:sz="0" w:space="0" w:color="auto"/>
        <w:left w:val="none" w:sz="0" w:space="0" w:color="auto"/>
        <w:bottom w:val="none" w:sz="0" w:space="0" w:color="auto"/>
        <w:right w:val="none" w:sz="0" w:space="0" w:color="auto"/>
      </w:divBdr>
    </w:div>
    <w:div w:id="1636792976">
      <w:bodyDiv w:val="1"/>
      <w:marLeft w:val="0"/>
      <w:marRight w:val="0"/>
      <w:marTop w:val="0"/>
      <w:marBottom w:val="0"/>
      <w:divBdr>
        <w:top w:val="none" w:sz="0" w:space="0" w:color="auto"/>
        <w:left w:val="none" w:sz="0" w:space="0" w:color="auto"/>
        <w:bottom w:val="none" w:sz="0" w:space="0" w:color="auto"/>
        <w:right w:val="none" w:sz="0" w:space="0" w:color="auto"/>
      </w:divBdr>
    </w:div>
    <w:div w:id="1684936632">
      <w:bodyDiv w:val="1"/>
      <w:marLeft w:val="0"/>
      <w:marRight w:val="0"/>
      <w:marTop w:val="0"/>
      <w:marBottom w:val="0"/>
      <w:divBdr>
        <w:top w:val="none" w:sz="0" w:space="0" w:color="auto"/>
        <w:left w:val="none" w:sz="0" w:space="0" w:color="auto"/>
        <w:bottom w:val="none" w:sz="0" w:space="0" w:color="auto"/>
        <w:right w:val="none" w:sz="0" w:space="0" w:color="auto"/>
      </w:divBdr>
    </w:div>
    <w:div w:id="1742603192">
      <w:bodyDiv w:val="1"/>
      <w:marLeft w:val="0"/>
      <w:marRight w:val="0"/>
      <w:marTop w:val="0"/>
      <w:marBottom w:val="0"/>
      <w:divBdr>
        <w:top w:val="none" w:sz="0" w:space="0" w:color="auto"/>
        <w:left w:val="none" w:sz="0" w:space="0" w:color="auto"/>
        <w:bottom w:val="none" w:sz="0" w:space="0" w:color="auto"/>
        <w:right w:val="none" w:sz="0" w:space="0" w:color="auto"/>
      </w:divBdr>
    </w:div>
    <w:div w:id="1745452173">
      <w:bodyDiv w:val="1"/>
      <w:marLeft w:val="0"/>
      <w:marRight w:val="0"/>
      <w:marTop w:val="0"/>
      <w:marBottom w:val="0"/>
      <w:divBdr>
        <w:top w:val="none" w:sz="0" w:space="0" w:color="auto"/>
        <w:left w:val="none" w:sz="0" w:space="0" w:color="auto"/>
        <w:bottom w:val="none" w:sz="0" w:space="0" w:color="auto"/>
        <w:right w:val="none" w:sz="0" w:space="0" w:color="auto"/>
      </w:divBdr>
    </w:div>
    <w:div w:id="1759784445">
      <w:bodyDiv w:val="1"/>
      <w:marLeft w:val="0"/>
      <w:marRight w:val="0"/>
      <w:marTop w:val="0"/>
      <w:marBottom w:val="0"/>
      <w:divBdr>
        <w:top w:val="none" w:sz="0" w:space="0" w:color="auto"/>
        <w:left w:val="none" w:sz="0" w:space="0" w:color="auto"/>
        <w:bottom w:val="none" w:sz="0" w:space="0" w:color="auto"/>
        <w:right w:val="none" w:sz="0" w:space="0" w:color="auto"/>
      </w:divBdr>
    </w:div>
    <w:div w:id="1769160351">
      <w:bodyDiv w:val="1"/>
      <w:marLeft w:val="0"/>
      <w:marRight w:val="0"/>
      <w:marTop w:val="0"/>
      <w:marBottom w:val="0"/>
      <w:divBdr>
        <w:top w:val="none" w:sz="0" w:space="0" w:color="auto"/>
        <w:left w:val="none" w:sz="0" w:space="0" w:color="auto"/>
        <w:bottom w:val="none" w:sz="0" w:space="0" w:color="auto"/>
        <w:right w:val="none" w:sz="0" w:space="0" w:color="auto"/>
      </w:divBdr>
    </w:div>
    <w:div w:id="1787235317">
      <w:bodyDiv w:val="1"/>
      <w:marLeft w:val="0"/>
      <w:marRight w:val="0"/>
      <w:marTop w:val="0"/>
      <w:marBottom w:val="0"/>
      <w:divBdr>
        <w:top w:val="none" w:sz="0" w:space="0" w:color="auto"/>
        <w:left w:val="none" w:sz="0" w:space="0" w:color="auto"/>
        <w:bottom w:val="none" w:sz="0" w:space="0" w:color="auto"/>
        <w:right w:val="none" w:sz="0" w:space="0" w:color="auto"/>
      </w:divBdr>
    </w:div>
    <w:div w:id="1799646020">
      <w:bodyDiv w:val="1"/>
      <w:marLeft w:val="0"/>
      <w:marRight w:val="0"/>
      <w:marTop w:val="0"/>
      <w:marBottom w:val="0"/>
      <w:divBdr>
        <w:top w:val="none" w:sz="0" w:space="0" w:color="auto"/>
        <w:left w:val="none" w:sz="0" w:space="0" w:color="auto"/>
        <w:bottom w:val="none" w:sz="0" w:space="0" w:color="auto"/>
        <w:right w:val="none" w:sz="0" w:space="0" w:color="auto"/>
      </w:divBdr>
    </w:div>
    <w:div w:id="1813399940">
      <w:bodyDiv w:val="1"/>
      <w:marLeft w:val="0"/>
      <w:marRight w:val="0"/>
      <w:marTop w:val="0"/>
      <w:marBottom w:val="0"/>
      <w:divBdr>
        <w:top w:val="none" w:sz="0" w:space="0" w:color="auto"/>
        <w:left w:val="none" w:sz="0" w:space="0" w:color="auto"/>
        <w:bottom w:val="none" w:sz="0" w:space="0" w:color="auto"/>
        <w:right w:val="none" w:sz="0" w:space="0" w:color="auto"/>
      </w:divBdr>
    </w:div>
    <w:div w:id="1817182535">
      <w:bodyDiv w:val="1"/>
      <w:marLeft w:val="0"/>
      <w:marRight w:val="0"/>
      <w:marTop w:val="0"/>
      <w:marBottom w:val="0"/>
      <w:divBdr>
        <w:top w:val="none" w:sz="0" w:space="0" w:color="auto"/>
        <w:left w:val="none" w:sz="0" w:space="0" w:color="auto"/>
        <w:bottom w:val="none" w:sz="0" w:space="0" w:color="auto"/>
        <w:right w:val="none" w:sz="0" w:space="0" w:color="auto"/>
      </w:divBdr>
    </w:div>
    <w:div w:id="1855420031">
      <w:bodyDiv w:val="1"/>
      <w:marLeft w:val="0"/>
      <w:marRight w:val="0"/>
      <w:marTop w:val="0"/>
      <w:marBottom w:val="0"/>
      <w:divBdr>
        <w:top w:val="none" w:sz="0" w:space="0" w:color="auto"/>
        <w:left w:val="none" w:sz="0" w:space="0" w:color="auto"/>
        <w:bottom w:val="none" w:sz="0" w:space="0" w:color="auto"/>
        <w:right w:val="none" w:sz="0" w:space="0" w:color="auto"/>
      </w:divBdr>
    </w:div>
    <w:div w:id="1881740995">
      <w:bodyDiv w:val="1"/>
      <w:marLeft w:val="0"/>
      <w:marRight w:val="0"/>
      <w:marTop w:val="0"/>
      <w:marBottom w:val="0"/>
      <w:divBdr>
        <w:top w:val="none" w:sz="0" w:space="0" w:color="auto"/>
        <w:left w:val="none" w:sz="0" w:space="0" w:color="auto"/>
        <w:bottom w:val="none" w:sz="0" w:space="0" w:color="auto"/>
        <w:right w:val="none" w:sz="0" w:space="0" w:color="auto"/>
      </w:divBdr>
    </w:div>
    <w:div w:id="1893735387">
      <w:bodyDiv w:val="1"/>
      <w:marLeft w:val="0"/>
      <w:marRight w:val="0"/>
      <w:marTop w:val="0"/>
      <w:marBottom w:val="0"/>
      <w:divBdr>
        <w:top w:val="none" w:sz="0" w:space="0" w:color="auto"/>
        <w:left w:val="none" w:sz="0" w:space="0" w:color="auto"/>
        <w:bottom w:val="none" w:sz="0" w:space="0" w:color="auto"/>
        <w:right w:val="none" w:sz="0" w:space="0" w:color="auto"/>
      </w:divBdr>
    </w:div>
    <w:div w:id="1903715034">
      <w:bodyDiv w:val="1"/>
      <w:marLeft w:val="0"/>
      <w:marRight w:val="0"/>
      <w:marTop w:val="0"/>
      <w:marBottom w:val="0"/>
      <w:divBdr>
        <w:top w:val="none" w:sz="0" w:space="0" w:color="auto"/>
        <w:left w:val="none" w:sz="0" w:space="0" w:color="auto"/>
        <w:bottom w:val="none" w:sz="0" w:space="0" w:color="auto"/>
        <w:right w:val="none" w:sz="0" w:space="0" w:color="auto"/>
      </w:divBdr>
    </w:div>
    <w:div w:id="1917665060">
      <w:bodyDiv w:val="1"/>
      <w:marLeft w:val="0"/>
      <w:marRight w:val="0"/>
      <w:marTop w:val="0"/>
      <w:marBottom w:val="0"/>
      <w:divBdr>
        <w:top w:val="none" w:sz="0" w:space="0" w:color="auto"/>
        <w:left w:val="none" w:sz="0" w:space="0" w:color="auto"/>
        <w:bottom w:val="none" w:sz="0" w:space="0" w:color="auto"/>
        <w:right w:val="none" w:sz="0" w:space="0" w:color="auto"/>
      </w:divBdr>
    </w:div>
    <w:div w:id="1924297197">
      <w:bodyDiv w:val="1"/>
      <w:marLeft w:val="0"/>
      <w:marRight w:val="0"/>
      <w:marTop w:val="0"/>
      <w:marBottom w:val="0"/>
      <w:divBdr>
        <w:top w:val="none" w:sz="0" w:space="0" w:color="auto"/>
        <w:left w:val="none" w:sz="0" w:space="0" w:color="auto"/>
        <w:bottom w:val="none" w:sz="0" w:space="0" w:color="auto"/>
        <w:right w:val="none" w:sz="0" w:space="0" w:color="auto"/>
      </w:divBdr>
    </w:div>
    <w:div w:id="1927498795">
      <w:bodyDiv w:val="1"/>
      <w:marLeft w:val="0"/>
      <w:marRight w:val="0"/>
      <w:marTop w:val="0"/>
      <w:marBottom w:val="0"/>
      <w:divBdr>
        <w:top w:val="none" w:sz="0" w:space="0" w:color="auto"/>
        <w:left w:val="none" w:sz="0" w:space="0" w:color="auto"/>
        <w:bottom w:val="none" w:sz="0" w:space="0" w:color="auto"/>
        <w:right w:val="none" w:sz="0" w:space="0" w:color="auto"/>
      </w:divBdr>
    </w:div>
    <w:div w:id="1963026236">
      <w:bodyDiv w:val="1"/>
      <w:marLeft w:val="0"/>
      <w:marRight w:val="0"/>
      <w:marTop w:val="0"/>
      <w:marBottom w:val="0"/>
      <w:divBdr>
        <w:top w:val="none" w:sz="0" w:space="0" w:color="auto"/>
        <w:left w:val="none" w:sz="0" w:space="0" w:color="auto"/>
        <w:bottom w:val="none" w:sz="0" w:space="0" w:color="auto"/>
        <w:right w:val="none" w:sz="0" w:space="0" w:color="auto"/>
      </w:divBdr>
    </w:div>
    <w:div w:id="1977173304">
      <w:bodyDiv w:val="1"/>
      <w:marLeft w:val="0"/>
      <w:marRight w:val="0"/>
      <w:marTop w:val="0"/>
      <w:marBottom w:val="0"/>
      <w:divBdr>
        <w:top w:val="none" w:sz="0" w:space="0" w:color="auto"/>
        <w:left w:val="none" w:sz="0" w:space="0" w:color="auto"/>
        <w:bottom w:val="none" w:sz="0" w:space="0" w:color="auto"/>
        <w:right w:val="none" w:sz="0" w:space="0" w:color="auto"/>
      </w:divBdr>
    </w:div>
    <w:div w:id="1991327270">
      <w:bodyDiv w:val="1"/>
      <w:marLeft w:val="0"/>
      <w:marRight w:val="0"/>
      <w:marTop w:val="0"/>
      <w:marBottom w:val="0"/>
      <w:divBdr>
        <w:top w:val="none" w:sz="0" w:space="0" w:color="auto"/>
        <w:left w:val="none" w:sz="0" w:space="0" w:color="auto"/>
        <w:bottom w:val="none" w:sz="0" w:space="0" w:color="auto"/>
        <w:right w:val="none" w:sz="0" w:space="0" w:color="auto"/>
      </w:divBdr>
    </w:div>
    <w:div w:id="2037343804">
      <w:bodyDiv w:val="1"/>
      <w:marLeft w:val="0"/>
      <w:marRight w:val="0"/>
      <w:marTop w:val="0"/>
      <w:marBottom w:val="0"/>
      <w:divBdr>
        <w:top w:val="none" w:sz="0" w:space="0" w:color="auto"/>
        <w:left w:val="none" w:sz="0" w:space="0" w:color="auto"/>
        <w:bottom w:val="none" w:sz="0" w:space="0" w:color="auto"/>
        <w:right w:val="none" w:sz="0" w:space="0" w:color="auto"/>
      </w:divBdr>
    </w:div>
    <w:div w:id="2131775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emf"/><Relationship Id="rId117" Type="http://schemas.openxmlformats.org/officeDocument/2006/relationships/image" Target="media/image72.emf"/><Relationship Id="rId21" Type="http://schemas.openxmlformats.org/officeDocument/2006/relationships/chart" Target="charts/chart2.xml"/><Relationship Id="rId42" Type="http://schemas.openxmlformats.org/officeDocument/2006/relationships/oleObject" Target="embeddings/oleObject7.bin"/><Relationship Id="rId47" Type="http://schemas.openxmlformats.org/officeDocument/2006/relationships/image" Target="media/image17.wmf"/><Relationship Id="rId63" Type="http://schemas.openxmlformats.org/officeDocument/2006/relationships/oleObject" Target="embeddings/oleObject17.bin"/><Relationship Id="rId68" Type="http://schemas.openxmlformats.org/officeDocument/2006/relationships/image" Target="media/image28.wmf"/><Relationship Id="rId84" Type="http://schemas.openxmlformats.org/officeDocument/2006/relationships/image" Target="media/image39.emf"/><Relationship Id="rId89" Type="http://schemas.openxmlformats.org/officeDocument/2006/relationships/image" Target="media/image44.emf"/><Relationship Id="rId112" Type="http://schemas.openxmlformats.org/officeDocument/2006/relationships/image" Target="media/image67.emf"/><Relationship Id="rId16" Type="http://schemas.openxmlformats.org/officeDocument/2006/relationships/image" Target="media/image5.emf"/><Relationship Id="rId107" Type="http://schemas.openxmlformats.org/officeDocument/2006/relationships/image" Target="media/image62.emf"/><Relationship Id="rId11" Type="http://schemas.openxmlformats.org/officeDocument/2006/relationships/oleObject" Target="embeddings/oleObject2.bin"/><Relationship Id="rId32" Type="http://schemas.openxmlformats.org/officeDocument/2006/relationships/package" Target="embeddings/Microsoft_Office_Excel_Worksheet7.xlsx"/><Relationship Id="rId37" Type="http://schemas.openxmlformats.org/officeDocument/2006/relationships/image" Target="media/image12.wmf"/><Relationship Id="rId53" Type="http://schemas.openxmlformats.org/officeDocument/2006/relationships/image" Target="media/image20.wmf"/><Relationship Id="rId58" Type="http://schemas.openxmlformats.org/officeDocument/2006/relationships/oleObject" Target="embeddings/oleObject15.bin"/><Relationship Id="rId74" Type="http://schemas.openxmlformats.org/officeDocument/2006/relationships/image" Target="media/image32.emf"/><Relationship Id="rId79" Type="http://schemas.openxmlformats.org/officeDocument/2006/relationships/hyperlink" Target="http://encyclo.findlaw.com/index.html" TargetMode="External"/><Relationship Id="rId102" Type="http://schemas.openxmlformats.org/officeDocument/2006/relationships/image" Target="media/image57.emf"/><Relationship Id="rId123" Type="http://schemas.openxmlformats.org/officeDocument/2006/relationships/image" Target="media/image78.emf"/><Relationship Id="rId128"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image" Target="media/image45.emf"/><Relationship Id="rId95" Type="http://schemas.openxmlformats.org/officeDocument/2006/relationships/image" Target="media/image50.emf"/><Relationship Id="rId19" Type="http://schemas.openxmlformats.org/officeDocument/2006/relationships/image" Target="media/image6.emf"/><Relationship Id="rId14" Type="http://schemas.openxmlformats.org/officeDocument/2006/relationships/image" Target="media/image4.emf"/><Relationship Id="rId22" Type="http://schemas.openxmlformats.org/officeDocument/2006/relationships/chart" Target="charts/chart3.xml"/><Relationship Id="rId27" Type="http://schemas.openxmlformats.org/officeDocument/2006/relationships/package" Target="embeddings/Microsoft_Office_Excel_Worksheet5.xlsx"/><Relationship Id="rId30" Type="http://schemas.openxmlformats.org/officeDocument/2006/relationships/chart" Target="charts/chart7.xml"/><Relationship Id="rId35" Type="http://schemas.openxmlformats.org/officeDocument/2006/relationships/image" Target="media/image11.wmf"/><Relationship Id="rId43" Type="http://schemas.openxmlformats.org/officeDocument/2006/relationships/image" Target="media/image15.wmf"/><Relationship Id="rId48" Type="http://schemas.openxmlformats.org/officeDocument/2006/relationships/oleObject" Target="embeddings/oleObject10.bin"/><Relationship Id="rId56" Type="http://schemas.openxmlformats.org/officeDocument/2006/relationships/oleObject" Target="embeddings/oleObject14.bin"/><Relationship Id="rId64" Type="http://schemas.openxmlformats.org/officeDocument/2006/relationships/image" Target="media/image26.wmf"/><Relationship Id="rId69" Type="http://schemas.openxmlformats.org/officeDocument/2006/relationships/oleObject" Target="embeddings/oleObject20.bin"/><Relationship Id="rId77" Type="http://schemas.openxmlformats.org/officeDocument/2006/relationships/image" Target="media/image35.png"/><Relationship Id="rId100" Type="http://schemas.openxmlformats.org/officeDocument/2006/relationships/image" Target="media/image55.emf"/><Relationship Id="rId105" Type="http://schemas.openxmlformats.org/officeDocument/2006/relationships/image" Target="media/image60.emf"/><Relationship Id="rId113" Type="http://schemas.openxmlformats.org/officeDocument/2006/relationships/image" Target="media/image68.emf"/><Relationship Id="rId118" Type="http://schemas.openxmlformats.org/officeDocument/2006/relationships/image" Target="media/image73.emf"/><Relationship Id="rId126"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image" Target="media/image19.wmf"/><Relationship Id="rId72" Type="http://schemas.openxmlformats.org/officeDocument/2006/relationships/image" Target="media/image30.emf"/><Relationship Id="rId80" Type="http://schemas.openxmlformats.org/officeDocument/2006/relationships/hyperlink" Target="http://www.conselhosuperiordamagistratura.pt/index.php?idmenu=15&amp;lg=1" TargetMode="External"/><Relationship Id="rId85" Type="http://schemas.openxmlformats.org/officeDocument/2006/relationships/image" Target="media/image40.emf"/><Relationship Id="rId93" Type="http://schemas.openxmlformats.org/officeDocument/2006/relationships/image" Target="media/image48.emf"/><Relationship Id="rId98" Type="http://schemas.openxmlformats.org/officeDocument/2006/relationships/image" Target="media/image53.emf"/><Relationship Id="rId121" Type="http://schemas.openxmlformats.org/officeDocument/2006/relationships/image" Target="media/image7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Office_Excel_Worksheet3.xlsx"/><Relationship Id="rId25" Type="http://schemas.openxmlformats.org/officeDocument/2006/relationships/chart" Target="charts/chart6.xml"/><Relationship Id="rId33" Type="http://schemas.openxmlformats.org/officeDocument/2006/relationships/image" Target="media/image10.wmf"/><Relationship Id="rId38" Type="http://schemas.openxmlformats.org/officeDocument/2006/relationships/oleObject" Target="embeddings/oleObject5.bin"/><Relationship Id="rId46" Type="http://schemas.openxmlformats.org/officeDocument/2006/relationships/oleObject" Target="embeddings/oleObject9.bin"/><Relationship Id="rId59" Type="http://schemas.openxmlformats.org/officeDocument/2006/relationships/image" Target="media/image23.wmf"/><Relationship Id="rId67" Type="http://schemas.openxmlformats.org/officeDocument/2006/relationships/oleObject" Target="embeddings/oleObject19.bin"/><Relationship Id="rId103" Type="http://schemas.openxmlformats.org/officeDocument/2006/relationships/image" Target="media/image58.emf"/><Relationship Id="rId108" Type="http://schemas.openxmlformats.org/officeDocument/2006/relationships/image" Target="media/image63.emf"/><Relationship Id="rId116" Type="http://schemas.openxmlformats.org/officeDocument/2006/relationships/image" Target="media/image71.emf"/><Relationship Id="rId124" Type="http://schemas.openxmlformats.org/officeDocument/2006/relationships/image" Target="media/image79.emf"/><Relationship Id="rId129" Type="http://schemas.openxmlformats.org/officeDocument/2006/relationships/fontTable" Target="fontTable.xml"/><Relationship Id="rId20" Type="http://schemas.openxmlformats.org/officeDocument/2006/relationships/package" Target="embeddings/Microsoft_Office_Excel_Worksheet4.xlsx"/><Relationship Id="rId41" Type="http://schemas.openxmlformats.org/officeDocument/2006/relationships/image" Target="media/image14.wmf"/><Relationship Id="rId54" Type="http://schemas.openxmlformats.org/officeDocument/2006/relationships/oleObject" Target="embeddings/oleObject13.bin"/><Relationship Id="rId62" Type="http://schemas.openxmlformats.org/officeDocument/2006/relationships/image" Target="media/image25.wmf"/><Relationship Id="rId70" Type="http://schemas.openxmlformats.org/officeDocument/2006/relationships/image" Target="media/image29.wmf"/><Relationship Id="rId75" Type="http://schemas.openxmlformats.org/officeDocument/2006/relationships/image" Target="media/image33.png"/><Relationship Id="rId83" Type="http://schemas.openxmlformats.org/officeDocument/2006/relationships/image" Target="media/image38.emf"/><Relationship Id="rId88" Type="http://schemas.openxmlformats.org/officeDocument/2006/relationships/image" Target="media/image43.emf"/><Relationship Id="rId91" Type="http://schemas.openxmlformats.org/officeDocument/2006/relationships/image" Target="media/image46.emf"/><Relationship Id="rId96" Type="http://schemas.openxmlformats.org/officeDocument/2006/relationships/image" Target="media/image51.emf"/><Relationship Id="rId111" Type="http://schemas.openxmlformats.org/officeDocument/2006/relationships/image" Target="media/image66.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Office_Excel_Worksheet2.xlsx"/><Relationship Id="rId23" Type="http://schemas.openxmlformats.org/officeDocument/2006/relationships/chart" Target="charts/chart4.xml"/><Relationship Id="rId28" Type="http://schemas.openxmlformats.org/officeDocument/2006/relationships/image" Target="media/image8.emf"/><Relationship Id="rId36" Type="http://schemas.openxmlformats.org/officeDocument/2006/relationships/oleObject" Target="embeddings/oleObject4.bin"/><Relationship Id="rId49" Type="http://schemas.openxmlformats.org/officeDocument/2006/relationships/image" Target="media/image18.wmf"/><Relationship Id="rId57" Type="http://schemas.openxmlformats.org/officeDocument/2006/relationships/image" Target="media/image22.wmf"/><Relationship Id="rId106" Type="http://schemas.openxmlformats.org/officeDocument/2006/relationships/image" Target="media/image61.emf"/><Relationship Id="rId114" Type="http://schemas.openxmlformats.org/officeDocument/2006/relationships/image" Target="media/image69.emf"/><Relationship Id="rId119" Type="http://schemas.openxmlformats.org/officeDocument/2006/relationships/image" Target="media/image74.emf"/><Relationship Id="rId127" Type="http://schemas.openxmlformats.org/officeDocument/2006/relationships/footer" Target="footer1.xml"/><Relationship Id="rId10" Type="http://schemas.openxmlformats.org/officeDocument/2006/relationships/image" Target="media/image2.emf"/><Relationship Id="rId31" Type="http://schemas.openxmlformats.org/officeDocument/2006/relationships/image" Target="media/image9.emf"/><Relationship Id="rId44" Type="http://schemas.openxmlformats.org/officeDocument/2006/relationships/oleObject" Target="embeddings/oleObject8.bin"/><Relationship Id="rId52" Type="http://schemas.openxmlformats.org/officeDocument/2006/relationships/oleObject" Target="embeddings/oleObject12.bin"/><Relationship Id="rId60" Type="http://schemas.openxmlformats.org/officeDocument/2006/relationships/oleObject" Target="embeddings/oleObject16.bin"/><Relationship Id="rId65" Type="http://schemas.openxmlformats.org/officeDocument/2006/relationships/oleObject" Target="embeddings/oleObject18.bin"/><Relationship Id="rId73" Type="http://schemas.openxmlformats.org/officeDocument/2006/relationships/image" Target="media/image31.emf"/><Relationship Id="rId78" Type="http://schemas.openxmlformats.org/officeDocument/2006/relationships/chart" Target="charts/chart8.xml"/><Relationship Id="rId81" Type="http://schemas.openxmlformats.org/officeDocument/2006/relationships/image" Target="media/image36.emf"/><Relationship Id="rId86" Type="http://schemas.openxmlformats.org/officeDocument/2006/relationships/image" Target="media/image41.emf"/><Relationship Id="rId94" Type="http://schemas.openxmlformats.org/officeDocument/2006/relationships/image" Target="media/image49.emf"/><Relationship Id="rId99" Type="http://schemas.openxmlformats.org/officeDocument/2006/relationships/image" Target="media/image54.emf"/><Relationship Id="rId101" Type="http://schemas.openxmlformats.org/officeDocument/2006/relationships/image" Target="media/image56.emf"/><Relationship Id="rId122" Type="http://schemas.openxmlformats.org/officeDocument/2006/relationships/image" Target="media/image77.emf"/><Relationship Id="rId13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package" Target="embeddings/Microsoft_Office_Excel_Worksheet1.xlsx"/><Relationship Id="rId18" Type="http://schemas.openxmlformats.org/officeDocument/2006/relationships/chart" Target="charts/chart1.xml"/><Relationship Id="rId39" Type="http://schemas.openxmlformats.org/officeDocument/2006/relationships/image" Target="media/image13.wmf"/><Relationship Id="rId109" Type="http://schemas.openxmlformats.org/officeDocument/2006/relationships/image" Target="media/image64.emf"/><Relationship Id="rId34" Type="http://schemas.openxmlformats.org/officeDocument/2006/relationships/oleObject" Target="embeddings/oleObject3.bin"/><Relationship Id="rId50" Type="http://schemas.openxmlformats.org/officeDocument/2006/relationships/oleObject" Target="embeddings/oleObject11.bin"/><Relationship Id="rId55" Type="http://schemas.openxmlformats.org/officeDocument/2006/relationships/image" Target="media/image21.wmf"/><Relationship Id="rId76" Type="http://schemas.openxmlformats.org/officeDocument/2006/relationships/image" Target="media/image34.png"/><Relationship Id="rId97" Type="http://schemas.openxmlformats.org/officeDocument/2006/relationships/image" Target="media/image52.emf"/><Relationship Id="rId104" Type="http://schemas.openxmlformats.org/officeDocument/2006/relationships/image" Target="media/image59.emf"/><Relationship Id="rId120" Type="http://schemas.openxmlformats.org/officeDocument/2006/relationships/image" Target="media/image75.emf"/><Relationship Id="rId125" Type="http://schemas.openxmlformats.org/officeDocument/2006/relationships/image" Target="media/image80.emf"/><Relationship Id="rId7" Type="http://schemas.openxmlformats.org/officeDocument/2006/relationships/endnotes" Target="endnotes.xml"/><Relationship Id="rId71" Type="http://schemas.openxmlformats.org/officeDocument/2006/relationships/oleObject" Target="embeddings/oleObject21.bin"/><Relationship Id="rId92" Type="http://schemas.openxmlformats.org/officeDocument/2006/relationships/image" Target="media/image47.emf"/><Relationship Id="rId2" Type="http://schemas.openxmlformats.org/officeDocument/2006/relationships/numbering" Target="numbering.xml"/><Relationship Id="rId29" Type="http://schemas.openxmlformats.org/officeDocument/2006/relationships/package" Target="embeddings/Microsoft_Office_Excel_Worksheet6.xlsx"/><Relationship Id="rId24" Type="http://schemas.openxmlformats.org/officeDocument/2006/relationships/chart" Target="charts/chart5.xml"/><Relationship Id="rId40" Type="http://schemas.openxmlformats.org/officeDocument/2006/relationships/oleObject" Target="embeddings/oleObject6.bin"/><Relationship Id="rId45" Type="http://schemas.openxmlformats.org/officeDocument/2006/relationships/image" Target="media/image16.wmf"/><Relationship Id="rId66" Type="http://schemas.openxmlformats.org/officeDocument/2006/relationships/image" Target="media/image27.wmf"/><Relationship Id="rId87" Type="http://schemas.openxmlformats.org/officeDocument/2006/relationships/image" Target="media/image42.emf"/><Relationship Id="rId110" Type="http://schemas.openxmlformats.org/officeDocument/2006/relationships/image" Target="media/image65.emf"/><Relationship Id="rId115" Type="http://schemas.openxmlformats.org/officeDocument/2006/relationships/image" Target="media/image70.emf"/><Relationship Id="rId61" Type="http://schemas.openxmlformats.org/officeDocument/2006/relationships/image" Target="media/image24.png"/><Relationship Id="rId82" Type="http://schemas.openxmlformats.org/officeDocument/2006/relationships/image" Target="media/image37.emf"/></Relationships>
</file>

<file path=word/_rels/footnotes.xml.rels><?xml version="1.0" encoding="UTF-8" standalone="yes"?>
<Relationships xmlns="http://schemas.openxmlformats.org/package/2006/relationships"><Relationship Id="rId3" Type="http://schemas.openxmlformats.org/officeDocument/2006/relationships/hyperlink" Target="http://www.redecivil.mj.pt/" TargetMode="External"/><Relationship Id="rId7" Type="http://schemas.openxmlformats.org/officeDocument/2006/relationships/hyperlink" Target="http://www.siej.dgpj.mj.pt/estatisticas.html" TargetMode="External"/><Relationship Id="rId2" Type="http://schemas.openxmlformats.org/officeDocument/2006/relationships/hyperlink" Target="http://www.worldbank.org/publicsector/legal/" TargetMode="External"/><Relationship Id="rId1" Type="http://schemas.openxmlformats.org/officeDocument/2006/relationships/hyperlink" Target="http://www.reformadajusti&#231;a.blogspot.com" TargetMode="External"/><Relationship Id="rId6" Type="http://schemas.openxmlformats.org/officeDocument/2006/relationships/hyperlink" Target="mailto:danielbm@gmail.com" TargetMode="External"/><Relationship Id="rId5" Type="http://schemas.openxmlformats.org/officeDocument/2006/relationships/hyperlink" Target="http://www.ine.pt" TargetMode="External"/><Relationship Id="rId4" Type="http://schemas.openxmlformats.org/officeDocument/2006/relationships/hyperlink" Target="http://www.conselhosuperiordamagistratura.pt/index.php?idmenu=8&amp;lg=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tese%20mepp\dados%20gerais\cap.%202\bd_excel_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dados%20gerais\cap.%202\bd_excel_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Daniel%20B.%20Martins\Documents\avalia&#231;&#227;o%20efici&#234;ncia\tese%20mepp\regress&#227;o\regress&#227;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7.8643356714913557E-2"/>
          <c:y val="0.10299082583717289"/>
          <c:w val="0.87767760024150032"/>
          <c:h val="0.62313871756743133"/>
        </c:manualLayout>
      </c:layout>
      <c:lineChart>
        <c:grouping val="standard"/>
        <c:ser>
          <c:idx val="0"/>
          <c:order val="0"/>
          <c:tx>
            <c:v>1.ª Instância</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dur!$I$5:$I$18</c:f>
              <c:numCache>
                <c:formatCode>0</c:formatCode>
                <c:ptCount val="14"/>
                <c:pt idx="0">
                  <c:v>12</c:v>
                </c:pt>
                <c:pt idx="1">
                  <c:v>12</c:v>
                </c:pt>
                <c:pt idx="2">
                  <c:v>13</c:v>
                </c:pt>
                <c:pt idx="3">
                  <c:v>14</c:v>
                </c:pt>
                <c:pt idx="4">
                  <c:v>14</c:v>
                </c:pt>
                <c:pt idx="5">
                  <c:v>16</c:v>
                </c:pt>
                <c:pt idx="6">
                  <c:v>17</c:v>
                </c:pt>
                <c:pt idx="7">
                  <c:v>19</c:v>
                </c:pt>
                <c:pt idx="8">
                  <c:v>18</c:v>
                </c:pt>
                <c:pt idx="9">
                  <c:v>18</c:v>
                </c:pt>
                <c:pt idx="10">
                  <c:v>20</c:v>
                </c:pt>
                <c:pt idx="11">
                  <c:v>21</c:v>
                </c:pt>
                <c:pt idx="12">
                  <c:v>22</c:v>
                </c:pt>
                <c:pt idx="13" formatCode="General">
                  <c:v>25</c:v>
                </c:pt>
              </c:numCache>
            </c:numRef>
          </c:val>
          <c:smooth val="1"/>
        </c:ser>
        <c:ser>
          <c:idx val="1"/>
          <c:order val="1"/>
          <c:tx>
            <c:v>2.ª Instância</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dur!$J$5:$J$18</c:f>
              <c:numCache>
                <c:formatCode>0</c:formatCode>
                <c:ptCount val="14"/>
                <c:pt idx="0">
                  <c:v>8</c:v>
                </c:pt>
                <c:pt idx="1">
                  <c:v>8</c:v>
                </c:pt>
                <c:pt idx="2">
                  <c:v>8</c:v>
                </c:pt>
                <c:pt idx="3">
                  <c:v>9</c:v>
                </c:pt>
                <c:pt idx="4">
                  <c:v>8</c:v>
                </c:pt>
                <c:pt idx="5">
                  <c:v>7</c:v>
                </c:pt>
                <c:pt idx="6">
                  <c:v>6</c:v>
                </c:pt>
                <c:pt idx="7">
                  <c:v>5</c:v>
                </c:pt>
                <c:pt idx="8">
                  <c:v>5</c:v>
                </c:pt>
                <c:pt idx="9">
                  <c:v>5</c:v>
                </c:pt>
                <c:pt idx="10">
                  <c:v>5</c:v>
                </c:pt>
                <c:pt idx="11">
                  <c:v>5</c:v>
                </c:pt>
                <c:pt idx="12">
                  <c:v>5</c:v>
                </c:pt>
                <c:pt idx="13" formatCode="General">
                  <c:v>5</c:v>
                </c:pt>
              </c:numCache>
            </c:numRef>
          </c:val>
          <c:smooth val="1"/>
        </c:ser>
        <c:ser>
          <c:idx val="2"/>
          <c:order val="2"/>
          <c:tx>
            <c:v>3.ª Instância</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dur!$K$5:$K$18</c:f>
              <c:numCache>
                <c:formatCode>0</c:formatCode>
                <c:ptCount val="14"/>
                <c:pt idx="0">
                  <c:v>9</c:v>
                </c:pt>
                <c:pt idx="1">
                  <c:v>9</c:v>
                </c:pt>
                <c:pt idx="2">
                  <c:v>9</c:v>
                </c:pt>
                <c:pt idx="3">
                  <c:v>8</c:v>
                </c:pt>
                <c:pt idx="4">
                  <c:v>6</c:v>
                </c:pt>
                <c:pt idx="5">
                  <c:v>5</c:v>
                </c:pt>
                <c:pt idx="6">
                  <c:v>4</c:v>
                </c:pt>
                <c:pt idx="7">
                  <c:v>3</c:v>
                </c:pt>
                <c:pt idx="8">
                  <c:v>4</c:v>
                </c:pt>
                <c:pt idx="9">
                  <c:v>4</c:v>
                </c:pt>
                <c:pt idx="10">
                  <c:v>4</c:v>
                </c:pt>
                <c:pt idx="11">
                  <c:v>3</c:v>
                </c:pt>
                <c:pt idx="12">
                  <c:v>4</c:v>
                </c:pt>
                <c:pt idx="13" formatCode="General">
                  <c:v>3</c:v>
                </c:pt>
              </c:numCache>
            </c:numRef>
          </c:val>
          <c:smooth val="1"/>
        </c:ser>
        <c:marker val="1"/>
        <c:axId val="137176960"/>
        <c:axId val="137178496"/>
      </c:lineChart>
      <c:catAx>
        <c:axId val="137176960"/>
        <c:scaling>
          <c:orientation val="minMax"/>
        </c:scaling>
        <c:axPos val="b"/>
        <c:numFmt formatCode="0" sourceLinked="1"/>
        <c:tickLblPos val="nextTo"/>
        <c:txPr>
          <a:bodyPr/>
          <a:lstStyle/>
          <a:p>
            <a:pPr>
              <a:defRPr>
                <a:latin typeface="Perpetua" pitchFamily="18" charset="0"/>
              </a:defRPr>
            </a:pPr>
            <a:endParaRPr lang="pt-PT"/>
          </a:p>
        </c:txPr>
        <c:crossAx val="137178496"/>
        <c:crosses val="autoZero"/>
        <c:auto val="1"/>
        <c:lblAlgn val="ctr"/>
        <c:lblOffset val="100"/>
      </c:catAx>
      <c:valAx>
        <c:axId val="137178496"/>
        <c:scaling>
          <c:orientation val="minMax"/>
        </c:scaling>
        <c:axPos val="l"/>
        <c:majorGridlines/>
        <c:numFmt formatCode="0" sourceLinked="1"/>
        <c:tickLblPos val="nextTo"/>
        <c:txPr>
          <a:bodyPr/>
          <a:lstStyle/>
          <a:p>
            <a:pPr>
              <a:defRPr>
                <a:latin typeface="Perpetua" pitchFamily="18" charset="0"/>
              </a:defRPr>
            </a:pPr>
            <a:endParaRPr lang="pt-PT"/>
          </a:p>
        </c:txPr>
        <c:crossAx val="137176960"/>
        <c:crosses val="autoZero"/>
        <c:crossBetween val="between"/>
      </c:valAx>
      <c:spPr>
        <a:noFill/>
        <a:ln w="25400">
          <a:noFill/>
        </a:ln>
      </c:spPr>
    </c:plotArea>
    <c:legend>
      <c:legendPos val="b"/>
      <c:layout>
        <c:manualLayout>
          <c:xMode val="edge"/>
          <c:yMode val="edge"/>
          <c:x val="0.21675240967947759"/>
          <c:y val="0.84853449046423379"/>
          <c:w val="0.57088854317303273"/>
          <c:h val="8.9209916871846207E-2"/>
        </c:manualLayout>
      </c:layout>
      <c:txPr>
        <a:bodyPr/>
        <a:lstStyle/>
        <a:p>
          <a:pPr>
            <a:defRPr>
              <a:latin typeface="Perpetua" pitchFamily="18" charset="0"/>
            </a:defRPr>
          </a:pPr>
          <a:endParaRPr lang="pt-PT"/>
        </a:p>
      </c:txPr>
    </c:legend>
    <c:plotVisOnly val="1"/>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6.6719868108971916E-2"/>
          <c:y val="7.2650918635170619E-2"/>
          <c:w val="0.88960093861099765"/>
          <c:h val="0.65051256523968959"/>
        </c:manualLayout>
      </c:layout>
      <c:lineChart>
        <c:grouping val="standard"/>
        <c:ser>
          <c:idx val="1"/>
          <c:order val="0"/>
          <c:tx>
            <c:v>Declarativas</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dur!$U$5:$U$18</c:f>
              <c:numCache>
                <c:formatCode>0</c:formatCode>
                <c:ptCount val="14"/>
                <c:pt idx="0">
                  <c:v>11</c:v>
                </c:pt>
                <c:pt idx="1">
                  <c:v>11</c:v>
                </c:pt>
                <c:pt idx="2">
                  <c:v>11</c:v>
                </c:pt>
                <c:pt idx="3">
                  <c:v>12</c:v>
                </c:pt>
                <c:pt idx="4">
                  <c:v>13</c:v>
                </c:pt>
                <c:pt idx="5">
                  <c:v>15</c:v>
                </c:pt>
                <c:pt idx="6">
                  <c:v>18</c:v>
                </c:pt>
                <c:pt idx="7">
                  <c:v>19</c:v>
                </c:pt>
                <c:pt idx="8">
                  <c:v>18</c:v>
                </c:pt>
                <c:pt idx="9">
                  <c:v>20</c:v>
                </c:pt>
                <c:pt idx="10">
                  <c:v>24</c:v>
                </c:pt>
                <c:pt idx="11">
                  <c:v>23</c:v>
                </c:pt>
                <c:pt idx="12">
                  <c:v>26</c:v>
                </c:pt>
                <c:pt idx="13">
                  <c:v>29</c:v>
                </c:pt>
              </c:numCache>
            </c:numRef>
          </c:val>
          <c:smooth val="1"/>
        </c:ser>
        <c:ser>
          <c:idx val="2"/>
          <c:order val="1"/>
          <c:tx>
            <c:v>Executivas</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dur!$V$5:$V$18</c:f>
              <c:numCache>
                <c:formatCode>0</c:formatCode>
                <c:ptCount val="14"/>
                <c:pt idx="0">
                  <c:v>14</c:v>
                </c:pt>
                <c:pt idx="1">
                  <c:v>14</c:v>
                </c:pt>
                <c:pt idx="2">
                  <c:v>17</c:v>
                </c:pt>
                <c:pt idx="3">
                  <c:v>17</c:v>
                </c:pt>
                <c:pt idx="4">
                  <c:v>18</c:v>
                </c:pt>
                <c:pt idx="5">
                  <c:v>19</c:v>
                </c:pt>
                <c:pt idx="6">
                  <c:v>20</c:v>
                </c:pt>
                <c:pt idx="7">
                  <c:v>23</c:v>
                </c:pt>
                <c:pt idx="8">
                  <c:v>24</c:v>
                </c:pt>
                <c:pt idx="9">
                  <c:v>24</c:v>
                </c:pt>
                <c:pt idx="10">
                  <c:v>27</c:v>
                </c:pt>
                <c:pt idx="11">
                  <c:v>31</c:v>
                </c:pt>
                <c:pt idx="12">
                  <c:v>32</c:v>
                </c:pt>
                <c:pt idx="13">
                  <c:v>36</c:v>
                </c:pt>
              </c:numCache>
            </c:numRef>
          </c:val>
          <c:smooth val="1"/>
        </c:ser>
        <c:ser>
          <c:idx val="3"/>
          <c:order val="2"/>
          <c:tx>
            <c:v>Especiais</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dur!$W$5:$W$18</c:f>
              <c:numCache>
                <c:formatCode>0</c:formatCode>
                <c:ptCount val="14"/>
                <c:pt idx="0">
                  <c:v>17</c:v>
                </c:pt>
                <c:pt idx="1">
                  <c:v>17</c:v>
                </c:pt>
                <c:pt idx="2">
                  <c:v>16</c:v>
                </c:pt>
                <c:pt idx="3">
                  <c:v>17</c:v>
                </c:pt>
                <c:pt idx="4">
                  <c:v>16</c:v>
                </c:pt>
                <c:pt idx="5">
                  <c:v>16</c:v>
                </c:pt>
                <c:pt idx="6">
                  <c:v>16</c:v>
                </c:pt>
                <c:pt idx="7">
                  <c:v>17</c:v>
                </c:pt>
                <c:pt idx="8">
                  <c:v>17</c:v>
                </c:pt>
                <c:pt idx="9">
                  <c:v>17</c:v>
                </c:pt>
                <c:pt idx="10">
                  <c:v>18</c:v>
                </c:pt>
                <c:pt idx="11">
                  <c:v>18</c:v>
                </c:pt>
                <c:pt idx="12">
                  <c:v>18</c:v>
                </c:pt>
                <c:pt idx="13">
                  <c:v>19</c:v>
                </c:pt>
              </c:numCache>
            </c:numRef>
          </c:val>
          <c:smooth val="1"/>
        </c:ser>
        <c:ser>
          <c:idx val="4"/>
          <c:order val="3"/>
          <c:tx>
            <c:v>Procedimentos Cautelares</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dur!$X$5:$X$18</c:f>
              <c:numCache>
                <c:formatCode>0</c:formatCode>
                <c:ptCount val="14"/>
                <c:pt idx="0">
                  <c:v>10</c:v>
                </c:pt>
                <c:pt idx="1">
                  <c:v>8</c:v>
                </c:pt>
                <c:pt idx="2">
                  <c:v>7</c:v>
                </c:pt>
                <c:pt idx="3">
                  <c:v>6</c:v>
                </c:pt>
                <c:pt idx="4">
                  <c:v>6</c:v>
                </c:pt>
                <c:pt idx="5">
                  <c:v>6</c:v>
                </c:pt>
                <c:pt idx="6">
                  <c:v>6</c:v>
                </c:pt>
                <c:pt idx="7">
                  <c:v>6</c:v>
                </c:pt>
                <c:pt idx="8">
                  <c:v>5</c:v>
                </c:pt>
                <c:pt idx="9">
                  <c:v>5</c:v>
                </c:pt>
                <c:pt idx="10">
                  <c:v>4</c:v>
                </c:pt>
                <c:pt idx="11">
                  <c:v>4</c:v>
                </c:pt>
                <c:pt idx="12">
                  <c:v>4</c:v>
                </c:pt>
                <c:pt idx="13">
                  <c:v>5</c:v>
                </c:pt>
              </c:numCache>
            </c:numRef>
          </c:val>
          <c:smooth val="1"/>
        </c:ser>
        <c:ser>
          <c:idx val="0"/>
          <c:order val="4"/>
          <c:tx>
            <c:v>Outros</c:v>
          </c:tx>
          <c:marker>
            <c:symbol val="none"/>
          </c:marker>
          <c:cat>
            <c:numRef>
              <c:f>dur!$A$5:$A$18</c:f>
              <c:numCache>
                <c:formatCode>0</c:formatCode>
                <c:ptCount val="14"/>
                <c:pt idx="0">
                  <c:v>1993</c:v>
                </c:pt>
                <c:pt idx="1">
                  <c:v>1994</c:v>
                </c:pt>
                <c:pt idx="2" formatCode="General">
                  <c:v>1995</c:v>
                </c:pt>
                <c:pt idx="3" formatCode="General">
                  <c:v>1996</c:v>
                </c:pt>
                <c:pt idx="4" formatCode="General">
                  <c:v>1997</c:v>
                </c:pt>
                <c:pt idx="5" formatCode="General">
                  <c:v>1998</c:v>
                </c:pt>
                <c:pt idx="6">
                  <c:v>1999</c:v>
                </c:pt>
                <c:pt idx="7">
                  <c:v>2000</c:v>
                </c:pt>
                <c:pt idx="8" formatCode="General">
                  <c:v>2001</c:v>
                </c:pt>
                <c:pt idx="9" formatCode="General">
                  <c:v>2002</c:v>
                </c:pt>
                <c:pt idx="10" formatCode="General">
                  <c:v>2003</c:v>
                </c:pt>
                <c:pt idx="11" formatCode="General">
                  <c:v>2004</c:v>
                </c:pt>
                <c:pt idx="12">
                  <c:v>2005</c:v>
                </c:pt>
                <c:pt idx="13">
                  <c:v>2006</c:v>
                </c:pt>
              </c:numCache>
            </c:numRef>
          </c:cat>
          <c:val>
            <c:numRef>
              <c:f>dur!$Y$5:$Y$18</c:f>
              <c:numCache>
                <c:formatCode>0</c:formatCode>
                <c:ptCount val="14"/>
                <c:pt idx="0">
                  <c:v>12</c:v>
                </c:pt>
                <c:pt idx="1">
                  <c:v>12</c:v>
                </c:pt>
                <c:pt idx="2">
                  <c:v>11</c:v>
                </c:pt>
                <c:pt idx="3">
                  <c:v>11</c:v>
                </c:pt>
                <c:pt idx="4">
                  <c:v>11</c:v>
                </c:pt>
                <c:pt idx="5">
                  <c:v>12</c:v>
                </c:pt>
                <c:pt idx="6">
                  <c:v>14</c:v>
                </c:pt>
                <c:pt idx="7">
                  <c:v>15</c:v>
                </c:pt>
                <c:pt idx="8">
                  <c:v>16</c:v>
                </c:pt>
                <c:pt idx="9">
                  <c:v>17</c:v>
                </c:pt>
                <c:pt idx="10">
                  <c:v>18</c:v>
                </c:pt>
                <c:pt idx="11">
                  <c:v>17</c:v>
                </c:pt>
                <c:pt idx="12">
                  <c:v>15</c:v>
                </c:pt>
                <c:pt idx="13">
                  <c:v>15</c:v>
                </c:pt>
              </c:numCache>
            </c:numRef>
          </c:val>
          <c:smooth val="1"/>
        </c:ser>
        <c:marker val="1"/>
        <c:axId val="137579136"/>
        <c:axId val="137621888"/>
      </c:lineChart>
      <c:catAx>
        <c:axId val="137579136"/>
        <c:scaling>
          <c:orientation val="minMax"/>
        </c:scaling>
        <c:axPos val="b"/>
        <c:numFmt formatCode="0" sourceLinked="1"/>
        <c:tickLblPos val="nextTo"/>
        <c:txPr>
          <a:bodyPr/>
          <a:lstStyle/>
          <a:p>
            <a:pPr>
              <a:defRPr sz="1000" baseline="0">
                <a:latin typeface="Perpetua" pitchFamily="18" charset="0"/>
              </a:defRPr>
            </a:pPr>
            <a:endParaRPr lang="pt-PT"/>
          </a:p>
        </c:txPr>
        <c:crossAx val="137621888"/>
        <c:crosses val="autoZero"/>
        <c:auto val="1"/>
        <c:lblAlgn val="ctr"/>
        <c:lblOffset val="100"/>
      </c:catAx>
      <c:valAx>
        <c:axId val="137621888"/>
        <c:scaling>
          <c:orientation val="minMax"/>
        </c:scaling>
        <c:axPos val="l"/>
        <c:majorGridlines/>
        <c:numFmt formatCode="0" sourceLinked="1"/>
        <c:tickLblPos val="nextTo"/>
        <c:txPr>
          <a:bodyPr/>
          <a:lstStyle/>
          <a:p>
            <a:pPr>
              <a:defRPr sz="1000" baseline="0">
                <a:latin typeface="Perpetua" pitchFamily="18" charset="0"/>
              </a:defRPr>
            </a:pPr>
            <a:endParaRPr lang="pt-PT"/>
          </a:p>
        </c:txPr>
        <c:crossAx val="137579136"/>
        <c:crosses val="autoZero"/>
        <c:crossBetween val="between"/>
      </c:valAx>
    </c:plotArea>
    <c:legend>
      <c:legendPos val="b"/>
      <c:layout>
        <c:manualLayout>
          <c:xMode val="edge"/>
          <c:yMode val="edge"/>
          <c:x val="1.4582617400528918E-2"/>
          <c:y val="0.8239895013123355"/>
          <c:w val="0.97529718830167944"/>
          <c:h val="0.13085407427519835"/>
        </c:manualLayout>
      </c:layout>
      <c:txPr>
        <a:bodyPr/>
        <a:lstStyle/>
        <a:p>
          <a:pPr>
            <a:defRPr sz="1000" baseline="0">
              <a:latin typeface="Perpetua" pitchFamily="18" charset="0"/>
            </a:defRPr>
          </a:pPr>
          <a:endParaRPr lang="pt-PT"/>
        </a:p>
      </c:txP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8.4958262570121248E-2"/>
          <c:y val="4.2330695590337523E-2"/>
          <c:w val="0.86224754258660063"/>
          <c:h val="0.71986514748644514"/>
        </c:manualLayout>
      </c:layout>
      <c:lineChart>
        <c:grouping val="standard"/>
        <c:ser>
          <c:idx val="1"/>
          <c:order val="0"/>
          <c:tx>
            <c:v>Entrados</c:v>
          </c:tx>
          <c:marker>
            <c:symbol val="none"/>
          </c:marker>
          <c:cat>
            <c:numRef>
              <c:f>mov_1!$A$3:$A$18</c:f>
              <c:numCache>
                <c:formatCode>General</c:formatCode>
                <c:ptCount val="16"/>
                <c:pt idx="0">
                  <c:v>1991</c:v>
                </c:pt>
                <c:pt idx="1">
                  <c:v>1992</c:v>
                </c:pt>
                <c:pt idx="2" formatCode="0">
                  <c:v>1993</c:v>
                </c:pt>
                <c:pt idx="3" formatCode="0">
                  <c:v>1994</c:v>
                </c:pt>
                <c:pt idx="4">
                  <c:v>1995</c:v>
                </c:pt>
                <c:pt idx="5">
                  <c:v>1996</c:v>
                </c:pt>
                <c:pt idx="6">
                  <c:v>1997</c:v>
                </c:pt>
                <c:pt idx="7">
                  <c:v>1998</c:v>
                </c:pt>
                <c:pt idx="8" formatCode="0">
                  <c:v>1999</c:v>
                </c:pt>
                <c:pt idx="9" formatCode="0">
                  <c:v>2000</c:v>
                </c:pt>
                <c:pt idx="10">
                  <c:v>2001</c:v>
                </c:pt>
                <c:pt idx="11">
                  <c:v>2002</c:v>
                </c:pt>
                <c:pt idx="12">
                  <c:v>2003</c:v>
                </c:pt>
                <c:pt idx="13">
                  <c:v>2004</c:v>
                </c:pt>
                <c:pt idx="14" formatCode="0">
                  <c:v>2005</c:v>
                </c:pt>
                <c:pt idx="15" formatCode="0">
                  <c:v>2006</c:v>
                </c:pt>
              </c:numCache>
            </c:numRef>
          </c:cat>
          <c:val>
            <c:numRef>
              <c:f>mov_1!$CM$3:$CM$18</c:f>
              <c:numCache>
                <c:formatCode>0</c:formatCode>
                <c:ptCount val="16"/>
                <c:pt idx="0">
                  <c:v>267.09943438817169</c:v>
                </c:pt>
                <c:pt idx="1">
                  <c:v>316.63052650479602</c:v>
                </c:pt>
                <c:pt idx="2">
                  <c:v>317.93617794343413</c:v>
                </c:pt>
                <c:pt idx="3">
                  <c:v>305.22369145175014</c:v>
                </c:pt>
                <c:pt idx="4">
                  <c:v>308.89618626768555</c:v>
                </c:pt>
                <c:pt idx="5">
                  <c:v>317.01431475787587</c:v>
                </c:pt>
                <c:pt idx="6">
                  <c:v>319.53282081550032</c:v>
                </c:pt>
                <c:pt idx="7">
                  <c:v>313.5241582743638</c:v>
                </c:pt>
                <c:pt idx="8">
                  <c:v>317.59642507602229</c:v>
                </c:pt>
                <c:pt idx="9">
                  <c:v>335.60054356887014</c:v>
                </c:pt>
                <c:pt idx="10">
                  <c:v>344.99493675296793</c:v>
                </c:pt>
                <c:pt idx="11">
                  <c:v>371.71395724126035</c:v>
                </c:pt>
                <c:pt idx="12">
                  <c:v>393.91542561900428</c:v>
                </c:pt>
                <c:pt idx="13">
                  <c:v>388.71506103708197</c:v>
                </c:pt>
                <c:pt idx="14">
                  <c:v>370.88091952839699</c:v>
                </c:pt>
                <c:pt idx="15">
                  <c:v>369.89007080321483</c:v>
                </c:pt>
              </c:numCache>
            </c:numRef>
          </c:val>
          <c:smooth val="1"/>
        </c:ser>
        <c:ser>
          <c:idx val="2"/>
          <c:order val="1"/>
          <c:tx>
            <c:v>Findos</c:v>
          </c:tx>
          <c:marker>
            <c:symbol val="none"/>
          </c:marker>
          <c:cat>
            <c:numRef>
              <c:f>mov_1!$A$3:$A$18</c:f>
              <c:numCache>
                <c:formatCode>General</c:formatCode>
                <c:ptCount val="16"/>
                <c:pt idx="0">
                  <c:v>1991</c:v>
                </c:pt>
                <c:pt idx="1">
                  <c:v>1992</c:v>
                </c:pt>
                <c:pt idx="2" formatCode="0">
                  <c:v>1993</c:v>
                </c:pt>
                <c:pt idx="3" formatCode="0">
                  <c:v>1994</c:v>
                </c:pt>
                <c:pt idx="4">
                  <c:v>1995</c:v>
                </c:pt>
                <c:pt idx="5">
                  <c:v>1996</c:v>
                </c:pt>
                <c:pt idx="6">
                  <c:v>1997</c:v>
                </c:pt>
                <c:pt idx="7">
                  <c:v>1998</c:v>
                </c:pt>
                <c:pt idx="8" formatCode="0">
                  <c:v>1999</c:v>
                </c:pt>
                <c:pt idx="9" formatCode="0">
                  <c:v>2000</c:v>
                </c:pt>
                <c:pt idx="10">
                  <c:v>2001</c:v>
                </c:pt>
                <c:pt idx="11">
                  <c:v>2002</c:v>
                </c:pt>
                <c:pt idx="12">
                  <c:v>2003</c:v>
                </c:pt>
                <c:pt idx="13">
                  <c:v>2004</c:v>
                </c:pt>
                <c:pt idx="14" formatCode="0">
                  <c:v>2005</c:v>
                </c:pt>
                <c:pt idx="15" formatCode="0">
                  <c:v>2006</c:v>
                </c:pt>
              </c:numCache>
            </c:numRef>
          </c:cat>
          <c:val>
            <c:numRef>
              <c:f>mov_1!$CN$3:$CN$18</c:f>
              <c:numCache>
                <c:formatCode>0</c:formatCode>
                <c:ptCount val="16"/>
                <c:pt idx="0">
                  <c:v>268.68393021194015</c:v>
                </c:pt>
                <c:pt idx="1">
                  <c:v>296.20863652454528</c:v>
                </c:pt>
                <c:pt idx="2">
                  <c:v>311.2608965036099</c:v>
                </c:pt>
                <c:pt idx="3">
                  <c:v>301.49124972510663</c:v>
                </c:pt>
                <c:pt idx="4">
                  <c:v>294.97728807011327</c:v>
                </c:pt>
                <c:pt idx="5">
                  <c:v>310.77060785648729</c:v>
                </c:pt>
                <c:pt idx="6">
                  <c:v>315.33388191555201</c:v>
                </c:pt>
                <c:pt idx="7">
                  <c:v>313.16549811442985</c:v>
                </c:pt>
                <c:pt idx="8">
                  <c:v>329.93480930972731</c:v>
                </c:pt>
                <c:pt idx="9">
                  <c:v>339.51702396627894</c:v>
                </c:pt>
                <c:pt idx="10">
                  <c:v>344.35113956942064</c:v>
                </c:pt>
                <c:pt idx="11">
                  <c:v>353.42420080202044</c:v>
                </c:pt>
                <c:pt idx="12">
                  <c:v>373.75157343633725</c:v>
                </c:pt>
                <c:pt idx="13">
                  <c:v>379.74576548863143</c:v>
                </c:pt>
                <c:pt idx="14">
                  <c:v>363.56275625397825</c:v>
                </c:pt>
                <c:pt idx="15">
                  <c:v>372.9290095050568</c:v>
                </c:pt>
              </c:numCache>
            </c:numRef>
          </c:val>
          <c:smooth val="1"/>
        </c:ser>
        <c:ser>
          <c:idx val="0"/>
          <c:order val="2"/>
          <c:tx>
            <c:v>Pendentes</c:v>
          </c:tx>
          <c:marker>
            <c:symbol val="none"/>
          </c:marker>
          <c:cat>
            <c:numRef>
              <c:f>mov_1!$A$3:$A$18</c:f>
              <c:numCache>
                <c:formatCode>General</c:formatCode>
                <c:ptCount val="16"/>
                <c:pt idx="0">
                  <c:v>1991</c:v>
                </c:pt>
                <c:pt idx="1">
                  <c:v>1992</c:v>
                </c:pt>
                <c:pt idx="2" formatCode="0">
                  <c:v>1993</c:v>
                </c:pt>
                <c:pt idx="3" formatCode="0">
                  <c:v>1994</c:v>
                </c:pt>
                <c:pt idx="4">
                  <c:v>1995</c:v>
                </c:pt>
                <c:pt idx="5">
                  <c:v>1996</c:v>
                </c:pt>
                <c:pt idx="6">
                  <c:v>1997</c:v>
                </c:pt>
                <c:pt idx="7">
                  <c:v>1998</c:v>
                </c:pt>
                <c:pt idx="8" formatCode="0">
                  <c:v>1999</c:v>
                </c:pt>
                <c:pt idx="9" formatCode="0">
                  <c:v>2000</c:v>
                </c:pt>
                <c:pt idx="10">
                  <c:v>2001</c:v>
                </c:pt>
                <c:pt idx="11">
                  <c:v>2002</c:v>
                </c:pt>
                <c:pt idx="12">
                  <c:v>2003</c:v>
                </c:pt>
                <c:pt idx="13">
                  <c:v>2004</c:v>
                </c:pt>
                <c:pt idx="14" formatCode="0">
                  <c:v>2005</c:v>
                </c:pt>
                <c:pt idx="15" formatCode="0">
                  <c:v>2006</c:v>
                </c:pt>
              </c:numCache>
            </c:numRef>
          </c:cat>
          <c:val>
            <c:numRef>
              <c:f>mov_1!$CO$3:$CO$18</c:f>
              <c:numCache>
                <c:formatCode>0</c:formatCode>
                <c:ptCount val="16"/>
                <c:pt idx="0">
                  <c:v>122.32428177132384</c:v>
                </c:pt>
                <c:pt idx="1">
                  <c:v>143.1407062204355</c:v>
                </c:pt>
                <c:pt idx="2">
                  <c:v>150.26640068304275</c:v>
                </c:pt>
                <c:pt idx="3">
                  <c:v>133.85580197035785</c:v>
                </c:pt>
                <c:pt idx="4">
                  <c:v>147.11575417347473</c:v>
                </c:pt>
                <c:pt idx="5">
                  <c:v>153.97205591200321</c:v>
                </c:pt>
                <c:pt idx="6">
                  <c:v>157.3528860459453</c:v>
                </c:pt>
                <c:pt idx="7">
                  <c:v>159.59785919297718</c:v>
                </c:pt>
                <c:pt idx="8">
                  <c:v>143.17292747219642</c:v>
                </c:pt>
                <c:pt idx="9">
                  <c:v>138.07226486443997</c:v>
                </c:pt>
                <c:pt idx="10">
                  <c:v>137.91878280703614</c:v>
                </c:pt>
                <c:pt idx="11">
                  <c:v>147.41437996668736</c:v>
                </c:pt>
                <c:pt idx="12">
                  <c:v>157.32501741102814</c:v>
                </c:pt>
                <c:pt idx="13">
                  <c:v>160.68658228905952</c:v>
                </c:pt>
                <c:pt idx="14">
                  <c:v>167.03482972663465</c:v>
                </c:pt>
                <c:pt idx="15">
                  <c:v>165.26977067381284</c:v>
                </c:pt>
              </c:numCache>
            </c:numRef>
          </c:val>
          <c:smooth val="1"/>
        </c:ser>
        <c:marker val="1"/>
        <c:axId val="138031872"/>
        <c:axId val="138033408"/>
      </c:lineChart>
      <c:catAx>
        <c:axId val="138031872"/>
        <c:scaling>
          <c:orientation val="minMax"/>
        </c:scaling>
        <c:axPos val="b"/>
        <c:numFmt formatCode="General" sourceLinked="1"/>
        <c:tickLblPos val="nextTo"/>
        <c:txPr>
          <a:bodyPr/>
          <a:lstStyle/>
          <a:p>
            <a:pPr>
              <a:defRPr>
                <a:latin typeface="Perpetua" pitchFamily="18" charset="0"/>
              </a:defRPr>
            </a:pPr>
            <a:endParaRPr lang="pt-PT"/>
          </a:p>
        </c:txPr>
        <c:crossAx val="138033408"/>
        <c:crosses val="autoZero"/>
        <c:auto val="1"/>
        <c:lblAlgn val="ctr"/>
        <c:lblOffset val="100"/>
      </c:catAx>
      <c:valAx>
        <c:axId val="138033408"/>
        <c:scaling>
          <c:orientation val="minMax"/>
        </c:scaling>
        <c:axPos val="l"/>
        <c:majorGridlines/>
        <c:numFmt formatCode="#,##0" sourceLinked="0"/>
        <c:tickLblPos val="nextTo"/>
        <c:txPr>
          <a:bodyPr/>
          <a:lstStyle/>
          <a:p>
            <a:pPr>
              <a:defRPr>
                <a:latin typeface="Perpetua" pitchFamily="18" charset="0"/>
              </a:defRPr>
            </a:pPr>
            <a:endParaRPr lang="pt-PT"/>
          </a:p>
        </c:txPr>
        <c:crossAx val="138031872"/>
        <c:crosses val="autoZero"/>
        <c:crossBetween val="between"/>
      </c:valAx>
    </c:plotArea>
    <c:legend>
      <c:legendPos val="b"/>
      <c:layout>
        <c:manualLayout>
          <c:xMode val="edge"/>
          <c:yMode val="edge"/>
          <c:x val="0.27428747877103599"/>
          <c:y val="0.87899534590142503"/>
          <c:w val="0.4618824062437899"/>
          <c:h val="8.8345413776920276E-2"/>
        </c:manualLayout>
      </c:layout>
      <c:txPr>
        <a:bodyPr/>
        <a:lstStyle/>
        <a:p>
          <a:pPr>
            <a:defRPr>
              <a:latin typeface="Perpetua" pitchFamily="18" charset="0"/>
            </a:defRPr>
          </a:pPr>
          <a:endParaRPr lang="pt-PT"/>
        </a:p>
      </c:txP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9.7164030966717427E-2"/>
          <c:y val="4.7607886223524382E-2"/>
          <c:w val="0.87557596396340864"/>
          <c:h val="0.73834157358238706"/>
        </c:manualLayout>
      </c:layout>
      <c:lineChart>
        <c:grouping val="standard"/>
        <c:ser>
          <c:idx val="1"/>
          <c:order val="0"/>
          <c:tx>
            <c:v>Entrados</c:v>
          </c:tx>
          <c:marker>
            <c:symbol val="none"/>
          </c:marker>
          <c:cat>
            <c:numRef>
              <c:f>mov_1!$A$7:$A$18</c:f>
              <c:numCache>
                <c:formatCode>General</c:formatCode>
                <c:ptCount val="12"/>
                <c:pt idx="0">
                  <c:v>1995</c:v>
                </c:pt>
                <c:pt idx="1">
                  <c:v>1996</c:v>
                </c:pt>
                <c:pt idx="2">
                  <c:v>1997</c:v>
                </c:pt>
                <c:pt idx="3">
                  <c:v>1998</c:v>
                </c:pt>
                <c:pt idx="4" formatCode="0">
                  <c:v>1999</c:v>
                </c:pt>
                <c:pt idx="5" formatCode="0">
                  <c:v>2000</c:v>
                </c:pt>
                <c:pt idx="6">
                  <c:v>2001</c:v>
                </c:pt>
                <c:pt idx="7">
                  <c:v>2002</c:v>
                </c:pt>
                <c:pt idx="8">
                  <c:v>2003</c:v>
                </c:pt>
                <c:pt idx="9">
                  <c:v>2004</c:v>
                </c:pt>
                <c:pt idx="10" formatCode="0">
                  <c:v>2005</c:v>
                </c:pt>
                <c:pt idx="11" formatCode="0">
                  <c:v>2006</c:v>
                </c:pt>
              </c:numCache>
            </c:numRef>
          </c:cat>
          <c:val>
            <c:numRef>
              <c:f>mov_1!$CB$7:$CB$18</c:f>
              <c:numCache>
                <c:formatCode>General</c:formatCode>
                <c:ptCount val="12"/>
                <c:pt idx="4" formatCode="0">
                  <c:v>115.91254313137892</c:v>
                </c:pt>
                <c:pt idx="5" formatCode="0">
                  <c:v>143.12849273125798</c:v>
                </c:pt>
                <c:pt idx="6" formatCode="0">
                  <c:v>184.43675975425342</c:v>
                </c:pt>
                <c:pt idx="7" formatCode="0">
                  <c:v>223.45883459612878</c:v>
                </c:pt>
                <c:pt idx="8" formatCode="0">
                  <c:v>280.63660148252666</c:v>
                </c:pt>
                <c:pt idx="9" formatCode="0">
                  <c:v>283.38377216621689</c:v>
                </c:pt>
                <c:pt idx="10" formatCode="0">
                  <c:v>238.43777508157365</c:v>
                </c:pt>
                <c:pt idx="11" formatCode="0">
                  <c:v>266.54162454435971</c:v>
                </c:pt>
              </c:numCache>
            </c:numRef>
          </c:val>
          <c:smooth val="1"/>
        </c:ser>
        <c:ser>
          <c:idx val="2"/>
          <c:order val="1"/>
          <c:tx>
            <c:v>Findos</c:v>
          </c:tx>
          <c:marker>
            <c:symbol val="none"/>
          </c:marker>
          <c:cat>
            <c:numRef>
              <c:f>mov_1!$A$7:$A$18</c:f>
              <c:numCache>
                <c:formatCode>General</c:formatCode>
                <c:ptCount val="12"/>
                <c:pt idx="0">
                  <c:v>1995</c:v>
                </c:pt>
                <c:pt idx="1">
                  <c:v>1996</c:v>
                </c:pt>
                <c:pt idx="2">
                  <c:v>1997</c:v>
                </c:pt>
                <c:pt idx="3">
                  <c:v>1998</c:v>
                </c:pt>
                <c:pt idx="4" formatCode="0">
                  <c:v>1999</c:v>
                </c:pt>
                <c:pt idx="5" formatCode="0">
                  <c:v>2000</c:v>
                </c:pt>
                <c:pt idx="6">
                  <c:v>2001</c:v>
                </c:pt>
                <c:pt idx="7">
                  <c:v>2002</c:v>
                </c:pt>
                <c:pt idx="8">
                  <c:v>2003</c:v>
                </c:pt>
                <c:pt idx="9">
                  <c:v>2004</c:v>
                </c:pt>
                <c:pt idx="10" formatCode="0">
                  <c:v>2005</c:v>
                </c:pt>
                <c:pt idx="11" formatCode="0">
                  <c:v>2006</c:v>
                </c:pt>
              </c:numCache>
            </c:numRef>
          </c:cat>
          <c:val>
            <c:numRef>
              <c:f>mov_1!$CC$7:$CC$18</c:f>
              <c:numCache>
                <c:formatCode>0</c:formatCode>
                <c:ptCount val="12"/>
                <c:pt idx="0">
                  <c:v>2.8267939039228587</c:v>
                </c:pt>
                <c:pt idx="1">
                  <c:v>2.457175159954657</c:v>
                </c:pt>
                <c:pt idx="2">
                  <c:v>2.6222348701449802</c:v>
                </c:pt>
                <c:pt idx="3">
                  <c:v>7.5308780286461081</c:v>
                </c:pt>
                <c:pt idx="4">
                  <c:v>102.38338073885737</c:v>
                </c:pt>
                <c:pt idx="5">
                  <c:v>141.96047094482441</c:v>
                </c:pt>
                <c:pt idx="6">
                  <c:v>172.52796403255195</c:v>
                </c:pt>
                <c:pt idx="7">
                  <c:v>216.66082951035628</c:v>
                </c:pt>
                <c:pt idx="8">
                  <c:v>259.09609692319663</c:v>
                </c:pt>
                <c:pt idx="9">
                  <c:v>256.11118735371178</c:v>
                </c:pt>
                <c:pt idx="10">
                  <c:v>211.96655462197225</c:v>
                </c:pt>
                <c:pt idx="11">
                  <c:v>221.44532151094037</c:v>
                </c:pt>
              </c:numCache>
            </c:numRef>
          </c:val>
          <c:smooth val="1"/>
        </c:ser>
        <c:ser>
          <c:idx val="0"/>
          <c:order val="2"/>
          <c:tx>
            <c:v>Pendentes</c:v>
          </c:tx>
          <c:marker>
            <c:symbol val="none"/>
          </c:marker>
          <c:cat>
            <c:numRef>
              <c:f>mov_1!$A$7:$A$18</c:f>
              <c:numCache>
                <c:formatCode>General</c:formatCode>
                <c:ptCount val="12"/>
                <c:pt idx="0">
                  <c:v>1995</c:v>
                </c:pt>
                <c:pt idx="1">
                  <c:v>1996</c:v>
                </c:pt>
                <c:pt idx="2">
                  <c:v>1997</c:v>
                </c:pt>
                <c:pt idx="3">
                  <c:v>1998</c:v>
                </c:pt>
                <c:pt idx="4" formatCode="0">
                  <c:v>1999</c:v>
                </c:pt>
                <c:pt idx="5" formatCode="0">
                  <c:v>2000</c:v>
                </c:pt>
                <c:pt idx="6">
                  <c:v>2001</c:v>
                </c:pt>
                <c:pt idx="7">
                  <c:v>2002</c:v>
                </c:pt>
                <c:pt idx="8">
                  <c:v>2003</c:v>
                </c:pt>
                <c:pt idx="9">
                  <c:v>2004</c:v>
                </c:pt>
                <c:pt idx="10" formatCode="0">
                  <c:v>2005</c:v>
                </c:pt>
                <c:pt idx="11" formatCode="0">
                  <c:v>2006</c:v>
                </c:pt>
              </c:numCache>
            </c:numRef>
          </c:cat>
          <c:val>
            <c:numRef>
              <c:f>mov_1!$CD$7:$CD$18</c:f>
              <c:numCache>
                <c:formatCode>General</c:formatCode>
                <c:ptCount val="12"/>
                <c:pt idx="4" formatCode="0">
                  <c:v>20.241266956573082</c:v>
                </c:pt>
                <c:pt idx="5" formatCode="0">
                  <c:v>21.229137210190689</c:v>
                </c:pt>
                <c:pt idx="6" formatCode="0">
                  <c:v>34.432984101597974</c:v>
                </c:pt>
                <c:pt idx="7" formatCode="0">
                  <c:v>41.003260640319226</c:v>
                </c:pt>
                <c:pt idx="8" formatCode="0">
                  <c:v>62.43719978214142</c:v>
                </c:pt>
                <c:pt idx="9" formatCode="0">
                  <c:v>89.869606159220183</c:v>
                </c:pt>
                <c:pt idx="10" formatCode="0">
                  <c:v>118.68007771728281</c:v>
                </c:pt>
                <c:pt idx="11" formatCode="0">
                  <c:v>164.31308522095094</c:v>
                </c:pt>
              </c:numCache>
            </c:numRef>
          </c:val>
          <c:smooth val="1"/>
        </c:ser>
        <c:marker val="1"/>
        <c:axId val="138046080"/>
        <c:axId val="138056064"/>
      </c:lineChart>
      <c:catAx>
        <c:axId val="138046080"/>
        <c:scaling>
          <c:orientation val="minMax"/>
        </c:scaling>
        <c:axPos val="b"/>
        <c:numFmt formatCode="General" sourceLinked="1"/>
        <c:tickLblPos val="nextTo"/>
        <c:txPr>
          <a:bodyPr/>
          <a:lstStyle/>
          <a:p>
            <a:pPr>
              <a:defRPr>
                <a:latin typeface="Perpetua" pitchFamily="18" charset="0"/>
              </a:defRPr>
            </a:pPr>
            <a:endParaRPr lang="pt-PT"/>
          </a:p>
        </c:txPr>
        <c:crossAx val="138056064"/>
        <c:crosses val="autoZero"/>
        <c:auto val="1"/>
        <c:lblAlgn val="ctr"/>
        <c:lblOffset val="100"/>
      </c:catAx>
      <c:valAx>
        <c:axId val="138056064"/>
        <c:scaling>
          <c:orientation val="minMax"/>
          <c:min val="0"/>
        </c:scaling>
        <c:axPos val="l"/>
        <c:majorGridlines/>
        <c:numFmt formatCode="#,##0" sourceLinked="0"/>
        <c:tickLblPos val="nextTo"/>
        <c:txPr>
          <a:bodyPr/>
          <a:lstStyle/>
          <a:p>
            <a:pPr>
              <a:defRPr>
                <a:latin typeface="Perpetua" pitchFamily="18" charset="0"/>
              </a:defRPr>
            </a:pPr>
            <a:endParaRPr lang="pt-PT"/>
          </a:p>
        </c:txPr>
        <c:crossAx val="138046080"/>
        <c:crosses val="autoZero"/>
        <c:crossBetween val="between"/>
      </c:valAx>
    </c:plotArea>
    <c:legend>
      <c:legendPos val="b"/>
      <c:layout>
        <c:manualLayout>
          <c:xMode val="edge"/>
          <c:yMode val="edge"/>
          <c:x val="0.27856812016145038"/>
          <c:y val="0.87313984007814338"/>
          <c:w val="0.44286375967709918"/>
          <c:h val="0.10463803943111931"/>
        </c:manualLayout>
      </c:layout>
      <c:txPr>
        <a:bodyPr/>
        <a:lstStyle/>
        <a:p>
          <a:pPr>
            <a:defRPr>
              <a:latin typeface="Perpetua" pitchFamily="18" charset="0"/>
            </a:defRPr>
          </a:pPr>
          <a:endParaRPr lang="pt-PT"/>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7.6996033032539934E-2"/>
          <c:y val="5.6541478392783846E-2"/>
          <c:w val="0.88423263845945954"/>
          <c:h val="0.67721613468726027"/>
        </c:manualLayout>
      </c:layout>
      <c:lineChart>
        <c:grouping val="standard"/>
        <c:ser>
          <c:idx val="0"/>
          <c:order val="0"/>
          <c:tx>
            <c:v>Advogados</c:v>
          </c:tx>
          <c:spPr>
            <a:ln>
              <a:solidFill>
                <a:srgbClr val="8B7C90"/>
              </a:solidFill>
            </a:ln>
          </c:spPr>
          <c:marker>
            <c:symbol val="none"/>
          </c:marker>
          <c:cat>
            <c:numRef>
              <c:f>'prof jur'!$A$4:$A$19</c:f>
              <c:numCache>
                <c:formatCode>General</c:formatCode>
                <c:ptCount val="16"/>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numCache>
            </c:numRef>
          </c:cat>
          <c:val>
            <c:numRef>
              <c:f>'prof jur'!$E$4:$E$19</c:f>
              <c:numCache>
                <c:formatCode>General</c:formatCode>
                <c:ptCount val="16"/>
                <c:pt idx="0">
                  <c:v>9.5591559323513628</c:v>
                </c:pt>
                <c:pt idx="1">
                  <c:v>9.8289744411574489</c:v>
                </c:pt>
                <c:pt idx="2">
                  <c:v>12.033323357279198</c:v>
                </c:pt>
                <c:pt idx="3">
                  <c:v>12.558932699353972</c:v>
                </c:pt>
                <c:pt idx="4">
                  <c:v>14.772213581753983</c:v>
                </c:pt>
                <c:pt idx="5">
                  <c:v>13.709548195480346</c:v>
                </c:pt>
                <c:pt idx="6">
                  <c:v>14.305077590357072</c:v>
                </c:pt>
                <c:pt idx="7">
                  <c:v>16.198827003917575</c:v>
                </c:pt>
                <c:pt idx="8">
                  <c:v>17.393796614698125</c:v>
                </c:pt>
                <c:pt idx="9">
                  <c:v>18.162836276689589</c:v>
                </c:pt>
                <c:pt idx="10">
                  <c:v>18.349671905465403</c:v>
                </c:pt>
                <c:pt idx="11">
                  <c:v>17.703638686269521</c:v>
                </c:pt>
                <c:pt idx="12">
                  <c:v>20.665060572226889</c:v>
                </c:pt>
                <c:pt idx="13">
                  <c:v>21.291154977251491</c:v>
                </c:pt>
                <c:pt idx="14">
                  <c:v>23.091714420007893</c:v>
                </c:pt>
                <c:pt idx="15">
                  <c:v>24.262448822281073</c:v>
                </c:pt>
              </c:numCache>
            </c:numRef>
          </c:val>
          <c:smooth val="1"/>
        </c:ser>
        <c:marker val="1"/>
        <c:axId val="223608832"/>
        <c:axId val="223610368"/>
      </c:lineChart>
      <c:catAx>
        <c:axId val="223608832"/>
        <c:scaling>
          <c:orientation val="minMax"/>
        </c:scaling>
        <c:axPos val="b"/>
        <c:numFmt formatCode="General" sourceLinked="1"/>
        <c:tickLblPos val="nextTo"/>
        <c:txPr>
          <a:bodyPr/>
          <a:lstStyle/>
          <a:p>
            <a:pPr>
              <a:defRPr>
                <a:latin typeface="Perpetua" pitchFamily="18" charset="0"/>
              </a:defRPr>
            </a:pPr>
            <a:endParaRPr lang="pt-PT"/>
          </a:p>
        </c:txPr>
        <c:crossAx val="223610368"/>
        <c:crosses val="autoZero"/>
        <c:auto val="1"/>
        <c:lblAlgn val="ctr"/>
        <c:lblOffset val="100"/>
      </c:catAx>
      <c:valAx>
        <c:axId val="223610368"/>
        <c:scaling>
          <c:orientation val="minMax"/>
        </c:scaling>
        <c:axPos val="l"/>
        <c:majorGridlines/>
        <c:numFmt formatCode="#,##0" sourceLinked="0"/>
        <c:tickLblPos val="nextTo"/>
        <c:txPr>
          <a:bodyPr/>
          <a:lstStyle/>
          <a:p>
            <a:pPr>
              <a:defRPr>
                <a:latin typeface="Perpetua" pitchFamily="18" charset="0"/>
              </a:defRPr>
            </a:pPr>
            <a:endParaRPr lang="pt-PT"/>
          </a:p>
        </c:txPr>
        <c:crossAx val="223608832"/>
        <c:crosses val="autoZero"/>
        <c:crossBetween val="between"/>
      </c:valAx>
    </c:plotArea>
    <c:legend>
      <c:legendPos val="b"/>
      <c:layout>
        <c:manualLayout>
          <c:xMode val="edge"/>
          <c:yMode val="edge"/>
          <c:x val="0.19065722622358014"/>
          <c:y val="0.85738471778298686"/>
          <c:w val="0.64195462478184995"/>
          <c:h val="8.3399677081181178E-2"/>
        </c:manualLayout>
      </c:layout>
      <c:txPr>
        <a:bodyPr/>
        <a:lstStyle/>
        <a:p>
          <a:pPr>
            <a:defRPr>
              <a:latin typeface="Perpetua" pitchFamily="18" charset="0"/>
            </a:defRPr>
          </a:pPr>
          <a:endParaRPr lang="pt-PT"/>
        </a:p>
      </c:txPr>
    </c:legend>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pt-PT"/>
  <c:style val="8"/>
  <c:chart>
    <c:autoTitleDeleted val="1"/>
    <c:plotArea>
      <c:layout>
        <c:manualLayout>
          <c:layoutTarget val="inner"/>
          <c:xMode val="edge"/>
          <c:yMode val="edge"/>
          <c:x val="7.6996033032539934E-2"/>
          <c:y val="7.2277083481587526E-2"/>
          <c:w val="0.88423263845945954"/>
          <c:h val="0.68873065607402906"/>
        </c:manualLayout>
      </c:layout>
      <c:lineChart>
        <c:grouping val="standard"/>
        <c:ser>
          <c:idx val="0"/>
          <c:order val="0"/>
          <c:tx>
            <c:v>Solicitadores</c:v>
          </c:tx>
          <c:marker>
            <c:symbol val="none"/>
          </c:marker>
          <c:cat>
            <c:numRef>
              <c:f>'prof jur'!$A$4:$A$19</c:f>
              <c:numCache>
                <c:formatCode>General</c:formatCode>
                <c:ptCount val="16"/>
                <c:pt idx="0">
                  <c:v>1991</c:v>
                </c:pt>
                <c:pt idx="1">
                  <c:v>1992</c:v>
                </c:pt>
                <c:pt idx="2">
                  <c:v>1993</c:v>
                </c:pt>
                <c:pt idx="3">
                  <c:v>1994</c:v>
                </c:pt>
                <c:pt idx="4">
                  <c:v>1995</c:v>
                </c:pt>
                <c:pt idx="5">
                  <c:v>1996</c:v>
                </c:pt>
                <c:pt idx="6">
                  <c:v>1997</c:v>
                </c:pt>
                <c:pt idx="7">
                  <c:v>1998</c:v>
                </c:pt>
                <c:pt idx="8">
                  <c:v>1999</c:v>
                </c:pt>
                <c:pt idx="9">
                  <c:v>2000</c:v>
                </c:pt>
                <c:pt idx="10">
                  <c:v>2001</c:v>
                </c:pt>
                <c:pt idx="11">
                  <c:v>2002</c:v>
                </c:pt>
                <c:pt idx="12">
                  <c:v>2003</c:v>
                </c:pt>
                <c:pt idx="13">
                  <c:v>2004</c:v>
                </c:pt>
                <c:pt idx="14">
                  <c:v>2005</c:v>
                </c:pt>
                <c:pt idx="15">
                  <c:v>2006</c:v>
                </c:pt>
              </c:numCache>
            </c:numRef>
          </c:cat>
          <c:val>
            <c:numRef>
              <c:f>'prof jur'!$F$4:$F$19</c:f>
              <c:numCache>
                <c:formatCode>General</c:formatCode>
                <c:ptCount val="16"/>
                <c:pt idx="0">
                  <c:v>10.576685232730018</c:v>
                </c:pt>
                <c:pt idx="1">
                  <c:v>11.238556047059975</c:v>
                </c:pt>
                <c:pt idx="2">
                  <c:v>13.572771978431703</c:v>
                </c:pt>
                <c:pt idx="3">
                  <c:v>13.805741930853324</c:v>
                </c:pt>
                <c:pt idx="4">
                  <c:v>15.542885819033422</c:v>
                </c:pt>
                <c:pt idx="5">
                  <c:v>15.646497180155713</c:v>
                </c:pt>
                <c:pt idx="6">
                  <c:v>18.704813804014108</c:v>
                </c:pt>
                <c:pt idx="7">
                  <c:v>19.075990924321427</c:v>
                </c:pt>
                <c:pt idx="8">
                  <c:v>16.311895206814363</c:v>
                </c:pt>
                <c:pt idx="9">
                  <c:v>19.967517684610289</c:v>
                </c:pt>
                <c:pt idx="10">
                  <c:v>20.069046037790827</c:v>
                </c:pt>
                <c:pt idx="11">
                  <c:v>21.109847594971487</c:v>
                </c:pt>
                <c:pt idx="12">
                  <c:v>22.826462084540012</c:v>
                </c:pt>
                <c:pt idx="13">
                  <c:v>22.613185833185728</c:v>
                </c:pt>
                <c:pt idx="14">
                  <c:v>22.630958697365045</c:v>
                </c:pt>
                <c:pt idx="15">
                  <c:v>22.794398955759902</c:v>
                </c:pt>
              </c:numCache>
            </c:numRef>
          </c:val>
          <c:smooth val="1"/>
        </c:ser>
        <c:marker val="1"/>
        <c:axId val="223625984"/>
        <c:axId val="223627520"/>
      </c:lineChart>
      <c:catAx>
        <c:axId val="223625984"/>
        <c:scaling>
          <c:orientation val="minMax"/>
        </c:scaling>
        <c:axPos val="b"/>
        <c:numFmt formatCode="General" sourceLinked="1"/>
        <c:tickLblPos val="nextTo"/>
        <c:txPr>
          <a:bodyPr/>
          <a:lstStyle/>
          <a:p>
            <a:pPr>
              <a:defRPr>
                <a:latin typeface="Perpetua" pitchFamily="18" charset="0"/>
              </a:defRPr>
            </a:pPr>
            <a:endParaRPr lang="pt-PT"/>
          </a:p>
        </c:txPr>
        <c:crossAx val="223627520"/>
        <c:crosses val="autoZero"/>
        <c:auto val="1"/>
        <c:lblAlgn val="ctr"/>
        <c:lblOffset val="100"/>
      </c:catAx>
      <c:valAx>
        <c:axId val="223627520"/>
        <c:scaling>
          <c:orientation val="minMax"/>
        </c:scaling>
        <c:axPos val="l"/>
        <c:majorGridlines/>
        <c:numFmt formatCode="#,##0" sourceLinked="0"/>
        <c:tickLblPos val="nextTo"/>
        <c:txPr>
          <a:bodyPr/>
          <a:lstStyle/>
          <a:p>
            <a:pPr>
              <a:defRPr>
                <a:latin typeface="Perpetua" pitchFamily="18" charset="0"/>
              </a:defRPr>
            </a:pPr>
            <a:endParaRPr lang="pt-PT"/>
          </a:p>
        </c:txPr>
        <c:crossAx val="223625984"/>
        <c:crosses val="autoZero"/>
        <c:crossBetween val="between"/>
      </c:valAx>
    </c:plotArea>
    <c:legend>
      <c:legendPos val="b"/>
      <c:layout>
        <c:manualLayout>
          <c:xMode val="edge"/>
          <c:yMode val="edge"/>
          <c:x val="0.19065726731802488"/>
          <c:y val="0.88012321134276816"/>
          <c:w val="0.64195462478184995"/>
          <c:h val="8.3348731407397889E-2"/>
        </c:manualLayout>
      </c:layout>
      <c:txPr>
        <a:bodyPr/>
        <a:lstStyle/>
        <a:p>
          <a:pPr>
            <a:defRPr>
              <a:latin typeface="Perpetua" pitchFamily="18" charset="0"/>
            </a:defRPr>
          </a:pPr>
          <a:endParaRPr lang="pt-PT"/>
        </a:p>
      </c:txPr>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pt-PT"/>
  <c:chart>
    <c:plotArea>
      <c:layout>
        <c:manualLayout>
          <c:layoutTarget val="inner"/>
          <c:xMode val="edge"/>
          <c:yMode val="edge"/>
          <c:x val="9.5506344073188268E-2"/>
          <c:y val="5.1748183650956674E-2"/>
          <c:w val="0.87583979070055884"/>
          <c:h val="0.69681281144204799"/>
        </c:manualLayout>
      </c:layout>
      <c:lineChart>
        <c:grouping val="standard"/>
        <c:ser>
          <c:idx val="0"/>
          <c:order val="0"/>
          <c:tx>
            <c:v>Produtividade Judicial Tutelar</c:v>
          </c:tx>
          <c:marker>
            <c:symbol val="none"/>
          </c:marker>
          <c:cat>
            <c:numRef>
              <c:f>indicadores_2!$A$24:$A$38</c:f>
              <c:numCache>
                <c:formatCode>General</c:formatCode>
                <c:ptCount val="15"/>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numCache>
            </c:numRef>
          </c:cat>
          <c:val>
            <c:numRef>
              <c:f>indicadores_2!$F$24:$F$38</c:f>
              <c:numCache>
                <c:formatCode>General</c:formatCode>
                <c:ptCount val="15"/>
                <c:pt idx="0">
                  <c:v>331.98611111110193</c:v>
                </c:pt>
                <c:pt idx="1">
                  <c:v>329.97142857142859</c:v>
                </c:pt>
                <c:pt idx="2">
                  <c:v>771.41176470588232</c:v>
                </c:pt>
                <c:pt idx="3">
                  <c:v>787.125</c:v>
                </c:pt>
                <c:pt idx="4">
                  <c:v>722.73529411764753</c:v>
                </c:pt>
                <c:pt idx="5">
                  <c:v>802.1875</c:v>
                </c:pt>
                <c:pt idx="6">
                  <c:v>858.48387096776389</c:v>
                </c:pt>
                <c:pt idx="7">
                  <c:v>1032.5357142857151</c:v>
                </c:pt>
                <c:pt idx="8">
                  <c:v>1460.24</c:v>
                </c:pt>
                <c:pt idx="9">
                  <c:v>1327.9259259259261</c:v>
                </c:pt>
                <c:pt idx="10">
                  <c:v>1198.2692307692307</c:v>
                </c:pt>
                <c:pt idx="11">
                  <c:v>1338.3913043477996</c:v>
                </c:pt>
                <c:pt idx="12">
                  <c:v>1539.1904761904748</c:v>
                </c:pt>
                <c:pt idx="13">
                  <c:v>1538.4545454545455</c:v>
                </c:pt>
                <c:pt idx="14">
                  <c:v>1954.55</c:v>
                </c:pt>
              </c:numCache>
            </c:numRef>
          </c:val>
          <c:smooth val="1"/>
        </c:ser>
        <c:ser>
          <c:idx val="1"/>
          <c:order val="1"/>
          <c:tx>
            <c:v>Carga Processual Tutelar</c:v>
          </c:tx>
          <c:marker>
            <c:symbol val="none"/>
          </c:marker>
          <c:cat>
            <c:numRef>
              <c:f>indicadores_2!$A$24:$A$38</c:f>
              <c:numCache>
                <c:formatCode>General</c:formatCode>
                <c:ptCount val="15"/>
                <c:pt idx="0">
                  <c:v>1992</c:v>
                </c:pt>
                <c:pt idx="1">
                  <c:v>1993</c:v>
                </c:pt>
                <c:pt idx="2">
                  <c:v>1994</c:v>
                </c:pt>
                <c:pt idx="3">
                  <c:v>1995</c:v>
                </c:pt>
                <c:pt idx="4">
                  <c:v>1996</c:v>
                </c:pt>
                <c:pt idx="5">
                  <c:v>1997</c:v>
                </c:pt>
                <c:pt idx="6">
                  <c:v>1998</c:v>
                </c:pt>
                <c:pt idx="7">
                  <c:v>1999</c:v>
                </c:pt>
                <c:pt idx="8">
                  <c:v>2000</c:v>
                </c:pt>
                <c:pt idx="9">
                  <c:v>2001</c:v>
                </c:pt>
                <c:pt idx="10">
                  <c:v>2002</c:v>
                </c:pt>
                <c:pt idx="11">
                  <c:v>2003</c:v>
                </c:pt>
                <c:pt idx="12">
                  <c:v>2004</c:v>
                </c:pt>
                <c:pt idx="13">
                  <c:v>2005</c:v>
                </c:pt>
                <c:pt idx="14">
                  <c:v>2006</c:v>
                </c:pt>
              </c:numCache>
            </c:numRef>
          </c:cat>
          <c:val>
            <c:numRef>
              <c:f>indicadores_2!$G$24:$G$38</c:f>
              <c:numCache>
                <c:formatCode>General</c:formatCode>
                <c:ptCount val="15"/>
                <c:pt idx="0">
                  <c:v>719.4583333333336</c:v>
                </c:pt>
                <c:pt idx="1">
                  <c:v>680.3714285714284</c:v>
                </c:pt>
                <c:pt idx="2">
                  <c:v>1533</c:v>
                </c:pt>
                <c:pt idx="3">
                  <c:v>1667.2187500000011</c:v>
                </c:pt>
                <c:pt idx="4">
                  <c:v>1615.2647058823529</c:v>
                </c:pt>
                <c:pt idx="5">
                  <c:v>1839.0625</c:v>
                </c:pt>
                <c:pt idx="6">
                  <c:v>2049.7096774193537</c:v>
                </c:pt>
                <c:pt idx="7">
                  <c:v>2505.75</c:v>
                </c:pt>
                <c:pt idx="8">
                  <c:v>3187.44</c:v>
                </c:pt>
                <c:pt idx="9">
                  <c:v>2685.1851851851848</c:v>
                </c:pt>
                <c:pt idx="10">
                  <c:v>2507.8076923076924</c:v>
                </c:pt>
                <c:pt idx="11">
                  <c:v>2992.1739130435517</c:v>
                </c:pt>
                <c:pt idx="12">
                  <c:v>3538.2857142857142</c:v>
                </c:pt>
                <c:pt idx="13">
                  <c:v>3652.2272727272707</c:v>
                </c:pt>
                <c:pt idx="14">
                  <c:v>4417.25</c:v>
                </c:pt>
              </c:numCache>
            </c:numRef>
          </c:val>
          <c:smooth val="1"/>
        </c:ser>
        <c:marker val="1"/>
        <c:axId val="223631232"/>
        <c:axId val="223632768"/>
      </c:lineChart>
      <c:catAx>
        <c:axId val="223631232"/>
        <c:scaling>
          <c:orientation val="minMax"/>
        </c:scaling>
        <c:axPos val="b"/>
        <c:numFmt formatCode="General" sourceLinked="1"/>
        <c:tickLblPos val="nextTo"/>
        <c:txPr>
          <a:bodyPr/>
          <a:lstStyle/>
          <a:p>
            <a:pPr>
              <a:defRPr>
                <a:latin typeface="Perpetua" pitchFamily="18" charset="0"/>
              </a:defRPr>
            </a:pPr>
            <a:endParaRPr lang="pt-PT"/>
          </a:p>
        </c:txPr>
        <c:crossAx val="223632768"/>
        <c:crosses val="autoZero"/>
        <c:auto val="1"/>
        <c:lblAlgn val="ctr"/>
        <c:lblOffset val="100"/>
      </c:catAx>
      <c:valAx>
        <c:axId val="223632768"/>
        <c:scaling>
          <c:orientation val="minMax"/>
        </c:scaling>
        <c:axPos val="l"/>
        <c:majorGridlines/>
        <c:numFmt formatCode="General" sourceLinked="1"/>
        <c:tickLblPos val="nextTo"/>
        <c:txPr>
          <a:bodyPr/>
          <a:lstStyle/>
          <a:p>
            <a:pPr>
              <a:defRPr>
                <a:latin typeface="Perpetua" pitchFamily="18" charset="0"/>
              </a:defRPr>
            </a:pPr>
            <a:endParaRPr lang="pt-PT"/>
          </a:p>
        </c:txPr>
        <c:crossAx val="223631232"/>
        <c:crosses val="autoZero"/>
        <c:crossBetween val="between"/>
      </c:valAx>
    </c:plotArea>
    <c:legend>
      <c:legendPos val="b"/>
      <c:layout>
        <c:manualLayout>
          <c:xMode val="edge"/>
          <c:yMode val="edge"/>
          <c:x val="0.16017558711473262"/>
          <c:y val="0.86397048195062576"/>
          <c:w val="0.67509056239764964"/>
          <c:h val="9.8875565719079295E-2"/>
        </c:manualLayout>
      </c:layout>
      <c:txPr>
        <a:bodyPr/>
        <a:lstStyle/>
        <a:p>
          <a:pPr>
            <a:defRPr>
              <a:latin typeface="Perpetua" pitchFamily="18" charset="0"/>
            </a:defRPr>
          </a:pPr>
          <a:endParaRPr lang="pt-PT"/>
        </a:p>
      </c:txPr>
    </c:legend>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pt-PT"/>
  <c:chart>
    <c:autoTitleDeleted val="1"/>
    <c:plotArea>
      <c:layout>
        <c:manualLayout>
          <c:layoutTarget val="inner"/>
          <c:xMode val="edge"/>
          <c:yMode val="edge"/>
          <c:x val="9.0022735663116749E-2"/>
          <c:y val="8.3760471207194542E-2"/>
          <c:w val="0.88161879596852888"/>
          <c:h val="0.74293179549739385"/>
        </c:manualLayout>
      </c:layout>
      <c:lineChart>
        <c:grouping val="standard"/>
        <c:ser>
          <c:idx val="0"/>
          <c:order val="0"/>
          <c:tx>
            <c:v>Efeito Marginal (1)</c:v>
          </c:tx>
          <c:marker>
            <c:symbol val="none"/>
          </c:marker>
          <c:cat>
            <c:numRef>
              <c:f>QUADROS!$B$16:$B$28</c:f>
              <c:numCache>
                <c:formatCode>General</c:formatCode>
                <c:ptCount val="13"/>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numCache>
            </c:numRef>
          </c:cat>
          <c:val>
            <c:numRef>
              <c:f>QUADROS!$C$16:$C$28</c:f>
              <c:numCache>
                <c:formatCode>General</c:formatCode>
                <c:ptCount val="13"/>
                <c:pt idx="0">
                  <c:v>0.14048000000000024</c:v>
                </c:pt>
                <c:pt idx="1">
                  <c:v>0.1237600000000016</c:v>
                </c:pt>
                <c:pt idx="2">
                  <c:v>0.10704000000000002</c:v>
                </c:pt>
                <c:pt idx="3">
                  <c:v>9.0320000000000067E-2</c:v>
                </c:pt>
                <c:pt idx="4">
                  <c:v>7.3600000000000013E-2</c:v>
                </c:pt>
                <c:pt idx="5">
                  <c:v>5.6879999999999986E-2</c:v>
                </c:pt>
                <c:pt idx="6">
                  <c:v>4.0160000000000022E-2</c:v>
                </c:pt>
                <c:pt idx="7">
                  <c:v>2.3440000000000006E-2</c:v>
                </c:pt>
                <c:pt idx="8">
                  <c:v>6.7200000000000133E-3</c:v>
                </c:pt>
                <c:pt idx="9">
                  <c:v>-1.0000000000000007E-2</c:v>
                </c:pt>
                <c:pt idx="10">
                  <c:v>-2.6720000000000001E-2</c:v>
                </c:pt>
                <c:pt idx="11">
                  <c:v>-4.3440000000000006E-2</c:v>
                </c:pt>
                <c:pt idx="12">
                  <c:v>-6.0159999999999991E-2</c:v>
                </c:pt>
              </c:numCache>
            </c:numRef>
          </c:val>
        </c:ser>
        <c:ser>
          <c:idx val="1"/>
          <c:order val="1"/>
          <c:tx>
            <c:v>Efeito marginal (2)</c:v>
          </c:tx>
          <c:marker>
            <c:symbol val="none"/>
          </c:marker>
          <c:cat>
            <c:numRef>
              <c:f>QUADROS!$B$16:$B$28</c:f>
              <c:numCache>
                <c:formatCode>General</c:formatCode>
                <c:ptCount val="13"/>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numCache>
            </c:numRef>
          </c:cat>
          <c:val>
            <c:numRef>
              <c:f>QUADROS!$D$16:$D$28</c:f>
              <c:numCache>
                <c:formatCode>General</c:formatCode>
                <c:ptCount val="13"/>
                <c:pt idx="0">
                  <c:v>0.14605000000000001</c:v>
                </c:pt>
                <c:pt idx="1">
                  <c:v>0.12856999999999999</c:v>
                </c:pt>
                <c:pt idx="2">
                  <c:v>0.11108999999999832</c:v>
                </c:pt>
                <c:pt idx="3">
                  <c:v>9.3610000000000207E-2</c:v>
                </c:pt>
                <c:pt idx="4">
                  <c:v>7.6129999999999989E-2</c:v>
                </c:pt>
                <c:pt idx="5">
                  <c:v>5.8649999999999966E-2</c:v>
                </c:pt>
                <c:pt idx="6">
                  <c:v>4.1169999999999977E-2</c:v>
                </c:pt>
                <c:pt idx="7">
                  <c:v>2.3689999999999999E-2</c:v>
                </c:pt>
                <c:pt idx="8">
                  <c:v>6.2100000000000133E-3</c:v>
                </c:pt>
                <c:pt idx="9">
                  <c:v>-1.1270000000000023E-2</c:v>
                </c:pt>
                <c:pt idx="10">
                  <c:v>-2.8750000000000022E-2</c:v>
                </c:pt>
                <c:pt idx="11">
                  <c:v>-4.6230000000000035E-2</c:v>
                </c:pt>
                <c:pt idx="12">
                  <c:v>-6.3710000000000183E-2</c:v>
                </c:pt>
              </c:numCache>
            </c:numRef>
          </c:val>
        </c:ser>
        <c:ser>
          <c:idx val="2"/>
          <c:order val="2"/>
          <c:tx>
            <c:v>Efeito marginal (3)</c:v>
          </c:tx>
          <c:marker>
            <c:symbol val="none"/>
          </c:marker>
          <c:cat>
            <c:numRef>
              <c:f>QUADROS!$B$16:$B$28</c:f>
              <c:numCache>
                <c:formatCode>General</c:formatCode>
                <c:ptCount val="13"/>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numCache>
            </c:numRef>
          </c:cat>
          <c:val>
            <c:numRef>
              <c:f>QUADROS!$E$16:$E$28</c:f>
              <c:numCache>
                <c:formatCode>General</c:formatCode>
                <c:ptCount val="13"/>
                <c:pt idx="2">
                  <c:v>8.9920000000000264E-2</c:v>
                </c:pt>
                <c:pt idx="3">
                  <c:v>7.7720000000000192E-2</c:v>
                </c:pt>
                <c:pt idx="4">
                  <c:v>6.5520000000000023E-2</c:v>
                </c:pt>
                <c:pt idx="5">
                  <c:v>5.3320000000000013E-2</c:v>
                </c:pt>
                <c:pt idx="6">
                  <c:v>4.1119999999999997E-2</c:v>
                </c:pt>
                <c:pt idx="7">
                  <c:v>2.8919999999999998E-2</c:v>
                </c:pt>
                <c:pt idx="8">
                  <c:v>1.6719999999999995E-2</c:v>
                </c:pt>
                <c:pt idx="9">
                  <c:v>4.5200000000000014E-3</c:v>
                </c:pt>
                <c:pt idx="10">
                  <c:v>-7.6800000000000132E-3</c:v>
                </c:pt>
                <c:pt idx="11">
                  <c:v>-1.9880000000000345E-2</c:v>
                </c:pt>
                <c:pt idx="12">
                  <c:v>-3.2080000000000199E-2</c:v>
                </c:pt>
              </c:numCache>
            </c:numRef>
          </c:val>
        </c:ser>
        <c:marker val="1"/>
        <c:axId val="224102656"/>
        <c:axId val="224108544"/>
      </c:lineChart>
      <c:catAx>
        <c:axId val="224102656"/>
        <c:scaling>
          <c:orientation val="minMax"/>
        </c:scaling>
        <c:axPos val="b"/>
        <c:numFmt formatCode="General" sourceLinked="1"/>
        <c:majorTickMark val="cross"/>
        <c:tickLblPos val="nextTo"/>
        <c:txPr>
          <a:bodyPr/>
          <a:lstStyle/>
          <a:p>
            <a:pPr>
              <a:defRPr spc="0" baseline="0">
                <a:latin typeface="Perpetua" pitchFamily="18" charset="0"/>
              </a:defRPr>
            </a:pPr>
            <a:endParaRPr lang="pt-PT"/>
          </a:p>
        </c:txPr>
        <c:crossAx val="224108544"/>
        <c:crosses val="autoZero"/>
        <c:auto val="1"/>
        <c:lblAlgn val="ctr"/>
        <c:lblOffset val="100"/>
      </c:catAx>
      <c:valAx>
        <c:axId val="224108544"/>
        <c:scaling>
          <c:orientation val="minMax"/>
        </c:scaling>
        <c:axPos val="l"/>
        <c:majorGridlines/>
        <c:numFmt formatCode="0.00" sourceLinked="0"/>
        <c:majorTickMark val="none"/>
        <c:tickLblPos val="nextTo"/>
        <c:spPr>
          <a:ln w="9525">
            <a:noFill/>
          </a:ln>
        </c:spPr>
        <c:txPr>
          <a:bodyPr/>
          <a:lstStyle/>
          <a:p>
            <a:pPr>
              <a:defRPr sz="1000" baseline="0">
                <a:latin typeface="Perpetua" pitchFamily="18" charset="0"/>
              </a:defRPr>
            </a:pPr>
            <a:endParaRPr lang="pt-PT"/>
          </a:p>
        </c:txPr>
        <c:crossAx val="224102656"/>
        <c:crosses val="autoZero"/>
        <c:crossBetween val="between"/>
      </c:valAx>
    </c:plotArea>
    <c:legend>
      <c:legendPos val="b"/>
      <c:layout>
        <c:manualLayout>
          <c:xMode val="edge"/>
          <c:yMode val="edge"/>
          <c:x val="9.309125782354119E-2"/>
          <c:y val="0.89022816592370357"/>
          <c:w val="0.85254742312341092"/>
          <c:h val="7.2271957916024324E-2"/>
        </c:manualLayout>
      </c:layout>
      <c:txPr>
        <a:bodyPr/>
        <a:lstStyle/>
        <a:p>
          <a:pPr>
            <a:defRPr>
              <a:latin typeface="Perpetua" pitchFamily="18" charset="0"/>
            </a:defRPr>
          </a:pPr>
          <a:endParaRPr lang="pt-PT"/>
        </a:p>
      </c:txPr>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4A4899-8CA6-46C2-B844-1E3C2F5D1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39330</Words>
  <Characters>212384</Characters>
  <Application>Microsoft Office Word</Application>
  <DocSecurity>8</DocSecurity>
  <Lines>1769</Lines>
  <Paragraphs>502</Paragraphs>
  <ScaleCrop>false</ScaleCrop>
  <HeadingPairs>
    <vt:vector size="2" baseType="variant">
      <vt:variant>
        <vt:lpstr>Title</vt:lpstr>
      </vt:variant>
      <vt:variant>
        <vt:i4>1</vt:i4>
      </vt:variant>
    </vt:vector>
  </HeadingPairs>
  <TitlesOfParts>
    <vt:vector size="1" baseType="lpstr">
      <vt:lpstr>Mestrado em Economia e Políticas Públicas</vt:lpstr>
    </vt:vector>
  </TitlesOfParts>
  <Company/>
  <LinksUpToDate>false</LinksUpToDate>
  <CharactersWithSpaces>251212</CharactersWithSpaces>
  <SharedDoc>false</SharedDoc>
  <HLinks>
    <vt:vector size="672" baseType="variant">
      <vt:variant>
        <vt:i4>4980751</vt:i4>
      </vt:variant>
      <vt:variant>
        <vt:i4>936</vt:i4>
      </vt:variant>
      <vt:variant>
        <vt:i4>0</vt:i4>
      </vt:variant>
      <vt:variant>
        <vt:i4>5</vt:i4>
      </vt:variant>
      <vt:variant>
        <vt:lpwstr>http://encyclo.findlaw.com/index.html</vt:lpwstr>
      </vt:variant>
      <vt:variant>
        <vt:lpwstr/>
      </vt:variant>
      <vt:variant>
        <vt:i4>1114160</vt:i4>
      </vt:variant>
      <vt:variant>
        <vt:i4>623</vt:i4>
      </vt:variant>
      <vt:variant>
        <vt:i4>0</vt:i4>
      </vt:variant>
      <vt:variant>
        <vt:i4>5</vt:i4>
      </vt:variant>
      <vt:variant>
        <vt:lpwstr/>
      </vt:variant>
      <vt:variant>
        <vt:lpwstr>_Toc214525471</vt:lpwstr>
      </vt:variant>
      <vt:variant>
        <vt:i4>1114160</vt:i4>
      </vt:variant>
      <vt:variant>
        <vt:i4>617</vt:i4>
      </vt:variant>
      <vt:variant>
        <vt:i4>0</vt:i4>
      </vt:variant>
      <vt:variant>
        <vt:i4>5</vt:i4>
      </vt:variant>
      <vt:variant>
        <vt:lpwstr/>
      </vt:variant>
      <vt:variant>
        <vt:lpwstr>_Toc214525470</vt:lpwstr>
      </vt:variant>
      <vt:variant>
        <vt:i4>1048624</vt:i4>
      </vt:variant>
      <vt:variant>
        <vt:i4>611</vt:i4>
      </vt:variant>
      <vt:variant>
        <vt:i4>0</vt:i4>
      </vt:variant>
      <vt:variant>
        <vt:i4>5</vt:i4>
      </vt:variant>
      <vt:variant>
        <vt:lpwstr/>
      </vt:variant>
      <vt:variant>
        <vt:lpwstr>_Toc214525469</vt:lpwstr>
      </vt:variant>
      <vt:variant>
        <vt:i4>1048624</vt:i4>
      </vt:variant>
      <vt:variant>
        <vt:i4>605</vt:i4>
      </vt:variant>
      <vt:variant>
        <vt:i4>0</vt:i4>
      </vt:variant>
      <vt:variant>
        <vt:i4>5</vt:i4>
      </vt:variant>
      <vt:variant>
        <vt:lpwstr/>
      </vt:variant>
      <vt:variant>
        <vt:lpwstr>_Toc214525468</vt:lpwstr>
      </vt:variant>
      <vt:variant>
        <vt:i4>1048624</vt:i4>
      </vt:variant>
      <vt:variant>
        <vt:i4>599</vt:i4>
      </vt:variant>
      <vt:variant>
        <vt:i4>0</vt:i4>
      </vt:variant>
      <vt:variant>
        <vt:i4>5</vt:i4>
      </vt:variant>
      <vt:variant>
        <vt:lpwstr/>
      </vt:variant>
      <vt:variant>
        <vt:lpwstr>_Toc214525467</vt:lpwstr>
      </vt:variant>
      <vt:variant>
        <vt:i4>1048624</vt:i4>
      </vt:variant>
      <vt:variant>
        <vt:i4>593</vt:i4>
      </vt:variant>
      <vt:variant>
        <vt:i4>0</vt:i4>
      </vt:variant>
      <vt:variant>
        <vt:i4>5</vt:i4>
      </vt:variant>
      <vt:variant>
        <vt:lpwstr/>
      </vt:variant>
      <vt:variant>
        <vt:lpwstr>_Toc214525466</vt:lpwstr>
      </vt:variant>
      <vt:variant>
        <vt:i4>1048624</vt:i4>
      </vt:variant>
      <vt:variant>
        <vt:i4>587</vt:i4>
      </vt:variant>
      <vt:variant>
        <vt:i4>0</vt:i4>
      </vt:variant>
      <vt:variant>
        <vt:i4>5</vt:i4>
      </vt:variant>
      <vt:variant>
        <vt:lpwstr/>
      </vt:variant>
      <vt:variant>
        <vt:lpwstr>_Toc214525465</vt:lpwstr>
      </vt:variant>
      <vt:variant>
        <vt:i4>1048624</vt:i4>
      </vt:variant>
      <vt:variant>
        <vt:i4>581</vt:i4>
      </vt:variant>
      <vt:variant>
        <vt:i4>0</vt:i4>
      </vt:variant>
      <vt:variant>
        <vt:i4>5</vt:i4>
      </vt:variant>
      <vt:variant>
        <vt:lpwstr/>
      </vt:variant>
      <vt:variant>
        <vt:lpwstr>_Toc214525464</vt:lpwstr>
      </vt:variant>
      <vt:variant>
        <vt:i4>1048624</vt:i4>
      </vt:variant>
      <vt:variant>
        <vt:i4>575</vt:i4>
      </vt:variant>
      <vt:variant>
        <vt:i4>0</vt:i4>
      </vt:variant>
      <vt:variant>
        <vt:i4>5</vt:i4>
      </vt:variant>
      <vt:variant>
        <vt:lpwstr/>
      </vt:variant>
      <vt:variant>
        <vt:lpwstr>_Toc214525463</vt:lpwstr>
      </vt:variant>
      <vt:variant>
        <vt:i4>1048624</vt:i4>
      </vt:variant>
      <vt:variant>
        <vt:i4>569</vt:i4>
      </vt:variant>
      <vt:variant>
        <vt:i4>0</vt:i4>
      </vt:variant>
      <vt:variant>
        <vt:i4>5</vt:i4>
      </vt:variant>
      <vt:variant>
        <vt:lpwstr/>
      </vt:variant>
      <vt:variant>
        <vt:lpwstr>_Toc214525462</vt:lpwstr>
      </vt:variant>
      <vt:variant>
        <vt:i4>1048624</vt:i4>
      </vt:variant>
      <vt:variant>
        <vt:i4>563</vt:i4>
      </vt:variant>
      <vt:variant>
        <vt:i4>0</vt:i4>
      </vt:variant>
      <vt:variant>
        <vt:i4>5</vt:i4>
      </vt:variant>
      <vt:variant>
        <vt:lpwstr/>
      </vt:variant>
      <vt:variant>
        <vt:lpwstr>_Toc214525461</vt:lpwstr>
      </vt:variant>
      <vt:variant>
        <vt:i4>1048624</vt:i4>
      </vt:variant>
      <vt:variant>
        <vt:i4>557</vt:i4>
      </vt:variant>
      <vt:variant>
        <vt:i4>0</vt:i4>
      </vt:variant>
      <vt:variant>
        <vt:i4>5</vt:i4>
      </vt:variant>
      <vt:variant>
        <vt:lpwstr/>
      </vt:variant>
      <vt:variant>
        <vt:lpwstr>_Toc214525460</vt:lpwstr>
      </vt:variant>
      <vt:variant>
        <vt:i4>1245232</vt:i4>
      </vt:variant>
      <vt:variant>
        <vt:i4>551</vt:i4>
      </vt:variant>
      <vt:variant>
        <vt:i4>0</vt:i4>
      </vt:variant>
      <vt:variant>
        <vt:i4>5</vt:i4>
      </vt:variant>
      <vt:variant>
        <vt:lpwstr/>
      </vt:variant>
      <vt:variant>
        <vt:lpwstr>_Toc214525459</vt:lpwstr>
      </vt:variant>
      <vt:variant>
        <vt:i4>1245232</vt:i4>
      </vt:variant>
      <vt:variant>
        <vt:i4>545</vt:i4>
      </vt:variant>
      <vt:variant>
        <vt:i4>0</vt:i4>
      </vt:variant>
      <vt:variant>
        <vt:i4>5</vt:i4>
      </vt:variant>
      <vt:variant>
        <vt:lpwstr/>
      </vt:variant>
      <vt:variant>
        <vt:lpwstr>_Toc214525458</vt:lpwstr>
      </vt:variant>
      <vt:variant>
        <vt:i4>1245232</vt:i4>
      </vt:variant>
      <vt:variant>
        <vt:i4>539</vt:i4>
      </vt:variant>
      <vt:variant>
        <vt:i4>0</vt:i4>
      </vt:variant>
      <vt:variant>
        <vt:i4>5</vt:i4>
      </vt:variant>
      <vt:variant>
        <vt:lpwstr/>
      </vt:variant>
      <vt:variant>
        <vt:lpwstr>_Toc214525457</vt:lpwstr>
      </vt:variant>
      <vt:variant>
        <vt:i4>1245232</vt:i4>
      </vt:variant>
      <vt:variant>
        <vt:i4>533</vt:i4>
      </vt:variant>
      <vt:variant>
        <vt:i4>0</vt:i4>
      </vt:variant>
      <vt:variant>
        <vt:i4>5</vt:i4>
      </vt:variant>
      <vt:variant>
        <vt:lpwstr/>
      </vt:variant>
      <vt:variant>
        <vt:lpwstr>_Toc214525456</vt:lpwstr>
      </vt:variant>
      <vt:variant>
        <vt:i4>1245232</vt:i4>
      </vt:variant>
      <vt:variant>
        <vt:i4>527</vt:i4>
      </vt:variant>
      <vt:variant>
        <vt:i4>0</vt:i4>
      </vt:variant>
      <vt:variant>
        <vt:i4>5</vt:i4>
      </vt:variant>
      <vt:variant>
        <vt:lpwstr/>
      </vt:variant>
      <vt:variant>
        <vt:lpwstr>_Toc214525455</vt:lpwstr>
      </vt:variant>
      <vt:variant>
        <vt:i4>1245232</vt:i4>
      </vt:variant>
      <vt:variant>
        <vt:i4>521</vt:i4>
      </vt:variant>
      <vt:variant>
        <vt:i4>0</vt:i4>
      </vt:variant>
      <vt:variant>
        <vt:i4>5</vt:i4>
      </vt:variant>
      <vt:variant>
        <vt:lpwstr/>
      </vt:variant>
      <vt:variant>
        <vt:lpwstr>_Toc214525454</vt:lpwstr>
      </vt:variant>
      <vt:variant>
        <vt:i4>1245232</vt:i4>
      </vt:variant>
      <vt:variant>
        <vt:i4>512</vt:i4>
      </vt:variant>
      <vt:variant>
        <vt:i4>0</vt:i4>
      </vt:variant>
      <vt:variant>
        <vt:i4>5</vt:i4>
      </vt:variant>
      <vt:variant>
        <vt:lpwstr/>
      </vt:variant>
      <vt:variant>
        <vt:lpwstr>_Toc214525453</vt:lpwstr>
      </vt:variant>
      <vt:variant>
        <vt:i4>1245232</vt:i4>
      </vt:variant>
      <vt:variant>
        <vt:i4>506</vt:i4>
      </vt:variant>
      <vt:variant>
        <vt:i4>0</vt:i4>
      </vt:variant>
      <vt:variant>
        <vt:i4>5</vt:i4>
      </vt:variant>
      <vt:variant>
        <vt:lpwstr/>
      </vt:variant>
      <vt:variant>
        <vt:lpwstr>_Toc214525452</vt:lpwstr>
      </vt:variant>
      <vt:variant>
        <vt:i4>1245232</vt:i4>
      </vt:variant>
      <vt:variant>
        <vt:i4>500</vt:i4>
      </vt:variant>
      <vt:variant>
        <vt:i4>0</vt:i4>
      </vt:variant>
      <vt:variant>
        <vt:i4>5</vt:i4>
      </vt:variant>
      <vt:variant>
        <vt:lpwstr/>
      </vt:variant>
      <vt:variant>
        <vt:lpwstr>_Toc214525451</vt:lpwstr>
      </vt:variant>
      <vt:variant>
        <vt:i4>1245232</vt:i4>
      </vt:variant>
      <vt:variant>
        <vt:i4>494</vt:i4>
      </vt:variant>
      <vt:variant>
        <vt:i4>0</vt:i4>
      </vt:variant>
      <vt:variant>
        <vt:i4>5</vt:i4>
      </vt:variant>
      <vt:variant>
        <vt:lpwstr/>
      </vt:variant>
      <vt:variant>
        <vt:lpwstr>_Toc214525450</vt:lpwstr>
      </vt:variant>
      <vt:variant>
        <vt:i4>1179696</vt:i4>
      </vt:variant>
      <vt:variant>
        <vt:i4>488</vt:i4>
      </vt:variant>
      <vt:variant>
        <vt:i4>0</vt:i4>
      </vt:variant>
      <vt:variant>
        <vt:i4>5</vt:i4>
      </vt:variant>
      <vt:variant>
        <vt:lpwstr/>
      </vt:variant>
      <vt:variant>
        <vt:lpwstr>_Toc214525449</vt:lpwstr>
      </vt:variant>
      <vt:variant>
        <vt:i4>1179696</vt:i4>
      </vt:variant>
      <vt:variant>
        <vt:i4>482</vt:i4>
      </vt:variant>
      <vt:variant>
        <vt:i4>0</vt:i4>
      </vt:variant>
      <vt:variant>
        <vt:i4>5</vt:i4>
      </vt:variant>
      <vt:variant>
        <vt:lpwstr/>
      </vt:variant>
      <vt:variant>
        <vt:lpwstr>_Toc214525448</vt:lpwstr>
      </vt:variant>
      <vt:variant>
        <vt:i4>1179696</vt:i4>
      </vt:variant>
      <vt:variant>
        <vt:i4>476</vt:i4>
      </vt:variant>
      <vt:variant>
        <vt:i4>0</vt:i4>
      </vt:variant>
      <vt:variant>
        <vt:i4>5</vt:i4>
      </vt:variant>
      <vt:variant>
        <vt:lpwstr/>
      </vt:variant>
      <vt:variant>
        <vt:lpwstr>_Toc214525447</vt:lpwstr>
      </vt:variant>
      <vt:variant>
        <vt:i4>1179696</vt:i4>
      </vt:variant>
      <vt:variant>
        <vt:i4>470</vt:i4>
      </vt:variant>
      <vt:variant>
        <vt:i4>0</vt:i4>
      </vt:variant>
      <vt:variant>
        <vt:i4>5</vt:i4>
      </vt:variant>
      <vt:variant>
        <vt:lpwstr/>
      </vt:variant>
      <vt:variant>
        <vt:lpwstr>_Toc214525446</vt:lpwstr>
      </vt:variant>
      <vt:variant>
        <vt:i4>1179696</vt:i4>
      </vt:variant>
      <vt:variant>
        <vt:i4>464</vt:i4>
      </vt:variant>
      <vt:variant>
        <vt:i4>0</vt:i4>
      </vt:variant>
      <vt:variant>
        <vt:i4>5</vt:i4>
      </vt:variant>
      <vt:variant>
        <vt:lpwstr/>
      </vt:variant>
      <vt:variant>
        <vt:lpwstr>_Toc214525445</vt:lpwstr>
      </vt:variant>
      <vt:variant>
        <vt:i4>1179696</vt:i4>
      </vt:variant>
      <vt:variant>
        <vt:i4>458</vt:i4>
      </vt:variant>
      <vt:variant>
        <vt:i4>0</vt:i4>
      </vt:variant>
      <vt:variant>
        <vt:i4>5</vt:i4>
      </vt:variant>
      <vt:variant>
        <vt:lpwstr/>
      </vt:variant>
      <vt:variant>
        <vt:lpwstr>_Toc214525444</vt:lpwstr>
      </vt:variant>
      <vt:variant>
        <vt:i4>1179696</vt:i4>
      </vt:variant>
      <vt:variant>
        <vt:i4>452</vt:i4>
      </vt:variant>
      <vt:variant>
        <vt:i4>0</vt:i4>
      </vt:variant>
      <vt:variant>
        <vt:i4>5</vt:i4>
      </vt:variant>
      <vt:variant>
        <vt:lpwstr/>
      </vt:variant>
      <vt:variant>
        <vt:lpwstr>_Toc214525443</vt:lpwstr>
      </vt:variant>
      <vt:variant>
        <vt:i4>1179696</vt:i4>
      </vt:variant>
      <vt:variant>
        <vt:i4>446</vt:i4>
      </vt:variant>
      <vt:variant>
        <vt:i4>0</vt:i4>
      </vt:variant>
      <vt:variant>
        <vt:i4>5</vt:i4>
      </vt:variant>
      <vt:variant>
        <vt:lpwstr/>
      </vt:variant>
      <vt:variant>
        <vt:lpwstr>_Toc214525442</vt:lpwstr>
      </vt:variant>
      <vt:variant>
        <vt:i4>1179696</vt:i4>
      </vt:variant>
      <vt:variant>
        <vt:i4>440</vt:i4>
      </vt:variant>
      <vt:variant>
        <vt:i4>0</vt:i4>
      </vt:variant>
      <vt:variant>
        <vt:i4>5</vt:i4>
      </vt:variant>
      <vt:variant>
        <vt:lpwstr/>
      </vt:variant>
      <vt:variant>
        <vt:lpwstr>_Toc214525441</vt:lpwstr>
      </vt:variant>
      <vt:variant>
        <vt:i4>1179696</vt:i4>
      </vt:variant>
      <vt:variant>
        <vt:i4>434</vt:i4>
      </vt:variant>
      <vt:variant>
        <vt:i4>0</vt:i4>
      </vt:variant>
      <vt:variant>
        <vt:i4>5</vt:i4>
      </vt:variant>
      <vt:variant>
        <vt:lpwstr/>
      </vt:variant>
      <vt:variant>
        <vt:lpwstr>_Toc214525440</vt:lpwstr>
      </vt:variant>
      <vt:variant>
        <vt:i4>1376304</vt:i4>
      </vt:variant>
      <vt:variant>
        <vt:i4>428</vt:i4>
      </vt:variant>
      <vt:variant>
        <vt:i4>0</vt:i4>
      </vt:variant>
      <vt:variant>
        <vt:i4>5</vt:i4>
      </vt:variant>
      <vt:variant>
        <vt:lpwstr/>
      </vt:variant>
      <vt:variant>
        <vt:lpwstr>_Toc214525439</vt:lpwstr>
      </vt:variant>
      <vt:variant>
        <vt:i4>1376304</vt:i4>
      </vt:variant>
      <vt:variant>
        <vt:i4>422</vt:i4>
      </vt:variant>
      <vt:variant>
        <vt:i4>0</vt:i4>
      </vt:variant>
      <vt:variant>
        <vt:i4>5</vt:i4>
      </vt:variant>
      <vt:variant>
        <vt:lpwstr/>
      </vt:variant>
      <vt:variant>
        <vt:lpwstr>_Toc214525438</vt:lpwstr>
      </vt:variant>
      <vt:variant>
        <vt:i4>1376304</vt:i4>
      </vt:variant>
      <vt:variant>
        <vt:i4>416</vt:i4>
      </vt:variant>
      <vt:variant>
        <vt:i4>0</vt:i4>
      </vt:variant>
      <vt:variant>
        <vt:i4>5</vt:i4>
      </vt:variant>
      <vt:variant>
        <vt:lpwstr/>
      </vt:variant>
      <vt:variant>
        <vt:lpwstr>_Toc214525437</vt:lpwstr>
      </vt:variant>
      <vt:variant>
        <vt:i4>1376304</vt:i4>
      </vt:variant>
      <vt:variant>
        <vt:i4>410</vt:i4>
      </vt:variant>
      <vt:variant>
        <vt:i4>0</vt:i4>
      </vt:variant>
      <vt:variant>
        <vt:i4>5</vt:i4>
      </vt:variant>
      <vt:variant>
        <vt:lpwstr/>
      </vt:variant>
      <vt:variant>
        <vt:lpwstr>_Toc214525436</vt:lpwstr>
      </vt:variant>
      <vt:variant>
        <vt:i4>1376304</vt:i4>
      </vt:variant>
      <vt:variant>
        <vt:i4>401</vt:i4>
      </vt:variant>
      <vt:variant>
        <vt:i4>0</vt:i4>
      </vt:variant>
      <vt:variant>
        <vt:i4>5</vt:i4>
      </vt:variant>
      <vt:variant>
        <vt:lpwstr/>
      </vt:variant>
      <vt:variant>
        <vt:lpwstr>_Toc214525435</vt:lpwstr>
      </vt:variant>
      <vt:variant>
        <vt:i4>1376304</vt:i4>
      </vt:variant>
      <vt:variant>
        <vt:i4>395</vt:i4>
      </vt:variant>
      <vt:variant>
        <vt:i4>0</vt:i4>
      </vt:variant>
      <vt:variant>
        <vt:i4>5</vt:i4>
      </vt:variant>
      <vt:variant>
        <vt:lpwstr/>
      </vt:variant>
      <vt:variant>
        <vt:lpwstr>_Toc214525434</vt:lpwstr>
      </vt:variant>
      <vt:variant>
        <vt:i4>1376304</vt:i4>
      </vt:variant>
      <vt:variant>
        <vt:i4>389</vt:i4>
      </vt:variant>
      <vt:variant>
        <vt:i4>0</vt:i4>
      </vt:variant>
      <vt:variant>
        <vt:i4>5</vt:i4>
      </vt:variant>
      <vt:variant>
        <vt:lpwstr/>
      </vt:variant>
      <vt:variant>
        <vt:lpwstr>_Toc214525433</vt:lpwstr>
      </vt:variant>
      <vt:variant>
        <vt:i4>1376304</vt:i4>
      </vt:variant>
      <vt:variant>
        <vt:i4>383</vt:i4>
      </vt:variant>
      <vt:variant>
        <vt:i4>0</vt:i4>
      </vt:variant>
      <vt:variant>
        <vt:i4>5</vt:i4>
      </vt:variant>
      <vt:variant>
        <vt:lpwstr/>
      </vt:variant>
      <vt:variant>
        <vt:lpwstr>_Toc214525432</vt:lpwstr>
      </vt:variant>
      <vt:variant>
        <vt:i4>1376304</vt:i4>
      </vt:variant>
      <vt:variant>
        <vt:i4>377</vt:i4>
      </vt:variant>
      <vt:variant>
        <vt:i4>0</vt:i4>
      </vt:variant>
      <vt:variant>
        <vt:i4>5</vt:i4>
      </vt:variant>
      <vt:variant>
        <vt:lpwstr/>
      </vt:variant>
      <vt:variant>
        <vt:lpwstr>_Toc214525431</vt:lpwstr>
      </vt:variant>
      <vt:variant>
        <vt:i4>1376304</vt:i4>
      </vt:variant>
      <vt:variant>
        <vt:i4>371</vt:i4>
      </vt:variant>
      <vt:variant>
        <vt:i4>0</vt:i4>
      </vt:variant>
      <vt:variant>
        <vt:i4>5</vt:i4>
      </vt:variant>
      <vt:variant>
        <vt:lpwstr/>
      </vt:variant>
      <vt:variant>
        <vt:lpwstr>_Toc214525430</vt:lpwstr>
      </vt:variant>
      <vt:variant>
        <vt:i4>1310768</vt:i4>
      </vt:variant>
      <vt:variant>
        <vt:i4>365</vt:i4>
      </vt:variant>
      <vt:variant>
        <vt:i4>0</vt:i4>
      </vt:variant>
      <vt:variant>
        <vt:i4>5</vt:i4>
      </vt:variant>
      <vt:variant>
        <vt:lpwstr/>
      </vt:variant>
      <vt:variant>
        <vt:lpwstr>_Toc214525429</vt:lpwstr>
      </vt:variant>
      <vt:variant>
        <vt:i4>1310768</vt:i4>
      </vt:variant>
      <vt:variant>
        <vt:i4>359</vt:i4>
      </vt:variant>
      <vt:variant>
        <vt:i4>0</vt:i4>
      </vt:variant>
      <vt:variant>
        <vt:i4>5</vt:i4>
      </vt:variant>
      <vt:variant>
        <vt:lpwstr/>
      </vt:variant>
      <vt:variant>
        <vt:lpwstr>_Toc214525428</vt:lpwstr>
      </vt:variant>
      <vt:variant>
        <vt:i4>1310768</vt:i4>
      </vt:variant>
      <vt:variant>
        <vt:i4>353</vt:i4>
      </vt:variant>
      <vt:variant>
        <vt:i4>0</vt:i4>
      </vt:variant>
      <vt:variant>
        <vt:i4>5</vt:i4>
      </vt:variant>
      <vt:variant>
        <vt:lpwstr/>
      </vt:variant>
      <vt:variant>
        <vt:lpwstr>_Toc214525427</vt:lpwstr>
      </vt:variant>
      <vt:variant>
        <vt:i4>1310772</vt:i4>
      </vt:variant>
      <vt:variant>
        <vt:i4>344</vt:i4>
      </vt:variant>
      <vt:variant>
        <vt:i4>0</vt:i4>
      </vt:variant>
      <vt:variant>
        <vt:i4>5</vt:i4>
      </vt:variant>
      <vt:variant>
        <vt:lpwstr/>
      </vt:variant>
      <vt:variant>
        <vt:lpwstr>_Toc214716332</vt:lpwstr>
      </vt:variant>
      <vt:variant>
        <vt:i4>1310772</vt:i4>
      </vt:variant>
      <vt:variant>
        <vt:i4>338</vt:i4>
      </vt:variant>
      <vt:variant>
        <vt:i4>0</vt:i4>
      </vt:variant>
      <vt:variant>
        <vt:i4>5</vt:i4>
      </vt:variant>
      <vt:variant>
        <vt:lpwstr/>
      </vt:variant>
      <vt:variant>
        <vt:lpwstr>_Toc214716331</vt:lpwstr>
      </vt:variant>
      <vt:variant>
        <vt:i4>1310772</vt:i4>
      </vt:variant>
      <vt:variant>
        <vt:i4>332</vt:i4>
      </vt:variant>
      <vt:variant>
        <vt:i4>0</vt:i4>
      </vt:variant>
      <vt:variant>
        <vt:i4>5</vt:i4>
      </vt:variant>
      <vt:variant>
        <vt:lpwstr/>
      </vt:variant>
      <vt:variant>
        <vt:lpwstr>_Toc214716330</vt:lpwstr>
      </vt:variant>
      <vt:variant>
        <vt:i4>1376308</vt:i4>
      </vt:variant>
      <vt:variant>
        <vt:i4>326</vt:i4>
      </vt:variant>
      <vt:variant>
        <vt:i4>0</vt:i4>
      </vt:variant>
      <vt:variant>
        <vt:i4>5</vt:i4>
      </vt:variant>
      <vt:variant>
        <vt:lpwstr/>
      </vt:variant>
      <vt:variant>
        <vt:lpwstr>_Toc214716329</vt:lpwstr>
      </vt:variant>
      <vt:variant>
        <vt:i4>1376308</vt:i4>
      </vt:variant>
      <vt:variant>
        <vt:i4>320</vt:i4>
      </vt:variant>
      <vt:variant>
        <vt:i4>0</vt:i4>
      </vt:variant>
      <vt:variant>
        <vt:i4>5</vt:i4>
      </vt:variant>
      <vt:variant>
        <vt:lpwstr/>
      </vt:variant>
      <vt:variant>
        <vt:lpwstr>_Toc214716328</vt:lpwstr>
      </vt:variant>
      <vt:variant>
        <vt:i4>1376308</vt:i4>
      </vt:variant>
      <vt:variant>
        <vt:i4>314</vt:i4>
      </vt:variant>
      <vt:variant>
        <vt:i4>0</vt:i4>
      </vt:variant>
      <vt:variant>
        <vt:i4>5</vt:i4>
      </vt:variant>
      <vt:variant>
        <vt:lpwstr/>
      </vt:variant>
      <vt:variant>
        <vt:lpwstr>_Toc214716327</vt:lpwstr>
      </vt:variant>
      <vt:variant>
        <vt:i4>1376308</vt:i4>
      </vt:variant>
      <vt:variant>
        <vt:i4>308</vt:i4>
      </vt:variant>
      <vt:variant>
        <vt:i4>0</vt:i4>
      </vt:variant>
      <vt:variant>
        <vt:i4>5</vt:i4>
      </vt:variant>
      <vt:variant>
        <vt:lpwstr/>
      </vt:variant>
      <vt:variant>
        <vt:lpwstr>_Toc214716326</vt:lpwstr>
      </vt:variant>
      <vt:variant>
        <vt:i4>1376308</vt:i4>
      </vt:variant>
      <vt:variant>
        <vt:i4>302</vt:i4>
      </vt:variant>
      <vt:variant>
        <vt:i4>0</vt:i4>
      </vt:variant>
      <vt:variant>
        <vt:i4>5</vt:i4>
      </vt:variant>
      <vt:variant>
        <vt:lpwstr/>
      </vt:variant>
      <vt:variant>
        <vt:lpwstr>_Toc214716325</vt:lpwstr>
      </vt:variant>
      <vt:variant>
        <vt:i4>1376308</vt:i4>
      </vt:variant>
      <vt:variant>
        <vt:i4>296</vt:i4>
      </vt:variant>
      <vt:variant>
        <vt:i4>0</vt:i4>
      </vt:variant>
      <vt:variant>
        <vt:i4>5</vt:i4>
      </vt:variant>
      <vt:variant>
        <vt:lpwstr/>
      </vt:variant>
      <vt:variant>
        <vt:lpwstr>_Toc214716324</vt:lpwstr>
      </vt:variant>
      <vt:variant>
        <vt:i4>1376308</vt:i4>
      </vt:variant>
      <vt:variant>
        <vt:i4>290</vt:i4>
      </vt:variant>
      <vt:variant>
        <vt:i4>0</vt:i4>
      </vt:variant>
      <vt:variant>
        <vt:i4>5</vt:i4>
      </vt:variant>
      <vt:variant>
        <vt:lpwstr/>
      </vt:variant>
      <vt:variant>
        <vt:lpwstr>_Toc214716323</vt:lpwstr>
      </vt:variant>
      <vt:variant>
        <vt:i4>1376308</vt:i4>
      </vt:variant>
      <vt:variant>
        <vt:i4>284</vt:i4>
      </vt:variant>
      <vt:variant>
        <vt:i4>0</vt:i4>
      </vt:variant>
      <vt:variant>
        <vt:i4>5</vt:i4>
      </vt:variant>
      <vt:variant>
        <vt:lpwstr/>
      </vt:variant>
      <vt:variant>
        <vt:lpwstr>_Toc214716322</vt:lpwstr>
      </vt:variant>
      <vt:variant>
        <vt:i4>1376308</vt:i4>
      </vt:variant>
      <vt:variant>
        <vt:i4>278</vt:i4>
      </vt:variant>
      <vt:variant>
        <vt:i4>0</vt:i4>
      </vt:variant>
      <vt:variant>
        <vt:i4>5</vt:i4>
      </vt:variant>
      <vt:variant>
        <vt:lpwstr/>
      </vt:variant>
      <vt:variant>
        <vt:lpwstr>_Toc214716321</vt:lpwstr>
      </vt:variant>
      <vt:variant>
        <vt:i4>1376308</vt:i4>
      </vt:variant>
      <vt:variant>
        <vt:i4>272</vt:i4>
      </vt:variant>
      <vt:variant>
        <vt:i4>0</vt:i4>
      </vt:variant>
      <vt:variant>
        <vt:i4>5</vt:i4>
      </vt:variant>
      <vt:variant>
        <vt:lpwstr/>
      </vt:variant>
      <vt:variant>
        <vt:lpwstr>_Toc214716320</vt:lpwstr>
      </vt:variant>
      <vt:variant>
        <vt:i4>1441844</vt:i4>
      </vt:variant>
      <vt:variant>
        <vt:i4>266</vt:i4>
      </vt:variant>
      <vt:variant>
        <vt:i4>0</vt:i4>
      </vt:variant>
      <vt:variant>
        <vt:i4>5</vt:i4>
      </vt:variant>
      <vt:variant>
        <vt:lpwstr/>
      </vt:variant>
      <vt:variant>
        <vt:lpwstr>_Toc214716319</vt:lpwstr>
      </vt:variant>
      <vt:variant>
        <vt:i4>1441844</vt:i4>
      </vt:variant>
      <vt:variant>
        <vt:i4>260</vt:i4>
      </vt:variant>
      <vt:variant>
        <vt:i4>0</vt:i4>
      </vt:variant>
      <vt:variant>
        <vt:i4>5</vt:i4>
      </vt:variant>
      <vt:variant>
        <vt:lpwstr/>
      </vt:variant>
      <vt:variant>
        <vt:lpwstr>_Toc214716318</vt:lpwstr>
      </vt:variant>
      <vt:variant>
        <vt:i4>1441844</vt:i4>
      </vt:variant>
      <vt:variant>
        <vt:i4>254</vt:i4>
      </vt:variant>
      <vt:variant>
        <vt:i4>0</vt:i4>
      </vt:variant>
      <vt:variant>
        <vt:i4>5</vt:i4>
      </vt:variant>
      <vt:variant>
        <vt:lpwstr/>
      </vt:variant>
      <vt:variant>
        <vt:lpwstr>_Toc214716317</vt:lpwstr>
      </vt:variant>
      <vt:variant>
        <vt:i4>1441844</vt:i4>
      </vt:variant>
      <vt:variant>
        <vt:i4>248</vt:i4>
      </vt:variant>
      <vt:variant>
        <vt:i4>0</vt:i4>
      </vt:variant>
      <vt:variant>
        <vt:i4>5</vt:i4>
      </vt:variant>
      <vt:variant>
        <vt:lpwstr/>
      </vt:variant>
      <vt:variant>
        <vt:lpwstr>_Toc214716316</vt:lpwstr>
      </vt:variant>
      <vt:variant>
        <vt:i4>1441844</vt:i4>
      </vt:variant>
      <vt:variant>
        <vt:i4>242</vt:i4>
      </vt:variant>
      <vt:variant>
        <vt:i4>0</vt:i4>
      </vt:variant>
      <vt:variant>
        <vt:i4>5</vt:i4>
      </vt:variant>
      <vt:variant>
        <vt:lpwstr/>
      </vt:variant>
      <vt:variant>
        <vt:lpwstr>_Toc214716315</vt:lpwstr>
      </vt:variant>
      <vt:variant>
        <vt:i4>1441844</vt:i4>
      </vt:variant>
      <vt:variant>
        <vt:i4>236</vt:i4>
      </vt:variant>
      <vt:variant>
        <vt:i4>0</vt:i4>
      </vt:variant>
      <vt:variant>
        <vt:i4>5</vt:i4>
      </vt:variant>
      <vt:variant>
        <vt:lpwstr/>
      </vt:variant>
      <vt:variant>
        <vt:lpwstr>_Toc214716314</vt:lpwstr>
      </vt:variant>
      <vt:variant>
        <vt:i4>1441844</vt:i4>
      </vt:variant>
      <vt:variant>
        <vt:i4>230</vt:i4>
      </vt:variant>
      <vt:variant>
        <vt:i4>0</vt:i4>
      </vt:variant>
      <vt:variant>
        <vt:i4>5</vt:i4>
      </vt:variant>
      <vt:variant>
        <vt:lpwstr/>
      </vt:variant>
      <vt:variant>
        <vt:lpwstr>_Toc214716313</vt:lpwstr>
      </vt:variant>
      <vt:variant>
        <vt:i4>1441844</vt:i4>
      </vt:variant>
      <vt:variant>
        <vt:i4>224</vt:i4>
      </vt:variant>
      <vt:variant>
        <vt:i4>0</vt:i4>
      </vt:variant>
      <vt:variant>
        <vt:i4>5</vt:i4>
      </vt:variant>
      <vt:variant>
        <vt:lpwstr/>
      </vt:variant>
      <vt:variant>
        <vt:lpwstr>_Toc214716312</vt:lpwstr>
      </vt:variant>
      <vt:variant>
        <vt:i4>1441844</vt:i4>
      </vt:variant>
      <vt:variant>
        <vt:i4>218</vt:i4>
      </vt:variant>
      <vt:variant>
        <vt:i4>0</vt:i4>
      </vt:variant>
      <vt:variant>
        <vt:i4>5</vt:i4>
      </vt:variant>
      <vt:variant>
        <vt:lpwstr/>
      </vt:variant>
      <vt:variant>
        <vt:lpwstr>_Toc214716311</vt:lpwstr>
      </vt:variant>
      <vt:variant>
        <vt:i4>1441844</vt:i4>
      </vt:variant>
      <vt:variant>
        <vt:i4>212</vt:i4>
      </vt:variant>
      <vt:variant>
        <vt:i4>0</vt:i4>
      </vt:variant>
      <vt:variant>
        <vt:i4>5</vt:i4>
      </vt:variant>
      <vt:variant>
        <vt:lpwstr/>
      </vt:variant>
      <vt:variant>
        <vt:lpwstr>_Toc214716310</vt:lpwstr>
      </vt:variant>
      <vt:variant>
        <vt:i4>1507380</vt:i4>
      </vt:variant>
      <vt:variant>
        <vt:i4>206</vt:i4>
      </vt:variant>
      <vt:variant>
        <vt:i4>0</vt:i4>
      </vt:variant>
      <vt:variant>
        <vt:i4>5</vt:i4>
      </vt:variant>
      <vt:variant>
        <vt:lpwstr/>
      </vt:variant>
      <vt:variant>
        <vt:lpwstr>_Toc214716309</vt:lpwstr>
      </vt:variant>
      <vt:variant>
        <vt:i4>1507380</vt:i4>
      </vt:variant>
      <vt:variant>
        <vt:i4>200</vt:i4>
      </vt:variant>
      <vt:variant>
        <vt:i4>0</vt:i4>
      </vt:variant>
      <vt:variant>
        <vt:i4>5</vt:i4>
      </vt:variant>
      <vt:variant>
        <vt:lpwstr/>
      </vt:variant>
      <vt:variant>
        <vt:lpwstr>_Toc214716308</vt:lpwstr>
      </vt:variant>
      <vt:variant>
        <vt:i4>1507380</vt:i4>
      </vt:variant>
      <vt:variant>
        <vt:i4>194</vt:i4>
      </vt:variant>
      <vt:variant>
        <vt:i4>0</vt:i4>
      </vt:variant>
      <vt:variant>
        <vt:i4>5</vt:i4>
      </vt:variant>
      <vt:variant>
        <vt:lpwstr/>
      </vt:variant>
      <vt:variant>
        <vt:lpwstr>_Toc214716307</vt:lpwstr>
      </vt:variant>
      <vt:variant>
        <vt:i4>1507380</vt:i4>
      </vt:variant>
      <vt:variant>
        <vt:i4>188</vt:i4>
      </vt:variant>
      <vt:variant>
        <vt:i4>0</vt:i4>
      </vt:variant>
      <vt:variant>
        <vt:i4>5</vt:i4>
      </vt:variant>
      <vt:variant>
        <vt:lpwstr/>
      </vt:variant>
      <vt:variant>
        <vt:lpwstr>_Toc214716306</vt:lpwstr>
      </vt:variant>
      <vt:variant>
        <vt:i4>1507380</vt:i4>
      </vt:variant>
      <vt:variant>
        <vt:i4>182</vt:i4>
      </vt:variant>
      <vt:variant>
        <vt:i4>0</vt:i4>
      </vt:variant>
      <vt:variant>
        <vt:i4>5</vt:i4>
      </vt:variant>
      <vt:variant>
        <vt:lpwstr/>
      </vt:variant>
      <vt:variant>
        <vt:lpwstr>_Toc214716305</vt:lpwstr>
      </vt:variant>
      <vt:variant>
        <vt:i4>1507380</vt:i4>
      </vt:variant>
      <vt:variant>
        <vt:i4>176</vt:i4>
      </vt:variant>
      <vt:variant>
        <vt:i4>0</vt:i4>
      </vt:variant>
      <vt:variant>
        <vt:i4>5</vt:i4>
      </vt:variant>
      <vt:variant>
        <vt:lpwstr/>
      </vt:variant>
      <vt:variant>
        <vt:lpwstr>_Toc214716304</vt:lpwstr>
      </vt:variant>
      <vt:variant>
        <vt:i4>1507380</vt:i4>
      </vt:variant>
      <vt:variant>
        <vt:i4>170</vt:i4>
      </vt:variant>
      <vt:variant>
        <vt:i4>0</vt:i4>
      </vt:variant>
      <vt:variant>
        <vt:i4>5</vt:i4>
      </vt:variant>
      <vt:variant>
        <vt:lpwstr/>
      </vt:variant>
      <vt:variant>
        <vt:lpwstr>_Toc214716303</vt:lpwstr>
      </vt:variant>
      <vt:variant>
        <vt:i4>1507380</vt:i4>
      </vt:variant>
      <vt:variant>
        <vt:i4>164</vt:i4>
      </vt:variant>
      <vt:variant>
        <vt:i4>0</vt:i4>
      </vt:variant>
      <vt:variant>
        <vt:i4>5</vt:i4>
      </vt:variant>
      <vt:variant>
        <vt:lpwstr/>
      </vt:variant>
      <vt:variant>
        <vt:lpwstr>_Toc214716302</vt:lpwstr>
      </vt:variant>
      <vt:variant>
        <vt:i4>1507380</vt:i4>
      </vt:variant>
      <vt:variant>
        <vt:i4>158</vt:i4>
      </vt:variant>
      <vt:variant>
        <vt:i4>0</vt:i4>
      </vt:variant>
      <vt:variant>
        <vt:i4>5</vt:i4>
      </vt:variant>
      <vt:variant>
        <vt:lpwstr/>
      </vt:variant>
      <vt:variant>
        <vt:lpwstr>_Toc214716301</vt:lpwstr>
      </vt:variant>
      <vt:variant>
        <vt:i4>1507380</vt:i4>
      </vt:variant>
      <vt:variant>
        <vt:i4>152</vt:i4>
      </vt:variant>
      <vt:variant>
        <vt:i4>0</vt:i4>
      </vt:variant>
      <vt:variant>
        <vt:i4>5</vt:i4>
      </vt:variant>
      <vt:variant>
        <vt:lpwstr/>
      </vt:variant>
      <vt:variant>
        <vt:lpwstr>_Toc214716300</vt:lpwstr>
      </vt:variant>
      <vt:variant>
        <vt:i4>1966133</vt:i4>
      </vt:variant>
      <vt:variant>
        <vt:i4>146</vt:i4>
      </vt:variant>
      <vt:variant>
        <vt:i4>0</vt:i4>
      </vt:variant>
      <vt:variant>
        <vt:i4>5</vt:i4>
      </vt:variant>
      <vt:variant>
        <vt:lpwstr/>
      </vt:variant>
      <vt:variant>
        <vt:lpwstr>_Toc214716299</vt:lpwstr>
      </vt:variant>
      <vt:variant>
        <vt:i4>1966133</vt:i4>
      </vt:variant>
      <vt:variant>
        <vt:i4>140</vt:i4>
      </vt:variant>
      <vt:variant>
        <vt:i4>0</vt:i4>
      </vt:variant>
      <vt:variant>
        <vt:i4>5</vt:i4>
      </vt:variant>
      <vt:variant>
        <vt:lpwstr/>
      </vt:variant>
      <vt:variant>
        <vt:lpwstr>_Toc214716298</vt:lpwstr>
      </vt:variant>
      <vt:variant>
        <vt:i4>1966133</vt:i4>
      </vt:variant>
      <vt:variant>
        <vt:i4>134</vt:i4>
      </vt:variant>
      <vt:variant>
        <vt:i4>0</vt:i4>
      </vt:variant>
      <vt:variant>
        <vt:i4>5</vt:i4>
      </vt:variant>
      <vt:variant>
        <vt:lpwstr/>
      </vt:variant>
      <vt:variant>
        <vt:lpwstr>_Toc214716297</vt:lpwstr>
      </vt:variant>
      <vt:variant>
        <vt:i4>1966133</vt:i4>
      </vt:variant>
      <vt:variant>
        <vt:i4>128</vt:i4>
      </vt:variant>
      <vt:variant>
        <vt:i4>0</vt:i4>
      </vt:variant>
      <vt:variant>
        <vt:i4>5</vt:i4>
      </vt:variant>
      <vt:variant>
        <vt:lpwstr/>
      </vt:variant>
      <vt:variant>
        <vt:lpwstr>_Toc214716296</vt:lpwstr>
      </vt:variant>
      <vt:variant>
        <vt:i4>1966133</vt:i4>
      </vt:variant>
      <vt:variant>
        <vt:i4>122</vt:i4>
      </vt:variant>
      <vt:variant>
        <vt:i4>0</vt:i4>
      </vt:variant>
      <vt:variant>
        <vt:i4>5</vt:i4>
      </vt:variant>
      <vt:variant>
        <vt:lpwstr/>
      </vt:variant>
      <vt:variant>
        <vt:lpwstr>_Toc214716295</vt:lpwstr>
      </vt:variant>
      <vt:variant>
        <vt:i4>1966133</vt:i4>
      </vt:variant>
      <vt:variant>
        <vt:i4>116</vt:i4>
      </vt:variant>
      <vt:variant>
        <vt:i4>0</vt:i4>
      </vt:variant>
      <vt:variant>
        <vt:i4>5</vt:i4>
      </vt:variant>
      <vt:variant>
        <vt:lpwstr/>
      </vt:variant>
      <vt:variant>
        <vt:lpwstr>_Toc214716294</vt:lpwstr>
      </vt:variant>
      <vt:variant>
        <vt:i4>1966133</vt:i4>
      </vt:variant>
      <vt:variant>
        <vt:i4>110</vt:i4>
      </vt:variant>
      <vt:variant>
        <vt:i4>0</vt:i4>
      </vt:variant>
      <vt:variant>
        <vt:i4>5</vt:i4>
      </vt:variant>
      <vt:variant>
        <vt:lpwstr/>
      </vt:variant>
      <vt:variant>
        <vt:lpwstr>_Toc214716293</vt:lpwstr>
      </vt:variant>
      <vt:variant>
        <vt:i4>1966133</vt:i4>
      </vt:variant>
      <vt:variant>
        <vt:i4>104</vt:i4>
      </vt:variant>
      <vt:variant>
        <vt:i4>0</vt:i4>
      </vt:variant>
      <vt:variant>
        <vt:i4>5</vt:i4>
      </vt:variant>
      <vt:variant>
        <vt:lpwstr/>
      </vt:variant>
      <vt:variant>
        <vt:lpwstr>_Toc214716292</vt:lpwstr>
      </vt:variant>
      <vt:variant>
        <vt:i4>1966133</vt:i4>
      </vt:variant>
      <vt:variant>
        <vt:i4>98</vt:i4>
      </vt:variant>
      <vt:variant>
        <vt:i4>0</vt:i4>
      </vt:variant>
      <vt:variant>
        <vt:i4>5</vt:i4>
      </vt:variant>
      <vt:variant>
        <vt:lpwstr/>
      </vt:variant>
      <vt:variant>
        <vt:lpwstr>_Toc214716291</vt:lpwstr>
      </vt:variant>
      <vt:variant>
        <vt:i4>1966133</vt:i4>
      </vt:variant>
      <vt:variant>
        <vt:i4>92</vt:i4>
      </vt:variant>
      <vt:variant>
        <vt:i4>0</vt:i4>
      </vt:variant>
      <vt:variant>
        <vt:i4>5</vt:i4>
      </vt:variant>
      <vt:variant>
        <vt:lpwstr/>
      </vt:variant>
      <vt:variant>
        <vt:lpwstr>_Toc214716290</vt:lpwstr>
      </vt:variant>
      <vt:variant>
        <vt:i4>2031669</vt:i4>
      </vt:variant>
      <vt:variant>
        <vt:i4>86</vt:i4>
      </vt:variant>
      <vt:variant>
        <vt:i4>0</vt:i4>
      </vt:variant>
      <vt:variant>
        <vt:i4>5</vt:i4>
      </vt:variant>
      <vt:variant>
        <vt:lpwstr/>
      </vt:variant>
      <vt:variant>
        <vt:lpwstr>_Toc214716289</vt:lpwstr>
      </vt:variant>
      <vt:variant>
        <vt:i4>2031669</vt:i4>
      </vt:variant>
      <vt:variant>
        <vt:i4>80</vt:i4>
      </vt:variant>
      <vt:variant>
        <vt:i4>0</vt:i4>
      </vt:variant>
      <vt:variant>
        <vt:i4>5</vt:i4>
      </vt:variant>
      <vt:variant>
        <vt:lpwstr/>
      </vt:variant>
      <vt:variant>
        <vt:lpwstr>_Toc214716288</vt:lpwstr>
      </vt:variant>
      <vt:variant>
        <vt:i4>2031669</vt:i4>
      </vt:variant>
      <vt:variant>
        <vt:i4>74</vt:i4>
      </vt:variant>
      <vt:variant>
        <vt:i4>0</vt:i4>
      </vt:variant>
      <vt:variant>
        <vt:i4>5</vt:i4>
      </vt:variant>
      <vt:variant>
        <vt:lpwstr/>
      </vt:variant>
      <vt:variant>
        <vt:lpwstr>_Toc214716287</vt:lpwstr>
      </vt:variant>
      <vt:variant>
        <vt:i4>2031669</vt:i4>
      </vt:variant>
      <vt:variant>
        <vt:i4>68</vt:i4>
      </vt:variant>
      <vt:variant>
        <vt:i4>0</vt:i4>
      </vt:variant>
      <vt:variant>
        <vt:i4>5</vt:i4>
      </vt:variant>
      <vt:variant>
        <vt:lpwstr/>
      </vt:variant>
      <vt:variant>
        <vt:lpwstr>_Toc214716286</vt:lpwstr>
      </vt:variant>
      <vt:variant>
        <vt:i4>2031669</vt:i4>
      </vt:variant>
      <vt:variant>
        <vt:i4>62</vt:i4>
      </vt:variant>
      <vt:variant>
        <vt:i4>0</vt:i4>
      </vt:variant>
      <vt:variant>
        <vt:i4>5</vt:i4>
      </vt:variant>
      <vt:variant>
        <vt:lpwstr/>
      </vt:variant>
      <vt:variant>
        <vt:lpwstr>_Toc214716285</vt:lpwstr>
      </vt:variant>
      <vt:variant>
        <vt:i4>2031669</vt:i4>
      </vt:variant>
      <vt:variant>
        <vt:i4>56</vt:i4>
      </vt:variant>
      <vt:variant>
        <vt:i4>0</vt:i4>
      </vt:variant>
      <vt:variant>
        <vt:i4>5</vt:i4>
      </vt:variant>
      <vt:variant>
        <vt:lpwstr/>
      </vt:variant>
      <vt:variant>
        <vt:lpwstr>_Toc214716284</vt:lpwstr>
      </vt:variant>
      <vt:variant>
        <vt:i4>2031669</vt:i4>
      </vt:variant>
      <vt:variant>
        <vt:i4>50</vt:i4>
      </vt:variant>
      <vt:variant>
        <vt:i4>0</vt:i4>
      </vt:variant>
      <vt:variant>
        <vt:i4>5</vt:i4>
      </vt:variant>
      <vt:variant>
        <vt:lpwstr/>
      </vt:variant>
      <vt:variant>
        <vt:lpwstr>_Toc214716283</vt:lpwstr>
      </vt:variant>
      <vt:variant>
        <vt:i4>2031669</vt:i4>
      </vt:variant>
      <vt:variant>
        <vt:i4>44</vt:i4>
      </vt:variant>
      <vt:variant>
        <vt:i4>0</vt:i4>
      </vt:variant>
      <vt:variant>
        <vt:i4>5</vt:i4>
      </vt:variant>
      <vt:variant>
        <vt:lpwstr/>
      </vt:variant>
      <vt:variant>
        <vt:lpwstr>_Toc214716282</vt:lpwstr>
      </vt:variant>
      <vt:variant>
        <vt:i4>2031669</vt:i4>
      </vt:variant>
      <vt:variant>
        <vt:i4>38</vt:i4>
      </vt:variant>
      <vt:variant>
        <vt:i4>0</vt:i4>
      </vt:variant>
      <vt:variant>
        <vt:i4>5</vt:i4>
      </vt:variant>
      <vt:variant>
        <vt:lpwstr/>
      </vt:variant>
      <vt:variant>
        <vt:lpwstr>_Toc214716281</vt:lpwstr>
      </vt:variant>
      <vt:variant>
        <vt:i4>2031669</vt:i4>
      </vt:variant>
      <vt:variant>
        <vt:i4>32</vt:i4>
      </vt:variant>
      <vt:variant>
        <vt:i4>0</vt:i4>
      </vt:variant>
      <vt:variant>
        <vt:i4>5</vt:i4>
      </vt:variant>
      <vt:variant>
        <vt:lpwstr/>
      </vt:variant>
      <vt:variant>
        <vt:lpwstr>_Toc214716280</vt:lpwstr>
      </vt:variant>
      <vt:variant>
        <vt:i4>1048629</vt:i4>
      </vt:variant>
      <vt:variant>
        <vt:i4>26</vt:i4>
      </vt:variant>
      <vt:variant>
        <vt:i4>0</vt:i4>
      </vt:variant>
      <vt:variant>
        <vt:i4>5</vt:i4>
      </vt:variant>
      <vt:variant>
        <vt:lpwstr/>
      </vt:variant>
      <vt:variant>
        <vt:lpwstr>_Toc214716279</vt:lpwstr>
      </vt:variant>
      <vt:variant>
        <vt:i4>1048629</vt:i4>
      </vt:variant>
      <vt:variant>
        <vt:i4>20</vt:i4>
      </vt:variant>
      <vt:variant>
        <vt:i4>0</vt:i4>
      </vt:variant>
      <vt:variant>
        <vt:i4>5</vt:i4>
      </vt:variant>
      <vt:variant>
        <vt:lpwstr/>
      </vt:variant>
      <vt:variant>
        <vt:lpwstr>_Toc214716278</vt:lpwstr>
      </vt:variant>
      <vt:variant>
        <vt:i4>1048629</vt:i4>
      </vt:variant>
      <vt:variant>
        <vt:i4>14</vt:i4>
      </vt:variant>
      <vt:variant>
        <vt:i4>0</vt:i4>
      </vt:variant>
      <vt:variant>
        <vt:i4>5</vt:i4>
      </vt:variant>
      <vt:variant>
        <vt:lpwstr/>
      </vt:variant>
      <vt:variant>
        <vt:lpwstr>_Toc214716277</vt:lpwstr>
      </vt:variant>
      <vt:variant>
        <vt:i4>1048629</vt:i4>
      </vt:variant>
      <vt:variant>
        <vt:i4>8</vt:i4>
      </vt:variant>
      <vt:variant>
        <vt:i4>0</vt:i4>
      </vt:variant>
      <vt:variant>
        <vt:i4>5</vt:i4>
      </vt:variant>
      <vt:variant>
        <vt:lpwstr/>
      </vt:variant>
      <vt:variant>
        <vt:lpwstr>_Toc214716276</vt:lpwstr>
      </vt:variant>
      <vt:variant>
        <vt:i4>1048629</vt:i4>
      </vt:variant>
      <vt:variant>
        <vt:i4>2</vt:i4>
      </vt:variant>
      <vt:variant>
        <vt:i4>0</vt:i4>
      </vt:variant>
      <vt:variant>
        <vt:i4>5</vt:i4>
      </vt:variant>
      <vt:variant>
        <vt:lpwstr/>
      </vt:variant>
      <vt:variant>
        <vt:lpwstr>_Toc214716275</vt:lpwstr>
      </vt:variant>
      <vt:variant>
        <vt:i4>65606</vt:i4>
      </vt:variant>
      <vt:variant>
        <vt:i4>21</vt:i4>
      </vt:variant>
      <vt:variant>
        <vt:i4>0</vt:i4>
      </vt:variant>
      <vt:variant>
        <vt:i4>5</vt:i4>
      </vt:variant>
      <vt:variant>
        <vt:lpwstr>http://www.siej.dgpj.mj.pt/estatisticas.html</vt:lpwstr>
      </vt:variant>
      <vt:variant>
        <vt:lpwstr/>
      </vt:variant>
      <vt:variant>
        <vt:i4>6946890</vt:i4>
      </vt:variant>
      <vt:variant>
        <vt:i4>18</vt:i4>
      </vt:variant>
      <vt:variant>
        <vt:i4>0</vt:i4>
      </vt:variant>
      <vt:variant>
        <vt:i4>5</vt:i4>
      </vt:variant>
      <vt:variant>
        <vt:lpwstr>mailto:danielbm@gmail.com</vt:lpwstr>
      </vt:variant>
      <vt:variant>
        <vt:lpwstr/>
      </vt:variant>
      <vt:variant>
        <vt:i4>7864420</vt:i4>
      </vt:variant>
      <vt:variant>
        <vt:i4>15</vt:i4>
      </vt:variant>
      <vt:variant>
        <vt:i4>0</vt:i4>
      </vt:variant>
      <vt:variant>
        <vt:i4>5</vt:i4>
      </vt:variant>
      <vt:variant>
        <vt:lpwstr>http://www.ine.pt/</vt:lpwstr>
      </vt:variant>
      <vt:variant>
        <vt:lpwstr/>
      </vt:variant>
      <vt:variant>
        <vt:i4>5505052</vt:i4>
      </vt:variant>
      <vt:variant>
        <vt:i4>12</vt:i4>
      </vt:variant>
      <vt:variant>
        <vt:i4>0</vt:i4>
      </vt:variant>
      <vt:variant>
        <vt:i4>5</vt:i4>
      </vt:variant>
      <vt:variant>
        <vt:lpwstr>http://www.conselhosuperiordamagistratura.pt/index.php?idmenu=8&amp;lg=1</vt:lpwstr>
      </vt:variant>
      <vt:variant>
        <vt:lpwstr/>
      </vt:variant>
      <vt:variant>
        <vt:i4>7536740</vt:i4>
      </vt:variant>
      <vt:variant>
        <vt:i4>9</vt:i4>
      </vt:variant>
      <vt:variant>
        <vt:i4>0</vt:i4>
      </vt:variant>
      <vt:variant>
        <vt:i4>5</vt:i4>
      </vt:variant>
      <vt:variant>
        <vt:lpwstr>http://www.redecivil.mj.pt/</vt:lpwstr>
      </vt:variant>
      <vt:variant>
        <vt:lpwstr/>
      </vt:variant>
      <vt:variant>
        <vt:i4>4718674</vt:i4>
      </vt:variant>
      <vt:variant>
        <vt:i4>6</vt:i4>
      </vt:variant>
      <vt:variant>
        <vt:i4>0</vt:i4>
      </vt:variant>
      <vt:variant>
        <vt:i4>5</vt:i4>
      </vt:variant>
      <vt:variant>
        <vt:lpwstr>http://www.worldbank.org/publicsector/legal/</vt:lpwstr>
      </vt:variant>
      <vt:variant>
        <vt:lpwstr/>
      </vt:variant>
      <vt:variant>
        <vt:i4>8650770</vt:i4>
      </vt:variant>
      <vt:variant>
        <vt:i4>3</vt:i4>
      </vt:variant>
      <vt:variant>
        <vt:i4>0</vt:i4>
      </vt:variant>
      <vt:variant>
        <vt:i4>5</vt:i4>
      </vt:variant>
      <vt:variant>
        <vt:lpwstr>http://www.reformadajustiça.blogspot.com/</vt:lpwstr>
      </vt:variant>
      <vt:variant>
        <vt:lpwstr/>
      </vt:variant>
      <vt:variant>
        <vt:i4>6946890</vt:i4>
      </vt:variant>
      <vt:variant>
        <vt:i4>0</vt:i4>
      </vt:variant>
      <vt:variant>
        <vt:i4>0</vt:i4>
      </vt:variant>
      <vt:variant>
        <vt:i4>5</vt:i4>
      </vt:variant>
      <vt:variant>
        <vt:lpwstr>mailto:danielbm@gmail.com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Mestrado em Economia e Políticas Públicas</dc:title>
  <dc:creator>Daniel B. Martins</dc:creator>
  <cp:lastModifiedBy>Daniel B. Martins</cp:lastModifiedBy>
  <cp:revision>3</cp:revision>
  <cp:lastPrinted>2009-01-22T17:13:00Z</cp:lastPrinted>
  <dcterms:created xsi:type="dcterms:W3CDTF">2009-01-23T13:32:00Z</dcterms:created>
  <dcterms:modified xsi:type="dcterms:W3CDTF">2009-01-23T14:37:00Z</dcterms:modified>
</cp:coreProperties>
</file>